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0113AC" w:rsidRPr="00993181"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jc w:val="both"/>
        <w:rPr>
          <w:rFonts w:ascii="Palatino Linotype" w:hAnsi="Palatino Linotype"/>
          <w:sz w:val="22"/>
          <w:szCs w:val="22"/>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372B0E" w:rsidRPr="00893B65" w:rsidRDefault="000113AC" w:rsidP="00372B0E">
      <w:pPr>
        <w:autoSpaceDE w:val="0"/>
        <w:autoSpaceDN w:val="0"/>
        <w:adjustRightInd w:val="0"/>
        <w:spacing w:line="276" w:lineRule="auto"/>
        <w:ind w:left="708" w:hanging="708"/>
        <w:jc w:val="both"/>
        <w:rPr>
          <w:rFonts w:ascii="Palatino Linotype" w:hAnsi="Palatino Linotype"/>
          <w:i/>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r>
      <w:r w:rsidR="00372B0E">
        <w:rPr>
          <w:rFonts w:ascii="Palatino Linotype" w:hAnsi="Palatino Linotype"/>
          <w:sz w:val="22"/>
          <w:szCs w:val="22"/>
        </w:rPr>
        <w:t>m</w:t>
      </w:r>
      <w:r w:rsidR="00372B0E" w:rsidRPr="005F3A16">
        <w:rPr>
          <w:rFonts w:ascii="Palatino Linotype" w:hAnsi="Palatino Linotype"/>
          <w:sz w:val="22"/>
          <w:szCs w:val="22"/>
        </w:rPr>
        <w:t xml:space="preserve">ediante </w:t>
      </w:r>
      <w:r w:rsidR="00372B0E" w:rsidRPr="00A42F01">
        <w:rPr>
          <w:rFonts w:ascii="Palatino Linotype" w:eastAsiaTheme="minorHAnsi" w:hAnsi="Palatino Linotype"/>
          <w:sz w:val="22"/>
          <w:szCs w:val="22"/>
          <w:lang w:eastAsia="en-US"/>
        </w:rPr>
        <w:t xml:space="preserve">sentencia judicial dictada por </w:t>
      </w:r>
      <w:r w:rsidR="00372B0E">
        <w:rPr>
          <w:rFonts w:ascii="Palatino Linotype" w:eastAsiaTheme="minorHAnsi" w:hAnsi="Palatino Linotype"/>
          <w:sz w:val="22"/>
          <w:szCs w:val="22"/>
          <w:lang w:eastAsia="en-US"/>
        </w:rPr>
        <w:t xml:space="preserve">el Dr. Román Cañizares William Patricio, Juez de la Unidad  </w:t>
      </w:r>
      <w:r w:rsidR="00372B0E" w:rsidRPr="00893B65">
        <w:rPr>
          <w:rFonts w:ascii="Palatino Linotype" w:eastAsiaTheme="minorHAnsi" w:hAnsi="Palatino Linotype"/>
          <w:sz w:val="22"/>
          <w:szCs w:val="22"/>
          <w:lang w:eastAsia="en-US"/>
        </w:rPr>
        <w:t xml:space="preserve">Judicial Civil con Sede en la parroquia Iñaquito del Distrito Metropolitano de Quito, dentro del Juicio Nro. 17230-2014-3944 del 2 de mayo de 2018, ejecutoriado el 18 de diciembre del 2017,  los cónyuges </w:t>
      </w:r>
      <w:r w:rsidR="00372B0E" w:rsidRPr="00893B65">
        <w:rPr>
          <w:rFonts w:ascii="Palatino Linotype" w:hAnsi="Palatino Linotype"/>
          <w:sz w:val="22"/>
          <w:szCs w:val="22"/>
        </w:rPr>
        <w:t>Galo José Llamuca Lara y Judith Socorro Chávez Lara</w:t>
      </w:r>
      <w:r w:rsidR="00372B0E" w:rsidRPr="00893B65">
        <w:rPr>
          <w:rFonts w:ascii="Palatino Linotype" w:eastAsiaTheme="minorHAnsi" w:hAnsi="Palatino Linotype"/>
          <w:sz w:val="22"/>
          <w:szCs w:val="22"/>
          <w:lang w:eastAsia="en-US"/>
        </w:rPr>
        <w:t>, adquieren, mediante la figura legal de prescripción extraordinaria adquisitiva de dominio, el lote de terreno de las siguientes características: “</w:t>
      </w:r>
      <w:r w:rsidR="00372B0E" w:rsidRPr="00893B65">
        <w:rPr>
          <w:rFonts w:ascii="Palatino Linotype" w:hAnsi="Palatino Linotype"/>
          <w:i/>
          <w:sz w:val="22"/>
          <w:szCs w:val="22"/>
        </w:rPr>
        <w:t xml:space="preserve">lote de terreno y casas, ubicado en la parroquia Nanegalito, sector la Armenia, junto a la carretera Calacalí la Independencia, entrada  a la parroquia de Pacto, cantón Quito, provincia de Pichincha, predio comprendido dentro de los siguientes linderos: Norte: 17 metros de longitud con propiedad de Luis Buenapez Buenapez; Sur: en 37,61 metros con calle Vía a Pacto, Este: 30,26 metros con propiedad del señor Manuel Campaña y 8,45 metros con propiedad de Luis Buenapez Buenapez; y Oeste: en 33,45 con propiedad de </w:t>
      </w:r>
      <w:r w:rsidR="00372B0E" w:rsidRPr="00893B65">
        <w:rPr>
          <w:rFonts w:ascii="Palatino Linotype" w:hAnsi="Palatino Linotype"/>
          <w:i/>
          <w:sz w:val="22"/>
          <w:szCs w:val="22"/>
        </w:rPr>
        <w:lastRenderedPageBreak/>
        <w:t>Jacinto Vélez,  dando una Superficie total de mil metros cuadrados con cincuenta y dos decímetros cuadrados (1000,52m2)”</w:t>
      </w:r>
      <w:r w:rsidR="00DF190B">
        <w:rPr>
          <w:rFonts w:ascii="Palatino Linotype" w:eastAsiaTheme="minorHAnsi" w:hAnsi="Palatino Linotype"/>
          <w:i/>
          <w:sz w:val="22"/>
          <w:szCs w:val="22"/>
          <w:lang w:eastAsia="en-US"/>
        </w:rPr>
        <w:t>;</w:t>
      </w:r>
    </w:p>
    <w:p w:rsidR="000113AC" w:rsidRPr="00993181" w:rsidRDefault="000113AC" w:rsidP="000113AC">
      <w:pPr>
        <w:autoSpaceDE w:val="0"/>
        <w:autoSpaceDN w:val="0"/>
        <w:adjustRightInd w:val="0"/>
        <w:ind w:left="708" w:hanging="708"/>
        <w:jc w:val="both"/>
        <w:rPr>
          <w:rFonts w:ascii="Palatino Linotype" w:hAnsi="Palatino Linotype"/>
          <w:sz w:val="22"/>
          <w:szCs w:val="22"/>
        </w:rPr>
      </w:pPr>
      <w:r w:rsidRPr="00993181">
        <w:rPr>
          <w:rFonts w:ascii="Palatino Linotype" w:hAnsi="Palatino Linotype"/>
          <w:sz w:val="22"/>
          <w:szCs w:val="22"/>
        </w:rPr>
        <w:t xml:space="preserve">. </w:t>
      </w:r>
    </w:p>
    <w:p w:rsidR="000113AC" w:rsidRPr="00993181" w:rsidRDefault="000113AC" w:rsidP="000113AC">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0113AC" w:rsidRPr="00993181" w:rsidRDefault="000113AC" w:rsidP="00AA301D">
      <w:pPr>
        <w:pStyle w:val="Default"/>
        <w:jc w:val="both"/>
        <w:rPr>
          <w:i/>
          <w:sz w:val="22"/>
          <w:szCs w:val="22"/>
        </w:rPr>
      </w:pPr>
      <w:bookmarkStart w:id="0" w:name="_GoBack"/>
      <w:bookmarkEnd w:id="0"/>
    </w:p>
    <w:p w:rsidR="00311483" w:rsidRPr="005F3A16" w:rsidRDefault="000113AC" w:rsidP="00311483">
      <w:pPr>
        <w:pStyle w:val="Default"/>
        <w:ind w:left="708" w:hanging="708"/>
        <w:jc w:val="both"/>
        <w:rPr>
          <w:sz w:val="22"/>
          <w:szCs w:val="22"/>
        </w:rPr>
      </w:pPr>
      <w:r w:rsidRPr="00993181">
        <w:rPr>
          <w:b/>
          <w:sz w:val="22"/>
          <w:szCs w:val="22"/>
        </w:rPr>
        <w:t xml:space="preserve">Que, </w:t>
      </w:r>
      <w:r w:rsidR="00311483">
        <w:rPr>
          <w:sz w:val="22"/>
          <w:szCs w:val="22"/>
        </w:rPr>
        <w:t>m</w:t>
      </w:r>
      <w:r w:rsidR="00311483" w:rsidRPr="001D6507">
        <w:rPr>
          <w:sz w:val="22"/>
          <w:szCs w:val="22"/>
        </w:rPr>
        <w:t xml:space="preserve">ediante </w:t>
      </w:r>
      <w:r w:rsidR="00311483">
        <w:rPr>
          <w:sz w:val="22"/>
          <w:szCs w:val="22"/>
        </w:rPr>
        <w:t>informe técnico Nro</w:t>
      </w:r>
      <w:r w:rsidR="00311483" w:rsidRPr="00660F7C">
        <w:rPr>
          <w:sz w:val="22"/>
          <w:szCs w:val="22"/>
        </w:rPr>
        <w:t xml:space="preserve">. 017-UZGT-2021, la </w:t>
      </w:r>
      <w:r w:rsidR="00311483" w:rsidRPr="001D6507">
        <w:rPr>
          <w:sz w:val="22"/>
          <w:szCs w:val="22"/>
        </w:rPr>
        <w:t xml:space="preserve">Arq. </w:t>
      </w:r>
      <w:r w:rsidR="00311483">
        <w:rPr>
          <w:sz w:val="22"/>
          <w:szCs w:val="22"/>
        </w:rPr>
        <w:t>Gladys Arroyo C.</w:t>
      </w:r>
      <w:r w:rsidR="00311483" w:rsidRPr="001D6507">
        <w:rPr>
          <w:sz w:val="22"/>
          <w:szCs w:val="22"/>
        </w:rPr>
        <w:t xml:space="preserve">, </w:t>
      </w:r>
      <w:r w:rsidR="00311483">
        <w:rPr>
          <w:sz w:val="22"/>
          <w:szCs w:val="22"/>
        </w:rPr>
        <w:t xml:space="preserve">funcionaria </w:t>
      </w:r>
      <w:r w:rsidR="00311483" w:rsidRPr="001D6507">
        <w:rPr>
          <w:sz w:val="22"/>
          <w:szCs w:val="22"/>
        </w:rPr>
        <w:t xml:space="preserve">de </w:t>
      </w:r>
      <w:r w:rsidR="00311483">
        <w:rPr>
          <w:sz w:val="22"/>
          <w:szCs w:val="22"/>
        </w:rPr>
        <w:t xml:space="preserve">Unidad de </w:t>
      </w:r>
      <w:r w:rsidR="00311483" w:rsidRPr="001D6507">
        <w:rPr>
          <w:sz w:val="22"/>
          <w:szCs w:val="22"/>
        </w:rPr>
        <w:t xml:space="preserve">Gestión </w:t>
      </w:r>
      <w:r w:rsidR="00311483">
        <w:rPr>
          <w:sz w:val="22"/>
          <w:szCs w:val="22"/>
        </w:rPr>
        <w:t xml:space="preserve">Urbana </w:t>
      </w:r>
      <w:r w:rsidR="00311483" w:rsidRPr="001D6507">
        <w:rPr>
          <w:sz w:val="22"/>
          <w:szCs w:val="22"/>
        </w:rPr>
        <w:t xml:space="preserve">de la Administración Zonal </w:t>
      </w:r>
      <w:r w:rsidR="00311483">
        <w:rPr>
          <w:sz w:val="22"/>
          <w:szCs w:val="22"/>
        </w:rPr>
        <w:t>La Delicia</w:t>
      </w:r>
      <w:r w:rsidR="00311483" w:rsidRPr="001D6507">
        <w:rPr>
          <w:sz w:val="22"/>
          <w:szCs w:val="22"/>
        </w:rPr>
        <w:t>, señala:</w:t>
      </w:r>
    </w:p>
    <w:p w:rsidR="00311483" w:rsidRPr="005F3A16" w:rsidRDefault="00311483" w:rsidP="00311483">
      <w:pPr>
        <w:pStyle w:val="Default"/>
        <w:jc w:val="both"/>
        <w:rPr>
          <w:sz w:val="22"/>
          <w:szCs w:val="22"/>
        </w:rPr>
      </w:pPr>
    </w:p>
    <w:p w:rsidR="00311483" w:rsidRPr="00005341" w:rsidRDefault="00311483" w:rsidP="00311483">
      <w:pPr>
        <w:pStyle w:val="Default"/>
        <w:ind w:left="708"/>
        <w:jc w:val="both"/>
        <w:rPr>
          <w:rFonts w:cs="Calibri"/>
          <w:i/>
          <w:sz w:val="22"/>
          <w:szCs w:val="22"/>
        </w:rPr>
      </w:pPr>
      <w:r w:rsidRPr="00005341">
        <w:rPr>
          <w:i/>
          <w:sz w:val="22"/>
          <w:szCs w:val="22"/>
        </w:rPr>
        <w:t xml:space="preserve">“(…)  </w:t>
      </w:r>
      <w:r w:rsidRPr="00005341">
        <w:rPr>
          <w:rFonts w:cs="Calibri"/>
          <w:i/>
          <w:sz w:val="22"/>
          <w:szCs w:val="22"/>
        </w:rPr>
        <w:t xml:space="preserve">De la sentencia se desprende que el área útil que se subdivide es de 1000,52 m2 por lo que conforme la zonificación del lote, la resolución propuesta </w:t>
      </w:r>
      <w:r w:rsidRPr="00005341">
        <w:rPr>
          <w:rFonts w:cs="Calibri"/>
          <w:b/>
          <w:bCs/>
          <w:i/>
          <w:sz w:val="22"/>
          <w:szCs w:val="22"/>
        </w:rPr>
        <w:t xml:space="preserve">NO CUMPLE </w:t>
      </w:r>
      <w:r w:rsidRPr="00005341">
        <w:rPr>
          <w:rFonts w:cs="Calibri"/>
          <w:i/>
          <w:sz w:val="22"/>
          <w:szCs w:val="22"/>
        </w:rPr>
        <w:t xml:space="preserve">con los parámetros de habilitación vigentes respecto a lote mínimo, según Informe de regulación Metropolitana No. 738689, las zonificaciones asignadas al área de prescripción son: A7(A50002-1), Lote mínimo: 50000m2, Frente mínimo: 125 m, Uso de Suelo: (RN/PS) Recursos Naturales/Producción Sostenible, Clasificación del suelo: (SRU) Suelo Rural y A31 (PQ), Lote mínimo 0 m2, Frente mínimo: 0 m, Uso de Suelo: (PE/CPN) Protección Ecológica/Conservación del Patrimonio Natural, Clasificación del suelo: (SRU) Suelo Rural, en el predio N° 5027440. </w:t>
      </w:r>
    </w:p>
    <w:p w:rsidR="00311483" w:rsidRDefault="00311483" w:rsidP="00311483">
      <w:pPr>
        <w:pStyle w:val="Default"/>
        <w:ind w:left="708"/>
        <w:jc w:val="both"/>
        <w:rPr>
          <w:rFonts w:cs="Calibri"/>
          <w:i/>
          <w:sz w:val="22"/>
          <w:szCs w:val="22"/>
        </w:rPr>
      </w:pPr>
    </w:p>
    <w:p w:rsidR="00311483" w:rsidRPr="00005341" w:rsidRDefault="00311483" w:rsidP="00311483">
      <w:pPr>
        <w:pStyle w:val="Default"/>
        <w:ind w:left="708"/>
        <w:jc w:val="both"/>
        <w:rPr>
          <w:i/>
          <w:sz w:val="22"/>
          <w:szCs w:val="22"/>
        </w:rPr>
      </w:pPr>
      <w:r w:rsidRPr="00005341">
        <w:rPr>
          <w:rFonts w:cs="Calibri"/>
          <w:i/>
          <w:sz w:val="22"/>
          <w:szCs w:val="22"/>
        </w:rPr>
        <w:t xml:space="preserve">No obstante se requiere que el Concejo Metropolitano, en cumplimiento de la sentencia emitida por la Corte Superior de Justicia de Quito, el 07 de diciembre del año 2017, cambie las condiciones del predio N° 5027440 en relación a los parámetros de habilitación del suelo; Lote Mínimo y Frente Mínimo. Adicionalmente dentro del proceso de subdivisión se </w:t>
      </w:r>
      <w:r w:rsidRPr="00005341">
        <w:rPr>
          <w:rFonts w:cs="Calibri"/>
          <w:b/>
          <w:bCs/>
          <w:i/>
          <w:sz w:val="22"/>
          <w:szCs w:val="22"/>
        </w:rPr>
        <w:t xml:space="preserve">compensará </w:t>
      </w:r>
      <w:r w:rsidRPr="00005341">
        <w:rPr>
          <w:rFonts w:cs="Calibri"/>
          <w:i/>
          <w:sz w:val="22"/>
          <w:szCs w:val="22"/>
        </w:rPr>
        <w:t>en valor monetario según el avalúo catastral actualizado, por la contribución del 15 % del área út</w:t>
      </w:r>
      <w:r>
        <w:rPr>
          <w:rFonts w:cs="Calibri"/>
          <w:i/>
          <w:sz w:val="22"/>
          <w:szCs w:val="22"/>
        </w:rPr>
        <w:t>il adquirida mediante sentencia</w:t>
      </w:r>
      <w:r w:rsidRPr="00005341">
        <w:rPr>
          <w:i/>
          <w:sz w:val="22"/>
          <w:szCs w:val="22"/>
        </w:rPr>
        <w:t>”.</w:t>
      </w:r>
    </w:p>
    <w:p w:rsidR="00C70B8C" w:rsidRDefault="00C70B8C" w:rsidP="00A43B85">
      <w:pPr>
        <w:pStyle w:val="Default"/>
        <w:ind w:left="708" w:hanging="708"/>
        <w:jc w:val="both"/>
        <w:rPr>
          <w:sz w:val="22"/>
          <w:szCs w:val="22"/>
        </w:rPr>
      </w:pPr>
    </w:p>
    <w:p w:rsidR="00DF169C" w:rsidRPr="005F3A16" w:rsidRDefault="005A184C" w:rsidP="00DF169C">
      <w:pPr>
        <w:pStyle w:val="Default"/>
        <w:ind w:left="708" w:hanging="708"/>
        <w:jc w:val="both"/>
        <w:rPr>
          <w:sz w:val="22"/>
          <w:szCs w:val="22"/>
        </w:rPr>
      </w:pPr>
      <w:r w:rsidRPr="005A184C">
        <w:rPr>
          <w:b/>
          <w:sz w:val="22"/>
          <w:szCs w:val="22"/>
        </w:rPr>
        <w:t xml:space="preserve">Que, </w:t>
      </w:r>
      <w:r w:rsidR="00DF169C">
        <w:rPr>
          <w:sz w:val="22"/>
          <w:szCs w:val="22"/>
        </w:rPr>
        <w:t>m</w:t>
      </w:r>
      <w:r w:rsidR="00DF169C" w:rsidRPr="001D6507">
        <w:rPr>
          <w:sz w:val="22"/>
          <w:szCs w:val="22"/>
        </w:rPr>
        <w:t xml:space="preserve">ediante informe técnico Nro. </w:t>
      </w:r>
      <w:r w:rsidR="00DF169C" w:rsidRPr="00C030E1">
        <w:rPr>
          <w:sz w:val="22"/>
          <w:szCs w:val="22"/>
        </w:rPr>
        <w:t>060-UZGT-2021</w:t>
      </w:r>
      <w:r w:rsidR="00DF169C" w:rsidRPr="001D6507">
        <w:rPr>
          <w:sz w:val="22"/>
          <w:szCs w:val="22"/>
        </w:rPr>
        <w:t xml:space="preserve">, </w:t>
      </w:r>
      <w:r w:rsidR="00DF169C">
        <w:rPr>
          <w:sz w:val="22"/>
          <w:szCs w:val="22"/>
        </w:rPr>
        <w:t xml:space="preserve">de 24 de septiembre de 2021, la </w:t>
      </w:r>
      <w:r w:rsidR="00DF169C" w:rsidRPr="001D6507">
        <w:rPr>
          <w:sz w:val="22"/>
          <w:szCs w:val="22"/>
        </w:rPr>
        <w:t xml:space="preserve">Arq. </w:t>
      </w:r>
      <w:r w:rsidR="00DF169C">
        <w:rPr>
          <w:sz w:val="22"/>
          <w:szCs w:val="22"/>
        </w:rPr>
        <w:t>Gladys Arroyo, funcionaria</w:t>
      </w:r>
      <w:r w:rsidR="00DF169C" w:rsidRPr="001D6507">
        <w:rPr>
          <w:sz w:val="22"/>
          <w:szCs w:val="22"/>
        </w:rPr>
        <w:t xml:space="preserve"> de la Unidad de Gestión Urbana de la Administración Zonal </w:t>
      </w:r>
      <w:r w:rsidR="00DF169C">
        <w:rPr>
          <w:sz w:val="22"/>
          <w:szCs w:val="22"/>
        </w:rPr>
        <w:t>La Delicia</w:t>
      </w:r>
      <w:r w:rsidR="00DF169C" w:rsidRPr="001D6507">
        <w:rPr>
          <w:sz w:val="22"/>
          <w:szCs w:val="22"/>
        </w:rPr>
        <w:t>, señala:</w:t>
      </w:r>
    </w:p>
    <w:p w:rsidR="00DF169C" w:rsidRPr="005F3A16" w:rsidRDefault="00DF169C" w:rsidP="00DF169C">
      <w:pPr>
        <w:pStyle w:val="Default"/>
        <w:jc w:val="both"/>
        <w:rPr>
          <w:sz w:val="22"/>
          <w:szCs w:val="22"/>
        </w:rPr>
      </w:pPr>
    </w:p>
    <w:p w:rsidR="00DF169C" w:rsidRDefault="00DF169C" w:rsidP="00DF169C">
      <w:pPr>
        <w:pStyle w:val="Default"/>
        <w:ind w:left="708"/>
        <w:jc w:val="both"/>
        <w:rPr>
          <w:rFonts w:cs="Calibri"/>
          <w:i/>
          <w:sz w:val="22"/>
          <w:szCs w:val="22"/>
        </w:rPr>
      </w:pPr>
      <w:r w:rsidRPr="001367E5">
        <w:rPr>
          <w:i/>
          <w:sz w:val="22"/>
          <w:szCs w:val="22"/>
        </w:rPr>
        <w:t xml:space="preserve">“(…)  </w:t>
      </w:r>
      <w:r w:rsidRPr="001367E5">
        <w:rPr>
          <w:rFonts w:cs="Calibri"/>
          <w:i/>
          <w:sz w:val="22"/>
          <w:szCs w:val="22"/>
        </w:rPr>
        <w:t xml:space="preserve">De la sentencia se desprende que el área útil que se subdivide es de 1000,52 m2 por lo que conforme la zonificación del lote, la resolución propuesta </w:t>
      </w:r>
      <w:r w:rsidRPr="001367E5">
        <w:rPr>
          <w:rFonts w:cs="Calibri"/>
          <w:b/>
          <w:bCs/>
          <w:i/>
          <w:sz w:val="22"/>
          <w:szCs w:val="22"/>
        </w:rPr>
        <w:t xml:space="preserve">NO CUMPLE </w:t>
      </w:r>
      <w:r w:rsidRPr="001367E5">
        <w:rPr>
          <w:rFonts w:cs="Calibri"/>
          <w:i/>
          <w:sz w:val="22"/>
          <w:szCs w:val="22"/>
        </w:rPr>
        <w:t xml:space="preserve">con los parámetros de habilitación vigentes respecto a lote mínimo, según Informe de regulación Metropolitana No. 738689, las zonificaciones asignadas al área de prescripción son: A7(A50002-1), Lote mínimo: 50000m2, Frente mínimo: 125 m, Uso de Suelo: (RN/PS) Recursos Naturales/Producción Sostenible, Clasificación del suelo: (SRU) Suelo Rural y A31 (PQ), Lote mínimo 0 m2, Frente mínimo: 0 m, Uso de Suelo: (PE/CPN) Protección Ecológica/Conservación del Patrimonio Natural, Clasificación del suelo: (SRU) Suelo Rural, en el predio N° 5027440. </w:t>
      </w:r>
    </w:p>
    <w:p w:rsidR="00DF169C" w:rsidRPr="001367E5" w:rsidRDefault="00DF169C" w:rsidP="00DF169C">
      <w:pPr>
        <w:pStyle w:val="Default"/>
        <w:ind w:left="708"/>
        <w:jc w:val="both"/>
        <w:rPr>
          <w:rFonts w:cs="Calibri"/>
          <w:i/>
          <w:sz w:val="22"/>
          <w:szCs w:val="22"/>
        </w:rPr>
      </w:pPr>
    </w:p>
    <w:p w:rsidR="00DF169C" w:rsidRPr="001367E5" w:rsidRDefault="00DF169C" w:rsidP="00DF169C">
      <w:pPr>
        <w:autoSpaceDE w:val="0"/>
        <w:autoSpaceDN w:val="0"/>
        <w:adjustRightInd w:val="0"/>
        <w:ind w:left="708"/>
        <w:jc w:val="both"/>
        <w:rPr>
          <w:rFonts w:ascii="Palatino Linotype" w:eastAsiaTheme="minorHAnsi" w:hAnsi="Palatino Linotype" w:cs="Calibri"/>
          <w:i/>
          <w:color w:val="000000"/>
          <w:sz w:val="22"/>
          <w:szCs w:val="22"/>
          <w:lang w:val="es-ES" w:eastAsia="en-US"/>
        </w:rPr>
      </w:pPr>
      <w:r w:rsidRPr="001367E5">
        <w:rPr>
          <w:rFonts w:ascii="Palatino Linotype" w:eastAsiaTheme="minorHAnsi" w:hAnsi="Palatino Linotype" w:cs="Calibri"/>
          <w:i/>
          <w:color w:val="000000"/>
          <w:sz w:val="22"/>
          <w:szCs w:val="22"/>
          <w:lang w:val="es-ES" w:eastAsia="en-US"/>
        </w:rPr>
        <w:t xml:space="preserve">No obstante se requiere que el Concejo Metropolitano, en cumplimiento de la sentencia emitida por la Corte Superior de Justicia de Quito, el 07 de diciembre del año 2017, cambie las condiciones del predio N° 5027440 en relación a los parámetros de habilitación del suelo; Lote Mínimo y Frente Mínimo. Adicionalmente dentro del proceso de subdivisión se </w:t>
      </w:r>
      <w:r w:rsidRPr="001367E5">
        <w:rPr>
          <w:rFonts w:ascii="Palatino Linotype" w:eastAsiaTheme="minorHAnsi" w:hAnsi="Palatino Linotype" w:cs="Calibri"/>
          <w:b/>
          <w:bCs/>
          <w:i/>
          <w:color w:val="000000"/>
          <w:sz w:val="22"/>
          <w:szCs w:val="22"/>
          <w:lang w:val="es-ES" w:eastAsia="en-US"/>
        </w:rPr>
        <w:t xml:space="preserve">compensará </w:t>
      </w:r>
      <w:r w:rsidRPr="001367E5">
        <w:rPr>
          <w:rFonts w:ascii="Palatino Linotype" w:eastAsiaTheme="minorHAnsi" w:hAnsi="Palatino Linotype" w:cs="Calibri"/>
          <w:i/>
          <w:color w:val="000000"/>
          <w:sz w:val="22"/>
          <w:szCs w:val="22"/>
          <w:lang w:val="es-ES" w:eastAsia="en-US"/>
        </w:rPr>
        <w:t xml:space="preserve">en valor monetario según el avalúo catastral actualizado, por la contribución del 15 % del área útil adquirida mediante sentencia. </w:t>
      </w:r>
    </w:p>
    <w:p w:rsidR="00DF169C" w:rsidRDefault="00DF169C" w:rsidP="00DF169C">
      <w:pPr>
        <w:pStyle w:val="Default"/>
        <w:ind w:left="708"/>
        <w:jc w:val="both"/>
        <w:rPr>
          <w:rFonts w:cs="Calibri"/>
          <w:i/>
          <w:sz w:val="22"/>
          <w:szCs w:val="22"/>
        </w:rPr>
      </w:pPr>
    </w:p>
    <w:p w:rsidR="00DF169C" w:rsidRPr="001367E5" w:rsidRDefault="00DF169C" w:rsidP="00DF169C">
      <w:pPr>
        <w:pStyle w:val="Default"/>
        <w:ind w:left="708"/>
        <w:jc w:val="both"/>
        <w:rPr>
          <w:rFonts w:cs="Calibri"/>
          <w:i/>
          <w:sz w:val="22"/>
          <w:szCs w:val="22"/>
        </w:rPr>
      </w:pPr>
      <w:r w:rsidRPr="001367E5">
        <w:rPr>
          <w:rFonts w:cs="Calibri"/>
          <w:i/>
          <w:sz w:val="22"/>
          <w:szCs w:val="22"/>
        </w:rPr>
        <w:t>Del Informe de Catastro, con Memorando N° GADDMQ-AZLD-DGT-UC-2021-0158-M del 22 de septiembre del 2021, se determina que el valor por m2 es de USD 1,84, el 15% del área útil (1000,52 m2) adquirida mediante sentencia corresponde a 150,08 m2.</w:t>
      </w:r>
    </w:p>
    <w:p w:rsidR="00DF169C" w:rsidRPr="001367E5" w:rsidRDefault="00DF169C" w:rsidP="00DF169C">
      <w:pPr>
        <w:pStyle w:val="Default"/>
        <w:ind w:left="708"/>
        <w:jc w:val="both"/>
        <w:rPr>
          <w:rFonts w:cs="Calibri"/>
          <w:i/>
          <w:sz w:val="22"/>
          <w:szCs w:val="22"/>
        </w:rPr>
      </w:pPr>
    </w:p>
    <w:p w:rsidR="00DF169C" w:rsidRPr="001367E5" w:rsidRDefault="00DF169C" w:rsidP="00DF169C">
      <w:pPr>
        <w:pStyle w:val="Default"/>
        <w:ind w:left="708"/>
        <w:jc w:val="both"/>
        <w:rPr>
          <w:i/>
          <w:sz w:val="22"/>
          <w:szCs w:val="22"/>
        </w:rPr>
      </w:pPr>
      <w:r w:rsidRPr="001367E5">
        <w:rPr>
          <w:i/>
          <w:sz w:val="22"/>
          <w:szCs w:val="22"/>
        </w:rPr>
        <w:t xml:space="preserve">En base a estos antecedentes, el valor monetario según el avalúo catastral actualizado, por la contribución del 15 % del área útil adquirida mediante sentencia corresponde a </w:t>
      </w:r>
      <w:r w:rsidRPr="001367E5">
        <w:rPr>
          <w:b/>
          <w:bCs/>
          <w:i/>
          <w:sz w:val="22"/>
          <w:szCs w:val="22"/>
        </w:rPr>
        <w:t>USD 276,15</w:t>
      </w:r>
      <w:r w:rsidRPr="001367E5">
        <w:rPr>
          <w:i/>
          <w:sz w:val="22"/>
          <w:szCs w:val="22"/>
        </w:rPr>
        <w:t xml:space="preserve">”.  </w:t>
      </w:r>
    </w:p>
    <w:p w:rsidR="005A184C" w:rsidRDefault="005A184C" w:rsidP="0085024D">
      <w:pPr>
        <w:pStyle w:val="Default"/>
        <w:ind w:left="708" w:hanging="708"/>
        <w:jc w:val="both"/>
        <w:rPr>
          <w:b/>
          <w:sz w:val="22"/>
          <w:szCs w:val="22"/>
        </w:rPr>
      </w:pPr>
    </w:p>
    <w:p w:rsidR="000113AC" w:rsidRPr="00993181" w:rsidRDefault="000113AC" w:rsidP="000113AC">
      <w:pPr>
        <w:pStyle w:val="Default"/>
        <w:ind w:left="708" w:hanging="708"/>
        <w:jc w:val="both"/>
        <w:rPr>
          <w:sz w:val="22"/>
          <w:szCs w:val="22"/>
        </w:rPr>
      </w:pPr>
      <w:r w:rsidRPr="00993181">
        <w:rPr>
          <w:b/>
          <w:sz w:val="22"/>
          <w:szCs w:val="22"/>
        </w:rPr>
        <w:t>Que,</w:t>
      </w:r>
      <w:r w:rsidRPr="00993181">
        <w:rPr>
          <w:sz w:val="22"/>
          <w:szCs w:val="22"/>
        </w:rPr>
        <w:t xml:space="preserve"> mediante oficio GADDMQ-PM-2021-0396-O de 29 de enero de 2021, el Dr. Edison Yépez Vinueza, Subprocurador Metropolitano, señala: </w:t>
      </w:r>
    </w:p>
    <w:p w:rsidR="000113AC" w:rsidRPr="00993181" w:rsidRDefault="000113AC" w:rsidP="000113AC">
      <w:pPr>
        <w:tabs>
          <w:tab w:val="left" w:pos="426"/>
        </w:tabs>
        <w:ind w:left="1416" w:right="566"/>
        <w:jc w:val="both"/>
        <w:rPr>
          <w:rFonts w:ascii="Palatino Linotype" w:hAnsi="Palatino Linotype"/>
          <w:i/>
          <w:sz w:val="22"/>
          <w:szCs w:val="22"/>
        </w:rPr>
      </w:pP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0113AC" w:rsidRPr="00993181" w:rsidRDefault="000113AC" w:rsidP="000113AC">
      <w:pPr>
        <w:tabs>
          <w:tab w:val="left" w:pos="284"/>
        </w:tabs>
        <w:jc w:val="both"/>
        <w:rPr>
          <w:rFonts w:ascii="Palatino Linotype" w:hAnsi="Palatino Linotype"/>
          <w:i/>
          <w:sz w:val="22"/>
          <w:szCs w:val="22"/>
        </w:rPr>
      </w:pPr>
    </w:p>
    <w:p w:rsidR="000F0D3B" w:rsidRPr="005B0F99" w:rsidRDefault="000113AC" w:rsidP="000F0D3B">
      <w:pPr>
        <w:pStyle w:val="Default"/>
        <w:ind w:left="708" w:hanging="708"/>
        <w:jc w:val="both"/>
        <w:rPr>
          <w:sz w:val="22"/>
          <w:szCs w:val="22"/>
        </w:rPr>
      </w:pPr>
      <w:r w:rsidRPr="004A0BE9">
        <w:rPr>
          <w:b/>
          <w:sz w:val="22"/>
          <w:szCs w:val="22"/>
        </w:rPr>
        <w:t>Que,</w:t>
      </w:r>
      <w:r w:rsidRPr="00993181">
        <w:rPr>
          <w:sz w:val="22"/>
          <w:szCs w:val="22"/>
        </w:rPr>
        <w:t xml:space="preserve"> </w:t>
      </w:r>
      <w:r w:rsidR="000F0D3B">
        <w:rPr>
          <w:sz w:val="22"/>
          <w:szCs w:val="22"/>
        </w:rPr>
        <w:t>m</w:t>
      </w:r>
      <w:r w:rsidR="000F0D3B" w:rsidRPr="005F3A16">
        <w:rPr>
          <w:sz w:val="22"/>
          <w:szCs w:val="22"/>
        </w:rPr>
        <w:t xml:space="preserve">ediante </w:t>
      </w:r>
      <w:r w:rsidR="000F0D3B">
        <w:rPr>
          <w:sz w:val="22"/>
          <w:szCs w:val="22"/>
        </w:rPr>
        <w:t xml:space="preserve">informe legal Nro. </w:t>
      </w:r>
      <w:r w:rsidR="000F0D3B" w:rsidRPr="00087669">
        <w:rPr>
          <w:sz w:val="22"/>
          <w:szCs w:val="22"/>
        </w:rPr>
        <w:t xml:space="preserve">DJ-AZLD-070-2021 </w:t>
      </w:r>
      <w:r w:rsidR="000F0D3B" w:rsidRPr="005B0F99">
        <w:rPr>
          <w:sz w:val="22"/>
          <w:szCs w:val="22"/>
        </w:rPr>
        <w:t xml:space="preserve">de </w:t>
      </w:r>
      <w:r w:rsidR="000F0D3B">
        <w:rPr>
          <w:sz w:val="22"/>
          <w:szCs w:val="22"/>
        </w:rPr>
        <w:t xml:space="preserve">13 </w:t>
      </w:r>
      <w:r w:rsidR="000F0D3B" w:rsidRPr="005B0F99">
        <w:rPr>
          <w:sz w:val="22"/>
          <w:szCs w:val="22"/>
        </w:rPr>
        <w:t xml:space="preserve">de </w:t>
      </w:r>
      <w:r w:rsidR="000F0D3B">
        <w:rPr>
          <w:sz w:val="22"/>
          <w:szCs w:val="22"/>
        </w:rPr>
        <w:t xml:space="preserve">abril </w:t>
      </w:r>
      <w:r w:rsidR="000F0D3B" w:rsidRPr="005B0F99">
        <w:rPr>
          <w:sz w:val="22"/>
          <w:szCs w:val="22"/>
        </w:rPr>
        <w:t xml:space="preserve">de 2021, el </w:t>
      </w:r>
      <w:r w:rsidR="000F0D3B">
        <w:rPr>
          <w:sz w:val="22"/>
          <w:szCs w:val="22"/>
        </w:rPr>
        <w:t>Dr</w:t>
      </w:r>
      <w:r w:rsidR="000F0D3B" w:rsidRPr="005B0F99">
        <w:rPr>
          <w:sz w:val="22"/>
          <w:szCs w:val="22"/>
        </w:rPr>
        <w:t xml:space="preserve">. </w:t>
      </w:r>
      <w:r w:rsidR="000F0D3B">
        <w:rPr>
          <w:sz w:val="22"/>
          <w:szCs w:val="22"/>
        </w:rPr>
        <w:t>Byron Flores López</w:t>
      </w:r>
      <w:r w:rsidR="000F0D3B" w:rsidRPr="005B0F99">
        <w:rPr>
          <w:sz w:val="22"/>
          <w:szCs w:val="22"/>
        </w:rPr>
        <w:t>, Director Jurídico de la Administración Zonal La Delicia, señala:</w:t>
      </w:r>
    </w:p>
    <w:p w:rsidR="000F0D3B" w:rsidRDefault="000F0D3B" w:rsidP="000F0D3B">
      <w:pPr>
        <w:pStyle w:val="Default"/>
        <w:jc w:val="both"/>
        <w:rPr>
          <w:sz w:val="22"/>
          <w:szCs w:val="22"/>
        </w:rPr>
      </w:pPr>
    </w:p>
    <w:p w:rsidR="000F0D3B" w:rsidRPr="00AB7828" w:rsidRDefault="000F0D3B" w:rsidP="000F0D3B">
      <w:pPr>
        <w:tabs>
          <w:tab w:val="left" w:pos="284"/>
        </w:tabs>
        <w:ind w:left="708"/>
        <w:jc w:val="both"/>
        <w:rPr>
          <w:rFonts w:ascii="Palatino Linotype" w:hAnsi="Palatino Linotype"/>
          <w:i/>
          <w:sz w:val="22"/>
          <w:szCs w:val="22"/>
        </w:rPr>
      </w:pPr>
      <w:r w:rsidRPr="00881D14">
        <w:rPr>
          <w:rFonts w:ascii="Palatino Linotype" w:hAnsi="Palatino Linotype"/>
          <w:i/>
          <w:sz w:val="22"/>
          <w:szCs w:val="22"/>
        </w:rPr>
        <w:lastRenderedPageBreak/>
        <w:t>“(…)</w:t>
      </w:r>
      <w:r>
        <w:rPr>
          <w:rFonts w:ascii="Palatino Linotype" w:hAnsi="Palatino Linotype"/>
          <w:i/>
          <w:sz w:val="22"/>
          <w:szCs w:val="22"/>
        </w:rPr>
        <w:t xml:space="preserve"> </w:t>
      </w:r>
      <w:r w:rsidRPr="00AB7828">
        <w:rPr>
          <w:rFonts w:ascii="Palatino Linotype" w:hAnsi="Palatino Linotype"/>
          <w:i/>
          <w:sz w:val="22"/>
          <w:szCs w:val="22"/>
        </w:rPr>
        <w:t>De acuerdo a los antecedentes expuestos la sentencia de prescripción adquisitiva de dominio en el presente caso se enmarca en el escenario B, y escenario B.2.1, descrito en el Pronunciamiento de Procuraduría Metropolitana; bajo ese contexto al ser el fraccionamiento inferior a 3000.00 m2, de conformidad a lo estipulado en el artículo 424 reformado del Código Orgánico de Organización Territorial, Autonomía y Descentralización, se debe considerar la compensación en valor monetario, según el avalúo catastral actualizado; y, por tratarse de una prescripción parcial que no cumple con los parámetros de habilitación vigentes, el expediente debe ser remitido al Concejo Metropolitano, para que se proceda conforme lo establecido en el Artículo IV: 1.79 de la Ordenanza Metropolitana No. 001, que contiene al Código Municipal del Distrito Metropolitano de Quito.</w:t>
      </w:r>
      <w:r w:rsidRPr="00881D14">
        <w:rPr>
          <w:rFonts w:ascii="Palatino Linotype" w:hAnsi="Palatino Linotype"/>
          <w:i/>
          <w:sz w:val="22"/>
          <w:szCs w:val="22"/>
        </w:rPr>
        <w:t>”.</w:t>
      </w:r>
    </w:p>
    <w:p w:rsidR="005168D0" w:rsidRPr="00803B5D" w:rsidRDefault="005168D0" w:rsidP="000F0D3B">
      <w:pPr>
        <w:pStyle w:val="Default"/>
        <w:ind w:left="708" w:hanging="708"/>
        <w:jc w:val="both"/>
        <w:rPr>
          <w:b/>
          <w:i/>
          <w:sz w:val="22"/>
          <w:szCs w:val="22"/>
        </w:rPr>
      </w:pPr>
    </w:p>
    <w:p w:rsidR="009906BE" w:rsidRPr="005B0F99" w:rsidRDefault="009C7AA1" w:rsidP="009906BE">
      <w:pPr>
        <w:pStyle w:val="Default"/>
        <w:ind w:left="708" w:hanging="708"/>
        <w:jc w:val="both"/>
        <w:rPr>
          <w:sz w:val="22"/>
          <w:szCs w:val="22"/>
        </w:rPr>
      </w:pPr>
      <w:r>
        <w:rPr>
          <w:b/>
          <w:sz w:val="22"/>
          <w:szCs w:val="22"/>
        </w:rPr>
        <w:t xml:space="preserve">Que, </w:t>
      </w:r>
      <w:r w:rsidR="009906BE">
        <w:rPr>
          <w:sz w:val="22"/>
          <w:szCs w:val="22"/>
        </w:rPr>
        <w:t>m</w:t>
      </w:r>
      <w:r w:rsidR="009906BE" w:rsidRPr="005F3A16">
        <w:rPr>
          <w:sz w:val="22"/>
          <w:szCs w:val="22"/>
        </w:rPr>
        <w:t xml:space="preserve">ediante </w:t>
      </w:r>
      <w:r w:rsidR="009906BE">
        <w:rPr>
          <w:sz w:val="22"/>
          <w:szCs w:val="22"/>
        </w:rPr>
        <w:t xml:space="preserve">informe legal Nro. </w:t>
      </w:r>
      <w:r w:rsidR="009906BE" w:rsidRPr="000F34D1">
        <w:rPr>
          <w:sz w:val="22"/>
          <w:szCs w:val="22"/>
        </w:rPr>
        <w:t>DJ-AZLD-166-2021</w:t>
      </w:r>
      <w:r w:rsidR="009906BE" w:rsidRPr="00087669">
        <w:rPr>
          <w:sz w:val="22"/>
          <w:szCs w:val="22"/>
        </w:rPr>
        <w:t xml:space="preserve"> </w:t>
      </w:r>
      <w:r w:rsidR="009906BE" w:rsidRPr="005B0F99">
        <w:rPr>
          <w:sz w:val="22"/>
          <w:szCs w:val="22"/>
        </w:rPr>
        <w:t xml:space="preserve">de </w:t>
      </w:r>
      <w:r w:rsidR="009906BE">
        <w:rPr>
          <w:sz w:val="22"/>
          <w:szCs w:val="22"/>
        </w:rPr>
        <w:t xml:space="preserve">03 </w:t>
      </w:r>
      <w:r w:rsidR="009906BE" w:rsidRPr="005B0F99">
        <w:rPr>
          <w:sz w:val="22"/>
          <w:szCs w:val="22"/>
        </w:rPr>
        <w:t xml:space="preserve">de </w:t>
      </w:r>
      <w:r w:rsidR="009906BE">
        <w:rPr>
          <w:sz w:val="22"/>
          <w:szCs w:val="22"/>
        </w:rPr>
        <w:t xml:space="preserve">diciembre </w:t>
      </w:r>
      <w:r w:rsidR="009906BE" w:rsidRPr="005B0F99">
        <w:rPr>
          <w:sz w:val="22"/>
          <w:szCs w:val="22"/>
        </w:rPr>
        <w:t xml:space="preserve">de 2021, el </w:t>
      </w:r>
      <w:r w:rsidR="009906BE">
        <w:rPr>
          <w:sz w:val="22"/>
          <w:szCs w:val="22"/>
        </w:rPr>
        <w:t>Abg</w:t>
      </w:r>
      <w:r w:rsidR="009906BE" w:rsidRPr="005B0F99">
        <w:rPr>
          <w:sz w:val="22"/>
          <w:szCs w:val="22"/>
        </w:rPr>
        <w:t xml:space="preserve">. </w:t>
      </w:r>
      <w:r w:rsidR="009906BE">
        <w:rPr>
          <w:sz w:val="22"/>
          <w:szCs w:val="22"/>
        </w:rPr>
        <w:t>Santiago Rodríguez</w:t>
      </w:r>
      <w:r w:rsidR="009906BE" w:rsidRPr="005B0F99">
        <w:rPr>
          <w:sz w:val="22"/>
          <w:szCs w:val="22"/>
        </w:rPr>
        <w:t>, Director Jurídico de la Administración Zonal La Delicia, señala:</w:t>
      </w:r>
    </w:p>
    <w:p w:rsidR="009906BE" w:rsidRDefault="009906BE" w:rsidP="009906BE">
      <w:pPr>
        <w:pStyle w:val="Default"/>
        <w:jc w:val="both"/>
        <w:rPr>
          <w:sz w:val="22"/>
          <w:szCs w:val="22"/>
        </w:rPr>
      </w:pPr>
    </w:p>
    <w:p w:rsidR="009906BE" w:rsidRPr="008B31D4" w:rsidRDefault="009906BE" w:rsidP="009906BE">
      <w:pPr>
        <w:tabs>
          <w:tab w:val="left" w:pos="284"/>
        </w:tabs>
        <w:ind w:left="708"/>
        <w:jc w:val="both"/>
        <w:rPr>
          <w:rFonts w:ascii="Palatino Linotype" w:hAnsi="Palatino Linotype"/>
          <w:i/>
          <w:sz w:val="22"/>
          <w:szCs w:val="22"/>
        </w:rPr>
      </w:pPr>
      <w:r w:rsidRPr="008B31D4">
        <w:rPr>
          <w:rFonts w:ascii="Palatino Linotype" w:hAnsi="Palatino Linotype"/>
          <w:i/>
          <w:sz w:val="22"/>
          <w:szCs w:val="22"/>
        </w:rPr>
        <w:t>“(…)De acuerdo a los antecedentes expuestos la sentencia de prescripción adquisitiva de dominio en el presente caso se enmarca en el escenario B, y escenario B.2.1, descrito en el Pronunciamiento de Procuraduría Metropolitana; bajo ese contexto al ser el fraccionamiento inferior a 3000.00 m2, de conformidad a lo estipulado en el artículo 424 reformado del Código Orgánico de Organización Territorial, Autonomía y Descentralización, se debe considerar la compensación en valor monetario, según el avalúo catastral actualizado; en el presente caso de conformidad al Informe Técnico No. No. 060-UZGT-2021 de 24 de septiembre de 2021, el valor monetario corresponde a USD 276,15(Doscientos setenta y seis dólares de los Estados Unidos de América con 15/100); por tratarse de una prescripción parcial que no cumple con los parámetros de habilitación vigentes, el expediente debe ser remitido al Concejo Metropolitano, para que se proceda conforme lo establecido en el Artículo 2171 de la Ordenanza Metropolitana No. 001, que contiene al Código Municipal del Distrito Metropolitano de Quito”.</w:t>
      </w:r>
    </w:p>
    <w:p w:rsidR="00694D54" w:rsidRPr="004A0BE9" w:rsidRDefault="00694D54" w:rsidP="009906BE">
      <w:pPr>
        <w:pStyle w:val="Textodeglobo"/>
        <w:jc w:val="both"/>
        <w:rPr>
          <w:b/>
          <w:sz w:val="22"/>
          <w:szCs w:val="22"/>
        </w:rPr>
      </w:pPr>
    </w:p>
    <w:p w:rsidR="000113AC" w:rsidRPr="00993181" w:rsidRDefault="000113AC" w:rsidP="000113AC">
      <w:pPr>
        <w:pStyle w:val="Default"/>
        <w:ind w:left="708" w:hanging="708"/>
        <w:jc w:val="both"/>
        <w:rPr>
          <w:sz w:val="22"/>
          <w:szCs w:val="22"/>
        </w:rPr>
      </w:pPr>
      <w:r w:rsidRPr="004A0BE9">
        <w:rPr>
          <w:b/>
          <w:sz w:val="22"/>
          <w:szCs w:val="22"/>
        </w:rPr>
        <w:t xml:space="preserve">Que, </w:t>
      </w:r>
      <w:r w:rsidRPr="00993181">
        <w:rPr>
          <w:sz w:val="22"/>
          <w:szCs w:val="22"/>
        </w:rPr>
        <w:tab/>
        <w:t>la Comisión de Uso de Su</w:t>
      </w:r>
      <w:r w:rsidR="00C31F94">
        <w:rPr>
          <w:sz w:val="22"/>
          <w:szCs w:val="22"/>
        </w:rPr>
        <w:t>elo en sesión ordinaria Nro. 125</w:t>
      </w:r>
      <w:r w:rsidRPr="00993181">
        <w:rPr>
          <w:sz w:val="22"/>
          <w:szCs w:val="22"/>
        </w:rPr>
        <w:t xml:space="preserve">, de </w:t>
      </w:r>
      <w:r w:rsidR="00C31F94">
        <w:rPr>
          <w:sz w:val="22"/>
          <w:szCs w:val="22"/>
        </w:rPr>
        <w:t xml:space="preserve">20 </w:t>
      </w:r>
      <w:r w:rsidRPr="00993181">
        <w:rPr>
          <w:sz w:val="22"/>
          <w:szCs w:val="22"/>
        </w:rPr>
        <w:t xml:space="preserve">de diciembre de 2021,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7A32EC">
        <w:rPr>
          <w:rFonts w:ascii="Palatino Linotype" w:eastAsiaTheme="minorHAnsi" w:hAnsi="Palatino Linotype"/>
          <w:sz w:val="22"/>
          <w:szCs w:val="22"/>
          <w:lang w:eastAsia="en-US"/>
        </w:rPr>
        <w:t>1-</w:t>
      </w:r>
      <w:r w:rsidR="00C31F94">
        <w:rPr>
          <w:rFonts w:ascii="Palatino Linotype" w:eastAsiaTheme="minorHAnsi" w:hAnsi="Palatino Linotype"/>
          <w:sz w:val="22"/>
          <w:szCs w:val="22"/>
          <w:lang w:eastAsia="en-US"/>
        </w:rPr>
        <w:t>102</w:t>
      </w:r>
      <w:r w:rsidRPr="00993181">
        <w:rPr>
          <w:rFonts w:ascii="Palatino Linotype" w:eastAsiaTheme="minorHAnsi" w:hAnsi="Palatino Linotype"/>
          <w:sz w:val="22"/>
          <w:szCs w:val="22"/>
          <w:lang w:eastAsia="en-US"/>
        </w:rPr>
        <w:t xml:space="preserve">, emitido por la Comisión de Uso de Suelo;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0113AC" w:rsidRPr="00993181" w:rsidRDefault="000113AC" w:rsidP="000113AC">
      <w:pPr>
        <w:autoSpaceDE w:val="0"/>
        <w:autoSpaceDN w:val="0"/>
        <w:adjustRightInd w:val="0"/>
        <w:spacing w:line="276" w:lineRule="auto"/>
        <w:jc w:val="center"/>
        <w:rPr>
          <w:rFonts w:ascii="Palatino Linotype" w:hAnsi="Palatino Linotype"/>
          <w:sz w:val="22"/>
          <w:szCs w:val="22"/>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Acoger el informe Nro. IC-CUS-2021-</w:t>
      </w:r>
      <w:r w:rsidR="000350C3">
        <w:rPr>
          <w:rFonts w:ascii="Palatino Linotype" w:eastAsiaTheme="minorHAnsi" w:hAnsi="Palatino Linotype"/>
          <w:sz w:val="22"/>
          <w:szCs w:val="22"/>
          <w:lang w:eastAsia="en-US"/>
        </w:rPr>
        <w:t>102</w:t>
      </w:r>
      <w:r w:rsidRPr="00993181">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0350C3" w:rsidRPr="00704417">
        <w:rPr>
          <w:rFonts w:ascii="Palatino Linotype" w:eastAsiaTheme="minorHAnsi" w:hAnsi="Palatino Linotype"/>
          <w:sz w:val="22"/>
          <w:szCs w:val="22"/>
          <w:lang w:eastAsia="en-US"/>
        </w:rPr>
        <w:t>los señores Galo José Llamuca Lara y Judith Socorro Chávez Lara</w:t>
      </w:r>
      <w:r w:rsidRPr="00704417">
        <w:rPr>
          <w:rFonts w:ascii="Palatino Linotype" w:eastAsiaTheme="minorHAnsi" w:hAnsi="Palatino Linotype"/>
          <w:sz w:val="22"/>
          <w:szCs w:val="22"/>
          <w:lang w:eastAsia="en-US"/>
        </w:rPr>
        <w:t>,</w:t>
      </w:r>
      <w:r w:rsidRPr="00993181">
        <w:rPr>
          <w:rFonts w:ascii="Palatino Linotype" w:eastAsiaTheme="minorHAnsi" w:hAnsi="Palatino Linotype"/>
          <w:sz w:val="22"/>
          <w:szCs w:val="22"/>
          <w:lang w:eastAsia="en-US"/>
        </w:rPr>
        <w:t xml:space="preserve"> deberá</w:t>
      </w:r>
      <w:r w:rsidR="000350C3">
        <w:rPr>
          <w:rFonts w:ascii="Palatino Linotype" w:eastAsiaTheme="minorHAnsi" w:hAnsi="Palatino Linotype"/>
          <w:sz w:val="22"/>
          <w:szCs w:val="22"/>
          <w:lang w:eastAsia="en-US"/>
        </w:rPr>
        <w:t>n</w:t>
      </w:r>
      <w:r w:rsidRPr="00993181">
        <w:rPr>
          <w:rFonts w:ascii="Palatino Linotype" w:eastAsiaTheme="minorHAnsi" w:hAnsi="Palatino Linotype"/>
          <w:sz w:val="22"/>
          <w:szCs w:val="22"/>
          <w:lang w:eastAsia="en-US"/>
        </w:rPr>
        <w:t xml:space="preserve"> compensar en valor monetario, la contribución del 15% del área útil adjudicada, que, de acuerdo al cálculo realizado por la Administración Zonal, corresponde al valor de </w:t>
      </w:r>
      <w:r w:rsidR="00F7765D" w:rsidRPr="00704417">
        <w:rPr>
          <w:rFonts w:ascii="Palatino Linotype" w:eastAsiaTheme="minorHAnsi" w:hAnsi="Palatino Linotype"/>
          <w:sz w:val="22"/>
          <w:szCs w:val="22"/>
          <w:lang w:eastAsia="en-US"/>
        </w:rPr>
        <w:t xml:space="preserve">$ </w:t>
      </w:r>
      <w:r w:rsidR="00704417" w:rsidRPr="00704417">
        <w:rPr>
          <w:rFonts w:ascii="Palatino Linotype" w:eastAsiaTheme="minorHAnsi" w:hAnsi="Palatino Linotype"/>
          <w:sz w:val="22"/>
          <w:szCs w:val="22"/>
          <w:lang w:eastAsia="en-US"/>
        </w:rPr>
        <w:t xml:space="preserve">276,15 </w:t>
      </w:r>
      <w:r w:rsidRPr="00993181">
        <w:rPr>
          <w:rFonts w:ascii="Palatino Linotype" w:eastAsiaTheme="minorHAnsi" w:hAnsi="Palatino Linotype"/>
          <w:sz w:val="22"/>
          <w:szCs w:val="22"/>
          <w:lang w:eastAsia="en-US"/>
        </w:rPr>
        <w:t xml:space="preserve">dólares.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 xml:space="preserve">Artículo 2.- </w:t>
      </w:r>
      <w:r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993181"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sz w:val="22"/>
          <w:szCs w:val="22"/>
        </w:rPr>
        <w:t xml:space="preserve">Dada en la sesión del Concejo Metropolitano de Quito, el ……….. </w:t>
      </w:r>
    </w:p>
    <w:p w:rsidR="000113AC" w:rsidRPr="00993181" w:rsidRDefault="000113AC" w:rsidP="000113AC">
      <w:pPr>
        <w:spacing w:line="276" w:lineRule="auto"/>
        <w:ind w:left="-5"/>
        <w:jc w:val="both"/>
        <w:rPr>
          <w:rFonts w:ascii="Palatino Linotype" w:hAnsi="Palatino Linotype"/>
          <w:sz w:val="22"/>
          <w:szCs w:val="22"/>
        </w:rPr>
      </w:pPr>
    </w:p>
    <w:p w:rsidR="000113AC" w:rsidRPr="00993181" w:rsidRDefault="000113AC" w:rsidP="000113AC">
      <w:pPr>
        <w:spacing w:line="276" w:lineRule="auto"/>
        <w:ind w:left="-5" w:right="-143"/>
        <w:jc w:val="both"/>
        <w:rPr>
          <w:rFonts w:ascii="Palatino Linotype" w:hAnsi="Palatino Linotype"/>
          <w:sz w:val="22"/>
          <w:szCs w:val="22"/>
        </w:rPr>
      </w:pPr>
      <w:r w:rsidRPr="00993181">
        <w:rPr>
          <w:rFonts w:ascii="Palatino Linotype" w:hAnsi="Palatino Linotype"/>
          <w:b/>
          <w:sz w:val="22"/>
          <w:szCs w:val="22"/>
        </w:rPr>
        <w:t xml:space="preserve">Alcaldía del Distrito Metropolitano. - </w:t>
      </w:r>
      <w:r w:rsidRPr="00993181">
        <w:rPr>
          <w:rFonts w:ascii="Palatino Linotype" w:hAnsi="Palatino Linotype"/>
          <w:sz w:val="22"/>
          <w:szCs w:val="22"/>
        </w:rPr>
        <w:t>Distrito Metropolitano de Quito, ………..</w:t>
      </w:r>
    </w:p>
    <w:p w:rsidR="000113AC" w:rsidRPr="00993181" w:rsidRDefault="000113AC" w:rsidP="000113AC">
      <w:pPr>
        <w:spacing w:line="276" w:lineRule="auto"/>
        <w:jc w:val="both"/>
        <w:rPr>
          <w:rFonts w:ascii="Palatino Linotype" w:hAnsi="Palatino Linotype"/>
          <w:sz w:val="22"/>
          <w:szCs w:val="22"/>
        </w:rPr>
      </w:pP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b/>
          <w:sz w:val="22"/>
          <w:szCs w:val="22"/>
        </w:rPr>
        <w:t>EJECÚTESE:</w:t>
      </w: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r w:rsidRPr="00993181">
        <w:rPr>
          <w:rFonts w:ascii="Palatino Linotype" w:hAnsi="Palatino Linotype"/>
          <w:sz w:val="22"/>
          <w:szCs w:val="22"/>
        </w:rPr>
        <w:t>Dr. Santiago Guarderas Izquierdo</w:t>
      </w:r>
    </w:p>
    <w:p w:rsidR="000113AC" w:rsidRPr="00993181"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993181">
        <w:rPr>
          <w:rFonts w:ascii="Palatino Linotype" w:eastAsia="Palatino Linotype" w:hAnsi="Palatino Linotype" w:cs="Palatino Linotype"/>
          <w:b/>
          <w:color w:val="000000"/>
          <w:sz w:val="22"/>
          <w:szCs w:val="22"/>
          <w:lang w:eastAsia="es-EC"/>
        </w:rPr>
        <w:t>ALCALDE DEL DISTRITO METROPOLITANO DE QUITO</w:t>
      </w:r>
    </w:p>
    <w:p w:rsidR="000113AC" w:rsidRPr="00993181" w:rsidRDefault="000113AC" w:rsidP="000113AC">
      <w:pPr>
        <w:spacing w:line="276" w:lineRule="auto"/>
        <w:jc w:val="center"/>
        <w:rPr>
          <w:rFonts w:ascii="Palatino Linotype" w:hAnsi="Palatino Linotype"/>
          <w:sz w:val="22"/>
          <w:szCs w:val="22"/>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b/>
          <w:sz w:val="22"/>
          <w:szCs w:val="22"/>
        </w:rPr>
        <w:lastRenderedPageBreak/>
        <w:t>CERTIFICO,</w:t>
      </w:r>
      <w:r w:rsidRPr="00993181">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993181" w:rsidRDefault="000113AC" w:rsidP="000113AC">
      <w:pPr>
        <w:spacing w:line="276" w:lineRule="auto"/>
        <w:jc w:val="both"/>
        <w:rPr>
          <w:rFonts w:ascii="Palatino Linotype" w:hAnsi="Palatino Linotype"/>
          <w:sz w:val="22"/>
          <w:szCs w:val="22"/>
        </w:rPr>
      </w:pPr>
      <w:r w:rsidRPr="00993181">
        <w:rPr>
          <w:rFonts w:ascii="Palatino Linotype" w:hAnsi="Palatino Linotype"/>
          <w:b/>
          <w:sz w:val="22"/>
          <w:szCs w:val="22"/>
        </w:rPr>
        <w:t xml:space="preserve"> </w:t>
      </w:r>
    </w:p>
    <w:p w:rsidR="000113AC" w:rsidRPr="00993181" w:rsidRDefault="000113AC" w:rsidP="000113AC">
      <w:pPr>
        <w:spacing w:line="276" w:lineRule="auto"/>
        <w:ind w:left="-5"/>
        <w:jc w:val="both"/>
        <w:rPr>
          <w:rFonts w:ascii="Palatino Linotype" w:hAnsi="Palatino Linotype"/>
          <w:sz w:val="22"/>
          <w:szCs w:val="22"/>
          <w:highlight w:val="yellow"/>
        </w:rPr>
      </w:pPr>
      <w:r w:rsidRPr="00993181">
        <w:rPr>
          <w:rFonts w:ascii="Palatino Linotype" w:hAnsi="Palatino Linotype"/>
          <w:b/>
          <w:sz w:val="22"/>
          <w:szCs w:val="22"/>
        </w:rPr>
        <w:t xml:space="preserve">Lo certifico. - </w:t>
      </w:r>
      <w:r w:rsidR="00754E1F">
        <w:rPr>
          <w:rFonts w:ascii="Palatino Linotype" w:hAnsi="Palatino Linotype"/>
          <w:sz w:val="22"/>
          <w:szCs w:val="22"/>
        </w:rPr>
        <w:t>Distrito Metropolitano de Quito</w:t>
      </w:r>
      <w:r w:rsidRPr="00993181">
        <w:rPr>
          <w:rFonts w:ascii="Palatino Linotype" w:hAnsi="Palatino Linotype"/>
          <w:sz w:val="22"/>
          <w:szCs w:val="22"/>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sz w:val="22"/>
          <w:szCs w:val="22"/>
        </w:rPr>
        <w:t>Abg. Pablo Santillán Paredes</w:t>
      </w:r>
    </w:p>
    <w:p w:rsidR="000113AC" w:rsidRPr="00993181" w:rsidRDefault="000113AC" w:rsidP="000113AC">
      <w:pPr>
        <w:spacing w:line="276" w:lineRule="auto"/>
        <w:jc w:val="center"/>
        <w:rPr>
          <w:rFonts w:ascii="Palatino Linotype" w:eastAsia="Calibri" w:hAnsi="Palatino Linotype"/>
          <w:b/>
          <w:sz w:val="22"/>
          <w:szCs w:val="22"/>
          <w:lang w:eastAsia="en-US"/>
        </w:rPr>
      </w:pPr>
      <w:r w:rsidRPr="00993181">
        <w:rPr>
          <w:rFonts w:ascii="Palatino Linotype" w:eastAsia="Calibri" w:hAnsi="Palatino Linotype"/>
          <w:b/>
          <w:sz w:val="22"/>
          <w:szCs w:val="22"/>
          <w:lang w:eastAsia="en-US"/>
        </w:rPr>
        <w:t>SECRETARIO GENERAL DEL CONCEJO METROPOLITANO DE QUITO</w:t>
      </w:r>
    </w:p>
    <w:p w:rsidR="000113AC" w:rsidRPr="00993181" w:rsidRDefault="000113AC" w:rsidP="000113AC">
      <w:pPr>
        <w:pStyle w:val="Sinespaciado"/>
        <w:jc w:val="center"/>
        <w:rPr>
          <w:rFonts w:ascii="Palatino Linotype" w:hAnsi="Palatino Linotype"/>
          <w:b/>
          <w:sz w:val="22"/>
          <w:szCs w:val="22"/>
        </w:rPr>
      </w:pPr>
    </w:p>
    <w:p w:rsidR="000113AC" w:rsidRPr="00993181" w:rsidRDefault="000113AC" w:rsidP="000113AC">
      <w:pPr>
        <w:rPr>
          <w:rFonts w:ascii="Palatino Linotype" w:hAnsi="Palatino Linotype"/>
          <w:sz w:val="22"/>
          <w:szCs w:val="22"/>
        </w:rPr>
      </w:pPr>
    </w:p>
    <w:p w:rsidR="000113AC" w:rsidRPr="006231E1" w:rsidRDefault="000113AC" w:rsidP="000113AC"/>
    <w:p w:rsidR="00A70E2E" w:rsidRDefault="00A70E2E"/>
    <w:sectPr w:rsidR="00A70E2E"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7D" w:rsidRDefault="00C17F7D">
      <w:r>
        <w:separator/>
      </w:r>
    </w:p>
  </w:endnote>
  <w:endnote w:type="continuationSeparator" w:id="0">
    <w:p w:rsidR="00C17F7D" w:rsidRDefault="00C1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AA301D">
              <w:rPr>
                <w:rFonts w:ascii="Palatino Linotype" w:hAnsi="Palatino Linotype"/>
                <w:b/>
                <w:bCs/>
                <w:noProof/>
                <w:sz w:val="20"/>
                <w:szCs w:val="20"/>
              </w:rPr>
              <w:t>4</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AA301D">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C17F7D">
            <w:pPr>
              <w:pStyle w:val="Piedepgina"/>
              <w:jc w:val="right"/>
              <w:rPr>
                <w:rFonts w:ascii="Palatino Linotype" w:hAnsi="Palatino Linotype"/>
                <w:sz w:val="20"/>
                <w:szCs w:val="20"/>
              </w:rPr>
            </w:pPr>
          </w:p>
        </w:sdtContent>
      </w:sdt>
    </w:sdtContent>
  </w:sdt>
  <w:p w:rsidR="005D2467" w:rsidRPr="008479FB" w:rsidRDefault="00C17F7D">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7D" w:rsidRDefault="00C17F7D">
      <w:r>
        <w:separator/>
      </w:r>
    </w:p>
  </w:footnote>
  <w:footnote w:type="continuationSeparator" w:id="0">
    <w:p w:rsidR="00C17F7D" w:rsidRDefault="00C17F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C17F7D"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C17F7D"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C17F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113AC"/>
    <w:rsid w:val="000320FA"/>
    <w:rsid w:val="000350C3"/>
    <w:rsid w:val="000F0D3B"/>
    <w:rsid w:val="001F18A5"/>
    <w:rsid w:val="003057C1"/>
    <w:rsid w:val="00311483"/>
    <w:rsid w:val="00372B0E"/>
    <w:rsid w:val="00462DF6"/>
    <w:rsid w:val="0049515C"/>
    <w:rsid w:val="005168D0"/>
    <w:rsid w:val="005839EA"/>
    <w:rsid w:val="005A184C"/>
    <w:rsid w:val="005D7A61"/>
    <w:rsid w:val="0060538D"/>
    <w:rsid w:val="00630C41"/>
    <w:rsid w:val="00694D54"/>
    <w:rsid w:val="006F2BAD"/>
    <w:rsid w:val="00704417"/>
    <w:rsid w:val="00754E1F"/>
    <w:rsid w:val="00757FA6"/>
    <w:rsid w:val="007A32EC"/>
    <w:rsid w:val="0085024D"/>
    <w:rsid w:val="008532E8"/>
    <w:rsid w:val="009906BE"/>
    <w:rsid w:val="009C7AA1"/>
    <w:rsid w:val="009D3508"/>
    <w:rsid w:val="00A43B85"/>
    <w:rsid w:val="00A666D4"/>
    <w:rsid w:val="00A70E2E"/>
    <w:rsid w:val="00AA301D"/>
    <w:rsid w:val="00C17F7D"/>
    <w:rsid w:val="00C31F94"/>
    <w:rsid w:val="00C70B8C"/>
    <w:rsid w:val="00CD56D1"/>
    <w:rsid w:val="00DC7143"/>
    <w:rsid w:val="00DF169C"/>
    <w:rsid w:val="00DF190B"/>
    <w:rsid w:val="00EA3F70"/>
    <w:rsid w:val="00EB28B4"/>
    <w:rsid w:val="00ED0FE0"/>
    <w:rsid w:val="00F23370"/>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7A40"/>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2732</Words>
  <Characters>15029</Characters>
  <Application>Microsoft Office Word</Application>
  <DocSecurity>0</DocSecurity>
  <Lines>125</Lines>
  <Paragraphs>35</Paragraphs>
  <ScaleCrop>false</ScaleCrop>
  <Company>HP Inc.</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45</cp:revision>
  <dcterms:created xsi:type="dcterms:W3CDTF">2022-08-17T20:37:00Z</dcterms:created>
  <dcterms:modified xsi:type="dcterms:W3CDTF">2022-08-18T13:27:00Z</dcterms:modified>
</cp:coreProperties>
</file>