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C8C" w14:textId="77777777" w:rsidR="0023256B" w:rsidRDefault="0093390E">
      <w:pPr>
        <w:shd w:val="clear" w:color="auto" w:fill="000000"/>
        <w:spacing w:after="0" w:line="259" w:lineRule="auto"/>
        <w:ind w:left="100" w:right="132" w:firstLine="0"/>
        <w:jc w:val="center"/>
      </w:pPr>
      <w:r>
        <w:rPr>
          <w:color w:val="FFFFFF"/>
          <w:sz w:val="44"/>
        </w:rPr>
        <w:t xml:space="preserve">ANEXO NO. 3 </w:t>
      </w:r>
    </w:p>
    <w:p w14:paraId="7D391689" w14:textId="77777777" w:rsidR="0023256B" w:rsidRDefault="0093390E">
      <w:pPr>
        <w:shd w:val="clear" w:color="auto" w:fill="000000"/>
        <w:spacing w:after="0" w:line="259" w:lineRule="auto"/>
        <w:ind w:left="100" w:right="132" w:firstLine="0"/>
        <w:jc w:val="right"/>
      </w:pPr>
      <w:r>
        <w:rPr>
          <w:sz w:val="20"/>
        </w:rPr>
        <w:t xml:space="preserve"> </w:t>
      </w:r>
    </w:p>
    <w:p w14:paraId="12227365" w14:textId="77777777" w:rsidR="0023256B" w:rsidRDefault="0093390E">
      <w:pPr>
        <w:spacing w:after="0" w:line="259" w:lineRule="auto"/>
        <w:ind w:left="206" w:right="0" w:firstLine="0"/>
        <w:jc w:val="left"/>
      </w:pPr>
      <w:r>
        <w:rPr>
          <w:sz w:val="20"/>
        </w:rPr>
        <w:t xml:space="preserve"> </w:t>
      </w:r>
    </w:p>
    <w:p w14:paraId="4EB19347" w14:textId="77777777" w:rsidR="0023256B" w:rsidRDefault="0093390E">
      <w:pPr>
        <w:spacing w:after="46" w:line="259" w:lineRule="auto"/>
        <w:ind w:left="206" w:right="0" w:firstLine="0"/>
        <w:jc w:val="left"/>
      </w:pPr>
      <w:r>
        <w:rPr>
          <w:sz w:val="17"/>
        </w:rPr>
        <w:t xml:space="preserve"> </w:t>
      </w:r>
    </w:p>
    <w:p w14:paraId="0D6BDD5E" w14:textId="77777777" w:rsidR="0023256B" w:rsidRDefault="0093390E">
      <w:pPr>
        <w:ind w:left="201" w:right="0"/>
      </w:pPr>
      <w:r>
        <w:t xml:space="preserve">Procedimiento para la emisión de informes técnicos de replanteo vial para determinar afectaciones viales u ocupación de espacio público de todos los tipos de vías en el Distrito Metropolitano de Quito </w:t>
      </w:r>
    </w:p>
    <w:p w14:paraId="7E181911" w14:textId="77777777" w:rsidR="0023256B" w:rsidRDefault="0093390E">
      <w:pPr>
        <w:spacing w:after="182" w:line="259" w:lineRule="auto"/>
        <w:ind w:left="206" w:right="0" w:firstLine="0"/>
        <w:jc w:val="left"/>
      </w:pPr>
      <w:r>
        <w:rPr>
          <w:sz w:val="18"/>
        </w:rPr>
        <w:t xml:space="preserve"> </w:t>
      </w:r>
    </w:p>
    <w:p w14:paraId="7D868AAC" w14:textId="77777777" w:rsidR="0023256B" w:rsidRDefault="0093390E">
      <w:pPr>
        <w:pStyle w:val="Ttulo1"/>
        <w:ind w:left="1012" w:hanging="362"/>
      </w:pPr>
      <w:r>
        <w:t xml:space="preserve">GENERALIDADES </w:t>
      </w:r>
      <w:r>
        <w:tab/>
      </w:r>
      <w:r>
        <w:rPr>
          <w:color w:val="000000"/>
        </w:rPr>
        <w:t xml:space="preserve"> </w:t>
      </w:r>
    </w:p>
    <w:p w14:paraId="2D82DF19" w14:textId="77777777" w:rsidR="0023256B" w:rsidRDefault="0093390E">
      <w:pPr>
        <w:spacing w:after="0" w:line="259" w:lineRule="auto"/>
        <w:ind w:left="206" w:right="0" w:firstLine="0"/>
        <w:jc w:val="left"/>
      </w:pPr>
      <w:r>
        <w:rPr>
          <w:sz w:val="36"/>
        </w:rPr>
        <w:t xml:space="preserve"> </w:t>
      </w:r>
    </w:p>
    <w:p w14:paraId="10B58A3E" w14:textId="77777777" w:rsidR="0023256B" w:rsidRDefault="0093390E">
      <w:pPr>
        <w:numPr>
          <w:ilvl w:val="0"/>
          <w:numId w:val="1"/>
        </w:numPr>
        <w:ind w:right="0" w:hanging="360"/>
      </w:pPr>
      <w:r>
        <w:t>El peticionario presenta su solic</w:t>
      </w:r>
      <w:r>
        <w:t xml:space="preserve">itud en la entidad municipal según su competencia conforme se detalla a continuación: </w:t>
      </w:r>
    </w:p>
    <w:p w14:paraId="1F851CEE" w14:textId="77777777" w:rsidR="0023256B" w:rsidRDefault="0093390E">
      <w:pPr>
        <w:spacing w:after="21" w:line="259" w:lineRule="auto"/>
        <w:ind w:left="566" w:right="0" w:firstLine="0"/>
        <w:jc w:val="left"/>
      </w:pPr>
      <w:r>
        <w:t xml:space="preserve"> </w:t>
      </w:r>
    </w:p>
    <w:p w14:paraId="50B396F9" w14:textId="77777777" w:rsidR="0023256B" w:rsidRDefault="0093390E">
      <w:pPr>
        <w:numPr>
          <w:ilvl w:val="2"/>
          <w:numId w:val="2"/>
        </w:numPr>
        <w:ind w:right="0" w:hanging="286"/>
      </w:pPr>
      <w:r>
        <w:t xml:space="preserve">A las Administraciones Zonales para vías locales urbanas y colectoras urbanas. </w:t>
      </w:r>
    </w:p>
    <w:p w14:paraId="14B3B75C" w14:textId="77777777" w:rsidR="0023256B" w:rsidRDefault="0093390E">
      <w:pPr>
        <w:numPr>
          <w:ilvl w:val="2"/>
          <w:numId w:val="2"/>
        </w:numPr>
        <w:ind w:right="0" w:hanging="286"/>
      </w:pPr>
      <w:r>
        <w:t xml:space="preserve">A la Empresa Pública Metropolitana de Movilidad y Obras Públicas (EPMMOP) del Municipio del Distrito Metropolitano de Quito, para  arteriales y expresas urbanas. </w:t>
      </w:r>
    </w:p>
    <w:p w14:paraId="4D8E0349" w14:textId="77777777" w:rsidR="0023256B" w:rsidRDefault="0093390E">
      <w:pPr>
        <w:spacing w:after="21" w:line="259" w:lineRule="auto"/>
        <w:ind w:left="970" w:right="0" w:firstLine="0"/>
        <w:jc w:val="left"/>
      </w:pPr>
      <w:r>
        <w:t xml:space="preserve"> </w:t>
      </w:r>
    </w:p>
    <w:p w14:paraId="5C20F091" w14:textId="77777777" w:rsidR="0023256B" w:rsidRDefault="0093390E">
      <w:pPr>
        <w:ind w:left="980" w:right="0"/>
      </w:pPr>
      <w:r>
        <w:t>Para las vías de competencias del Gobierno Autónomo Descentralizado Provincial de Pichincha</w:t>
      </w:r>
      <w:r>
        <w:t xml:space="preserve"> y del Ministerio de Transporte y Obras Públicas, el Administrado seguirá el procedimiento que establezcan para el efecto dichas Entidades.  </w:t>
      </w:r>
    </w:p>
    <w:p w14:paraId="76B9DDD6" w14:textId="77777777" w:rsidR="0023256B" w:rsidRDefault="0093390E">
      <w:pPr>
        <w:spacing w:after="19" w:line="259" w:lineRule="auto"/>
        <w:ind w:left="206" w:right="0" w:firstLine="0"/>
        <w:jc w:val="left"/>
      </w:pPr>
      <w:r>
        <w:t xml:space="preserve"> </w:t>
      </w:r>
    </w:p>
    <w:p w14:paraId="538061E9" w14:textId="77777777" w:rsidR="0023256B" w:rsidRDefault="0093390E">
      <w:pPr>
        <w:numPr>
          <w:ilvl w:val="0"/>
          <w:numId w:val="1"/>
        </w:numPr>
        <w:ind w:right="0" w:hanging="360"/>
      </w:pPr>
      <w:r>
        <w:t xml:space="preserve">Procedimiento técnico del ente municipal competente: </w:t>
      </w:r>
    </w:p>
    <w:p w14:paraId="7F391B8E" w14:textId="77777777" w:rsidR="0023256B" w:rsidRDefault="0093390E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4CE316B6" w14:textId="77777777" w:rsidR="0023256B" w:rsidRDefault="0093390E">
      <w:pPr>
        <w:numPr>
          <w:ilvl w:val="1"/>
          <w:numId w:val="1"/>
        </w:numPr>
        <w:ind w:right="0" w:hanging="360"/>
      </w:pPr>
      <w:r>
        <w:t xml:space="preserve">Para las vías de competencia del Municipio del Distrito </w:t>
      </w:r>
      <w:r>
        <w:t xml:space="preserve">Metropolitano de Quito, se le asigna el trámite correspondiente a la unidad técnica de la dependencia municipal respectiva para que realice el análisis y la inspección “in situ”;  </w:t>
      </w:r>
    </w:p>
    <w:p w14:paraId="3EEB3556" w14:textId="77777777" w:rsidR="0023256B" w:rsidRDefault="0093390E">
      <w:pPr>
        <w:spacing w:after="21" w:line="259" w:lineRule="auto"/>
        <w:ind w:left="850" w:right="0" w:firstLine="0"/>
        <w:jc w:val="left"/>
      </w:pPr>
      <w:r>
        <w:t xml:space="preserve"> </w:t>
      </w:r>
    </w:p>
    <w:p w14:paraId="6069E953" w14:textId="77777777" w:rsidR="0023256B" w:rsidRDefault="0093390E">
      <w:pPr>
        <w:numPr>
          <w:ilvl w:val="1"/>
          <w:numId w:val="1"/>
        </w:numPr>
        <w:ind w:right="0" w:hanging="360"/>
      </w:pPr>
      <w:r>
        <w:t>Para todos los tipos de vías, los técnicos deberán registrar las coordena</w:t>
      </w:r>
      <w:r>
        <w:t>das del eje vial y su respectiva sección transversal, replantear en sitio con GPS, Estación Total, u otros equipos de precisión y colocar referencias físicas (estacas), a efectos de determinar las afectaciones que se puedan producir a los inmuebles. La inf</w:t>
      </w:r>
      <w:r>
        <w:t xml:space="preserve">ormación a levantarse no sólo será del inmueble que es parte de la solicitud, sino que adicionalmente deberá levantar la información en un tramo de longitud de 100m a partir de los linderos del lote, con la finalidad de contar con los replanteos viales de </w:t>
      </w:r>
      <w:r>
        <w:t xml:space="preserve">todos los lotes colindantes al eje vial analizado.  </w:t>
      </w:r>
    </w:p>
    <w:p w14:paraId="5A29011F" w14:textId="77777777" w:rsidR="0023256B" w:rsidRDefault="0093390E">
      <w:pPr>
        <w:spacing w:after="19" w:line="259" w:lineRule="auto"/>
        <w:ind w:left="566" w:right="0" w:firstLine="0"/>
        <w:jc w:val="left"/>
      </w:pPr>
      <w:r>
        <w:t xml:space="preserve"> </w:t>
      </w:r>
    </w:p>
    <w:p w14:paraId="721CF8A5" w14:textId="77777777" w:rsidR="0023256B" w:rsidRDefault="0093390E">
      <w:pPr>
        <w:numPr>
          <w:ilvl w:val="1"/>
          <w:numId w:val="1"/>
        </w:numPr>
        <w:ind w:right="0" w:hanging="360"/>
      </w:pPr>
      <w:r>
        <w:t>Una vez replanteado el eje vial y estacado cada 20m., las Administraciones Zonales o la Empresa Pública Metropolitana de Movilidad y Obras Públicas “EPMMOP”, según corresponda, procederán a determinar las afectaciones físicas que mantienen todos los inmueb</w:t>
      </w:r>
      <w:r>
        <w:t>les colindantes al tramo replanteado con base a las referencias físicas existentes que delimitan cada uno de los lotes, tales como: cercas vivas, cerramientos permanentes y otros similares de haberlo. Dichas afectaciones deberán registrarse en el sistema d</w:t>
      </w:r>
      <w:r>
        <w:t xml:space="preserve">el Informe de Regulación Metropolitana (IRM) de todos los lotes afectados. Con esta información emitirán el Informe Técnico de Replanteo Vial que debe sujetarse al modelo que se muestra a continuación: </w:t>
      </w:r>
    </w:p>
    <w:p w14:paraId="5C7BD1D8" w14:textId="77777777" w:rsidR="0023256B" w:rsidRDefault="0093390E">
      <w:pPr>
        <w:spacing w:after="0" w:line="259" w:lineRule="auto"/>
        <w:ind w:left="348" w:right="0" w:firstLine="0"/>
        <w:jc w:val="left"/>
      </w:pPr>
      <w:r>
        <w:t xml:space="preserve"> </w:t>
      </w:r>
    </w:p>
    <w:p w14:paraId="152E27B5" w14:textId="77777777" w:rsidR="0023256B" w:rsidRDefault="0093390E">
      <w:pPr>
        <w:spacing w:after="50" w:line="230" w:lineRule="auto"/>
        <w:ind w:left="206" w:right="536" w:firstLine="576"/>
        <w:jc w:val="lef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46497D7A" wp14:editId="0C5F8671">
                <wp:extent cx="5093208" cy="7946136"/>
                <wp:effectExtent l="0" t="0" r="0" b="0"/>
                <wp:docPr id="2440" name="Group 2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3208" cy="7946136"/>
                          <a:chOff x="0" y="0"/>
                          <a:chExt cx="5093208" cy="7946136"/>
                        </a:xfrm>
                      </wpg:grpSpPr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3208" cy="47685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768596"/>
                            <a:ext cx="5093208" cy="1589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8128"/>
                            <a:ext cx="5093208" cy="1588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0" style="width:401.04pt;height:625.68pt;mso-position-horizontal-relative:char;mso-position-vertical-relative:line" coordsize="50932,79461">
                <v:shape id="Picture 129" style="position:absolute;width:50932;height:47685;left:0;top:0;" filled="f">
                  <v:imagedata r:id="rId10"/>
                </v:shape>
                <v:shape id="Picture 131" style="position:absolute;width:50932;height:15895;left:0;top:47685;" filled="f">
                  <v:imagedata r:id="rId11"/>
                </v:shape>
                <v:shape id="Picture 133" style="position:absolute;width:50932;height:15880;left:0;top:63581;" filled="f">
                  <v:imagedata r:id="rId12"/>
                </v:shape>
              </v:group>
            </w:pict>
          </mc:Fallback>
        </mc:AlternateContent>
      </w:r>
      <w:r>
        <w:t xml:space="preserve">  </w:t>
      </w:r>
    </w:p>
    <w:p w14:paraId="26B6153C" w14:textId="77777777" w:rsidR="0023256B" w:rsidRDefault="0093390E">
      <w:pPr>
        <w:numPr>
          <w:ilvl w:val="1"/>
          <w:numId w:val="1"/>
        </w:numPr>
        <w:ind w:right="0" w:hanging="360"/>
      </w:pPr>
      <w:r>
        <w:t>Se procederá a remitir al Administrado el infor</w:t>
      </w:r>
      <w:r>
        <w:t xml:space="preserve">me técnico de replanteo vial </w:t>
      </w:r>
    </w:p>
    <w:tbl>
      <w:tblPr>
        <w:tblStyle w:val="TableGrid"/>
        <w:tblW w:w="8424" w:type="dxa"/>
        <w:tblInd w:w="686" w:type="dxa"/>
        <w:tblCellMar>
          <w:top w:w="4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1"/>
        <w:gridCol w:w="7673"/>
      </w:tblGrid>
      <w:tr w:rsidR="0023256B" w14:paraId="097E7901" w14:textId="77777777">
        <w:trPr>
          <w:trHeight w:val="293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596767" w14:textId="77777777" w:rsidR="0023256B" w:rsidRDefault="0093390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FFFF"/>
                <w:sz w:val="24"/>
              </w:rPr>
              <w:t xml:space="preserve">1.1. 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AE0B4A2" w14:textId="77777777" w:rsidR="0023256B" w:rsidRDefault="0093390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FFFF"/>
                <w:sz w:val="24"/>
              </w:rPr>
              <w:t xml:space="preserve">Requisitos para la Emisión de los Informes Técnicos de Replanteos Viales.- </w:t>
            </w:r>
          </w:p>
        </w:tc>
      </w:tr>
    </w:tbl>
    <w:p w14:paraId="53F4E026" w14:textId="77777777" w:rsidR="0023256B" w:rsidRDefault="0093390E">
      <w:pPr>
        <w:spacing w:after="0" w:line="259" w:lineRule="auto"/>
        <w:ind w:left="206" w:right="0" w:firstLine="0"/>
        <w:jc w:val="left"/>
      </w:pPr>
      <w:r>
        <w:rPr>
          <w:sz w:val="35"/>
        </w:rPr>
        <w:t xml:space="preserve"> </w:t>
      </w:r>
    </w:p>
    <w:p w14:paraId="7447E1E6" w14:textId="77777777" w:rsidR="0023256B" w:rsidRDefault="0093390E">
      <w:pPr>
        <w:numPr>
          <w:ilvl w:val="0"/>
          <w:numId w:val="3"/>
        </w:numPr>
        <w:ind w:right="0"/>
      </w:pPr>
      <w:r>
        <w:lastRenderedPageBreak/>
        <w:t>Solicitud debidamente firmada por el peticionario en donde expresa su requerimiento del replanteo vial.  Esta solicitud deberá contener al menos el número de predio, los datos de identificación del solicitante y deberá ingresarla a través del Sistema de Tr</w:t>
      </w:r>
      <w:r>
        <w:t xml:space="preserve">ámites en línea o el que esté vigente al momento. </w:t>
      </w:r>
    </w:p>
    <w:p w14:paraId="04B23B6E" w14:textId="77777777" w:rsidR="0023256B" w:rsidRDefault="0093390E">
      <w:pPr>
        <w:spacing w:after="21" w:line="259" w:lineRule="auto"/>
        <w:ind w:left="206" w:right="0" w:firstLine="0"/>
        <w:jc w:val="left"/>
      </w:pPr>
      <w:r>
        <w:t xml:space="preserve"> </w:t>
      </w:r>
    </w:p>
    <w:p w14:paraId="449E9CA3" w14:textId="77777777" w:rsidR="0023256B" w:rsidRDefault="0093390E">
      <w:pPr>
        <w:numPr>
          <w:ilvl w:val="0"/>
          <w:numId w:val="3"/>
        </w:numPr>
        <w:ind w:right="0"/>
      </w:pPr>
      <w:r>
        <w:t xml:space="preserve">Copia de la escritura inscrita en el Registro de la Propiedad del bien inmueble, que acredite que el solicitante es el propietario. </w:t>
      </w:r>
    </w:p>
    <w:p w14:paraId="13EC0377" w14:textId="77777777" w:rsidR="0023256B" w:rsidRDefault="0093390E">
      <w:pPr>
        <w:spacing w:after="19" w:line="259" w:lineRule="auto"/>
        <w:ind w:left="206" w:right="0" w:firstLine="0"/>
        <w:jc w:val="left"/>
      </w:pPr>
      <w:r>
        <w:t xml:space="preserve"> </w:t>
      </w:r>
    </w:p>
    <w:p w14:paraId="604DB56F" w14:textId="77777777" w:rsidR="0023256B" w:rsidRDefault="0093390E">
      <w:pPr>
        <w:numPr>
          <w:ilvl w:val="0"/>
          <w:numId w:val="3"/>
        </w:numPr>
        <w:ind w:right="0"/>
      </w:pPr>
      <w:r>
        <w:t>En caso de que la dependencia municipal requiera para su análisis de</w:t>
      </w:r>
      <w:r>
        <w:t>l replanteo vial el plano aprobado del barrio, sector, lotización, subdivisión, urbanización o reestructuración parcelaria inscrita en el Registro de la Propiedad, deberá ser requerido directamente a la institución metropolitana custodia de la documentació</w:t>
      </w:r>
      <w:r>
        <w:t xml:space="preserve">n o a cualquier Entidad Pública, con base a lo establecida en la Ley Orgánica de Optimización y Eficiencia de Trámites Administrativos LOOETA . </w:t>
      </w:r>
    </w:p>
    <w:p w14:paraId="20364EEC" w14:textId="77777777" w:rsidR="0023256B" w:rsidRDefault="0093390E">
      <w:pPr>
        <w:spacing w:after="2" w:line="259" w:lineRule="auto"/>
        <w:ind w:left="490" w:right="0" w:firstLine="0"/>
        <w:jc w:val="left"/>
      </w:pPr>
      <w:r>
        <w:t xml:space="preserve"> </w:t>
      </w:r>
    </w:p>
    <w:p w14:paraId="5E7E8747" w14:textId="77777777" w:rsidR="0023256B" w:rsidRDefault="0093390E">
      <w:pPr>
        <w:spacing w:after="19" w:line="252" w:lineRule="auto"/>
        <w:ind w:left="772" w:right="0" w:hanging="566"/>
        <w:jc w:val="left"/>
      </w:pPr>
      <w:r>
        <w:rPr>
          <w:sz w:val="20"/>
        </w:rPr>
        <w:t>Nota: La Administración Zonal correspondiente o la Empresa Pública Metropolitana de Movilidad y Obras Pública</w:t>
      </w:r>
      <w:r>
        <w:rPr>
          <w:sz w:val="20"/>
        </w:rPr>
        <w:t xml:space="preserve">s EPMMOP se abstendrán de exigir o de requerir otros documentos señalados.  </w:t>
      </w:r>
    </w:p>
    <w:p w14:paraId="37189CF0" w14:textId="77777777" w:rsidR="0023256B" w:rsidRDefault="0093390E">
      <w:pPr>
        <w:spacing w:after="0" w:line="259" w:lineRule="auto"/>
        <w:ind w:left="588" w:right="0" w:firstLine="0"/>
        <w:jc w:val="left"/>
      </w:pPr>
      <w:r>
        <w:t xml:space="preserve"> </w:t>
      </w:r>
    </w:p>
    <w:sectPr w:rsidR="002325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0" w:right="1412" w:bottom="1434" w:left="1114" w:header="573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5CD8" w14:textId="77777777" w:rsidR="0093390E" w:rsidRDefault="0093390E">
      <w:pPr>
        <w:spacing w:after="0" w:line="240" w:lineRule="auto"/>
      </w:pPr>
      <w:r>
        <w:separator/>
      </w:r>
    </w:p>
  </w:endnote>
  <w:endnote w:type="continuationSeparator" w:id="0">
    <w:p w14:paraId="4316ED92" w14:textId="77777777" w:rsidR="0093390E" w:rsidRDefault="0093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918C" w14:textId="77777777" w:rsidR="0023256B" w:rsidRDefault="0093390E">
    <w:pPr>
      <w:tabs>
        <w:tab w:val="center" w:pos="206"/>
        <w:tab w:val="center" w:pos="873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 xml:space="preserve">pág.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69BC" w14:textId="77777777" w:rsidR="0023256B" w:rsidRDefault="0093390E">
    <w:pPr>
      <w:tabs>
        <w:tab w:val="center" w:pos="206"/>
        <w:tab w:val="center" w:pos="873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 xml:space="preserve">pág.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CFED" w14:textId="77777777" w:rsidR="0023256B" w:rsidRDefault="0093390E">
    <w:pPr>
      <w:tabs>
        <w:tab w:val="center" w:pos="206"/>
        <w:tab w:val="center" w:pos="873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 xml:space="preserve">pág.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C054" w14:textId="77777777" w:rsidR="0093390E" w:rsidRDefault="0093390E">
      <w:pPr>
        <w:spacing w:after="0" w:line="240" w:lineRule="auto"/>
      </w:pPr>
      <w:r>
        <w:separator/>
      </w:r>
    </w:p>
  </w:footnote>
  <w:footnote w:type="continuationSeparator" w:id="0">
    <w:p w14:paraId="22C71462" w14:textId="77777777" w:rsidR="0093390E" w:rsidRDefault="0093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4DBF" w14:textId="77777777" w:rsidR="0023256B" w:rsidRDefault="0093390E">
    <w:pPr>
      <w:spacing w:after="0" w:line="259" w:lineRule="auto"/>
      <w:ind w:left="206" w:right="0" w:firstLine="0"/>
      <w:jc w:val="left"/>
    </w:pPr>
    <w:r>
      <w:rPr>
        <w:sz w:val="20"/>
      </w:rPr>
      <w:t xml:space="preserve"> </w:t>
    </w:r>
  </w:p>
  <w:p w14:paraId="6AA06244" w14:textId="77777777" w:rsidR="0023256B" w:rsidRDefault="0093390E">
    <w:pPr>
      <w:spacing w:after="2" w:line="236" w:lineRule="auto"/>
      <w:ind w:left="595" w:right="107" w:firstLine="0"/>
    </w:pPr>
    <w:r>
      <w:rPr>
        <w:sz w:val="12"/>
      </w:rPr>
      <w:t>ANEXO NO. 03 PROCEDIMIENTO PARA LA EMISIÓN DE INFORMES TÉCNICOS DE REPLANTEO VIAL PARA DETERMINAR AFECTACIONES VIALES U OCUPACIÓN DE ESPACIO PÚBLICO DE TODOS LOS TIPOS DE VÍAS EN EL DISTRITO METROPOLITANO DE QUITO DEL CAPÍTULO VI: INSTRUMENTOS DE GESTIÓN D</w:t>
    </w:r>
    <w:r>
      <w:rPr>
        <w:sz w:val="12"/>
      </w:rPr>
      <w:t xml:space="preserve">EL </w:t>
    </w:r>
  </w:p>
  <w:p w14:paraId="25E6A84A" w14:textId="77777777" w:rsidR="0023256B" w:rsidRDefault="0093390E">
    <w:pPr>
      <w:spacing w:after="0" w:line="238" w:lineRule="auto"/>
      <w:ind w:left="595" w:right="295" w:firstLine="0"/>
    </w:pPr>
    <w:r>
      <w:rPr>
        <w:sz w:val="12"/>
      </w:rPr>
      <w:t xml:space="preserve">SUELO, SECCIÓN IV: INSTRUMENTOS DE FINANCIAMIENTO DEL DESARROLLO URBANO, PARÁGRAFO I: DE LA CONCESIÓN ONEROSA DE DERECHOS DEL TÍTULO 1 “DEL RÉGIMEN ADMINISTRATIVO DEL SUELO EN EL DISTRITO METROPOLITANO DE QUITO”, DEL LIBRO IV.1 “DEL USO DE SUELO”, DEL </w:t>
    </w:r>
    <w:r>
      <w:rPr>
        <w:sz w:val="12"/>
      </w:rPr>
      <w:t xml:space="preserve">LIBRO IV “EJE TERRITORIAL”, DEL CÓDIGO MUNICIPAL PARA EL DISTRITO METROPOLITANO DE QUITO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0B8B" w14:textId="77777777" w:rsidR="0023256B" w:rsidRDefault="0093390E">
    <w:pPr>
      <w:spacing w:after="0" w:line="259" w:lineRule="auto"/>
      <w:ind w:left="206" w:right="0" w:firstLine="0"/>
      <w:jc w:val="left"/>
    </w:pPr>
    <w:r>
      <w:rPr>
        <w:sz w:val="20"/>
      </w:rPr>
      <w:t xml:space="preserve"> </w:t>
    </w:r>
  </w:p>
  <w:p w14:paraId="0BB3B475" w14:textId="77777777" w:rsidR="0023256B" w:rsidRDefault="0093390E">
    <w:pPr>
      <w:spacing w:after="2" w:line="236" w:lineRule="auto"/>
      <w:ind w:left="595" w:right="107" w:firstLine="0"/>
    </w:pPr>
    <w:r>
      <w:rPr>
        <w:sz w:val="12"/>
      </w:rPr>
      <w:t>ANEXO NO. 03 PROCEDIMIENTO PARA LA EMISIÓN DE INFORMES TÉCNICOS DE REPLANTEO VIAL PARA DETERMINAR AFECTACIONES VIALES U OCUPACIÓN DE ESPACIO PÚBLICO DE TODOS LOS T</w:t>
    </w:r>
    <w:r>
      <w:rPr>
        <w:sz w:val="12"/>
      </w:rPr>
      <w:t xml:space="preserve">IPOS DE VÍAS EN EL DISTRITO METROPOLITANO DE QUITO DEL CAPÍTULO VI: INSTRUMENTOS DE GESTIÓN DEL </w:t>
    </w:r>
  </w:p>
  <w:p w14:paraId="081EA1A2" w14:textId="77777777" w:rsidR="0023256B" w:rsidRDefault="0093390E">
    <w:pPr>
      <w:spacing w:after="0" w:line="238" w:lineRule="auto"/>
      <w:ind w:left="595" w:right="295" w:firstLine="0"/>
    </w:pPr>
    <w:r>
      <w:rPr>
        <w:sz w:val="12"/>
      </w:rPr>
      <w:t>SUELO, SECCIÓN IV: INSTRUMENTOS DE FINANCIAMIENTO DEL DESARROLLO URBANO, PARÁGRAFO I: DE LA CONCESIÓN ONEROSA DE DERECHOS DEL TÍTULO 1 “DEL RÉGIMEN ADMINISTRAT</w:t>
    </w:r>
    <w:r>
      <w:rPr>
        <w:sz w:val="12"/>
      </w:rPr>
      <w:t xml:space="preserve">IVO DEL SUELO EN EL DISTRITO METROPOLITANO DE QUITO”, DEL LIBRO IV.1 “DEL USO DE SUELO”, DEL LIBRO IV “EJE TERRITORIAL”, DEL CÓDIGO MUNICIPAL PARA EL DISTRITO METROPOLITANO DE QUITO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1B29" w14:textId="77777777" w:rsidR="0023256B" w:rsidRDefault="0093390E">
    <w:pPr>
      <w:spacing w:after="0" w:line="259" w:lineRule="auto"/>
      <w:ind w:left="206" w:right="0" w:firstLine="0"/>
      <w:jc w:val="left"/>
    </w:pPr>
    <w:r>
      <w:rPr>
        <w:sz w:val="20"/>
      </w:rPr>
      <w:t xml:space="preserve"> </w:t>
    </w:r>
  </w:p>
  <w:p w14:paraId="1BAA9E4E" w14:textId="77777777" w:rsidR="0023256B" w:rsidRDefault="0093390E">
    <w:pPr>
      <w:spacing w:after="2" w:line="236" w:lineRule="auto"/>
      <w:ind w:left="595" w:right="107" w:firstLine="0"/>
    </w:pPr>
    <w:r>
      <w:rPr>
        <w:sz w:val="12"/>
      </w:rPr>
      <w:t>ANEXO NO. 03 PROCEDIMIENTO PARA LA EMISIÓN DE INFORMES TÉCNICOS DE REP</w:t>
    </w:r>
    <w:r>
      <w:rPr>
        <w:sz w:val="12"/>
      </w:rPr>
      <w:t xml:space="preserve">LANTEO VIAL PARA DETERMINAR AFECTACIONES VIALES U OCUPACIÓN DE ESPACIO PÚBLICO DE TODOS LOS TIPOS DE VÍAS EN EL DISTRITO METROPOLITANO DE QUITO DEL CAPÍTULO VI: INSTRUMENTOS DE GESTIÓN DEL </w:t>
    </w:r>
  </w:p>
  <w:p w14:paraId="7B87E8D4" w14:textId="77777777" w:rsidR="0023256B" w:rsidRDefault="0093390E">
    <w:pPr>
      <w:spacing w:after="0" w:line="238" w:lineRule="auto"/>
      <w:ind w:left="595" w:right="295" w:firstLine="0"/>
    </w:pPr>
    <w:r>
      <w:rPr>
        <w:sz w:val="12"/>
      </w:rPr>
      <w:t>SUELO, SECCIÓN IV: INSTRUMENTOS DE FINANCIAMIENTO DEL DESARROLLO U</w:t>
    </w:r>
    <w:r>
      <w:rPr>
        <w:sz w:val="12"/>
      </w:rPr>
      <w:t>RBANO, PARÁGRAFO I: DE LA CONCESIÓN ONEROSA DE DERECHOS DEL TÍTULO 1 “DEL RÉGIMEN ADMINISTRATIVO DEL SUELO EN EL DISTRITO METROPOLITANO DE QUITO”, DEL LIBRO IV.1 “DEL USO DE SUELO”, DEL LIBRO IV “EJE TERRITORIAL”, DEL CÓDIGO MUNICIPAL PARA EL DISTRITO METR</w:t>
    </w:r>
    <w:r>
      <w:rPr>
        <w:sz w:val="12"/>
      </w:rPr>
      <w:t xml:space="preserve">OPOLITANO DE QUITO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63FE"/>
    <w:multiLevelType w:val="hybridMultilevel"/>
    <w:tmpl w:val="8A1A7004"/>
    <w:lvl w:ilvl="0" w:tplc="AFD065A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F26AA92">
      <w:start w:val="1"/>
      <w:numFmt w:val="lowerLetter"/>
      <w:lvlText w:val="%2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2EABD5E">
      <w:start w:val="1"/>
      <w:numFmt w:val="lowerRoman"/>
      <w:lvlText w:val="%3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0D468F2">
      <w:start w:val="1"/>
      <w:numFmt w:val="decimal"/>
      <w:lvlText w:val="%4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C74150A">
      <w:start w:val="1"/>
      <w:numFmt w:val="lowerLetter"/>
      <w:lvlText w:val="%5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0D2725A">
      <w:start w:val="1"/>
      <w:numFmt w:val="lowerRoman"/>
      <w:lvlText w:val="%6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1A0BA6A">
      <w:start w:val="1"/>
      <w:numFmt w:val="decimal"/>
      <w:lvlText w:val="%7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2C44A58">
      <w:start w:val="1"/>
      <w:numFmt w:val="lowerLetter"/>
      <w:lvlText w:val="%8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F08C620">
      <w:start w:val="1"/>
      <w:numFmt w:val="lowerRoman"/>
      <w:lvlText w:val="%9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6420FB"/>
    <w:multiLevelType w:val="hybridMultilevel"/>
    <w:tmpl w:val="C9B6DFAE"/>
    <w:lvl w:ilvl="0" w:tplc="D62A95D8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2A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A86C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0B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1251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E478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6019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CE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25C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5A4209"/>
    <w:multiLevelType w:val="hybridMultilevel"/>
    <w:tmpl w:val="0A024D98"/>
    <w:lvl w:ilvl="0" w:tplc="1A1272CE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DEA1E8">
      <w:start w:val="1"/>
      <w:numFmt w:val="lowerLetter"/>
      <w:lvlText w:val="%2)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8C914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2E9C5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1461E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82849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E522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AA822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E6DD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C27DC7"/>
    <w:multiLevelType w:val="hybridMultilevel"/>
    <w:tmpl w:val="FE640D0E"/>
    <w:lvl w:ilvl="0" w:tplc="0CD837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CAB81E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D841DA">
      <w:start w:val="1"/>
      <w:numFmt w:val="lowerLetter"/>
      <w:lvlRestart w:val="0"/>
      <w:lvlText w:val="%3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E9010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F46566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9C76C8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9A987E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DE72FE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2C6A30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4418204">
    <w:abstractNumId w:val="2"/>
  </w:num>
  <w:num w:numId="2" w16cid:durableId="1226648424">
    <w:abstractNumId w:val="3"/>
  </w:num>
  <w:num w:numId="3" w16cid:durableId="1888565349">
    <w:abstractNumId w:val="1"/>
  </w:num>
  <w:num w:numId="4" w16cid:durableId="17715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6B"/>
    <w:rsid w:val="0023256B"/>
    <w:rsid w:val="003E1287"/>
    <w:rsid w:val="0093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AD7D81"/>
  <w15:docId w15:val="{C9D9BD29-B726-2840-94E2-E9D43DD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9" w:lineRule="auto"/>
      <w:ind w:left="216" w:right="3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4"/>
      </w:numPr>
      <w:shd w:val="clear" w:color="auto" w:fill="000000"/>
      <w:spacing w:after="40" w:line="259" w:lineRule="auto"/>
      <w:ind w:left="650"/>
      <w:outlineLvl w:val="0"/>
    </w:pPr>
    <w:rPr>
      <w:rFonts w:ascii="Times New Roman" w:eastAsia="Times New Roman" w:hAnsi="Times New Roman" w:cs="Times New Roman"/>
      <w:color w:val="FFFFF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FFFFFF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0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0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NO. 03</dc:title>
  <dc:subject/>
  <dc:creator>MY HP</dc:creator>
  <cp:keywords/>
  <cp:lastModifiedBy>Dario Gudiño Carvajal</cp:lastModifiedBy>
  <cp:revision>2</cp:revision>
  <dcterms:created xsi:type="dcterms:W3CDTF">2022-06-16T16:28:00Z</dcterms:created>
  <dcterms:modified xsi:type="dcterms:W3CDTF">2022-06-16T16:28:00Z</dcterms:modified>
</cp:coreProperties>
</file>