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0412" w:rsidR="00352D87" w:rsidP="00352D87" w:rsidRDefault="00352D87" w14:paraId="7A5D6C11" w14:textId="5FB17D7B">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RESOLUCIÓN No. C 0</w:t>
      </w:r>
      <w:r w:rsidRPr="00FB0412" w:rsidR="00BC2486">
        <w:rPr>
          <w:rFonts w:ascii="Palatino Linotype" w:hAnsi="Palatino Linotype" w:cs="Times New Roman"/>
          <w:b/>
          <w:sz w:val="22"/>
          <w:szCs w:val="22"/>
        </w:rPr>
        <w:t>XX</w:t>
      </w:r>
      <w:r w:rsidRPr="00FB0412">
        <w:rPr>
          <w:rFonts w:ascii="Palatino Linotype" w:hAnsi="Palatino Linotype" w:cs="Times New Roman"/>
          <w:b/>
          <w:sz w:val="22"/>
          <w:szCs w:val="22"/>
        </w:rPr>
        <w:t xml:space="preserve"> — 20</w:t>
      </w:r>
      <w:r w:rsidRPr="00FB0412" w:rsidR="00E301E3">
        <w:rPr>
          <w:rFonts w:ascii="Palatino Linotype" w:hAnsi="Palatino Linotype" w:cs="Times New Roman"/>
          <w:b/>
          <w:sz w:val="22"/>
          <w:szCs w:val="22"/>
        </w:rPr>
        <w:t>22</w:t>
      </w:r>
    </w:p>
    <w:p w:rsidRPr="00FB0412" w:rsidR="00352D87" w:rsidP="00352D87" w:rsidRDefault="00352D87" w14:paraId="6D07BE2F" w14:textId="7777777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EL CONCEJO METROPOLITANO DE QUITO</w:t>
      </w:r>
    </w:p>
    <w:p w:rsidRPr="00FB0412" w:rsidR="00352D87" w:rsidP="00352D87" w:rsidRDefault="00352D87" w14:paraId="5D181492" w14:textId="7777777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CONSIDERANDO:</w:t>
      </w:r>
    </w:p>
    <w:p w:rsidRPr="00FB0412" w:rsidR="00352D87" w:rsidP="00352D87" w:rsidRDefault="00352D87" w14:paraId="7FDA1CD9" w14:textId="77777777">
      <w:pPr>
        <w:autoSpaceDE w:val="0"/>
        <w:autoSpaceDN w:val="0"/>
        <w:adjustRightInd w:val="0"/>
        <w:spacing w:after="0" w:line="240" w:lineRule="auto"/>
        <w:rPr>
          <w:rFonts w:ascii="Palatino Linotype" w:hAnsi="Palatino Linotype" w:cs="Times New Roman"/>
          <w:sz w:val="22"/>
          <w:szCs w:val="22"/>
        </w:rPr>
      </w:pPr>
    </w:p>
    <w:p w:rsidRPr="00FB0412" w:rsidR="0005208C" w:rsidP="0005208C" w:rsidRDefault="0005208C" w14:paraId="666B68D4" w14:textId="77777777">
      <w:pPr>
        <w:autoSpaceDE w:val="0"/>
        <w:autoSpaceDN w:val="0"/>
        <w:adjustRightInd w:val="0"/>
        <w:ind w:left="705" w:hanging="705"/>
        <w:rPr>
          <w:rFonts w:ascii="Palatino Linotype" w:hAnsi="Palatino Linotype"/>
          <w:i/>
          <w:iCs/>
          <w:sz w:val="22"/>
          <w:szCs w:val="22"/>
        </w:rPr>
      </w:pPr>
      <w:r w:rsidRPr="00FB0412">
        <w:rPr>
          <w:rFonts w:ascii="Palatino Linotype" w:hAnsi="Palatino Linotype"/>
          <w:sz w:val="22"/>
          <w:szCs w:val="22"/>
        </w:rPr>
        <w:t xml:space="preserve">Que, </w:t>
      </w:r>
      <w:r w:rsidRPr="00FB0412">
        <w:rPr>
          <w:rFonts w:ascii="Palatino Linotype" w:hAnsi="Palatino Linotype"/>
          <w:sz w:val="22"/>
          <w:szCs w:val="22"/>
        </w:rPr>
        <w:tab/>
      </w:r>
      <w:r w:rsidRPr="00FB0412">
        <w:rPr>
          <w:rFonts w:ascii="Palatino Linotype" w:hAnsi="Palatino Linotype"/>
          <w:sz w:val="22"/>
          <w:szCs w:val="22"/>
        </w:rPr>
        <w:t xml:space="preserve"> el artículo 240 de la Constitución de República del Ecuador, en adelante Constitución, establece: “Los</w:t>
      </w:r>
      <w:r w:rsidRPr="00FB0412">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Pr="00FB0412" w:rsidR="0005208C" w:rsidP="0005208C" w:rsidRDefault="0005208C" w14:paraId="41A16D39" w14:textId="77777777">
      <w:pPr>
        <w:autoSpaceDE w:val="0"/>
        <w:autoSpaceDN w:val="0"/>
        <w:adjustRightInd w:val="0"/>
        <w:ind w:left="705" w:hanging="705"/>
        <w:rPr>
          <w:rFonts w:ascii="Palatino Linotype" w:hAnsi="Palatino Linotype"/>
          <w:i/>
          <w:iCs/>
          <w:sz w:val="22"/>
          <w:szCs w:val="22"/>
        </w:rPr>
      </w:pPr>
      <w:r w:rsidRPr="00FB0412">
        <w:rPr>
          <w:rFonts w:ascii="Palatino Linotype" w:hAnsi="Palatino Linotype"/>
          <w:sz w:val="22"/>
          <w:szCs w:val="22"/>
        </w:rPr>
        <w:t xml:space="preserve">Que, </w:t>
      </w:r>
      <w:r w:rsidRPr="00FB0412">
        <w:rPr>
          <w:rFonts w:ascii="Palatino Linotype" w:hAnsi="Palatino Linotype"/>
          <w:sz w:val="22"/>
          <w:szCs w:val="22"/>
        </w:rPr>
        <w:tab/>
      </w:r>
      <w:r w:rsidRPr="00FB0412">
        <w:rPr>
          <w:rFonts w:ascii="Palatino Linotype" w:hAnsi="Palatino Linotype"/>
          <w:sz w:val="22"/>
          <w:szCs w:val="22"/>
        </w:rPr>
        <w:t>el artículo 241 de la Constitución, determina: “</w:t>
      </w:r>
      <w:r w:rsidRPr="00FB0412">
        <w:rPr>
          <w:rFonts w:ascii="Palatino Linotype" w:hAnsi="Palatino Linotype"/>
          <w:i/>
          <w:iCs/>
          <w:sz w:val="22"/>
          <w:szCs w:val="22"/>
        </w:rPr>
        <w:t xml:space="preserve">La planificación garantizará el ordenamiento territorial y será obligatoria en todos los gobiernos autónomos descentralizados” </w:t>
      </w:r>
    </w:p>
    <w:p w:rsidRPr="00FB0412" w:rsidR="0005208C" w:rsidP="0005208C" w:rsidRDefault="0005208C" w14:paraId="68E8063C" w14:textId="19BEE788">
      <w:pPr>
        <w:autoSpaceDE w:val="0"/>
        <w:autoSpaceDN w:val="0"/>
        <w:adjustRightInd w:val="0"/>
        <w:spacing w:after="0" w:line="240" w:lineRule="auto"/>
        <w:ind w:left="709" w:hanging="709"/>
        <w:rPr>
          <w:rFonts w:ascii="Palatino Linotype" w:hAnsi="Palatino Linotype" w:cs="Times New Roman"/>
          <w:i/>
          <w:iCs/>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 xml:space="preserve">los numerales 1,2 y 3 del artículo 264 de la Constitución, determinan que serán competencias exclusivas de los gobiernos municipales, sin perjuicio de otras que determine la ley: </w:t>
      </w:r>
      <w:r w:rsidRPr="00FB0412">
        <w:rPr>
          <w:rFonts w:ascii="Palatino Linotype" w:hAnsi="Palatino Linotype" w:cs="Times New Roman"/>
          <w:i/>
          <w:sz w:val="22"/>
          <w:szCs w:val="22"/>
        </w:rPr>
        <w:t xml:space="preserve">"1. </w:t>
      </w:r>
      <w:r w:rsidRPr="00FB0412">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w:t>
      </w:r>
      <w:r w:rsidR="003D6495">
        <w:rPr>
          <w:rFonts w:ascii="Palatino Linotype" w:hAnsi="Palatino Linotype" w:cs="Times New Roman"/>
          <w:i/>
          <w:iCs/>
          <w:sz w:val="22"/>
          <w:szCs w:val="22"/>
        </w:rPr>
        <w:t>.</w:t>
      </w:r>
      <w:r w:rsidRPr="00FB0412">
        <w:rPr>
          <w:rFonts w:ascii="Palatino Linotype" w:hAnsi="Palatino Linotype" w:cs="Times New Roman"/>
          <w:i/>
          <w:iCs/>
          <w:sz w:val="22"/>
          <w:szCs w:val="22"/>
        </w:rPr>
        <w:t>..); 2. Ejercer el control sobre el uso y ocupación del suelo en el cantón. (…); 3. Planificar, construir y mantener la vialidad urbana.";</w:t>
      </w:r>
    </w:p>
    <w:p w:rsidRPr="00FB0412" w:rsidR="0005208C" w:rsidP="0005208C" w:rsidRDefault="0005208C" w14:paraId="28442688" w14:textId="77777777">
      <w:pPr>
        <w:autoSpaceDE w:val="0"/>
        <w:autoSpaceDN w:val="0"/>
        <w:adjustRightInd w:val="0"/>
        <w:spacing w:after="0" w:line="240" w:lineRule="auto"/>
        <w:ind w:left="709" w:hanging="709"/>
        <w:rPr>
          <w:rFonts w:ascii="Palatino Linotype" w:hAnsi="Palatino Linotype" w:cs="Times New Roman"/>
          <w:i/>
          <w:iCs/>
          <w:sz w:val="22"/>
          <w:szCs w:val="22"/>
        </w:rPr>
      </w:pPr>
    </w:p>
    <w:p w:rsidRPr="00FB0412" w:rsidR="0005208C" w:rsidP="0005208C" w:rsidRDefault="0005208C" w14:paraId="5986F71D" w14:textId="77777777">
      <w:pPr>
        <w:autoSpaceDE w:val="0"/>
        <w:autoSpaceDN w:val="0"/>
        <w:adjustRightInd w:val="0"/>
        <w:ind w:left="709" w:hanging="709"/>
        <w:rPr>
          <w:rFonts w:ascii="Palatino Linotype" w:hAnsi="Palatino Linotype"/>
          <w:sz w:val="22"/>
          <w:szCs w:val="22"/>
        </w:rPr>
      </w:pPr>
      <w:r w:rsidRPr="00FB0412">
        <w:rPr>
          <w:rFonts w:ascii="Palatino Linotype" w:hAnsi="Palatino Linotype"/>
          <w:sz w:val="22"/>
          <w:szCs w:val="22"/>
        </w:rPr>
        <w:t xml:space="preserve">Que, </w:t>
      </w:r>
      <w:r w:rsidRPr="00FB0412">
        <w:rPr>
          <w:rFonts w:ascii="Palatino Linotype" w:hAnsi="Palatino Linotype"/>
          <w:sz w:val="22"/>
          <w:szCs w:val="22"/>
        </w:rPr>
        <w:tab/>
      </w:r>
      <w:r w:rsidRPr="00FB0412">
        <w:rPr>
          <w:rFonts w:ascii="Palatino Linotype" w:hAnsi="Palatino Linotype"/>
          <w:sz w:val="22"/>
          <w:szCs w:val="22"/>
        </w:rPr>
        <w:t xml:space="preserve">el artículo 266 de la Constitución, determina: </w:t>
      </w:r>
      <w:r w:rsidRPr="00FB0412">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FB0412">
        <w:rPr>
          <w:rFonts w:ascii="Palatino Linotype" w:hAnsi="Palatino Linotype"/>
          <w:sz w:val="22"/>
          <w:szCs w:val="22"/>
        </w:rPr>
        <w:t>;</w:t>
      </w:r>
    </w:p>
    <w:p w:rsidRPr="00FB0412" w:rsidR="0005208C" w:rsidP="0005208C" w:rsidRDefault="0005208C" w14:paraId="29C2E6DB" w14:textId="77777777">
      <w:pPr>
        <w:autoSpaceDE w:val="0"/>
        <w:autoSpaceDN w:val="0"/>
        <w:adjustRightInd w:val="0"/>
        <w:spacing w:after="0" w:line="240" w:lineRule="auto"/>
        <w:ind w:left="709" w:hanging="709"/>
        <w:rPr>
          <w:rFonts w:ascii="Palatino Linotype" w:hAnsi="Palatino Linotype" w:cs="Times New Roman"/>
          <w:i/>
          <w:iCs/>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el artículo 85 del COOTAD, estableciendo las competencias exclusivas de los distritos metropolitanos, señala: “</w:t>
      </w:r>
      <w:r w:rsidRPr="00FB0412">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Pr="00FB0412" w:rsidR="0005208C" w:rsidP="0005208C" w:rsidRDefault="0005208C" w14:paraId="351F38CD" w14:textId="77777777">
      <w:pPr>
        <w:autoSpaceDE w:val="0"/>
        <w:autoSpaceDN w:val="0"/>
        <w:adjustRightInd w:val="0"/>
        <w:spacing w:after="0" w:line="240" w:lineRule="auto"/>
        <w:ind w:left="709" w:hanging="709"/>
        <w:rPr>
          <w:rFonts w:ascii="Palatino Linotype" w:hAnsi="Palatino Linotype" w:cs="Times New Roman"/>
          <w:sz w:val="22"/>
          <w:szCs w:val="22"/>
        </w:rPr>
      </w:pPr>
    </w:p>
    <w:p w:rsidRPr="00FB0412" w:rsidR="0005208C" w:rsidP="0005208C" w:rsidRDefault="0005208C" w14:paraId="09D2D0C4" w14:textId="77777777">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 xml:space="preserve"> los literales a), d) y v) del artículo 87 del COOTAD, establecen como atribuciones del Concejo Metropolitano: “</w:t>
      </w:r>
      <w:r w:rsidRPr="00FB0412">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FB0412">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rsidRPr="00FB0412" w:rsidR="0005208C" w:rsidP="0005208C" w:rsidRDefault="0005208C" w14:paraId="779F9CD5" w14:textId="77777777">
      <w:pPr>
        <w:autoSpaceDE w:val="0"/>
        <w:autoSpaceDN w:val="0"/>
        <w:adjustRightInd w:val="0"/>
        <w:spacing w:after="0" w:line="240" w:lineRule="auto"/>
        <w:ind w:left="709" w:hanging="709"/>
        <w:rPr>
          <w:rFonts w:ascii="Palatino Linotype" w:hAnsi="Palatino Linotype" w:cs="Times New Roman"/>
          <w:i/>
          <w:sz w:val="22"/>
          <w:szCs w:val="22"/>
        </w:rPr>
      </w:pPr>
    </w:p>
    <w:p w:rsidRPr="00FB0412" w:rsidR="0005208C" w:rsidP="0005208C" w:rsidRDefault="0005208C" w14:paraId="415088F8" w14:textId="77777777">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 xml:space="preserve">el quinto inciso del artículo 129 del Código Orgánico de Organización Territorial, en adelante "COOTAD" dispone: </w:t>
      </w:r>
      <w:r w:rsidRPr="00FB0412">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Pr="00FB0412" w:rsidR="0005208C" w:rsidP="0005208C" w:rsidRDefault="0005208C" w14:paraId="49A37A05" w14:textId="77777777">
      <w:pPr>
        <w:autoSpaceDE w:val="0"/>
        <w:autoSpaceDN w:val="0"/>
        <w:adjustRightInd w:val="0"/>
        <w:spacing w:after="0" w:line="240" w:lineRule="auto"/>
        <w:ind w:left="709" w:hanging="709"/>
        <w:rPr>
          <w:rFonts w:ascii="Palatino Linotype" w:hAnsi="Palatino Linotype" w:cs="Times New Roman"/>
          <w:i/>
          <w:sz w:val="22"/>
          <w:szCs w:val="22"/>
        </w:rPr>
      </w:pPr>
    </w:p>
    <w:p w:rsidRPr="00FB0412" w:rsidR="0005208C" w:rsidP="0005208C" w:rsidRDefault="0005208C" w14:paraId="1F8CE92F" w14:textId="77777777">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 xml:space="preserve">el numeral 1 del artículo </w:t>
      </w:r>
      <w:r w:rsidRPr="00FB0412">
        <w:rPr>
          <w:rFonts w:ascii="Palatino Linotype" w:hAnsi="Palatino Linotype" w:cs="Palatino Linotype"/>
          <w:bCs/>
          <w:color w:val="000000"/>
          <w:sz w:val="22"/>
          <w:szCs w:val="22"/>
        </w:rPr>
        <w:t>2165</w:t>
      </w:r>
      <w:r w:rsidRPr="00FB0412">
        <w:rPr>
          <w:rFonts w:ascii="Palatino Linotype" w:hAnsi="Palatino Linotype" w:cs="Times New Roman"/>
          <w:sz w:val="22"/>
          <w:szCs w:val="22"/>
        </w:rPr>
        <w:t xml:space="preserve"> del Código Municipal para el Distrito Metropolitano de Quito, en adelante Código Municipal, señala que: </w:t>
      </w:r>
      <w:r w:rsidRPr="00FB0412">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Pr="00FB0412" w:rsidR="0005208C" w:rsidP="0005208C" w:rsidRDefault="0005208C" w14:paraId="7BDA81F8" w14:textId="77777777">
      <w:pPr>
        <w:autoSpaceDE w:val="0"/>
        <w:autoSpaceDN w:val="0"/>
        <w:adjustRightInd w:val="0"/>
        <w:spacing w:after="0" w:line="240" w:lineRule="auto"/>
        <w:ind w:left="709" w:hanging="709"/>
        <w:rPr>
          <w:rFonts w:ascii="Palatino Linotype" w:hAnsi="Palatino Linotype" w:cs="Times New Roman"/>
          <w:sz w:val="22"/>
          <w:szCs w:val="22"/>
        </w:rPr>
      </w:pPr>
    </w:p>
    <w:p w:rsidRPr="00FB0412" w:rsidR="0005208C" w:rsidP="0005208C" w:rsidRDefault="0005208C" w14:paraId="08B8F564" w14:textId="77777777">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 xml:space="preserve">el numeral 5 del artículo </w:t>
      </w:r>
      <w:r w:rsidRPr="00FB0412">
        <w:rPr>
          <w:rFonts w:ascii="Palatino Linotype" w:hAnsi="Palatino Linotype" w:cs="Palatino Linotype"/>
          <w:bCs/>
          <w:color w:val="000000"/>
          <w:sz w:val="22"/>
          <w:szCs w:val="22"/>
        </w:rPr>
        <w:t>2165</w:t>
      </w:r>
      <w:r w:rsidRPr="00FB0412">
        <w:rPr>
          <w:rFonts w:ascii="Palatino Linotype" w:hAnsi="Palatino Linotype" w:cs="Times New Roman"/>
          <w:sz w:val="22"/>
          <w:szCs w:val="22"/>
        </w:rPr>
        <w:t xml:space="preserve"> del Código Municipal, señala que: </w:t>
      </w:r>
      <w:r w:rsidRPr="00FB0412">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Pr="00FB0412" w:rsidR="0005208C" w:rsidP="0005208C" w:rsidRDefault="0005208C" w14:paraId="3AAABF31" w14:textId="77777777">
      <w:pPr>
        <w:autoSpaceDE w:val="0"/>
        <w:autoSpaceDN w:val="0"/>
        <w:adjustRightInd w:val="0"/>
        <w:spacing w:after="0" w:line="240" w:lineRule="auto"/>
        <w:ind w:left="709" w:hanging="709"/>
        <w:rPr>
          <w:rFonts w:ascii="Palatino Linotype" w:hAnsi="Palatino Linotype" w:cs="Times New Roman"/>
          <w:sz w:val="22"/>
          <w:szCs w:val="22"/>
        </w:rPr>
      </w:pPr>
    </w:p>
    <w:p w:rsidRPr="00FB0412" w:rsidR="00787427" w:rsidP="0005208C" w:rsidRDefault="0005208C" w14:paraId="050C4250" w14:textId="30A9C68E">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sz w:val="22"/>
          <w:szCs w:val="22"/>
        </w:rPr>
        <w:t xml:space="preserve">Que, el artículo 2166 del Código Municipal, determina: </w:t>
      </w:r>
      <w:r w:rsidRPr="00FB0412">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Pr="00537B25" w:rsidR="00B81C42" w:rsidP="00352D87" w:rsidRDefault="00B81C42" w14:paraId="37E13B8F" w14:textId="77777777">
      <w:pPr>
        <w:autoSpaceDE w:val="0"/>
        <w:autoSpaceDN w:val="0"/>
        <w:adjustRightInd w:val="0"/>
        <w:spacing w:after="0" w:line="240" w:lineRule="auto"/>
        <w:ind w:left="709" w:hanging="709"/>
        <w:rPr>
          <w:rFonts w:ascii="Palatino Linotype" w:hAnsi="Palatino Linotype" w:cs="Times New Roman"/>
          <w:sz w:val="22"/>
          <w:szCs w:val="22"/>
        </w:rPr>
      </w:pPr>
    </w:p>
    <w:p w:rsidRPr="00537B25" w:rsidR="00352D87" w:rsidP="00352D87" w:rsidRDefault="00352D87" w14:paraId="00869283" w14:textId="473CD350">
      <w:pPr>
        <w:autoSpaceDE w:val="0"/>
        <w:autoSpaceDN w:val="0"/>
        <w:adjustRightInd w:val="0"/>
        <w:spacing w:after="0" w:line="240" w:lineRule="auto"/>
        <w:ind w:left="709" w:hanging="709"/>
        <w:rPr>
          <w:rFonts w:ascii="Palatino Linotype" w:hAnsi="Palatino Linotype" w:cs="Times New Roman"/>
          <w:i/>
          <w:sz w:val="22"/>
          <w:szCs w:val="22"/>
        </w:rPr>
      </w:pPr>
      <w:r w:rsidRPr="00537B25">
        <w:rPr>
          <w:rFonts w:ascii="Palatino Linotype" w:hAnsi="Palatino Linotype" w:cs="Times New Roman"/>
          <w:sz w:val="22"/>
          <w:szCs w:val="22"/>
        </w:rPr>
        <w:t xml:space="preserve">Que, el </w:t>
      </w:r>
      <w:r w:rsidRPr="00537B25" w:rsidR="00BC2486">
        <w:rPr>
          <w:rFonts w:ascii="Palatino Linotype" w:hAnsi="Palatino Linotype" w:cs="Times New Roman"/>
          <w:sz w:val="22"/>
          <w:szCs w:val="22"/>
        </w:rPr>
        <w:t>i</w:t>
      </w:r>
      <w:r w:rsidRPr="00537B25">
        <w:rPr>
          <w:rFonts w:ascii="Palatino Linotype" w:hAnsi="Palatino Linotype" w:cs="Times New Roman"/>
          <w:sz w:val="22"/>
          <w:szCs w:val="22"/>
        </w:rPr>
        <w:t xml:space="preserve">nforme </w:t>
      </w:r>
      <w:r w:rsidRPr="00537B25" w:rsidR="00BC2486">
        <w:rPr>
          <w:rFonts w:ascii="Palatino Linotype" w:hAnsi="Palatino Linotype" w:cs="Times New Roman"/>
          <w:sz w:val="22"/>
          <w:szCs w:val="22"/>
        </w:rPr>
        <w:t>l</w:t>
      </w:r>
      <w:r w:rsidRPr="00537B25">
        <w:rPr>
          <w:rFonts w:ascii="Palatino Linotype" w:hAnsi="Palatino Linotype" w:cs="Times New Roman"/>
          <w:sz w:val="22"/>
          <w:szCs w:val="22"/>
        </w:rPr>
        <w:t>egal N</w:t>
      </w:r>
      <w:r w:rsidRPr="00537B25" w:rsidR="00BC2486">
        <w:rPr>
          <w:rFonts w:ascii="Palatino Linotype" w:hAnsi="Palatino Linotype" w:cs="Times New Roman"/>
          <w:sz w:val="22"/>
          <w:szCs w:val="22"/>
        </w:rPr>
        <w:t>r</w:t>
      </w:r>
      <w:r w:rsidRPr="00537B25">
        <w:rPr>
          <w:rFonts w:ascii="Palatino Linotype" w:hAnsi="Palatino Linotype" w:cs="Times New Roman"/>
          <w:sz w:val="22"/>
          <w:szCs w:val="22"/>
        </w:rPr>
        <w:t xml:space="preserve">o. </w:t>
      </w:r>
      <w:r w:rsidRPr="00537B25" w:rsidR="00F43A40">
        <w:rPr>
          <w:rFonts w:ascii="Palatino Linotype" w:hAnsi="Palatino Linotype" w:cs="Times New Roman"/>
          <w:iCs/>
          <w:sz w:val="22"/>
          <w:szCs w:val="22"/>
        </w:rPr>
        <w:t xml:space="preserve">21-DAJ-AMZT-2019 </w:t>
      </w:r>
      <w:r w:rsidRPr="00537B25">
        <w:rPr>
          <w:rFonts w:ascii="Palatino Linotype" w:hAnsi="Palatino Linotype" w:cs="Times New Roman"/>
          <w:iCs/>
          <w:sz w:val="22"/>
          <w:szCs w:val="22"/>
        </w:rPr>
        <w:t xml:space="preserve">de </w:t>
      </w:r>
      <w:r w:rsidRPr="00537B25" w:rsidR="00F43A40">
        <w:rPr>
          <w:rFonts w:ascii="Palatino Linotype" w:hAnsi="Palatino Linotype" w:cs="Times New Roman"/>
          <w:iCs/>
          <w:sz w:val="22"/>
          <w:szCs w:val="22"/>
        </w:rPr>
        <w:t xml:space="preserve">19 </w:t>
      </w:r>
      <w:r w:rsidRPr="00537B25">
        <w:rPr>
          <w:rFonts w:ascii="Palatino Linotype" w:hAnsi="Palatino Linotype" w:cs="Times New Roman"/>
          <w:sz w:val="22"/>
          <w:szCs w:val="22"/>
        </w:rPr>
        <w:t xml:space="preserve">de </w:t>
      </w:r>
      <w:r w:rsidRPr="00537B25" w:rsidR="00F43A40">
        <w:rPr>
          <w:rFonts w:ascii="Palatino Linotype" w:hAnsi="Palatino Linotype" w:cs="Times New Roman"/>
          <w:iCs/>
          <w:sz w:val="22"/>
          <w:szCs w:val="22"/>
        </w:rPr>
        <w:t>marzo</w:t>
      </w:r>
      <w:r w:rsidRPr="00537B25">
        <w:rPr>
          <w:rFonts w:ascii="Palatino Linotype" w:hAnsi="Palatino Linotype" w:cs="Times New Roman"/>
          <w:sz w:val="22"/>
          <w:szCs w:val="22"/>
        </w:rPr>
        <w:t xml:space="preserve"> de </w:t>
      </w:r>
      <w:r w:rsidRPr="00537B25" w:rsidR="00F43A40">
        <w:rPr>
          <w:rFonts w:ascii="Palatino Linotype" w:hAnsi="Palatino Linotype" w:cs="Times New Roman"/>
          <w:iCs/>
          <w:sz w:val="22"/>
          <w:szCs w:val="22"/>
        </w:rPr>
        <w:t>2019</w:t>
      </w:r>
      <w:r w:rsidRPr="00537B25">
        <w:rPr>
          <w:rFonts w:ascii="Palatino Linotype" w:hAnsi="Palatino Linotype" w:cs="Times New Roman"/>
          <w:sz w:val="22"/>
          <w:szCs w:val="22"/>
        </w:rPr>
        <w:t xml:space="preserve">, emitido por el </w:t>
      </w:r>
      <w:r w:rsidRPr="00537B25" w:rsidR="00F43A40">
        <w:rPr>
          <w:rFonts w:ascii="Palatino Linotype" w:hAnsi="Palatino Linotype" w:cs="Times New Roman"/>
          <w:iCs/>
          <w:sz w:val="22"/>
          <w:szCs w:val="22"/>
        </w:rPr>
        <w:t>Abg.</w:t>
      </w:r>
      <w:r w:rsidRPr="00537B25">
        <w:rPr>
          <w:rFonts w:ascii="Palatino Linotype" w:hAnsi="Palatino Linotype" w:cs="Times New Roman"/>
          <w:sz w:val="22"/>
          <w:szCs w:val="22"/>
        </w:rPr>
        <w:t xml:space="preserve"> </w:t>
      </w:r>
      <w:r w:rsidRPr="00537B25" w:rsidR="00F43A40">
        <w:rPr>
          <w:rFonts w:ascii="Palatino Linotype" w:hAnsi="Palatino Linotype" w:cs="Times New Roman"/>
          <w:sz w:val="22"/>
          <w:szCs w:val="22"/>
        </w:rPr>
        <w:t xml:space="preserve">Carlos Camacho, Ex Director de Asesoría Jurídica de la Administración Zonal Tumbaco </w:t>
      </w:r>
      <w:r w:rsidRPr="00537B25">
        <w:rPr>
          <w:rFonts w:ascii="Palatino Linotype" w:hAnsi="Palatino Linotype" w:cs="Times New Roman"/>
          <w:sz w:val="22"/>
          <w:szCs w:val="22"/>
        </w:rPr>
        <w:t xml:space="preserve"> menciona que: </w:t>
      </w:r>
      <w:r w:rsidRPr="00537B25" w:rsidR="00B81C42">
        <w:rPr>
          <w:rFonts w:ascii="Palatino Linotype" w:hAnsi="Palatino Linotype" w:cs="Times New Roman"/>
          <w:sz w:val="22"/>
          <w:szCs w:val="22"/>
        </w:rPr>
        <w:t xml:space="preserve"> </w:t>
      </w:r>
      <w:r w:rsidRPr="00537B25" w:rsidR="00F43A40">
        <w:rPr>
          <w:rFonts w:ascii="Palatino Linotype" w:hAnsi="Palatino Linotype" w:cs="Times New Roman"/>
          <w:i/>
          <w:sz w:val="22"/>
          <w:szCs w:val="22"/>
        </w:rPr>
        <w:t>“…emite INFORME LEGAL FAVORABLE para la aprobación de regularización de trazado vial CALLE PANECILLO, BARRIO LA CERÁMICA, PARROQUIA TUMBACO, de acuerdo a las especificaciones técnicas esta</w:t>
      </w:r>
      <w:r w:rsidRPr="00537B25" w:rsidR="00A53931">
        <w:rPr>
          <w:rFonts w:ascii="Palatino Linotype" w:hAnsi="Palatino Linotype" w:cs="Times New Roman"/>
          <w:i/>
          <w:sz w:val="22"/>
          <w:szCs w:val="22"/>
        </w:rPr>
        <w:t>blecidas en el informe técnico”</w:t>
      </w:r>
      <w:r w:rsidRPr="00537B25">
        <w:rPr>
          <w:rFonts w:ascii="Palatino Linotype" w:hAnsi="Palatino Linotype" w:cs="Times New Roman"/>
          <w:i/>
          <w:sz w:val="22"/>
          <w:szCs w:val="22"/>
        </w:rPr>
        <w:t>;</w:t>
      </w:r>
    </w:p>
    <w:p w:rsidRPr="00FB0412" w:rsidR="00352D87" w:rsidP="00352D87" w:rsidRDefault="00352D87" w14:paraId="45AF5EB1" w14:textId="0E1A44B3">
      <w:pPr>
        <w:autoSpaceDE w:val="0"/>
        <w:autoSpaceDN w:val="0"/>
        <w:adjustRightInd w:val="0"/>
        <w:spacing w:after="0" w:line="240" w:lineRule="auto"/>
        <w:ind w:left="709" w:hanging="709"/>
        <w:rPr>
          <w:rFonts w:ascii="Palatino Linotype" w:hAnsi="Palatino Linotype" w:cs="Times New Roman"/>
          <w:i/>
          <w:sz w:val="22"/>
          <w:szCs w:val="22"/>
        </w:rPr>
      </w:pPr>
    </w:p>
    <w:p w:rsidRPr="00FB0412" w:rsidR="00352D87" w:rsidP="00F33E0D" w:rsidRDefault="00352D87" w14:paraId="73D0817E" w14:textId="6639743B">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iCs/>
          <w:sz w:val="22"/>
          <w:szCs w:val="22"/>
        </w:rPr>
        <w:t xml:space="preserve">Que, </w:t>
      </w:r>
      <w:r w:rsidRPr="00FB0412">
        <w:rPr>
          <w:rFonts w:ascii="Palatino Linotype" w:hAnsi="Palatino Linotype" w:cs="Times New Roman"/>
          <w:sz w:val="22"/>
          <w:szCs w:val="22"/>
        </w:rPr>
        <w:tab/>
      </w:r>
      <w:r w:rsidRPr="00FB0412">
        <w:rPr>
          <w:rFonts w:ascii="Palatino Linotype" w:hAnsi="Palatino Linotype" w:cs="Times New Roman"/>
          <w:sz w:val="22"/>
          <w:szCs w:val="22"/>
        </w:rPr>
        <w:t xml:space="preserve">la Secretaría de Territorio, Hábitat y Vivienda </w:t>
      </w:r>
      <w:r w:rsidRPr="00FB0412" w:rsidR="00A53931">
        <w:rPr>
          <w:rFonts w:ascii="Palatino Linotype" w:hAnsi="Palatino Linotype" w:cs="Times New Roman"/>
          <w:sz w:val="22"/>
          <w:szCs w:val="22"/>
        </w:rPr>
        <w:t>mediante</w:t>
      </w:r>
      <w:r w:rsidRPr="00FB0412">
        <w:rPr>
          <w:rFonts w:ascii="Palatino Linotype" w:hAnsi="Palatino Linotype" w:cs="Times New Roman"/>
          <w:sz w:val="22"/>
          <w:szCs w:val="22"/>
        </w:rPr>
        <w:t xml:space="preserve"> oficio </w:t>
      </w:r>
      <w:r w:rsidRPr="00FB0412" w:rsidR="00A53931">
        <w:rPr>
          <w:rFonts w:ascii="Palatino Linotype" w:hAnsi="Palatino Linotype" w:cs="Times New Roman"/>
          <w:sz w:val="22"/>
          <w:szCs w:val="22"/>
        </w:rPr>
        <w:t>Nro. STHV-DMGT-2021-1393-O, de 13 de abril de 2021</w:t>
      </w:r>
      <w:r w:rsidRPr="00FB0412">
        <w:rPr>
          <w:rFonts w:ascii="Palatino Linotype" w:hAnsi="Palatino Linotype" w:cs="Times New Roman"/>
          <w:sz w:val="22"/>
          <w:szCs w:val="22"/>
        </w:rPr>
        <w:t xml:space="preserve">, </w:t>
      </w:r>
      <w:r w:rsidRPr="00FB0412" w:rsidR="00BC2486">
        <w:rPr>
          <w:rFonts w:ascii="Palatino Linotype" w:hAnsi="Palatino Linotype" w:cs="Times New Roman"/>
          <w:sz w:val="22"/>
          <w:szCs w:val="22"/>
        </w:rPr>
        <w:t>señala:</w:t>
      </w:r>
      <w:r w:rsidRPr="00FB0412" w:rsidR="00A53931">
        <w:rPr>
          <w:rFonts w:ascii="Palatino Linotype" w:hAnsi="Palatino Linotype" w:cs="Times New Roman"/>
          <w:sz w:val="22"/>
          <w:szCs w:val="22"/>
        </w:rPr>
        <w:t xml:space="preserve"> </w:t>
      </w:r>
      <w:r w:rsidRPr="00FB0412" w:rsidR="00A53931">
        <w:rPr>
          <w:rFonts w:ascii="Palatino Linotype" w:hAnsi="Palatino Linotype" w:cs="Times New Roman"/>
          <w:i/>
          <w:sz w:val="22"/>
          <w:szCs w:val="22"/>
        </w:rPr>
        <w:t xml:space="preserve">“(…) </w:t>
      </w:r>
      <w:r w:rsidRPr="00FB0412" w:rsidR="00F33E0D">
        <w:rPr>
          <w:rFonts w:ascii="Palatino Linotype" w:hAnsi="Palatino Linotype" w:cs="Times New Roman"/>
          <w:i/>
          <w:sz w:val="22"/>
          <w:szCs w:val="22"/>
        </w:rPr>
        <w:t xml:space="preserve">en base a las disposiciones legales invocadas y conclusiones expuestas, es criterio de la Dirección Metropolitana de </w:t>
      </w:r>
      <w:r w:rsidRPr="00FB0412" w:rsidR="00F33E0D">
        <w:rPr>
          <w:rFonts w:ascii="Palatino Linotype" w:hAnsi="Palatino Linotype" w:cs="Times New Roman"/>
          <w:i/>
          <w:sz w:val="22"/>
          <w:szCs w:val="22"/>
        </w:rPr>
        <w:lastRenderedPageBreak/>
        <w:t>Gestión Territorial, de la Secretaría de Territorio, Hábitat y Vivienda, emitir el informe técnico FAVORABLE para la regularización del trazado vial de la calle Panecillo, ubicado en el sector la Cerámica de la Parroquia Tumbaco del Distrito Metropolitano de Quito”.</w:t>
      </w:r>
    </w:p>
    <w:p w:rsidRPr="00FB0412" w:rsidR="006D41AA" w:rsidP="00F33E0D" w:rsidRDefault="006D41AA" w14:paraId="452CEC93" w14:textId="677CA7E1">
      <w:pPr>
        <w:autoSpaceDE w:val="0"/>
        <w:autoSpaceDN w:val="0"/>
        <w:adjustRightInd w:val="0"/>
        <w:spacing w:after="0" w:line="240" w:lineRule="auto"/>
        <w:ind w:left="709" w:hanging="709"/>
        <w:rPr>
          <w:rFonts w:ascii="Palatino Linotype" w:hAnsi="Palatino Linotype" w:cs="Times New Roman"/>
          <w:i/>
          <w:sz w:val="22"/>
          <w:szCs w:val="22"/>
        </w:rPr>
      </w:pPr>
    </w:p>
    <w:p w:rsidRPr="00FB0412" w:rsidR="006D41AA" w:rsidP="00CD1214" w:rsidRDefault="006D41AA" w14:paraId="344152D5" w14:textId="3B188EBB">
      <w:pPr>
        <w:autoSpaceDE w:val="0"/>
        <w:autoSpaceDN w:val="0"/>
        <w:adjustRightInd w:val="0"/>
        <w:spacing w:after="0" w:line="240" w:lineRule="auto"/>
        <w:ind w:left="709" w:hanging="709"/>
        <w:rPr>
          <w:rFonts w:ascii="Palatino Linotype" w:hAnsi="Palatino Linotype" w:cs="Times New Roman"/>
          <w:i/>
          <w:sz w:val="22"/>
          <w:szCs w:val="22"/>
        </w:rPr>
      </w:pPr>
      <w:r w:rsidRPr="00FB0412">
        <w:rPr>
          <w:rFonts w:ascii="Palatino Linotype" w:hAnsi="Palatino Linotype" w:cs="Times New Roman"/>
          <w:i/>
          <w:sz w:val="22"/>
          <w:szCs w:val="22"/>
        </w:rPr>
        <w:t xml:space="preserve">Que, </w:t>
      </w:r>
      <w:r w:rsidRPr="00FB0412">
        <w:rPr>
          <w:rFonts w:ascii="Palatino Linotype" w:hAnsi="Palatino Linotype"/>
          <w:sz w:val="22"/>
          <w:szCs w:val="22"/>
        </w:rPr>
        <w:t>mediante oficio Nro. GADDMQ-SGSG-2021-3062-OF de 24 de noviembre de 2021, la Abg. Daniela Alexandra Valarezo Valdivieso, Secretaria General de Seguridad y</w:t>
      </w:r>
      <w:r w:rsidRPr="00FB0412" w:rsidR="00CD1214">
        <w:rPr>
          <w:rFonts w:ascii="Palatino Linotype" w:hAnsi="Palatino Linotype"/>
          <w:sz w:val="22"/>
          <w:szCs w:val="22"/>
        </w:rPr>
        <w:t xml:space="preserve"> Gobernabilidad, remite el informe Nro. IT-ECR-142-AT-DMGR-2021 que en la parte pertinente señala:</w:t>
      </w:r>
    </w:p>
    <w:p w:rsidRPr="00FB0412" w:rsidR="00352D87" w:rsidP="00352D87" w:rsidRDefault="00352D87" w14:paraId="2104B83C" w14:textId="4A1A8842">
      <w:pPr>
        <w:autoSpaceDE w:val="0"/>
        <w:autoSpaceDN w:val="0"/>
        <w:adjustRightInd w:val="0"/>
        <w:spacing w:after="0" w:line="240" w:lineRule="auto"/>
        <w:ind w:left="709" w:hanging="709"/>
        <w:rPr>
          <w:rFonts w:ascii="Palatino Linotype" w:hAnsi="Palatino Linotype" w:cs="Times New Roman"/>
          <w:iCs/>
          <w:sz w:val="22"/>
          <w:szCs w:val="22"/>
        </w:rPr>
      </w:pPr>
    </w:p>
    <w:p w:rsidRPr="00FB0412" w:rsidR="00CD1214" w:rsidP="00CD1214" w:rsidRDefault="00CD1214" w14:paraId="3A2424CA"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6. CONCLUSIONES Y RECOMENDACIONES</w:t>
      </w:r>
    </w:p>
    <w:p w:rsidRPr="00FB0412" w:rsidR="00CD1214" w:rsidP="00CD1214" w:rsidRDefault="00CD1214" w14:paraId="4BFCE92E" w14:textId="47BD098C">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Conceptualmente, el riesgo de desastres se genera cuando existen elementos vulnerables (personas, edificaciones, infraestructura y medios de vida) dentro de áreas expuestas a los potenciales efectos dañinos de fenómenos o procesos naturales y antrópicos. Si no existen elementos vulnerables expuestos, entonces no existen condiciones de riesgo. </w:t>
      </w:r>
    </w:p>
    <w:p w:rsidRPr="00FB0412" w:rsidR="00CD1214" w:rsidP="00CD1214" w:rsidRDefault="00CD1214" w14:paraId="17D4ED00"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La identificación temprana de las amenazas a las cuales está o estará expuesta una obra de infraestructura o proyecto de inversión (pública o privada), o a su vez, las amenazas que generará dicha obra o proyecto durante su ejecución y posterior operación, permite implementar oportunamente las medidas necesarias para reducir los riesgos generados. </w:t>
      </w:r>
    </w:p>
    <w:p w:rsidRPr="00FB0412" w:rsidR="00CD1214" w:rsidP="00CD1214" w:rsidRDefault="00CD1214" w14:paraId="10B6D07E"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El proyecto vial tiene que contemplar las medidas necesarias para la correcta conducción del agua lluvia y de escurrimiento superficial de todo el tramo vial analizado, lo que permitirá evitar un lavado del material fino al tratarse de un relleno, lo que podría ocasionar asentamientos diferenciales de la vía. </w:t>
      </w:r>
    </w:p>
    <w:p w:rsidRPr="00FB0412" w:rsidR="00CD1214" w:rsidP="00CD1214" w:rsidRDefault="00CD1214" w14:paraId="6BD564C8"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Para el caso del trazado vial analizado, según la información remitida por la Administración Zonal Tumbaco, y de acuerdo al análisis realizado, la implantación estará ubicada en una zona de amenaza alta frente a hundimientos poniendo en riesgo a los transeúntes y vehículos de avanzar el proceso de hundimiento y deformación. </w:t>
      </w:r>
    </w:p>
    <w:p w:rsidRPr="00FB0412" w:rsidR="00CD1214" w:rsidP="00CD1214" w:rsidRDefault="00CD1214" w14:paraId="2C0AA4E5"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Al encontrarse el proyecto vial sobre el relleno de la quebrada Chaquishcahuaycu, y al no disponer la Dirección Metropolitana de Gestión de Riesgos con información sobre el tipo de material del relleno, ni la técnica empleada para su compactación, el promotor del proyecto efectuará ensayos geotécnicos en el relleno para conocer su profundidad, tipo de material, nivel de compactación y la capacidad de carga portante; También, deberá gestionar ante la entidad competente la inspección del alcantarillado que atraviesa la quebrada. Esta información es importante para tomar las medidas preventivas oportunas ante la posibilidad de asentamientos del relleno. </w:t>
      </w:r>
    </w:p>
    <w:p w:rsidRPr="00FB0412" w:rsidR="00CD1214" w:rsidP="00CD1214" w:rsidRDefault="00CD1214" w14:paraId="4449C6E0"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Además, se deberá realizar inspecciones periódicas en la parte alta de la quebrada para verificar la ocurrencia de deslizamientos y presencia de volúmenes importantes de material en su cauce, es decir, el cauce debe mantenerse en condiciones adecuadas, sin basura o escombros que puedan obstruir la infraestructura soterrada en el relleno. </w:t>
      </w:r>
    </w:p>
    <w:p w:rsidRPr="00FB0412" w:rsidR="00CD1214" w:rsidP="00CD1214" w:rsidRDefault="00CD1214" w14:paraId="76EA394B" w14:textId="167E3EAA">
      <w:pPr>
        <w:autoSpaceDE w:val="0"/>
        <w:autoSpaceDN w:val="0"/>
        <w:adjustRightInd w:val="0"/>
        <w:spacing w:after="0" w:line="240" w:lineRule="auto"/>
        <w:ind w:left="709" w:hanging="1"/>
        <w:rPr>
          <w:rFonts w:ascii="Palatino Linotype" w:hAnsi="Palatino Linotype"/>
          <w:i/>
          <w:sz w:val="22"/>
          <w:szCs w:val="22"/>
        </w:rPr>
      </w:pPr>
      <w:r w:rsidRPr="00FB0412">
        <w:rPr>
          <w:rFonts w:ascii="Palatino Linotype" w:hAnsi="Palatino Linotype"/>
          <w:i/>
          <w:sz w:val="22"/>
          <w:szCs w:val="22"/>
        </w:rPr>
        <w:t xml:space="preserve">● El promotor del proyecto deberá garantizar el cumplimiento de las normativas técnicas nacionales y metropolitanas durante todas las etapas del proyecto, de manera particular desde el enfoque de seguridad, del Código Municipal vigente sobre el SISTEMA DE </w:t>
      </w:r>
      <w:r w:rsidRPr="00FB0412">
        <w:rPr>
          <w:rFonts w:ascii="Palatino Linotype" w:hAnsi="Palatino Linotype"/>
          <w:i/>
          <w:sz w:val="22"/>
          <w:szCs w:val="22"/>
        </w:rPr>
        <w:lastRenderedPageBreak/>
        <w:t>PREVENCIÓN Y PROTECCIÓN CIUDADANA POR LA EJECUCIÓN DE OBRAS EN EL DISTRITO METROPOLITANO DE QUITO”.</w:t>
      </w:r>
    </w:p>
    <w:p w:rsidRPr="00FB0412" w:rsidR="007558F2" w:rsidP="00CD1214" w:rsidRDefault="007558F2" w14:paraId="0436B423" w14:textId="41A954EB">
      <w:pPr>
        <w:autoSpaceDE w:val="0"/>
        <w:autoSpaceDN w:val="0"/>
        <w:adjustRightInd w:val="0"/>
        <w:spacing w:after="0" w:line="240" w:lineRule="auto"/>
        <w:ind w:left="709" w:hanging="1"/>
        <w:rPr>
          <w:rFonts w:ascii="Palatino Linotype" w:hAnsi="Palatino Linotype"/>
          <w:i/>
          <w:sz w:val="22"/>
          <w:szCs w:val="22"/>
        </w:rPr>
      </w:pPr>
    </w:p>
    <w:p w:rsidRPr="00FB0412" w:rsidR="007558F2" w:rsidP="007558F2" w:rsidRDefault="007558F2" w14:paraId="4B713006" w14:textId="7777777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i/>
          <w:sz w:val="22"/>
          <w:szCs w:val="22"/>
        </w:rPr>
        <w:t xml:space="preserve">Que, </w:t>
      </w:r>
      <w:r w:rsidRPr="00FB0412">
        <w:rPr>
          <w:rFonts w:ascii="Palatino Linotype" w:hAnsi="Palatino Linotype"/>
          <w:sz w:val="22"/>
          <w:szCs w:val="22"/>
        </w:rPr>
        <w:t xml:space="preserve">mediante oficio No. GADDMQ-STHV-DMC-2021-1498-O de 20 de diciembre de 2021, el Arq. Fernando Zamorano, Director Metropolitano de Catastro, remite el informe técnico No. STHV-DMC-UCE-2021-2784, que señala: </w:t>
      </w:r>
    </w:p>
    <w:p w:rsidRPr="00FB0412" w:rsidR="007558F2" w:rsidP="007558F2" w:rsidRDefault="007558F2" w14:paraId="1808A867" w14:textId="77777777">
      <w:pPr>
        <w:autoSpaceDE w:val="0"/>
        <w:autoSpaceDN w:val="0"/>
        <w:adjustRightInd w:val="0"/>
        <w:spacing w:after="0" w:line="240" w:lineRule="auto"/>
        <w:rPr>
          <w:rFonts w:ascii="Palatino Linotype" w:hAnsi="Palatino Linotype"/>
          <w:sz w:val="22"/>
          <w:szCs w:val="22"/>
        </w:rPr>
      </w:pPr>
    </w:p>
    <w:p w:rsidRPr="00FB0412" w:rsidR="007558F2" w:rsidP="007558F2" w:rsidRDefault="007558F2" w14:paraId="182B89AD" w14:textId="504C3E8E">
      <w:pPr>
        <w:autoSpaceDE w:val="0"/>
        <w:autoSpaceDN w:val="0"/>
        <w:adjustRightInd w:val="0"/>
        <w:spacing w:after="0" w:line="240" w:lineRule="auto"/>
        <w:ind w:left="708"/>
        <w:rPr>
          <w:rFonts w:ascii="Palatino Linotype" w:hAnsi="Palatino Linotype" w:cs="Times New Roman"/>
          <w:i/>
          <w:iCs/>
          <w:sz w:val="22"/>
          <w:szCs w:val="22"/>
        </w:rPr>
      </w:pPr>
      <w:r w:rsidRPr="00FB0412">
        <w:rPr>
          <w:rFonts w:ascii="Palatino Linotype" w:hAnsi="Palatino Linotype"/>
          <w:i/>
          <w:sz w:val="22"/>
          <w:szCs w:val="22"/>
        </w:rPr>
        <w:t>"(...) 3. CONCLUSIONES En la cartografía histórica que reposa en la Dirección Metropolitana de Catastro, el predio 280318 existe físicamente hasta el año 1997, debiendo indicarse que los siguientes archivos cartográficos son del año 2010, en los cuales el inmueble ya no se observa y la calle Panecillo ha sido abierta”.</w:t>
      </w:r>
    </w:p>
    <w:p w:rsidRPr="00FB0412" w:rsidR="00CD1214" w:rsidP="00352D87" w:rsidRDefault="00CD1214" w14:paraId="042993DF" w14:textId="3A7FA8CB">
      <w:pPr>
        <w:autoSpaceDE w:val="0"/>
        <w:autoSpaceDN w:val="0"/>
        <w:adjustRightInd w:val="0"/>
        <w:spacing w:after="0" w:line="240" w:lineRule="auto"/>
        <w:ind w:left="709" w:hanging="709"/>
        <w:rPr>
          <w:rFonts w:ascii="Palatino Linotype" w:hAnsi="Palatino Linotype" w:cs="Times New Roman"/>
          <w:iCs/>
          <w:sz w:val="22"/>
          <w:szCs w:val="22"/>
        </w:rPr>
      </w:pPr>
    </w:p>
    <w:p w:rsidRPr="00FB0412" w:rsidR="00B4105C" w:rsidP="008B48FA" w:rsidRDefault="00315155" w14:paraId="4E7B3BD4" w14:textId="74E43F53">
      <w:pPr>
        <w:autoSpaceDE w:val="0"/>
        <w:autoSpaceDN w:val="0"/>
        <w:adjustRightInd w:val="0"/>
        <w:spacing w:after="0" w:line="240" w:lineRule="auto"/>
        <w:ind w:left="709" w:hanging="709"/>
        <w:rPr>
          <w:rFonts w:ascii="Palatino Linotype" w:hAnsi="Palatino Linotype"/>
          <w:sz w:val="22"/>
          <w:szCs w:val="22"/>
        </w:rPr>
      </w:pPr>
      <w:r w:rsidRPr="00FB0412">
        <w:rPr>
          <w:rFonts w:ascii="Palatino Linotype" w:hAnsi="Palatino Linotype" w:cs="Times New Roman"/>
          <w:iCs/>
          <w:sz w:val="22"/>
          <w:szCs w:val="22"/>
        </w:rPr>
        <w:t xml:space="preserve">Que, </w:t>
      </w:r>
      <w:r w:rsidRPr="00FB0412" w:rsidR="008B48FA">
        <w:rPr>
          <w:rFonts w:ascii="Palatino Linotype" w:hAnsi="Palatino Linotype"/>
          <w:sz w:val="22"/>
          <w:szCs w:val="22"/>
        </w:rPr>
        <w:t>mediante oficio No. EPMMOP-GG-3207-2021-OF de 28 de diciembre de 2021, el Ing. Jorge Aníbal Merlo Paredes, Gerente General de la Empresa Pública Metropolitana de Movilidad y Obras Públicas, remite el Informe Técnico de Inspección 228-ITI-DE2021, que señala:</w:t>
      </w:r>
    </w:p>
    <w:p w:rsidRPr="00FB0412" w:rsidR="00E00D22" w:rsidP="008B48FA" w:rsidRDefault="00E00D22" w14:paraId="735E3920" w14:textId="00C28913">
      <w:pPr>
        <w:autoSpaceDE w:val="0"/>
        <w:autoSpaceDN w:val="0"/>
        <w:adjustRightInd w:val="0"/>
        <w:spacing w:after="0" w:line="240" w:lineRule="auto"/>
        <w:ind w:left="709" w:hanging="709"/>
        <w:rPr>
          <w:rFonts w:ascii="Palatino Linotype" w:hAnsi="Palatino Linotype"/>
          <w:sz w:val="22"/>
          <w:szCs w:val="22"/>
        </w:rPr>
      </w:pPr>
    </w:p>
    <w:p w:rsidRPr="00FB0412" w:rsidR="002B7F6D" w:rsidP="002B7F6D" w:rsidRDefault="002B7F6D" w14:paraId="79402882" w14:textId="77777777">
      <w:pPr>
        <w:autoSpaceDE w:val="0"/>
        <w:autoSpaceDN w:val="0"/>
        <w:adjustRightInd w:val="0"/>
        <w:spacing w:after="0" w:line="240" w:lineRule="auto"/>
        <w:ind w:left="709" w:hanging="1"/>
        <w:rPr>
          <w:rFonts w:ascii="Palatino Linotype" w:hAnsi="Palatino Linotype"/>
          <w:b/>
          <w:i/>
          <w:sz w:val="22"/>
          <w:szCs w:val="22"/>
        </w:rPr>
      </w:pPr>
      <w:r w:rsidRPr="00FB0412">
        <w:rPr>
          <w:rFonts w:ascii="Palatino Linotype" w:hAnsi="Palatino Linotype"/>
          <w:b/>
          <w:i/>
          <w:sz w:val="22"/>
          <w:szCs w:val="22"/>
        </w:rPr>
        <w:t xml:space="preserve">“(…) 3. CONCLUSIONES Y RECOMENDACIONES. </w:t>
      </w:r>
    </w:p>
    <w:p w:rsidRPr="00FB0412" w:rsidR="002B7F6D" w:rsidP="002B7F6D" w:rsidRDefault="002B7F6D" w14:paraId="3232D7C7"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Symbol" w:hAnsi="Symbol" w:eastAsia="Symbol" w:cs="Symbol"/>
          <w:i/>
          <w:sz w:val="22"/>
          <w:szCs w:val="22"/>
        </w:rPr>
        <w:t>·</w:t>
      </w:r>
      <w:r w:rsidRPr="00FB0412">
        <w:rPr>
          <w:rFonts w:ascii="Palatino Linotype" w:hAnsi="Palatino Linotype"/>
          <w:i/>
          <w:sz w:val="22"/>
          <w:szCs w:val="22"/>
        </w:rPr>
        <w:t xml:space="preserve"> Con memorando 1312-EPMMOP-GEF-2021-M, de 15 de noviembre de 2021, la Gerencia de Estudios y Fiscalización solicita a la Gerencia de Obras Públicas “(…) se informe si se han realizado intervenciones viales en el enlace existente entre la calle con nomenclatura “S2C” y “E2D” y la avenida Oswaldo Guayasamín, ubicada en el sector La Cerámica, parroquia Tumbaco (…)”. Con memorando 3151-EPMMOP-GOP-2021- M, de 10 de diciembre de 2021, La Gerencia de Obras Públicas informa “(…) debo comunicar que, revisados los archivos de la Dirección de Rehabilitación y Mantenimiento, no se han encontrado intervenciones viales mediante Administración Directa, en la ubicación solicitada. (…)” </w:t>
      </w:r>
    </w:p>
    <w:p w:rsidRPr="00FB0412" w:rsidR="002B7F6D" w:rsidP="002B7F6D" w:rsidRDefault="002B7F6D" w14:paraId="2775FAEB" w14:textId="77777777">
      <w:pPr>
        <w:autoSpaceDE w:val="0"/>
        <w:autoSpaceDN w:val="0"/>
        <w:adjustRightInd w:val="0"/>
        <w:spacing w:after="0" w:line="240" w:lineRule="auto"/>
        <w:ind w:left="709" w:hanging="1"/>
        <w:rPr>
          <w:rFonts w:ascii="Palatino Linotype" w:hAnsi="Palatino Linotype"/>
          <w:i/>
          <w:sz w:val="22"/>
          <w:szCs w:val="22"/>
        </w:rPr>
      </w:pPr>
      <w:r w:rsidRPr="00FB0412">
        <w:rPr>
          <w:rFonts w:ascii="Symbol" w:hAnsi="Symbol" w:eastAsia="Symbol" w:cs="Symbol"/>
          <w:i/>
          <w:sz w:val="22"/>
          <w:szCs w:val="22"/>
        </w:rPr>
        <w:t>·</w:t>
      </w:r>
      <w:r w:rsidRPr="00FB0412">
        <w:rPr>
          <w:rFonts w:ascii="Palatino Linotype" w:hAnsi="Palatino Linotype"/>
          <w:i/>
          <w:sz w:val="22"/>
          <w:szCs w:val="22"/>
        </w:rPr>
        <w:t xml:space="preserve"> Según la información recabada del Informe Legal No. 21- DAJ-AMZT-2019 Aprobación de Regularización de Trazado Vial calle Panecillo, barrio la Cerámica, parroquia de Tumbaco. (ticket 2016-004392) determina que: “(…) que dicho inmueble, no ha sido afectado por la construcción de la ampliación de la Vía Interoceánica, tramo III; sino que la afectación, se habría producido por otro trazado vial de competencia de la Administración Zonal de Tumbaco”. (…)”. </w:t>
      </w:r>
    </w:p>
    <w:p w:rsidRPr="009C0100" w:rsidR="00E00D22" w:rsidP="002B7F6D" w:rsidRDefault="002B7F6D" w14:paraId="42114889" w14:textId="638CB12D">
      <w:pPr>
        <w:autoSpaceDE w:val="0"/>
        <w:autoSpaceDN w:val="0"/>
        <w:adjustRightInd w:val="0"/>
        <w:spacing w:after="0" w:line="240" w:lineRule="auto"/>
        <w:ind w:left="709" w:hanging="1"/>
        <w:rPr>
          <w:rFonts w:ascii="Palatino Linotype" w:hAnsi="Palatino Linotype" w:cs="Times New Roman"/>
          <w:i/>
          <w:iCs/>
          <w:sz w:val="22"/>
          <w:szCs w:val="22"/>
        </w:rPr>
      </w:pPr>
      <w:r w:rsidRPr="00FB0412">
        <w:rPr>
          <w:rFonts w:ascii="Symbol" w:hAnsi="Symbol" w:eastAsia="Symbol" w:cs="Symbol"/>
          <w:i/>
          <w:sz w:val="22"/>
          <w:szCs w:val="22"/>
        </w:rPr>
        <w:t>·</w:t>
      </w:r>
      <w:r w:rsidRPr="00FB0412">
        <w:rPr>
          <w:rFonts w:ascii="Palatino Linotype" w:hAnsi="Palatino Linotype"/>
          <w:i/>
          <w:sz w:val="22"/>
          <w:szCs w:val="22"/>
        </w:rPr>
        <w:t xml:space="preserve"> En la inspección de campo se evidenció que la intersección actual, permite distribuir el tráfico entre la entre la Av. Oswaldo Guayasamín y la calle Panecillo (S2C – E2D) ubicada en el barrio La Cerámica, parroquia de Tumbaco, brindando una solución al flujo </w:t>
      </w:r>
      <w:r w:rsidRPr="009C0100">
        <w:rPr>
          <w:rFonts w:ascii="Palatino Linotype" w:hAnsi="Palatino Linotype"/>
          <w:i/>
          <w:sz w:val="22"/>
          <w:szCs w:val="22"/>
        </w:rPr>
        <w:t>vehicular que se desarrolla en el sector, sin embargo, esta obra vial no fue intervención de la Empresa Pública Metropolitana de Movilidad y Obras Públicas (EPMMOP)”.</w:t>
      </w:r>
    </w:p>
    <w:p w:rsidRPr="009C0100" w:rsidR="00B4105C" w:rsidP="00352D87" w:rsidRDefault="00B4105C" w14:paraId="2C77A8E8" w14:textId="05978634">
      <w:pPr>
        <w:autoSpaceDE w:val="0"/>
        <w:autoSpaceDN w:val="0"/>
        <w:adjustRightInd w:val="0"/>
        <w:spacing w:after="0" w:line="240" w:lineRule="auto"/>
        <w:ind w:left="709" w:hanging="709"/>
        <w:rPr>
          <w:rFonts w:ascii="Palatino Linotype" w:hAnsi="Palatino Linotype" w:cs="Times New Roman"/>
          <w:i/>
          <w:iCs/>
          <w:sz w:val="22"/>
          <w:szCs w:val="22"/>
        </w:rPr>
      </w:pPr>
    </w:p>
    <w:p w:rsidRPr="009C0100" w:rsidR="00B4105C" w:rsidP="00352D87" w:rsidRDefault="00B4105C" w14:paraId="21043C07" w14:textId="7CD50885">
      <w:pPr>
        <w:autoSpaceDE w:val="0"/>
        <w:autoSpaceDN w:val="0"/>
        <w:adjustRightInd w:val="0"/>
        <w:spacing w:after="0" w:line="240" w:lineRule="auto"/>
        <w:ind w:left="709" w:hanging="709"/>
        <w:rPr>
          <w:rFonts w:ascii="Palatino Linotype" w:hAnsi="Palatino Linotype" w:cs="Times New Roman"/>
          <w:iCs/>
          <w:sz w:val="22"/>
          <w:szCs w:val="22"/>
        </w:rPr>
      </w:pPr>
    </w:p>
    <w:p w:rsidRPr="009C0100" w:rsidR="000C1B79" w:rsidP="009C0100" w:rsidRDefault="000C1B79" w14:paraId="6B67389B" w14:textId="64CC91D9">
      <w:pPr>
        <w:autoSpaceDE w:val="0"/>
        <w:autoSpaceDN w:val="0"/>
        <w:adjustRightInd w:val="0"/>
        <w:ind w:left="709" w:hanging="709"/>
        <w:rPr>
          <w:rFonts w:ascii="Palatino Linotype" w:hAnsi="Palatino Linotype"/>
          <w:i/>
          <w:sz w:val="22"/>
          <w:szCs w:val="22"/>
        </w:rPr>
      </w:pPr>
      <w:r w:rsidRPr="009C0100">
        <w:rPr>
          <w:rFonts w:ascii="Palatino Linotype" w:hAnsi="Palatino Linotype"/>
          <w:sz w:val="22"/>
          <w:szCs w:val="22"/>
        </w:rPr>
        <w:t xml:space="preserve">Que, el informe técnico Nro. AMZT-DGT-TV/2022/037 de 18 de enero de 2022, emitido por la Unidad Administrativa de Territorio y Vivienda manifiesta en su parte </w:t>
      </w:r>
      <w:r w:rsidRPr="009C0100">
        <w:rPr>
          <w:rFonts w:ascii="Palatino Linotype" w:hAnsi="Palatino Linotype"/>
          <w:sz w:val="22"/>
          <w:szCs w:val="22"/>
        </w:rPr>
        <w:lastRenderedPageBreak/>
        <w:t xml:space="preserve">pertinente, que: </w:t>
      </w:r>
      <w:bookmarkStart w:name="_GoBack" w:id="0"/>
      <w:r w:rsidRPr="009C0100">
        <w:rPr>
          <w:rFonts w:ascii="Palatino Linotype" w:hAnsi="Palatino Linotype"/>
          <w:i/>
          <w:sz w:val="22"/>
          <w:szCs w:val="22"/>
        </w:rPr>
        <w:t>“emite Criterio Técnico FAVORABLE a LA REGULARIZACIÓN DEL TRAZADO VIAL CALLE “PANECILLO” (Nomenclatura S2C y E2D), BARRIO LA CERÁMICA, PARROQUIA TUMBACO, para que se proceda conforme lo establecido en la ley”;</w:t>
      </w:r>
    </w:p>
    <w:bookmarkEnd w:id="0"/>
    <w:p w:rsidRPr="009C0100" w:rsidR="00D9269D" w:rsidP="00352D87" w:rsidRDefault="00D9269D" w14:paraId="13B4E1FC" w14:textId="77777777">
      <w:pPr>
        <w:autoSpaceDE w:val="0"/>
        <w:autoSpaceDN w:val="0"/>
        <w:adjustRightInd w:val="0"/>
        <w:spacing w:after="0" w:line="240" w:lineRule="auto"/>
        <w:ind w:left="709" w:hanging="709"/>
        <w:rPr>
          <w:rFonts w:ascii="Palatino Linotype" w:hAnsi="Palatino Linotype" w:cs="Times New Roman"/>
          <w:iCs/>
          <w:sz w:val="22"/>
          <w:szCs w:val="22"/>
        </w:rPr>
      </w:pPr>
    </w:p>
    <w:p w:rsidRPr="00FB0412" w:rsidR="00352D87" w:rsidP="00352D87" w:rsidRDefault="00352D87" w14:paraId="4D1C9A35" w14:textId="55B32E5D">
      <w:pPr>
        <w:autoSpaceDE w:val="0"/>
        <w:autoSpaceDN w:val="0"/>
        <w:adjustRightInd w:val="0"/>
        <w:ind w:left="709" w:hanging="709"/>
        <w:rPr>
          <w:rFonts w:ascii="Palatino Linotype" w:hAnsi="Palatino Linotype"/>
          <w:sz w:val="22"/>
          <w:szCs w:val="22"/>
        </w:rPr>
      </w:pPr>
      <w:r w:rsidRPr="009C0100">
        <w:rPr>
          <w:rFonts w:ascii="Palatino Linotype" w:hAnsi="Palatino Linotype"/>
          <w:sz w:val="22"/>
          <w:szCs w:val="22"/>
        </w:rPr>
        <w:t xml:space="preserve">Que, </w:t>
      </w:r>
      <w:r w:rsidRPr="009C0100">
        <w:rPr>
          <w:rFonts w:ascii="Palatino Linotype" w:hAnsi="Palatino Linotype"/>
          <w:sz w:val="22"/>
          <w:szCs w:val="22"/>
        </w:rPr>
        <w:tab/>
      </w:r>
      <w:r w:rsidRPr="009C0100">
        <w:rPr>
          <w:rFonts w:ascii="Palatino Linotype" w:hAnsi="Palatino Linotype"/>
          <w:sz w:val="22"/>
          <w:szCs w:val="22"/>
        </w:rPr>
        <w:t>la Comisión de Uso de Su</w:t>
      </w:r>
      <w:r w:rsidRPr="009C0100" w:rsidR="007C459C">
        <w:rPr>
          <w:rFonts w:ascii="Palatino Linotype" w:hAnsi="Palatino Linotype"/>
          <w:sz w:val="22"/>
          <w:szCs w:val="22"/>
        </w:rPr>
        <w:t>elo en sesión ordinaria Nro. 131</w:t>
      </w:r>
      <w:r w:rsidRPr="009C0100">
        <w:rPr>
          <w:rFonts w:ascii="Palatino Linotype" w:hAnsi="Palatino Linotype"/>
          <w:sz w:val="22"/>
          <w:szCs w:val="22"/>
        </w:rPr>
        <w:t xml:space="preserve">, de </w:t>
      </w:r>
      <w:r w:rsidRPr="009C0100" w:rsidR="007C459C">
        <w:rPr>
          <w:rFonts w:ascii="Palatino Linotype" w:hAnsi="Palatino Linotype"/>
          <w:sz w:val="22"/>
          <w:szCs w:val="22"/>
        </w:rPr>
        <w:t xml:space="preserve">31 </w:t>
      </w:r>
      <w:r w:rsidRPr="009C0100">
        <w:rPr>
          <w:rFonts w:ascii="Palatino Linotype" w:hAnsi="Palatino Linotype"/>
          <w:sz w:val="22"/>
          <w:szCs w:val="22"/>
        </w:rPr>
        <w:t>de</w:t>
      </w:r>
      <w:r w:rsidRPr="009C0100" w:rsidR="007C459C">
        <w:rPr>
          <w:rFonts w:ascii="Palatino Linotype" w:hAnsi="Palatino Linotype"/>
          <w:sz w:val="22"/>
          <w:szCs w:val="22"/>
        </w:rPr>
        <w:t xml:space="preserve"> enero </w:t>
      </w:r>
      <w:r w:rsidRPr="009C0100">
        <w:rPr>
          <w:rFonts w:ascii="Palatino Linotype" w:hAnsi="Palatino Linotype"/>
          <w:sz w:val="22"/>
          <w:szCs w:val="22"/>
        </w:rPr>
        <w:t>de 202</w:t>
      </w:r>
      <w:r w:rsidRPr="009C0100" w:rsidR="007C459C">
        <w:rPr>
          <w:rFonts w:ascii="Palatino Linotype" w:hAnsi="Palatino Linotype"/>
          <w:sz w:val="22"/>
          <w:szCs w:val="22"/>
        </w:rPr>
        <w:t>2</w:t>
      </w:r>
      <w:r w:rsidRPr="009C0100" w:rsidR="003F6E01">
        <w:rPr>
          <w:rFonts w:ascii="Palatino Linotype" w:hAnsi="Palatino Linotype"/>
          <w:sz w:val="22"/>
          <w:szCs w:val="22"/>
        </w:rPr>
        <w:t xml:space="preserve"> </w:t>
      </w:r>
      <w:r w:rsidRPr="009C0100">
        <w:rPr>
          <w:rFonts w:ascii="Palatino Linotype" w:hAnsi="Palatino Linotype"/>
          <w:sz w:val="22"/>
          <w:szCs w:val="22"/>
        </w:rPr>
        <w:t>analizó los informes técnicos y legales</w:t>
      </w:r>
      <w:r w:rsidRPr="009C0100" w:rsidR="00BC2486">
        <w:rPr>
          <w:rFonts w:ascii="Palatino Linotype" w:hAnsi="Palatino Linotype"/>
          <w:sz w:val="22"/>
          <w:szCs w:val="22"/>
        </w:rPr>
        <w:t xml:space="preserve"> que reposan en el expediente, y </w:t>
      </w:r>
      <w:r w:rsidRPr="009C0100">
        <w:rPr>
          <w:rFonts w:ascii="Palatino Linotype" w:hAnsi="Palatino Linotype" w:cs="Times New Roman"/>
          <w:sz w:val="22"/>
          <w:szCs w:val="22"/>
        </w:rPr>
        <w:t>emitió dictamen</w:t>
      </w:r>
      <w:r w:rsidRPr="00FB0412">
        <w:rPr>
          <w:rFonts w:ascii="Palatino Linotype" w:hAnsi="Palatino Linotype" w:cs="Times New Roman"/>
          <w:sz w:val="22"/>
          <w:szCs w:val="22"/>
        </w:rPr>
        <w:t xml:space="preserve"> </w:t>
      </w:r>
      <w:r w:rsidRPr="00FB0412" w:rsidR="007C459C">
        <w:rPr>
          <w:rFonts w:ascii="Palatino Linotype" w:hAnsi="Palatino Linotype" w:cs="Times New Roman"/>
          <w:sz w:val="22"/>
          <w:szCs w:val="22"/>
        </w:rPr>
        <w:t xml:space="preserve">para conocimiento del Concejo </w:t>
      </w:r>
      <w:r w:rsidRPr="00FB0412" w:rsidR="00042966">
        <w:rPr>
          <w:rFonts w:ascii="Palatino Linotype" w:hAnsi="Palatino Linotype" w:cs="Times New Roman"/>
          <w:sz w:val="22"/>
          <w:szCs w:val="22"/>
        </w:rPr>
        <w:t>Metropolitano de Quito</w:t>
      </w:r>
      <w:r w:rsidRPr="00FB0412">
        <w:rPr>
          <w:rFonts w:ascii="Palatino Linotype" w:hAnsi="Palatino Linotype" w:cs="Times New Roman"/>
          <w:sz w:val="22"/>
          <w:szCs w:val="22"/>
        </w:rPr>
        <w:t xml:space="preserve">; </w:t>
      </w:r>
    </w:p>
    <w:p w:rsidRPr="00FB0412" w:rsidR="00352D87" w:rsidP="00352D87" w:rsidRDefault="00352D87" w14:paraId="5D54B6DF" w14:textId="3C720C77">
      <w:pPr>
        <w:autoSpaceDE w:val="0"/>
        <w:autoSpaceDN w:val="0"/>
        <w:adjustRightInd w:val="0"/>
        <w:spacing w:after="0" w:line="240" w:lineRule="auto"/>
        <w:ind w:left="709" w:hanging="709"/>
        <w:rPr>
          <w:rFonts w:ascii="Palatino Linotype" w:hAnsi="Palatino Linotype" w:cs="Times New Roman"/>
          <w:sz w:val="22"/>
          <w:szCs w:val="22"/>
        </w:rPr>
      </w:pPr>
      <w:r w:rsidRPr="00FB0412">
        <w:rPr>
          <w:rFonts w:ascii="Palatino Linotype" w:hAnsi="Palatino Linotype" w:cs="Times New Roman"/>
          <w:sz w:val="22"/>
          <w:szCs w:val="22"/>
        </w:rPr>
        <w:t xml:space="preserve">Que, el Concejo Metropolitano de Quito, en sesión pública ordinaria realizada el </w:t>
      </w:r>
      <w:r w:rsidRPr="00FB0412" w:rsidR="00B81C42">
        <w:rPr>
          <w:rFonts w:ascii="Palatino Linotype" w:hAnsi="Palatino Linotype" w:cs="Times New Roman"/>
          <w:iCs/>
          <w:sz w:val="22"/>
          <w:szCs w:val="22"/>
        </w:rPr>
        <w:t>…</w:t>
      </w:r>
      <w:r w:rsidRPr="00FB0412">
        <w:rPr>
          <w:rFonts w:ascii="Palatino Linotype" w:hAnsi="Palatino Linotype" w:cs="Times New Roman"/>
          <w:sz w:val="22"/>
          <w:szCs w:val="22"/>
        </w:rPr>
        <w:t xml:space="preserve"> de </w:t>
      </w:r>
      <w:r w:rsidRPr="00FB0412" w:rsidR="00B81C42">
        <w:rPr>
          <w:rFonts w:ascii="Palatino Linotype" w:hAnsi="Palatino Linotype" w:cs="Times New Roman"/>
          <w:iCs/>
          <w:sz w:val="22"/>
          <w:szCs w:val="22"/>
        </w:rPr>
        <w:t xml:space="preserve">… </w:t>
      </w:r>
      <w:r w:rsidRPr="00FB0412">
        <w:rPr>
          <w:rFonts w:ascii="Palatino Linotype" w:hAnsi="Palatino Linotype" w:cs="Times New Roman"/>
          <w:sz w:val="22"/>
          <w:szCs w:val="22"/>
        </w:rPr>
        <w:t xml:space="preserve">de </w:t>
      </w:r>
      <w:r w:rsidRPr="00FB0412" w:rsidR="00B81C42">
        <w:rPr>
          <w:rFonts w:ascii="Palatino Linotype" w:hAnsi="Palatino Linotype" w:cs="Times New Roman"/>
          <w:iCs/>
          <w:sz w:val="22"/>
          <w:szCs w:val="22"/>
        </w:rPr>
        <w:t>…</w:t>
      </w:r>
      <w:r w:rsidRPr="00FB0412">
        <w:rPr>
          <w:rFonts w:ascii="Palatino Linotype" w:hAnsi="Palatino Linotype" w:cs="Times New Roman"/>
          <w:sz w:val="22"/>
          <w:szCs w:val="22"/>
        </w:rPr>
        <w:t xml:space="preserve">, analizó el </w:t>
      </w:r>
      <w:r w:rsidRPr="00FB0412" w:rsidR="00410179">
        <w:rPr>
          <w:rFonts w:ascii="Palatino Linotype" w:hAnsi="Palatino Linotype" w:cs="Times New Roman"/>
          <w:sz w:val="22"/>
          <w:szCs w:val="22"/>
        </w:rPr>
        <w:t>i</w:t>
      </w:r>
      <w:r w:rsidRPr="00FB0412" w:rsidR="002F73FE">
        <w:rPr>
          <w:rFonts w:ascii="Palatino Linotype" w:hAnsi="Palatino Linotype" w:cs="Times New Roman"/>
          <w:sz w:val="22"/>
          <w:szCs w:val="22"/>
        </w:rPr>
        <w:t>nforme No. IC- 2022</w:t>
      </w:r>
      <w:r w:rsidRPr="00FB0412">
        <w:rPr>
          <w:rFonts w:ascii="Palatino Linotype" w:hAnsi="Palatino Linotype" w:cs="Times New Roman"/>
          <w:sz w:val="22"/>
          <w:szCs w:val="22"/>
        </w:rPr>
        <w:t>-</w:t>
      </w:r>
      <w:r w:rsidRPr="00FB0412" w:rsidR="00CA1A84">
        <w:rPr>
          <w:rFonts w:ascii="Palatino Linotype" w:hAnsi="Palatino Linotype" w:cs="Times New Roman"/>
          <w:iCs/>
          <w:sz w:val="22"/>
          <w:szCs w:val="22"/>
        </w:rPr>
        <w:t xml:space="preserve">021, </w:t>
      </w:r>
      <w:r w:rsidRPr="00FB0412">
        <w:rPr>
          <w:rFonts w:ascii="Palatino Linotype" w:hAnsi="Palatino Linotype" w:cs="Times New Roman"/>
          <w:sz w:val="22"/>
          <w:szCs w:val="22"/>
        </w:rPr>
        <w:t>emitido por la Comisión de Uso de Suelo; y,</w:t>
      </w:r>
    </w:p>
    <w:p w:rsidRPr="00FB0412" w:rsidR="00352D87" w:rsidP="00352D87" w:rsidRDefault="00352D87" w14:paraId="15F87E21" w14:textId="77777777">
      <w:pPr>
        <w:autoSpaceDE w:val="0"/>
        <w:autoSpaceDN w:val="0"/>
        <w:adjustRightInd w:val="0"/>
        <w:spacing w:after="0" w:line="240" w:lineRule="auto"/>
        <w:ind w:left="709" w:hanging="709"/>
        <w:rPr>
          <w:rFonts w:ascii="Palatino Linotype" w:hAnsi="Palatino Linotype" w:cs="Times New Roman"/>
          <w:sz w:val="22"/>
          <w:szCs w:val="22"/>
        </w:rPr>
      </w:pPr>
    </w:p>
    <w:p w:rsidRPr="00FB0412" w:rsidR="00352D87" w:rsidP="00352D87" w:rsidRDefault="00352D87" w14:paraId="790B67CA" w14:textId="77777777">
      <w:pPr>
        <w:autoSpaceDE w:val="0"/>
        <w:autoSpaceDN w:val="0"/>
        <w:adjustRightInd w:val="0"/>
        <w:spacing w:after="0" w:line="240" w:lineRule="auto"/>
        <w:ind w:left="709" w:hanging="709"/>
        <w:rPr>
          <w:rFonts w:ascii="Palatino Linotype" w:hAnsi="Palatino Linotype" w:cs="Times New Roman"/>
          <w:sz w:val="22"/>
          <w:szCs w:val="22"/>
        </w:rPr>
      </w:pPr>
    </w:p>
    <w:p w:rsidRPr="00FB0412" w:rsidR="00352D87" w:rsidP="00352D87" w:rsidRDefault="00352D87" w14:paraId="4599AC3D" w14:textId="77777777">
      <w:pPr>
        <w:autoSpaceDE w:val="0"/>
        <w:autoSpaceDN w:val="0"/>
        <w:adjustRightInd w:val="0"/>
        <w:spacing w:after="0" w:line="240" w:lineRule="auto"/>
        <w:rPr>
          <w:rFonts w:ascii="Palatino Linotype" w:hAnsi="Palatino Linotype" w:cs="Times New Roman"/>
          <w:b/>
          <w:bCs/>
          <w:sz w:val="22"/>
          <w:szCs w:val="22"/>
        </w:rPr>
      </w:pPr>
      <w:r w:rsidRPr="00FB0412">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Pr="00FB0412" w:rsidR="00352D87" w:rsidP="00352D87" w:rsidRDefault="00352D87" w14:paraId="337183BE" w14:textId="77777777">
      <w:pPr>
        <w:rPr>
          <w:rFonts w:ascii="Palatino Linotype" w:hAnsi="Palatino Linotype" w:cs="Times New Roman"/>
          <w:b/>
          <w:bCs/>
          <w:sz w:val="22"/>
          <w:szCs w:val="22"/>
        </w:rPr>
      </w:pPr>
    </w:p>
    <w:p w:rsidRPr="00FB0412" w:rsidR="00352D87" w:rsidP="00352D87" w:rsidRDefault="00352D87" w14:paraId="24D7D2DD" w14:textId="237AC774">
      <w:pPr>
        <w:autoSpaceDE w:val="0"/>
        <w:autoSpaceDN w:val="0"/>
        <w:adjustRightInd w:val="0"/>
        <w:spacing w:after="0" w:line="240" w:lineRule="auto"/>
        <w:rPr>
          <w:rFonts w:ascii="Palatino Linotype" w:hAnsi="Palatino Linotype" w:cs="Times New Roman"/>
          <w:sz w:val="22"/>
          <w:szCs w:val="22"/>
        </w:rPr>
      </w:pPr>
      <w:r w:rsidRPr="477B8AAE" w:rsidR="00352D87">
        <w:rPr>
          <w:rFonts w:ascii="Palatino Linotype" w:hAnsi="Palatino Linotype" w:cs="Times New Roman"/>
          <w:b w:val="1"/>
          <w:bCs w:val="1"/>
          <w:sz w:val="22"/>
          <w:szCs w:val="22"/>
        </w:rPr>
        <w:t xml:space="preserve">Artículo 1.- </w:t>
      </w:r>
      <w:r w:rsidRPr="477B8AAE" w:rsidR="00EC69F3">
        <w:rPr>
          <w:rFonts w:ascii="Palatino Linotype" w:hAnsi="Palatino Linotype" w:cs="Times New Roman"/>
          <w:sz w:val="22"/>
          <w:szCs w:val="22"/>
        </w:rPr>
        <w:t>Acoger el informe No. IC- 2022-021</w:t>
      </w:r>
      <w:r w:rsidRPr="477B8AAE" w:rsidR="00352D87">
        <w:rPr>
          <w:rFonts w:ascii="Palatino Linotype" w:hAnsi="Palatino Linotype" w:cs="Times New Roman"/>
          <w:sz w:val="22"/>
          <w:szCs w:val="22"/>
        </w:rPr>
        <w:t xml:space="preserve">, emitido por la Comisión de Uso de Suelo, que contiene dictamen </w:t>
      </w:r>
      <w:r w:rsidRPr="477B8AAE" w:rsidR="00EC69F3">
        <w:rPr>
          <w:rFonts w:ascii="Palatino Linotype" w:hAnsi="Palatino Linotype" w:cs="Times New Roman"/>
          <w:sz w:val="22"/>
          <w:szCs w:val="22"/>
        </w:rPr>
        <w:t xml:space="preserve">favorable </w:t>
      </w:r>
      <w:r w:rsidRPr="477B8AAE" w:rsidR="00EC69F3">
        <w:rPr>
          <w:rFonts w:ascii="Palatino Linotype" w:hAnsi="Palatino Linotype"/>
          <w:sz w:val="22"/>
          <w:szCs w:val="22"/>
        </w:rPr>
        <w:t xml:space="preserve">para que el Concejo Metropolitano apruebe la “regularización del trazado vial de la calle Panecillo ubicada en la parroquia Tumbaco”, </w:t>
      </w:r>
      <w:r w:rsidRPr="477B8AAE" w:rsidR="00352D87">
        <w:rPr>
          <w:rFonts w:ascii="Palatino Linotype" w:hAnsi="Palatino Linotype" w:cs="Times New Roman"/>
          <w:sz w:val="22"/>
          <w:szCs w:val="22"/>
        </w:rPr>
        <w:t xml:space="preserve">y, por tanto, </w:t>
      </w:r>
      <w:r w:rsidRPr="477B8AAE" w:rsidR="00FC4914">
        <w:rPr>
          <w:rFonts w:ascii="Palatino Linotype" w:hAnsi="Palatino Linotype" w:cs="Times New Roman"/>
          <w:sz w:val="22"/>
          <w:szCs w:val="22"/>
        </w:rPr>
        <w:t xml:space="preserve">aprobar la </w:t>
      </w:r>
      <w:r w:rsidRPr="477B8AAE" w:rsidR="00FC4914">
        <w:rPr>
          <w:rFonts w:ascii="Palatino Linotype" w:hAnsi="Palatino Linotype"/>
          <w:sz w:val="22"/>
          <w:szCs w:val="22"/>
        </w:rPr>
        <w:t xml:space="preserve">regularización del trazado vial de la calle Panecillo ubicada en la parroquia Tumbaco, de acuerdo al plano anexo y a las siguientes especificaciones técnicas: </w:t>
      </w:r>
    </w:p>
    <w:p w:rsidRPr="00FB0412" w:rsidR="00352D87" w:rsidP="00352D87" w:rsidRDefault="00352D87" w14:paraId="63F078D5" w14:textId="4BC504FA">
      <w:pPr>
        <w:autoSpaceDE w:val="0"/>
        <w:autoSpaceDN w:val="0"/>
        <w:adjustRightInd w:val="0"/>
        <w:spacing w:after="0" w:line="240" w:lineRule="auto"/>
        <w:rPr>
          <w:rFonts w:ascii="Palatino Linotype" w:hAnsi="Palatino Linotype" w:cs="Times New Roman"/>
          <w:sz w:val="22"/>
          <w:szCs w:val="22"/>
        </w:rPr>
      </w:pPr>
    </w:p>
    <w:p w:rsidRPr="00FB0412" w:rsidR="00EC69F3" w:rsidP="00352D87" w:rsidRDefault="00EC69F3" w14:paraId="62A563C4" w14:textId="7777777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Calle “PANECILLO” (S2C y E2D) </w:t>
      </w:r>
    </w:p>
    <w:p w:rsidRPr="00FB0412" w:rsidR="00EC69F3" w:rsidP="00352D87" w:rsidRDefault="00EC69F3" w14:paraId="2A0359B4" w14:textId="7777777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Longitud: 235,00 m. </w:t>
      </w:r>
    </w:p>
    <w:p w:rsidRPr="00FB0412" w:rsidR="00EC69F3" w:rsidP="00352D87" w:rsidRDefault="00EC69F3" w14:paraId="3AB45975" w14:textId="7777777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Sección transversal: 10.00 m </w:t>
      </w:r>
    </w:p>
    <w:p w:rsidRPr="00FB0412" w:rsidR="00EC69F3" w:rsidP="00352D87" w:rsidRDefault="00EC69F3" w14:paraId="19245D7E" w14:textId="77777777">
      <w:pPr>
        <w:autoSpaceDE w:val="0"/>
        <w:autoSpaceDN w:val="0"/>
        <w:adjustRightInd w:val="0"/>
        <w:spacing w:after="0" w:line="240" w:lineRule="auto"/>
        <w:rPr>
          <w:rFonts w:ascii="Palatino Linotype" w:hAnsi="Palatino Linotype"/>
          <w:sz w:val="22"/>
          <w:szCs w:val="22"/>
        </w:rPr>
      </w:pPr>
      <w:r w:rsidRPr="00FB0412">
        <w:rPr>
          <w:rFonts w:ascii="Palatino Linotype" w:hAnsi="Palatino Linotype"/>
          <w:sz w:val="22"/>
          <w:szCs w:val="22"/>
        </w:rPr>
        <w:t xml:space="preserve">Ancho de calzada: 7.00 m </w:t>
      </w:r>
    </w:p>
    <w:p w:rsidRPr="00FB0412" w:rsidR="00EC69F3" w:rsidP="00352D87" w:rsidRDefault="00EC69F3" w14:paraId="5D5940FC" w14:textId="33D8A450">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sz w:val="22"/>
          <w:szCs w:val="22"/>
        </w:rPr>
        <w:t>Ancho de aceras: 1.50 m c/u</w:t>
      </w:r>
    </w:p>
    <w:p w:rsidRPr="00FB0412" w:rsidR="00EC69F3" w:rsidP="00352D87" w:rsidRDefault="00EC69F3" w14:paraId="6F147127" w14:textId="77777777">
      <w:pPr>
        <w:autoSpaceDE w:val="0"/>
        <w:autoSpaceDN w:val="0"/>
        <w:adjustRightInd w:val="0"/>
        <w:spacing w:after="0" w:line="240" w:lineRule="auto"/>
        <w:rPr>
          <w:rFonts w:ascii="Palatino Linotype" w:hAnsi="Palatino Linotype" w:cs="Times New Roman"/>
          <w:sz w:val="22"/>
          <w:szCs w:val="22"/>
        </w:rPr>
      </w:pPr>
    </w:p>
    <w:p w:rsidRPr="009C0100" w:rsidR="00352D87" w:rsidP="00352D87" w:rsidRDefault="00352D87" w14:paraId="1B587A71" w14:textId="768502E5">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Artículo 2.- </w:t>
      </w:r>
      <w:r w:rsidRPr="00FB0412">
        <w:rPr>
          <w:rFonts w:ascii="Palatino Linotype" w:hAnsi="Palatino Linotype" w:cs="Times New Roman"/>
          <w:sz w:val="22"/>
          <w:szCs w:val="22"/>
        </w:rPr>
        <w:t xml:space="preserve">Comuníquese al interesado, a la </w:t>
      </w:r>
      <w:r w:rsidRPr="00FB0412" w:rsidR="00410179">
        <w:rPr>
          <w:rFonts w:ascii="Palatino Linotype" w:hAnsi="Palatino Linotype" w:cs="Times New Roman"/>
          <w:sz w:val="22"/>
          <w:szCs w:val="22"/>
        </w:rPr>
        <w:t>a</w:t>
      </w:r>
      <w:r w:rsidRPr="00FB0412">
        <w:rPr>
          <w:rFonts w:ascii="Palatino Linotype" w:hAnsi="Palatino Linotype" w:cs="Times New Roman"/>
          <w:sz w:val="22"/>
          <w:szCs w:val="22"/>
        </w:rPr>
        <w:t xml:space="preserve">dministración </w:t>
      </w:r>
      <w:r w:rsidRPr="00FB0412" w:rsidR="00410179">
        <w:rPr>
          <w:rFonts w:ascii="Palatino Linotype" w:hAnsi="Palatino Linotype" w:cs="Times New Roman"/>
          <w:sz w:val="22"/>
          <w:szCs w:val="22"/>
        </w:rPr>
        <w:t>z</w:t>
      </w:r>
      <w:r w:rsidRPr="00FB0412">
        <w:rPr>
          <w:rFonts w:ascii="Palatino Linotype" w:hAnsi="Palatino Linotype" w:cs="Times New Roman"/>
          <w:sz w:val="22"/>
          <w:szCs w:val="22"/>
        </w:rPr>
        <w:t>onal</w:t>
      </w:r>
      <w:r w:rsidRPr="00FB0412" w:rsidR="00410179">
        <w:rPr>
          <w:rFonts w:ascii="Palatino Linotype" w:hAnsi="Palatino Linotype" w:cs="Times New Roman"/>
          <w:sz w:val="22"/>
          <w:szCs w:val="22"/>
        </w:rPr>
        <w:t xml:space="preserve"> que corresponda,</w:t>
      </w:r>
      <w:r w:rsidRPr="00FB0412">
        <w:rPr>
          <w:rFonts w:ascii="Palatino Linotype" w:hAnsi="Palatino Linotype" w:cs="Times New Roman"/>
          <w:sz w:val="22"/>
          <w:szCs w:val="22"/>
        </w:rPr>
        <w:t xml:space="preserve"> a la Secretaría </w:t>
      </w:r>
      <w:r w:rsidRPr="009C0100">
        <w:rPr>
          <w:rFonts w:ascii="Palatino Linotype" w:hAnsi="Palatino Linotype" w:cs="Times New Roman"/>
          <w:sz w:val="22"/>
          <w:szCs w:val="22"/>
        </w:rPr>
        <w:t>de Territorio, Hábitat y Vivienda; y, a la Empresa Pública Metropolitana de Movilidad y Obras Públicas, a fin de que se continúe con los trámites de Ley.</w:t>
      </w:r>
    </w:p>
    <w:p w:rsidRPr="009C0100" w:rsidR="00352D87" w:rsidP="00352D87" w:rsidRDefault="00352D87" w14:paraId="2C5E0C94" w14:textId="6006AD59">
      <w:pPr>
        <w:autoSpaceDE w:val="0"/>
        <w:autoSpaceDN w:val="0"/>
        <w:adjustRightInd w:val="0"/>
        <w:spacing w:after="0" w:line="240" w:lineRule="auto"/>
        <w:rPr>
          <w:rFonts w:ascii="Palatino Linotype" w:hAnsi="Palatino Linotype" w:cs="Times New Roman"/>
          <w:sz w:val="22"/>
          <w:szCs w:val="22"/>
        </w:rPr>
      </w:pPr>
    </w:p>
    <w:p w:rsidRPr="00FB0412" w:rsidR="0008335A" w:rsidP="0008335A" w:rsidRDefault="0008335A" w14:paraId="3F0673A1" w14:textId="758EAFA4">
      <w:pPr>
        <w:autoSpaceDE w:val="0"/>
        <w:autoSpaceDN w:val="0"/>
        <w:adjustRightInd w:val="0"/>
        <w:rPr>
          <w:rFonts w:ascii="Palatino Linotype" w:hAnsi="Palatino Linotype"/>
          <w:bCs/>
          <w:sz w:val="22"/>
          <w:szCs w:val="22"/>
        </w:rPr>
      </w:pPr>
      <w:r w:rsidRPr="009C0100">
        <w:rPr>
          <w:rFonts w:ascii="Palatino Linotype" w:hAnsi="Palatino Linotype"/>
          <w:b/>
          <w:sz w:val="22"/>
          <w:szCs w:val="22"/>
        </w:rPr>
        <w:t xml:space="preserve">Disposición General Única. - </w:t>
      </w:r>
      <w:r w:rsidRPr="009C0100">
        <w:rPr>
          <w:rFonts w:ascii="Palatino Linotype" w:hAnsi="Palatino Linotype"/>
          <w:bCs/>
          <w:sz w:val="22"/>
          <w:szCs w:val="22"/>
        </w:rPr>
        <w:t>La presente resolución se aprueba en base</w:t>
      </w:r>
      <w:r w:rsidRPr="00FB0412">
        <w:rPr>
          <w:rFonts w:ascii="Palatino Linotype" w:hAnsi="Palatino Linotype"/>
          <w:bCs/>
          <w:sz w:val="22"/>
          <w:szCs w:val="22"/>
        </w:rPr>
        <w:t xml:space="preserve"> a los informes que son de exclusiva responsabilidad de los funcionarios que lo suscriben y realizan.</w:t>
      </w:r>
    </w:p>
    <w:p w:rsidRPr="00FB0412" w:rsidR="00352D87" w:rsidP="00352D87" w:rsidRDefault="00352D87" w14:paraId="2F156734" w14:textId="2D8D3563">
      <w:pPr>
        <w:autoSpaceDE w:val="0"/>
        <w:autoSpaceDN w:val="0"/>
        <w:adjustRightInd w:val="0"/>
        <w:spacing w:after="0" w:line="240" w:lineRule="auto"/>
        <w:rPr>
          <w:rFonts w:ascii="Palatino Linotype" w:hAnsi="Palatino Linotype" w:cs="Times New Roman"/>
          <w:b/>
          <w:bCs/>
          <w:sz w:val="22"/>
          <w:szCs w:val="22"/>
        </w:rPr>
      </w:pPr>
      <w:r w:rsidRPr="00FB0412">
        <w:rPr>
          <w:rFonts w:ascii="Palatino Linotype" w:hAnsi="Palatino Linotype" w:cs="Times New Roman"/>
          <w:b/>
          <w:bCs/>
          <w:sz w:val="22"/>
          <w:szCs w:val="22"/>
        </w:rPr>
        <w:t xml:space="preserve">Disposición </w:t>
      </w:r>
      <w:r w:rsidRPr="00FB0412" w:rsidR="008324BE">
        <w:rPr>
          <w:rFonts w:ascii="Palatino Linotype" w:hAnsi="Palatino Linotype" w:cs="Times New Roman"/>
          <w:b/>
          <w:bCs/>
          <w:sz w:val="22"/>
          <w:szCs w:val="22"/>
        </w:rPr>
        <w:t>Transitoria:</w:t>
      </w:r>
    </w:p>
    <w:p w:rsidRPr="00FB0412" w:rsidR="008C08AE" w:rsidP="00352D87" w:rsidRDefault="008C08AE" w14:paraId="4A1B1F5D" w14:textId="0D8F1F23">
      <w:pPr>
        <w:autoSpaceDE w:val="0"/>
        <w:autoSpaceDN w:val="0"/>
        <w:adjustRightInd w:val="0"/>
        <w:spacing w:after="0" w:line="240" w:lineRule="auto"/>
        <w:rPr>
          <w:rFonts w:ascii="Palatino Linotype" w:hAnsi="Palatino Linotype" w:cs="Times New Roman"/>
          <w:b/>
          <w:bCs/>
          <w:sz w:val="22"/>
          <w:szCs w:val="22"/>
        </w:rPr>
      </w:pPr>
    </w:p>
    <w:p w:rsidR="00AB75D6" w:rsidP="477B8AAE" w:rsidRDefault="00AB75D6" w14:paraId="7269DA0E" w14:textId="45FA12A4">
      <w:pPr>
        <w:pStyle w:val="Normal"/>
        <w:jc w:val="both"/>
        <w:rPr>
          <w:rFonts w:ascii="Palatino Linotype" w:hAnsi="Palatino Linotype" w:cs="Times New Roman"/>
          <w:sz w:val="22"/>
          <w:szCs w:val="22"/>
        </w:rPr>
      </w:pPr>
      <w:r w:rsidRPr="477B8AAE" w:rsidR="00AB75D6">
        <w:rPr>
          <w:rFonts w:ascii="Palatino Linotype" w:hAnsi="Palatino Linotype" w:cs="Times New Roman"/>
          <w:b w:val="1"/>
          <w:bCs w:val="1"/>
          <w:sz w:val="22"/>
          <w:szCs w:val="22"/>
        </w:rPr>
        <w:t xml:space="preserve">Primera.- </w:t>
      </w:r>
      <w:r w:rsidRPr="477B8AAE" w:rsidR="477B8AAE">
        <w:rPr>
          <w:rFonts w:ascii="Palatino Linotype" w:hAnsi="Palatino Linotype" w:eastAsia="Palatino Linotype" w:cs="Palatino Linotype"/>
          <w:noProof w:val="0"/>
          <w:sz w:val="22"/>
          <w:szCs w:val="22"/>
          <w:lang w:val="es-EC"/>
        </w:rPr>
        <w:t>En el término de cinco (5) días contados a partir de la sanción de la presente  resolución, la Secretaría General del Concejo Metropolitano remitirá la resolución y el plano que contiene el trazado vial a la Secretaría de Territorio, Hábitat y Vivienda, a la Secretaría de Movilidad, al Instituto Metropolitano de Patrimonio y a la Empresa Pública Metropolitana de Movilidad y Obras Públicas para que realicen las gestiones administrativas que correspondan.</w:t>
      </w:r>
    </w:p>
    <w:p w:rsidRPr="00FB0412" w:rsidR="008C08AE" w:rsidP="008C08AE" w:rsidRDefault="008C08AE" w14:paraId="265EA2E6" w14:textId="7D02662D">
      <w:pPr>
        <w:autoSpaceDE w:val="0"/>
        <w:autoSpaceDN w:val="0"/>
        <w:adjustRightInd w:val="0"/>
        <w:spacing w:after="0" w:line="240" w:lineRule="auto"/>
        <w:rPr>
          <w:rFonts w:ascii="Palatino Linotype" w:hAnsi="Palatino Linotype" w:cs="Times New Roman"/>
          <w:sz w:val="22"/>
          <w:szCs w:val="22"/>
        </w:rPr>
      </w:pPr>
    </w:p>
    <w:p w:rsidRPr="00FB0412" w:rsidR="008C08AE" w:rsidP="008C08AE" w:rsidRDefault="008C08AE" w14:paraId="46AA27DA" w14:textId="5C060133">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Segunda.-</w:t>
      </w:r>
      <w:r w:rsidRPr="00FB0412">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rsidRPr="00FB0412" w:rsidR="00352D87" w:rsidP="00352D87" w:rsidRDefault="00352D87" w14:paraId="6324FCC5" w14:textId="77777777">
      <w:pPr>
        <w:autoSpaceDE w:val="0"/>
        <w:autoSpaceDN w:val="0"/>
        <w:adjustRightInd w:val="0"/>
        <w:spacing w:after="0" w:line="240" w:lineRule="auto"/>
        <w:rPr>
          <w:rFonts w:ascii="Palatino Linotype" w:hAnsi="Palatino Linotype" w:cs="Times New Roman"/>
          <w:b/>
          <w:bCs/>
          <w:sz w:val="22"/>
          <w:szCs w:val="22"/>
        </w:rPr>
      </w:pPr>
    </w:p>
    <w:p w:rsidRPr="00FB0412" w:rsidR="00352D87" w:rsidP="00352D87" w:rsidRDefault="00352D87" w14:paraId="1D020B54" w14:textId="4D5EEE9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Disposición Final. - </w:t>
      </w:r>
      <w:r w:rsidRPr="00FB0412">
        <w:rPr>
          <w:rFonts w:ascii="Palatino Linotype" w:hAnsi="Palatino Linotype" w:cs="Times New Roman"/>
          <w:sz w:val="22"/>
          <w:szCs w:val="22"/>
        </w:rPr>
        <w:t xml:space="preserve">La presente </w:t>
      </w:r>
      <w:r w:rsidRPr="00FB0412" w:rsidR="0008335A">
        <w:rPr>
          <w:rFonts w:ascii="Palatino Linotype" w:hAnsi="Palatino Linotype" w:cs="Times New Roman"/>
          <w:sz w:val="22"/>
          <w:szCs w:val="22"/>
        </w:rPr>
        <w:t>r</w:t>
      </w:r>
      <w:r w:rsidRPr="00FB0412">
        <w:rPr>
          <w:rFonts w:ascii="Palatino Linotype" w:hAnsi="Palatino Linotype" w:cs="Times New Roman"/>
          <w:sz w:val="22"/>
          <w:szCs w:val="22"/>
        </w:rPr>
        <w:t>esolución entrará en vigencia a partir de su suscripción sin perjuicio de su publicación.</w:t>
      </w:r>
    </w:p>
    <w:p w:rsidRPr="00FB0412" w:rsidR="00352D87" w:rsidP="00352D87" w:rsidRDefault="00352D87" w14:paraId="72794F5C" w14:textId="77777777">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sz w:val="22"/>
          <w:szCs w:val="22"/>
        </w:rPr>
        <w:t xml:space="preserve"> </w:t>
      </w:r>
    </w:p>
    <w:p w:rsidRPr="00FB0412" w:rsidR="00352D87" w:rsidP="00352D87" w:rsidRDefault="00352D87" w14:paraId="32E65EF4" w14:textId="5930D2FB">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bCs/>
          <w:sz w:val="22"/>
          <w:szCs w:val="22"/>
        </w:rPr>
        <w:t xml:space="preserve">Alcaldía del Distrito Metropolitano. - </w:t>
      </w:r>
      <w:r w:rsidRPr="00FB0412">
        <w:rPr>
          <w:rFonts w:ascii="Palatino Linotype" w:hAnsi="Palatino Linotype" w:cs="Times New Roman"/>
          <w:sz w:val="22"/>
          <w:szCs w:val="22"/>
        </w:rPr>
        <w:t xml:space="preserve">Distrito Metropolitano de Quito, </w:t>
      </w:r>
      <w:r w:rsidRPr="00FB0412" w:rsidR="0008335A">
        <w:rPr>
          <w:rFonts w:ascii="Palatino Linotype" w:hAnsi="Palatino Linotype" w:cs="Times New Roman"/>
          <w:sz w:val="22"/>
          <w:szCs w:val="22"/>
        </w:rPr>
        <w:t>…</w:t>
      </w:r>
      <w:r w:rsidRPr="00FB0412">
        <w:rPr>
          <w:rFonts w:ascii="Palatino Linotype" w:hAnsi="Palatino Linotype" w:cs="Times New Roman"/>
          <w:sz w:val="22"/>
          <w:szCs w:val="22"/>
        </w:rPr>
        <w:t xml:space="preserve"> de </w:t>
      </w:r>
      <w:r w:rsidRPr="00FB0412" w:rsidR="0008335A">
        <w:rPr>
          <w:rFonts w:ascii="Palatino Linotype" w:hAnsi="Palatino Linotype" w:cs="Times New Roman"/>
          <w:sz w:val="22"/>
          <w:szCs w:val="22"/>
        </w:rPr>
        <w:t>…</w:t>
      </w:r>
      <w:r w:rsidRPr="00FB0412">
        <w:rPr>
          <w:rFonts w:ascii="Palatino Linotype" w:hAnsi="Palatino Linotype" w:cs="Times New Roman"/>
          <w:sz w:val="22"/>
          <w:szCs w:val="22"/>
        </w:rPr>
        <w:t xml:space="preserve"> de </w:t>
      </w:r>
      <w:r w:rsidRPr="00FB0412" w:rsidR="0008335A">
        <w:rPr>
          <w:rFonts w:ascii="Palatino Linotype" w:hAnsi="Palatino Linotype" w:cs="Times New Roman"/>
          <w:sz w:val="22"/>
          <w:szCs w:val="22"/>
        </w:rPr>
        <w:t>…</w:t>
      </w:r>
      <w:r w:rsidRPr="00FB0412">
        <w:rPr>
          <w:rFonts w:ascii="Palatino Linotype" w:hAnsi="Palatino Linotype" w:cs="Times New Roman"/>
          <w:sz w:val="22"/>
          <w:szCs w:val="22"/>
        </w:rPr>
        <w:t>.</w:t>
      </w:r>
    </w:p>
    <w:p w:rsidRPr="00FB0412" w:rsidR="00352D87" w:rsidP="00352D87" w:rsidRDefault="00352D87" w14:paraId="4AD58B16" w14:textId="77777777">
      <w:pPr>
        <w:rPr>
          <w:rFonts w:ascii="Palatino Linotype" w:hAnsi="Palatino Linotype" w:cs="Times New Roman"/>
          <w:b/>
          <w:bCs/>
          <w:sz w:val="22"/>
          <w:szCs w:val="22"/>
        </w:rPr>
      </w:pPr>
    </w:p>
    <w:p w:rsidRPr="00FB0412" w:rsidR="00352D87" w:rsidP="009C0100" w:rsidRDefault="00352D87" w14:paraId="7D4599AA" w14:textId="77777777">
      <w:pPr>
        <w:jc w:val="center"/>
        <w:rPr>
          <w:rFonts w:ascii="Palatino Linotype" w:hAnsi="Palatino Linotype" w:cs="Times New Roman"/>
          <w:b/>
          <w:bCs/>
          <w:sz w:val="22"/>
          <w:szCs w:val="22"/>
        </w:rPr>
      </w:pPr>
      <w:r w:rsidRPr="00FB0412">
        <w:rPr>
          <w:rFonts w:ascii="Palatino Linotype" w:hAnsi="Palatino Linotype" w:cs="Times New Roman"/>
          <w:b/>
          <w:bCs/>
          <w:sz w:val="22"/>
          <w:szCs w:val="22"/>
        </w:rPr>
        <w:t>EJECÚTESE:</w:t>
      </w:r>
    </w:p>
    <w:p w:rsidRPr="00FB0412" w:rsidR="00352D87" w:rsidP="00352D87" w:rsidRDefault="00352D87" w14:paraId="72250451" w14:textId="77777777">
      <w:pPr>
        <w:rPr>
          <w:rFonts w:ascii="Palatino Linotype" w:hAnsi="Palatino Linotype" w:cs="Times New Roman"/>
          <w:b/>
          <w:bCs/>
          <w:sz w:val="22"/>
          <w:szCs w:val="22"/>
        </w:rPr>
      </w:pPr>
    </w:p>
    <w:p w:rsidRPr="00FB0412" w:rsidR="00352D87" w:rsidP="00352D87" w:rsidRDefault="00352D87" w14:paraId="1123977B" w14:textId="1E616F1C">
      <w:pPr>
        <w:autoSpaceDE w:val="0"/>
        <w:autoSpaceDN w:val="0"/>
        <w:adjustRightInd w:val="0"/>
        <w:spacing w:after="0" w:line="240" w:lineRule="auto"/>
        <w:jc w:val="center"/>
        <w:rPr>
          <w:rFonts w:ascii="Palatino Linotype" w:hAnsi="Palatino Linotype" w:cs="Times New Roman"/>
          <w:sz w:val="22"/>
          <w:szCs w:val="22"/>
        </w:rPr>
      </w:pPr>
      <w:r w:rsidRPr="00FB0412">
        <w:rPr>
          <w:rFonts w:ascii="Palatino Linotype" w:hAnsi="Palatino Linotype" w:cs="Times New Roman"/>
          <w:sz w:val="22"/>
          <w:szCs w:val="22"/>
        </w:rPr>
        <w:t xml:space="preserve">Dr. </w:t>
      </w:r>
      <w:r w:rsidRPr="00FB0412" w:rsidR="008324BE">
        <w:rPr>
          <w:rFonts w:ascii="Palatino Linotype" w:hAnsi="Palatino Linotype" w:cs="Times New Roman"/>
          <w:sz w:val="22"/>
          <w:szCs w:val="22"/>
        </w:rPr>
        <w:t>Santiago Mauricio Guarderas Izquierdo</w:t>
      </w:r>
    </w:p>
    <w:p w:rsidRPr="00FB0412" w:rsidR="00352D87" w:rsidP="00352D87" w:rsidRDefault="00352D87" w14:paraId="1D770D7F" w14:textId="77777777">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ALCALDE DEL DISTRITO METROPOLITANO DE QUITO</w:t>
      </w:r>
    </w:p>
    <w:p w:rsidRPr="00FB0412" w:rsidR="00352D87" w:rsidP="00352D87" w:rsidRDefault="00352D87" w14:paraId="7B4D835F" w14:textId="77777777">
      <w:pPr>
        <w:autoSpaceDE w:val="0"/>
        <w:autoSpaceDN w:val="0"/>
        <w:adjustRightInd w:val="0"/>
        <w:spacing w:after="0" w:line="240" w:lineRule="auto"/>
        <w:jc w:val="center"/>
        <w:rPr>
          <w:rFonts w:ascii="Palatino Linotype" w:hAnsi="Palatino Linotype" w:cs="Times New Roman"/>
          <w:b/>
          <w:sz w:val="22"/>
          <w:szCs w:val="22"/>
        </w:rPr>
      </w:pPr>
    </w:p>
    <w:p w:rsidRPr="00FB0412" w:rsidR="00352D87" w:rsidP="00352D87" w:rsidRDefault="00352D87" w14:paraId="67B5C33A" w14:textId="615C150B">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sz w:val="22"/>
          <w:szCs w:val="22"/>
        </w:rPr>
        <w:t xml:space="preserve">CERTIFICO, </w:t>
      </w:r>
      <w:r w:rsidRPr="00FB0412">
        <w:rPr>
          <w:rFonts w:ascii="Palatino Linotype" w:hAnsi="Palatino Linotype" w:cs="Times New Roman"/>
          <w:sz w:val="22"/>
          <w:szCs w:val="22"/>
        </w:rPr>
        <w:t xml:space="preserve">que la presente resolución fue discutida y aprobada en sesión pública ordinaria del Concejo Metropolitano de Quito, el </w:t>
      </w:r>
      <w:r w:rsidRPr="00FB0412" w:rsidR="00247369">
        <w:rPr>
          <w:rFonts w:ascii="Palatino Linotype" w:hAnsi="Palatino Linotype" w:cs="Times New Roman"/>
          <w:iCs/>
          <w:sz w:val="22"/>
          <w:szCs w:val="22"/>
        </w:rPr>
        <w:t>…</w:t>
      </w:r>
      <w:r w:rsidRPr="00FB0412">
        <w:rPr>
          <w:rFonts w:ascii="Palatino Linotype" w:hAnsi="Palatino Linotype" w:cs="Times New Roman"/>
          <w:sz w:val="22"/>
          <w:szCs w:val="22"/>
        </w:rPr>
        <w:t xml:space="preserve">; y, suscrita por el Dr. Jorge Yunda Machado, Alcalde del Distrito Metropolitano de Quito, el </w:t>
      </w:r>
      <w:r w:rsidRPr="00FB0412" w:rsidR="00247369">
        <w:rPr>
          <w:rFonts w:ascii="Palatino Linotype" w:hAnsi="Palatino Linotype" w:cs="Times New Roman"/>
          <w:iCs/>
          <w:sz w:val="22"/>
          <w:szCs w:val="22"/>
        </w:rPr>
        <w:t>…</w:t>
      </w:r>
      <w:r w:rsidRPr="00FB0412">
        <w:rPr>
          <w:rFonts w:ascii="Palatino Linotype" w:hAnsi="Palatino Linotype" w:cs="Times New Roman"/>
          <w:sz w:val="22"/>
          <w:szCs w:val="22"/>
        </w:rPr>
        <w:t>.</w:t>
      </w:r>
    </w:p>
    <w:p w:rsidRPr="00FB0412" w:rsidR="00352D87" w:rsidP="00352D87" w:rsidRDefault="00352D87" w14:paraId="430F81AE" w14:textId="77777777">
      <w:pPr>
        <w:autoSpaceDE w:val="0"/>
        <w:autoSpaceDN w:val="0"/>
        <w:adjustRightInd w:val="0"/>
        <w:spacing w:after="0" w:line="240" w:lineRule="auto"/>
        <w:rPr>
          <w:rFonts w:ascii="Palatino Linotype" w:hAnsi="Palatino Linotype" w:cs="Times New Roman"/>
          <w:sz w:val="22"/>
          <w:szCs w:val="22"/>
        </w:rPr>
      </w:pPr>
    </w:p>
    <w:p w:rsidRPr="00FB0412" w:rsidR="00352D87" w:rsidP="00352D87" w:rsidRDefault="00352D87" w14:paraId="44EEC27B" w14:textId="3C98DB88">
      <w:pPr>
        <w:autoSpaceDE w:val="0"/>
        <w:autoSpaceDN w:val="0"/>
        <w:adjustRightInd w:val="0"/>
        <w:spacing w:after="0" w:line="240" w:lineRule="auto"/>
        <w:rPr>
          <w:rFonts w:ascii="Palatino Linotype" w:hAnsi="Palatino Linotype" w:cs="Times New Roman"/>
          <w:sz w:val="22"/>
          <w:szCs w:val="22"/>
        </w:rPr>
      </w:pPr>
      <w:r w:rsidRPr="00FB0412">
        <w:rPr>
          <w:rFonts w:ascii="Palatino Linotype" w:hAnsi="Palatino Linotype" w:cs="Times New Roman"/>
          <w:b/>
          <w:sz w:val="22"/>
          <w:szCs w:val="22"/>
        </w:rPr>
        <w:t xml:space="preserve">Lo certifico.- </w:t>
      </w:r>
      <w:r w:rsidRPr="00FB0412">
        <w:rPr>
          <w:rFonts w:ascii="Palatino Linotype" w:hAnsi="Palatino Linotype" w:cs="Times New Roman"/>
          <w:sz w:val="22"/>
          <w:szCs w:val="22"/>
        </w:rPr>
        <w:t xml:space="preserve">Distrito Metropolitano de Quito, </w:t>
      </w:r>
      <w:r w:rsidRPr="00FB0412" w:rsidR="00247369">
        <w:rPr>
          <w:rFonts w:ascii="Palatino Linotype" w:hAnsi="Palatino Linotype" w:cs="Times New Roman"/>
          <w:iCs/>
          <w:sz w:val="22"/>
          <w:szCs w:val="22"/>
        </w:rPr>
        <w:t>…</w:t>
      </w:r>
      <w:r w:rsidRPr="00FB0412">
        <w:rPr>
          <w:rFonts w:ascii="Palatino Linotype" w:hAnsi="Palatino Linotype" w:cs="Times New Roman"/>
          <w:sz w:val="22"/>
          <w:szCs w:val="22"/>
        </w:rPr>
        <w:t xml:space="preserve">. </w:t>
      </w:r>
    </w:p>
    <w:p w:rsidRPr="00FB0412" w:rsidR="00352D87" w:rsidP="00352D87" w:rsidRDefault="00352D87" w14:paraId="16A7D376" w14:textId="77777777">
      <w:pPr>
        <w:autoSpaceDE w:val="0"/>
        <w:autoSpaceDN w:val="0"/>
        <w:adjustRightInd w:val="0"/>
        <w:spacing w:after="0" w:line="240" w:lineRule="auto"/>
        <w:rPr>
          <w:rFonts w:ascii="Palatino Linotype" w:hAnsi="Palatino Linotype" w:cs="Times New Roman"/>
          <w:sz w:val="22"/>
          <w:szCs w:val="22"/>
        </w:rPr>
      </w:pPr>
    </w:p>
    <w:p w:rsidR="00352D87" w:rsidP="00352D87" w:rsidRDefault="00352D87" w14:paraId="3F680320" w14:textId="0C5501C8">
      <w:pPr>
        <w:autoSpaceDE w:val="0"/>
        <w:autoSpaceDN w:val="0"/>
        <w:adjustRightInd w:val="0"/>
        <w:spacing w:after="0" w:line="240" w:lineRule="auto"/>
        <w:rPr>
          <w:rFonts w:ascii="Palatino Linotype" w:hAnsi="Palatino Linotype" w:cs="Times New Roman"/>
          <w:sz w:val="22"/>
          <w:szCs w:val="22"/>
        </w:rPr>
      </w:pPr>
    </w:p>
    <w:p w:rsidR="009C0100" w:rsidP="00352D87" w:rsidRDefault="009C0100" w14:paraId="3431FBB9" w14:textId="7C92B1AC">
      <w:pPr>
        <w:autoSpaceDE w:val="0"/>
        <w:autoSpaceDN w:val="0"/>
        <w:adjustRightInd w:val="0"/>
        <w:spacing w:after="0" w:line="240" w:lineRule="auto"/>
        <w:rPr>
          <w:rFonts w:ascii="Palatino Linotype" w:hAnsi="Palatino Linotype" w:cs="Times New Roman"/>
          <w:sz w:val="22"/>
          <w:szCs w:val="22"/>
        </w:rPr>
      </w:pPr>
    </w:p>
    <w:p w:rsidRPr="00FB0412" w:rsidR="009C0100" w:rsidP="00352D87" w:rsidRDefault="009C0100" w14:paraId="22B7044B" w14:textId="77777777">
      <w:pPr>
        <w:autoSpaceDE w:val="0"/>
        <w:autoSpaceDN w:val="0"/>
        <w:adjustRightInd w:val="0"/>
        <w:spacing w:after="0" w:line="240" w:lineRule="auto"/>
        <w:rPr>
          <w:rFonts w:ascii="Palatino Linotype" w:hAnsi="Palatino Linotype" w:cs="Times New Roman"/>
          <w:sz w:val="22"/>
          <w:szCs w:val="22"/>
        </w:rPr>
      </w:pPr>
    </w:p>
    <w:p w:rsidRPr="00FB0412" w:rsidR="00352D87" w:rsidP="00352D87" w:rsidRDefault="00352D87" w14:paraId="144CB161" w14:textId="3C83B15E">
      <w:pPr>
        <w:autoSpaceDE w:val="0"/>
        <w:autoSpaceDN w:val="0"/>
        <w:adjustRightInd w:val="0"/>
        <w:spacing w:after="0" w:line="240" w:lineRule="auto"/>
        <w:jc w:val="center"/>
        <w:rPr>
          <w:rFonts w:ascii="Palatino Linotype" w:hAnsi="Palatino Linotype" w:cs="Times New Roman"/>
          <w:sz w:val="22"/>
          <w:szCs w:val="22"/>
        </w:rPr>
      </w:pPr>
      <w:r w:rsidRPr="00FB0412">
        <w:rPr>
          <w:rFonts w:ascii="Palatino Linotype" w:hAnsi="Palatino Linotype" w:cs="Times New Roman"/>
          <w:sz w:val="22"/>
          <w:szCs w:val="22"/>
        </w:rPr>
        <w:t xml:space="preserve">Abg. </w:t>
      </w:r>
      <w:r w:rsidRPr="00FB0412" w:rsidR="008324BE">
        <w:rPr>
          <w:rFonts w:ascii="Palatino Linotype" w:hAnsi="Palatino Linotype" w:cs="Times New Roman"/>
          <w:sz w:val="22"/>
          <w:szCs w:val="22"/>
        </w:rPr>
        <w:t>Pablo Antonio Santillán Paredes</w:t>
      </w:r>
    </w:p>
    <w:p w:rsidRPr="00FB0412" w:rsidR="00352D87" w:rsidP="00352D87" w:rsidRDefault="00352D87" w14:paraId="5D3D860B" w14:textId="64E36CEC">
      <w:pPr>
        <w:autoSpaceDE w:val="0"/>
        <w:autoSpaceDN w:val="0"/>
        <w:adjustRightInd w:val="0"/>
        <w:spacing w:after="0" w:line="240" w:lineRule="auto"/>
        <w:jc w:val="center"/>
        <w:rPr>
          <w:rFonts w:ascii="Palatino Linotype" w:hAnsi="Palatino Linotype" w:cs="Times New Roman"/>
          <w:b/>
          <w:sz w:val="22"/>
          <w:szCs w:val="22"/>
        </w:rPr>
      </w:pPr>
      <w:r w:rsidRPr="00FB0412">
        <w:rPr>
          <w:rFonts w:ascii="Palatino Linotype" w:hAnsi="Palatino Linotype" w:cs="Times New Roman"/>
          <w:b/>
          <w:sz w:val="22"/>
          <w:szCs w:val="22"/>
        </w:rPr>
        <w:t>SECRETARI</w:t>
      </w:r>
      <w:r w:rsidRPr="00FB0412" w:rsidR="008324BE">
        <w:rPr>
          <w:rFonts w:ascii="Palatino Linotype" w:hAnsi="Palatino Linotype" w:cs="Times New Roman"/>
          <w:b/>
          <w:sz w:val="22"/>
          <w:szCs w:val="22"/>
        </w:rPr>
        <w:t>O</w:t>
      </w:r>
      <w:r w:rsidRPr="00FB0412">
        <w:rPr>
          <w:rFonts w:ascii="Palatino Linotype" w:hAnsi="Palatino Linotype" w:cs="Times New Roman"/>
          <w:b/>
          <w:sz w:val="22"/>
          <w:szCs w:val="22"/>
        </w:rPr>
        <w:t xml:space="preserve"> GENERAL DEL CONCEJO METROPOLITANO DE QUITO (E)</w:t>
      </w:r>
    </w:p>
    <w:p w:rsidRPr="00FB0412" w:rsidR="00BD3013" w:rsidRDefault="00BD3013" w14:paraId="7C7E70EF" w14:textId="77777777">
      <w:pPr>
        <w:rPr>
          <w:rFonts w:ascii="Palatino Linotype" w:hAnsi="Palatino Linotype"/>
          <w:sz w:val="22"/>
          <w:szCs w:val="22"/>
        </w:rPr>
      </w:pPr>
    </w:p>
    <w:sectPr w:rsidRPr="00FB0412" w:rsidR="00BD3013" w:rsidSect="00952912">
      <w:pgSz w:w="11906" w:h="16838" w:orient="portrait"/>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EF" w:rsidP="00BC2486" w:rsidRDefault="007C3AEF" w14:paraId="15B58AA7" w14:textId="77777777">
      <w:pPr>
        <w:spacing w:after="0" w:line="240" w:lineRule="auto"/>
      </w:pPr>
      <w:r>
        <w:separator/>
      </w:r>
    </w:p>
  </w:endnote>
  <w:endnote w:type="continuationSeparator" w:id="0">
    <w:p w:rsidR="007C3AEF" w:rsidP="00BC2486" w:rsidRDefault="007C3AEF" w14:paraId="1B01DB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EF" w:rsidP="00BC2486" w:rsidRDefault="007C3AEF" w14:paraId="250140D1" w14:textId="77777777">
      <w:pPr>
        <w:spacing w:after="0" w:line="240" w:lineRule="auto"/>
      </w:pPr>
      <w:r>
        <w:separator/>
      </w:r>
    </w:p>
  </w:footnote>
  <w:footnote w:type="continuationSeparator" w:id="0">
    <w:p w:rsidR="007C3AEF" w:rsidP="00BC2486" w:rsidRDefault="007C3AEF" w14:paraId="4149419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371"/>
    <w:multiLevelType w:val="multilevel"/>
    <w:tmpl w:val="676E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8A5957"/>
    <w:multiLevelType w:val="hybridMultilevel"/>
    <w:tmpl w:val="5DE24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42966"/>
    <w:rsid w:val="0005208C"/>
    <w:rsid w:val="0008335A"/>
    <w:rsid w:val="000C1B79"/>
    <w:rsid w:val="00155528"/>
    <w:rsid w:val="001A52A8"/>
    <w:rsid w:val="00247369"/>
    <w:rsid w:val="002B7F6D"/>
    <w:rsid w:val="002F73FE"/>
    <w:rsid w:val="00315155"/>
    <w:rsid w:val="00325A6E"/>
    <w:rsid w:val="00352D87"/>
    <w:rsid w:val="003D6495"/>
    <w:rsid w:val="003F6E01"/>
    <w:rsid w:val="00410179"/>
    <w:rsid w:val="00537B25"/>
    <w:rsid w:val="006C5BE3"/>
    <w:rsid w:val="006D41AA"/>
    <w:rsid w:val="007323B9"/>
    <w:rsid w:val="007558F2"/>
    <w:rsid w:val="00767B1D"/>
    <w:rsid w:val="00787427"/>
    <w:rsid w:val="007C3AEF"/>
    <w:rsid w:val="007C459C"/>
    <w:rsid w:val="008324BE"/>
    <w:rsid w:val="00880D09"/>
    <w:rsid w:val="008B48FA"/>
    <w:rsid w:val="008C08AE"/>
    <w:rsid w:val="00903138"/>
    <w:rsid w:val="009C0100"/>
    <w:rsid w:val="009F5549"/>
    <w:rsid w:val="00A223DF"/>
    <w:rsid w:val="00A50762"/>
    <w:rsid w:val="00A53931"/>
    <w:rsid w:val="00AB75D6"/>
    <w:rsid w:val="00B4105C"/>
    <w:rsid w:val="00B81C42"/>
    <w:rsid w:val="00BB1BF4"/>
    <w:rsid w:val="00BC2486"/>
    <w:rsid w:val="00BD3013"/>
    <w:rsid w:val="00C90C98"/>
    <w:rsid w:val="00CA1A84"/>
    <w:rsid w:val="00CD1214"/>
    <w:rsid w:val="00CE788B"/>
    <w:rsid w:val="00D0036C"/>
    <w:rsid w:val="00D30CD9"/>
    <w:rsid w:val="00D51A9B"/>
    <w:rsid w:val="00D67511"/>
    <w:rsid w:val="00D9269D"/>
    <w:rsid w:val="00E00D22"/>
    <w:rsid w:val="00E07324"/>
    <w:rsid w:val="00E134FA"/>
    <w:rsid w:val="00E301E3"/>
    <w:rsid w:val="00EC146F"/>
    <w:rsid w:val="00EC69F3"/>
    <w:rsid w:val="00F13703"/>
    <w:rsid w:val="00F33E0D"/>
    <w:rsid w:val="00F43A40"/>
    <w:rsid w:val="00F936CC"/>
    <w:rsid w:val="00FB0412"/>
    <w:rsid w:val="00FC4914"/>
    <w:rsid w:val="477B8A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017F5E75-70A0-43CE-8006-6459BDF8D7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2D87"/>
    <w:pPr>
      <w:spacing w:after="200" w:line="276" w:lineRule="auto"/>
      <w:jc w:val="both"/>
    </w:pPr>
    <w:rPr>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styleId="TextocomentarioCar" w:customStyle="1">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styleId="AsuntodelcomentarioCar" w:customStyle="1">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87427"/>
    <w:pPr>
      <w:spacing w:after="0" w:line="240" w:lineRule="auto"/>
      <w:ind w:left="720"/>
      <w:contextualSpacing/>
      <w:jc w:val="left"/>
    </w:pPr>
    <w:rPr>
      <w:rFonts w:eastAsiaTheme="minorEastAsia"/>
      <w:sz w:val="22"/>
      <w:szCs w:val="22"/>
      <w:lang w:eastAsia="es-EC"/>
    </w:rPr>
  </w:style>
  <w:style w:type="character" w:styleId="PrrafodelistaCar" w:customStyle="1">
    <w:name w:val="Párrafo de lista Car"/>
    <w:aliases w:val="Párrafo de lista SUBCAPITULO Car,Párrafo de lista1 Car,Colorful List - Accent 11 Car,TIT 2 IND Car"/>
    <w:link w:val="Prrafodelista"/>
    <w:uiPriority w:val="34"/>
    <w:locked/>
    <w:rsid w:val="00787427"/>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7460-385C-4799-AB05-E47A983FA5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María Sol Mera</dc:creator>
  <keywords/>
  <dc:description/>
  <lastModifiedBy>Isaac Samuel Byun Olivo</lastModifiedBy>
  <revision>68</revision>
  <dcterms:created xsi:type="dcterms:W3CDTF">2022-05-13T15:08:00.0000000Z</dcterms:created>
  <dcterms:modified xsi:type="dcterms:W3CDTF">2022-06-10T17:45:10.0967440Z</dcterms:modified>
</coreProperties>
</file>