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BC37" w14:textId="3B2EF46A" w:rsidR="00627A24" w:rsidRPr="00933B46" w:rsidRDefault="003A3D37" w:rsidP="00933B46">
      <w:pPr>
        <w:pStyle w:val="Ttulo1"/>
        <w:spacing w:before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933B46">
        <w:rPr>
          <w:rFonts w:asciiTheme="minorHAnsi" w:hAnsiTheme="minorHAnsi"/>
          <w:color w:val="auto"/>
          <w:sz w:val="22"/>
          <w:szCs w:val="22"/>
        </w:rPr>
        <w:t xml:space="preserve">Anexo </w:t>
      </w:r>
      <w:r w:rsidR="00D510A4">
        <w:rPr>
          <w:rFonts w:asciiTheme="minorHAnsi" w:hAnsiTheme="minorHAnsi"/>
          <w:color w:val="auto"/>
          <w:sz w:val="22"/>
          <w:szCs w:val="22"/>
        </w:rPr>
        <w:t>7</w:t>
      </w:r>
      <w:r w:rsidR="00627A24" w:rsidRPr="00933B46">
        <w:rPr>
          <w:rFonts w:asciiTheme="minorHAnsi" w:hAnsiTheme="minorHAnsi"/>
          <w:color w:val="auto"/>
          <w:sz w:val="22"/>
          <w:szCs w:val="22"/>
        </w:rPr>
        <w:t>.</w:t>
      </w:r>
    </w:p>
    <w:p w14:paraId="2C694E64" w14:textId="77777777" w:rsidR="00933B46" w:rsidRPr="00933B46" w:rsidRDefault="00933B46" w:rsidP="00933B46">
      <w:pPr>
        <w:spacing w:line="240" w:lineRule="auto"/>
      </w:pPr>
    </w:p>
    <w:p w14:paraId="5EF125F2" w14:textId="77777777" w:rsidR="006F3E65" w:rsidRPr="00933B46" w:rsidRDefault="007E1838" w:rsidP="00933B46">
      <w:pPr>
        <w:jc w:val="center"/>
        <w:rPr>
          <w:b/>
        </w:rPr>
      </w:pPr>
      <w:r w:rsidRPr="00933B46">
        <w:rPr>
          <w:b/>
        </w:rPr>
        <w:t>Lineamientos para arbolado urbano en contenedor</w:t>
      </w:r>
      <w:r w:rsidR="00627A24" w:rsidRPr="00933B46">
        <w:rPr>
          <w:b/>
        </w:rPr>
        <w:t>es</w:t>
      </w:r>
      <w:r w:rsidRPr="00933B46">
        <w:rPr>
          <w:b/>
        </w:rPr>
        <w:t>.-</w:t>
      </w:r>
    </w:p>
    <w:p w14:paraId="6449AA06" w14:textId="77777777" w:rsidR="007E1838" w:rsidRPr="00933B46" w:rsidRDefault="00B8469E" w:rsidP="00EB7389">
      <w:pPr>
        <w:jc w:val="both"/>
        <w:rPr>
          <w:b/>
        </w:rPr>
      </w:pPr>
      <w:r>
        <w:rPr>
          <w:b/>
        </w:rPr>
        <w:t>I.- Introducción</w:t>
      </w:r>
      <w:r w:rsidR="007E1838" w:rsidRPr="00933B46">
        <w:rPr>
          <w:b/>
        </w:rPr>
        <w:t>.-</w:t>
      </w:r>
      <w:r w:rsidR="00E6707D" w:rsidRPr="00933B46">
        <w:rPr>
          <w:b/>
        </w:rPr>
        <w:t xml:space="preserve"> </w:t>
      </w:r>
    </w:p>
    <w:p w14:paraId="790CA4B5" w14:textId="77777777" w:rsidR="00E6707D" w:rsidRPr="00933B46" w:rsidRDefault="00E6707D" w:rsidP="00EB7389">
      <w:pPr>
        <w:jc w:val="both"/>
      </w:pPr>
      <w:r w:rsidRPr="00933B46">
        <w:t>La inminente necesidad de contar con arbolado en muchos lugares  de la ciudad en los cuales resulta inviable realizar plantaciones, ya sea por las condiciones del piso u otros factores, obliga a considerar la plantación en contenedores.</w:t>
      </w:r>
    </w:p>
    <w:p w14:paraId="7517AF9C" w14:textId="77777777" w:rsidR="002F7720" w:rsidRDefault="00E6707D" w:rsidP="002F7720">
      <w:pPr>
        <w:jc w:val="both"/>
        <w:rPr>
          <w:b/>
        </w:rPr>
      </w:pPr>
      <w:r w:rsidRPr="00933B46">
        <w:t>Los contenedores ofrecen una relativa facilidad de incorporar arbolado y con los cuidados apropiados pueden ofrecer los servicios ambientales y paisajísticos que requerimos de los árboles.</w:t>
      </w:r>
    </w:p>
    <w:p w14:paraId="28B8D741" w14:textId="77777777" w:rsidR="006A3267" w:rsidRDefault="002F7720" w:rsidP="002F7720">
      <w:pPr>
        <w:jc w:val="both"/>
      </w:pPr>
      <w:r w:rsidRPr="002F7720">
        <w:t>P</w:t>
      </w:r>
      <w:r w:rsidR="006A3267" w:rsidRPr="002F7720">
        <w:t>or contenedores</w:t>
      </w:r>
      <w:r>
        <w:t xml:space="preserve"> se entiende a todo mobiliario urbano móvil o no, capaz de albergar vegetación de porte arborescente, con tamaño y adecuaciones apropiadas acorde a los requerimientos propios de árboles y arbustos, además de vegetación decorativa.  </w:t>
      </w:r>
    </w:p>
    <w:p w14:paraId="56269B86" w14:textId="77777777" w:rsidR="00425CF6" w:rsidRPr="002F7720" w:rsidRDefault="00425CF6" w:rsidP="002F7720">
      <w:pPr>
        <w:jc w:val="both"/>
      </w:pPr>
      <w:r>
        <w:t>Este documento ofrece los lineamientos a considerar para la plantación y desarrollo exitos</w:t>
      </w:r>
      <w:r w:rsidR="002030A2">
        <w:t>o</w:t>
      </w:r>
      <w:r>
        <w:t xml:space="preserve"> de arbolado urbano</w:t>
      </w:r>
      <w:r w:rsidR="002030A2">
        <w:t>.</w:t>
      </w:r>
    </w:p>
    <w:p w14:paraId="22294563" w14:textId="77777777" w:rsidR="00B8469E" w:rsidRDefault="00B8469E" w:rsidP="00EB7389">
      <w:pPr>
        <w:jc w:val="both"/>
        <w:rPr>
          <w:b/>
        </w:rPr>
      </w:pPr>
      <w:r>
        <w:rPr>
          <w:b/>
        </w:rPr>
        <w:t xml:space="preserve">II.- </w:t>
      </w:r>
      <w:r w:rsidR="00425CF6">
        <w:rPr>
          <w:b/>
        </w:rPr>
        <w:t>Objetivos</w:t>
      </w:r>
    </w:p>
    <w:p w14:paraId="2457BB69" w14:textId="77777777" w:rsidR="002030A2" w:rsidRDefault="002030A2" w:rsidP="002030A2">
      <w:pPr>
        <w:pStyle w:val="Prrafodelista"/>
        <w:numPr>
          <w:ilvl w:val="0"/>
          <w:numId w:val="2"/>
        </w:numPr>
        <w:jc w:val="both"/>
      </w:pPr>
      <w:r w:rsidRPr="002030A2">
        <w:t>Establecer los</w:t>
      </w:r>
      <w:r>
        <w:t xml:space="preserve"> </w:t>
      </w:r>
      <w:r w:rsidRPr="002030A2">
        <w:t xml:space="preserve">criterios </w:t>
      </w:r>
      <w:r>
        <w:t>teóricos y técnicos para la plantación de árboles y vegetación ornamental en contenedores.</w:t>
      </w:r>
    </w:p>
    <w:p w14:paraId="54BD79D1" w14:textId="77777777" w:rsidR="002030A2" w:rsidRPr="002030A2" w:rsidRDefault="002030A2" w:rsidP="002030A2">
      <w:pPr>
        <w:pStyle w:val="Prrafodelista"/>
        <w:numPr>
          <w:ilvl w:val="0"/>
          <w:numId w:val="2"/>
        </w:numPr>
        <w:jc w:val="both"/>
      </w:pPr>
      <w:r>
        <w:t>Determinar los materiales y procedimientos idóneos para la incorporación de arbolado en contenedores.</w:t>
      </w:r>
    </w:p>
    <w:p w14:paraId="03F73C7E" w14:textId="77777777" w:rsidR="002030A2" w:rsidRDefault="002030A2" w:rsidP="00EB7389">
      <w:pPr>
        <w:jc w:val="both"/>
        <w:rPr>
          <w:b/>
        </w:rPr>
      </w:pPr>
      <w:r>
        <w:rPr>
          <w:b/>
        </w:rPr>
        <w:t>III.- Desarrollo</w:t>
      </w:r>
    </w:p>
    <w:p w14:paraId="3ED86106" w14:textId="77777777" w:rsidR="002030A2" w:rsidRPr="002030A2" w:rsidRDefault="002030A2" w:rsidP="00EB7389">
      <w:pPr>
        <w:jc w:val="both"/>
      </w:pPr>
      <w:r w:rsidRPr="002030A2">
        <w:t xml:space="preserve">Para la </w:t>
      </w:r>
      <w:r>
        <w:t>mejor implementación de arbolado en contenedores, se tomarán en cuenta las siguientes consideraciones:</w:t>
      </w:r>
    </w:p>
    <w:p w14:paraId="0E0F0650" w14:textId="77777777" w:rsidR="007E1838" w:rsidRPr="00933B46" w:rsidRDefault="007E1838" w:rsidP="00EB7389">
      <w:pPr>
        <w:jc w:val="both"/>
      </w:pPr>
      <w:r w:rsidRPr="00933B46">
        <w:rPr>
          <w:b/>
        </w:rPr>
        <w:t>Materiales.-</w:t>
      </w:r>
      <w:r w:rsidR="00E6707D" w:rsidRPr="00933B46">
        <w:t xml:space="preserve"> los contenedores pueden ser fijos o móviles y deben estar elaborados en materiales que ofrezcan un buen entorno p</w:t>
      </w:r>
      <w:r w:rsidR="0010594F" w:rsidRPr="00933B46">
        <w:t>ara el desarrollo radicular. Esto es concreto, papercreto, plásticos de alta densidad,</w:t>
      </w:r>
      <w:r w:rsidR="00EB7389" w:rsidRPr="00933B46">
        <w:t xml:space="preserve"> metal, </w:t>
      </w:r>
      <w:r w:rsidR="0010594F" w:rsidRPr="00933B46">
        <w:t xml:space="preserve"> etc.</w:t>
      </w:r>
    </w:p>
    <w:p w14:paraId="7171EA73" w14:textId="77777777" w:rsidR="0010594F" w:rsidRPr="00933B46" w:rsidRDefault="0010594F" w:rsidP="00EB7389">
      <w:pPr>
        <w:jc w:val="both"/>
      </w:pPr>
      <w:r w:rsidRPr="00933B46">
        <w:rPr>
          <w:b/>
        </w:rPr>
        <w:t>Profundidad.-</w:t>
      </w:r>
      <w:r w:rsidRPr="00933B46">
        <w:t xml:space="preserve"> para un buen desarrollo radicular se estima un mínimo de profundidad  de 80 centímetros, con un m</w:t>
      </w:r>
      <w:r w:rsidR="001F4244" w:rsidRPr="00933B46">
        <w:t>áximo ideal de 120 centímetros.</w:t>
      </w:r>
    </w:p>
    <w:p w14:paraId="3A3C313E" w14:textId="77777777" w:rsidR="00627A24" w:rsidRPr="00933B46" w:rsidRDefault="00627A24" w:rsidP="00EB7389">
      <w:pPr>
        <w:jc w:val="both"/>
      </w:pPr>
      <w:r w:rsidRPr="00933B46">
        <w:rPr>
          <w:b/>
        </w:rPr>
        <w:t>Ancho o Diámetro.-</w:t>
      </w:r>
      <w:r w:rsidRPr="00933B46">
        <w:t xml:space="preserve"> Conforme la especie elegida para cada emplazamiento, el ancho o diámetro mínimo de un contenedor debe ser de 1.</w:t>
      </w:r>
      <w:r w:rsidR="002030A2">
        <w:t>6</w:t>
      </w:r>
      <w:r w:rsidRPr="00933B46">
        <w:t>0 metros.</w:t>
      </w:r>
    </w:p>
    <w:p w14:paraId="3239EDEB" w14:textId="77777777" w:rsidR="0010594F" w:rsidRPr="00933B46" w:rsidRDefault="0010594F" w:rsidP="00EB7389">
      <w:pPr>
        <w:jc w:val="both"/>
      </w:pPr>
      <w:r w:rsidRPr="00933B46">
        <w:rPr>
          <w:b/>
        </w:rPr>
        <w:t>Volumen.-</w:t>
      </w:r>
      <w:r w:rsidRPr="00933B46">
        <w:t xml:space="preserve"> Se estima como </w:t>
      </w:r>
      <w:r w:rsidR="00D67823">
        <w:t>adecuado</w:t>
      </w:r>
      <w:r w:rsidRPr="00933B46">
        <w:t xml:space="preserve"> un</w:t>
      </w:r>
      <w:r w:rsidR="00D67823">
        <w:t xml:space="preserve"> volumen</w:t>
      </w:r>
      <w:r w:rsidRPr="00933B46">
        <w:t xml:space="preserve"> mínimo de 1.5 metros cúbicos de sustrato.</w:t>
      </w:r>
    </w:p>
    <w:p w14:paraId="73691467" w14:textId="77777777" w:rsidR="007E1838" w:rsidRPr="00933B46" w:rsidRDefault="007E1838" w:rsidP="00EB7389">
      <w:pPr>
        <w:jc w:val="both"/>
      </w:pPr>
      <w:r w:rsidRPr="00933B46">
        <w:rPr>
          <w:b/>
        </w:rPr>
        <w:t>Sustratos.-</w:t>
      </w:r>
      <w:r w:rsidR="0010594F" w:rsidRPr="00933B46">
        <w:t xml:space="preserve"> Se recomienda</w:t>
      </w:r>
      <w:r w:rsidR="00EB7389" w:rsidRPr="00933B46">
        <w:t xml:space="preserve"> la siguiente  fórmula:</w:t>
      </w:r>
    </w:p>
    <w:p w14:paraId="2140B0ED" w14:textId="77777777" w:rsidR="00EB7389" w:rsidRPr="00933B46" w:rsidRDefault="00EB7389" w:rsidP="00EB7389">
      <w:pPr>
        <w:spacing w:after="0"/>
      </w:pPr>
      <w:r w:rsidRPr="00933B46">
        <w:t>El sustrato debe aportar con todos los requerimientos del sistema radicular en lo referente a anclaje, absorción, respiración y almacenamiento.</w:t>
      </w:r>
    </w:p>
    <w:p w14:paraId="49D0312A" w14:textId="77777777" w:rsidR="00EB7389" w:rsidRPr="00933B46" w:rsidRDefault="00EB7389" w:rsidP="00EB7389">
      <w:pPr>
        <w:spacing w:after="0"/>
      </w:pPr>
      <w:r w:rsidRPr="00933B46">
        <w:lastRenderedPageBreak/>
        <w:t>Para ello se debe preparar una mezcla que contenga los siguientes constituyentes en los porcentajes indicados:</w:t>
      </w:r>
    </w:p>
    <w:p w14:paraId="52FAF385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 xml:space="preserve">arena de rio lavada y solarizada grano 2mm </w:t>
      </w:r>
      <w:r w:rsidRPr="00933B46">
        <w:rPr>
          <w:rFonts w:eastAsia="Times New Roman" w:cs="Calibri"/>
          <w:lang w:eastAsia="es-ES"/>
        </w:rPr>
        <w:tab/>
      </w:r>
      <w:r w:rsidR="002F7720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>17%</w:t>
      </w:r>
    </w:p>
    <w:p w14:paraId="005D184D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 xml:space="preserve">tierra común solarizada </w:t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  <w:t>50%</w:t>
      </w:r>
    </w:p>
    <w:p w14:paraId="0E79F36E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 xml:space="preserve">cascajo grano 5 - 9 </w:t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="002F7720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>12%</w:t>
      </w:r>
    </w:p>
    <w:p w14:paraId="777C71F0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 xml:space="preserve">turba negra 4 partes; turba rubia 6 partes </w:t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  <w:t>10%</w:t>
      </w:r>
    </w:p>
    <w:p w14:paraId="7C2C0E7C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>abono de lombriz o compost  </w:t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="002F7720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>8%</w:t>
      </w:r>
    </w:p>
    <w:p w14:paraId="413498AB" w14:textId="77777777" w:rsidR="00EB7389" w:rsidRPr="00933B46" w:rsidRDefault="00EB7389" w:rsidP="00EB7389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s-ES"/>
        </w:rPr>
      </w:pPr>
      <w:r w:rsidRPr="00933B46">
        <w:rPr>
          <w:rFonts w:eastAsia="Times New Roman" w:cs="Calibri"/>
          <w:lang w:eastAsia="es-ES"/>
        </w:rPr>
        <w:t>vermiculita  </w:t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ab/>
      </w:r>
      <w:r w:rsidR="002F7720">
        <w:rPr>
          <w:rFonts w:eastAsia="Times New Roman" w:cs="Calibri"/>
          <w:lang w:eastAsia="es-ES"/>
        </w:rPr>
        <w:tab/>
      </w:r>
      <w:r w:rsidRPr="00933B46">
        <w:rPr>
          <w:rFonts w:eastAsia="Times New Roman" w:cs="Calibri"/>
          <w:lang w:eastAsia="es-ES"/>
        </w:rPr>
        <w:t>3%</w:t>
      </w:r>
    </w:p>
    <w:p w14:paraId="19D1A812" w14:textId="77777777" w:rsidR="00EB7389" w:rsidRPr="00933B46" w:rsidRDefault="00EB7389" w:rsidP="00EB7389">
      <w:pPr>
        <w:spacing w:after="0" w:line="240" w:lineRule="auto"/>
        <w:rPr>
          <w:rFonts w:eastAsia="Times New Roman" w:cs="Times New Roman"/>
          <w:lang w:eastAsia="es-ES"/>
        </w:rPr>
      </w:pPr>
    </w:p>
    <w:p w14:paraId="1B298D1D" w14:textId="77777777" w:rsidR="00EB7389" w:rsidRDefault="00EB7389" w:rsidP="00EB7389">
      <w:pPr>
        <w:spacing w:after="0" w:line="240" w:lineRule="auto"/>
        <w:rPr>
          <w:rFonts w:eastAsia="Times New Roman" w:cs="Calibri"/>
          <w:lang w:eastAsia="es-ES"/>
        </w:rPr>
      </w:pPr>
      <w:r w:rsidRPr="002030A2">
        <w:rPr>
          <w:rFonts w:eastAsia="Times New Roman" w:cs="Calibri"/>
          <w:b/>
          <w:lang w:eastAsia="es-ES"/>
        </w:rPr>
        <w:t>pH adecuado</w:t>
      </w:r>
      <w:r w:rsidR="002030A2">
        <w:rPr>
          <w:rFonts w:eastAsia="Times New Roman" w:cs="Calibri"/>
          <w:lang w:eastAsia="es-ES"/>
        </w:rPr>
        <w:t>:</w:t>
      </w:r>
      <w:r w:rsidRPr="00933B46">
        <w:rPr>
          <w:rFonts w:eastAsia="Times New Roman" w:cs="Calibri"/>
          <w:lang w:eastAsia="es-ES"/>
        </w:rPr>
        <w:t xml:space="preserve"> de 5,5 a 6,5</w:t>
      </w:r>
    </w:p>
    <w:p w14:paraId="24174B75" w14:textId="77777777" w:rsidR="00D67823" w:rsidRPr="00933B46" w:rsidRDefault="00D67823" w:rsidP="00EB7389">
      <w:pPr>
        <w:spacing w:after="0" w:line="240" w:lineRule="auto"/>
        <w:rPr>
          <w:rFonts w:eastAsia="Times New Roman" w:cs="Times New Roman"/>
          <w:lang w:eastAsia="es-ES"/>
        </w:rPr>
      </w:pPr>
    </w:p>
    <w:p w14:paraId="2CB68AA4" w14:textId="77777777" w:rsidR="00EB7389" w:rsidRDefault="00EB7389" w:rsidP="00EB7389">
      <w:pPr>
        <w:spacing w:after="0"/>
        <w:rPr>
          <w:rFonts w:eastAsia="Times New Roman" w:cs="Calibri"/>
          <w:lang w:eastAsia="es-ES"/>
        </w:rPr>
      </w:pPr>
      <w:r w:rsidRPr="002030A2">
        <w:rPr>
          <w:rFonts w:eastAsia="Times New Roman" w:cs="Calibri"/>
          <w:b/>
          <w:lang w:eastAsia="es-ES"/>
        </w:rPr>
        <w:t>capacidad de retención hídrica</w:t>
      </w:r>
      <w:r w:rsidR="002030A2">
        <w:rPr>
          <w:rFonts w:eastAsia="Times New Roman" w:cs="Calibri"/>
          <w:b/>
          <w:lang w:eastAsia="es-ES"/>
        </w:rPr>
        <w:t>:</w:t>
      </w:r>
      <w:r w:rsidRPr="00933B46">
        <w:rPr>
          <w:rFonts w:eastAsia="Times New Roman" w:cs="Calibri"/>
          <w:lang w:eastAsia="es-ES"/>
        </w:rPr>
        <w:t xml:space="preserve">  0,35 - 0,45 cc por 1 gr de sustrato para riego inicial</w:t>
      </w:r>
    </w:p>
    <w:p w14:paraId="71F185D3" w14:textId="77777777" w:rsidR="00D67823" w:rsidRDefault="00D67823" w:rsidP="00EB7389">
      <w:pPr>
        <w:spacing w:after="0"/>
        <w:rPr>
          <w:rFonts w:eastAsia="Times New Roman" w:cs="Calibri"/>
          <w:lang w:eastAsia="es-ES"/>
        </w:rPr>
      </w:pPr>
    </w:p>
    <w:p w14:paraId="59A7DE18" w14:textId="77777777" w:rsidR="002030A2" w:rsidRPr="002030A2" w:rsidRDefault="002030A2" w:rsidP="00EB7389">
      <w:pPr>
        <w:spacing w:after="0"/>
        <w:rPr>
          <w:rFonts w:eastAsia="Times New Roman" w:cs="Calibri"/>
          <w:b/>
          <w:lang w:eastAsia="es-ES"/>
        </w:rPr>
      </w:pPr>
      <w:r w:rsidRPr="002030A2">
        <w:rPr>
          <w:rFonts w:eastAsia="Times New Roman" w:cs="Calibri"/>
          <w:b/>
          <w:lang w:eastAsia="es-ES"/>
        </w:rPr>
        <w:t xml:space="preserve">Compactación: </w:t>
      </w:r>
      <w:r w:rsidRPr="002030A2">
        <w:rPr>
          <w:rFonts w:eastAsia="Times New Roman" w:cs="Calibri"/>
          <w:lang w:eastAsia="es-ES"/>
        </w:rPr>
        <w:t>baja o nula</w:t>
      </w:r>
    </w:p>
    <w:p w14:paraId="18003509" w14:textId="77777777" w:rsidR="00EB7389" w:rsidRPr="00933B46" w:rsidRDefault="00EB7389" w:rsidP="00EB7389">
      <w:pPr>
        <w:spacing w:after="0"/>
        <w:jc w:val="both"/>
        <w:rPr>
          <w:b/>
        </w:rPr>
      </w:pPr>
    </w:p>
    <w:p w14:paraId="5AFF467A" w14:textId="77777777" w:rsidR="007E1838" w:rsidRPr="00933B46" w:rsidRDefault="007E1838" w:rsidP="00EB7389">
      <w:pPr>
        <w:jc w:val="both"/>
      </w:pPr>
      <w:r w:rsidRPr="00933B46">
        <w:rPr>
          <w:b/>
        </w:rPr>
        <w:t>Riego.-</w:t>
      </w:r>
      <w:r w:rsidR="0010594F" w:rsidRPr="00933B46">
        <w:t xml:space="preserve"> se deberá garantizar el riego al menos 2 veces por semana, para lo cual se puede gestionar convenios de apadrinamiento con vecinos, locales comerciales, empresas, etc.</w:t>
      </w:r>
    </w:p>
    <w:p w14:paraId="0E3F969B" w14:textId="77777777" w:rsidR="00EB7389" w:rsidRPr="00933B46" w:rsidRDefault="00EB7389" w:rsidP="00EB7389">
      <w:pPr>
        <w:jc w:val="both"/>
        <w:rPr>
          <w:b/>
        </w:rPr>
      </w:pPr>
      <w:r w:rsidRPr="00933B46">
        <w:rPr>
          <w:b/>
        </w:rPr>
        <w:t xml:space="preserve">Drenaje.- </w:t>
      </w:r>
      <w:r w:rsidRPr="00933B46">
        <w:t>se debe considerar</w:t>
      </w:r>
      <w:r w:rsidRPr="00933B46">
        <w:rPr>
          <w:b/>
        </w:rPr>
        <w:t xml:space="preserve"> </w:t>
      </w:r>
      <w:r w:rsidRPr="00933B46">
        <w:t>agujeros de evacuación de la humedad excedente</w:t>
      </w:r>
      <w:r w:rsidRPr="00933B46">
        <w:rPr>
          <w:b/>
        </w:rPr>
        <w:t xml:space="preserve"> </w:t>
      </w:r>
      <w:r w:rsidRPr="00933B46">
        <w:t>y que aporten con una pequeña dosis de infiltración de aire.</w:t>
      </w:r>
    </w:p>
    <w:p w14:paraId="38817B72" w14:textId="77777777" w:rsidR="007E1838" w:rsidRPr="00933B46" w:rsidRDefault="007E1838" w:rsidP="00EB7389">
      <w:pPr>
        <w:jc w:val="both"/>
      </w:pPr>
      <w:r w:rsidRPr="00933B46">
        <w:rPr>
          <w:b/>
        </w:rPr>
        <w:t>Aire.-</w:t>
      </w:r>
      <w:r w:rsidR="0010594F" w:rsidRPr="00933B46">
        <w:t xml:space="preserve"> Se evitará exponer a los árboles de contenedor a fuentes directas de emisión de gases, smog, hollín, etc.</w:t>
      </w:r>
    </w:p>
    <w:p w14:paraId="5A6994A9" w14:textId="77777777" w:rsidR="007E1838" w:rsidRPr="00933B46" w:rsidRDefault="007E1838" w:rsidP="00EB7389">
      <w:pPr>
        <w:jc w:val="both"/>
      </w:pPr>
      <w:r w:rsidRPr="00933B46">
        <w:rPr>
          <w:b/>
        </w:rPr>
        <w:t>Iluminación.-</w:t>
      </w:r>
      <w:r w:rsidR="0010594F" w:rsidRPr="00933B46">
        <w:t xml:space="preserve"> Se deberá procurar la no interrupción de la luz natural del sol, salvo en ciertas especies </w:t>
      </w:r>
      <w:r w:rsidR="005C4DCF" w:rsidRPr="00933B46">
        <w:t xml:space="preserve">de sotobosque </w:t>
      </w:r>
      <w:r w:rsidR="0010594F" w:rsidRPr="00933B46">
        <w:t xml:space="preserve">se podrá </w:t>
      </w:r>
      <w:r w:rsidR="005C4DCF" w:rsidRPr="00933B46">
        <w:t>considerar la plantación en interiores de edificaciones, en todo caso los cristales de  dichas edificaciones no deberán disponer de polarización.</w:t>
      </w:r>
    </w:p>
    <w:p w14:paraId="1F7905D7" w14:textId="77777777" w:rsidR="00E6707D" w:rsidRPr="00933B46" w:rsidRDefault="00E6707D" w:rsidP="00EB7389">
      <w:pPr>
        <w:jc w:val="both"/>
      </w:pPr>
      <w:r w:rsidRPr="00933B46">
        <w:rPr>
          <w:b/>
        </w:rPr>
        <w:t>Protección.-</w:t>
      </w:r>
      <w:r w:rsidR="005C4DCF" w:rsidRPr="00933B46">
        <w:rPr>
          <w:b/>
        </w:rPr>
        <w:t xml:space="preserve">  </w:t>
      </w:r>
      <w:r w:rsidR="005C4DCF" w:rsidRPr="00933B46">
        <w:t>Se debe considerar como elemento importante la protección contra el vandalismo, así como la colocación de  tachos para la recolección de basura cercanos a los elementos vegetales, para evitar que se conviertan en botaderos.</w:t>
      </w:r>
    </w:p>
    <w:p w14:paraId="00E1D8E9" w14:textId="77777777" w:rsidR="0010594F" w:rsidRPr="00933B46" w:rsidRDefault="0010594F" w:rsidP="00EB7389">
      <w:pPr>
        <w:jc w:val="both"/>
      </w:pPr>
      <w:r w:rsidRPr="00933B46">
        <w:rPr>
          <w:b/>
        </w:rPr>
        <w:t>Seguimiento Fitosanitario.-</w:t>
      </w:r>
      <w:r w:rsidRPr="00933B46">
        <w:t xml:space="preserve"> </w:t>
      </w:r>
      <w:r w:rsidR="005C4DCF" w:rsidRPr="00933B46">
        <w:t xml:space="preserve"> se deberá considerar dentro de las actividades del mantenimiento la observación oportuna de anomalías en la coloración o aspecto general de las plantas que pueda estar asociada a problemas fitosanitarios y se deberá reportar oportunamente a la Dirección de Áreas Naturales de la EPMMOP.</w:t>
      </w:r>
    </w:p>
    <w:p w14:paraId="734B00EA" w14:textId="77777777" w:rsidR="00E6707D" w:rsidRPr="00933B46" w:rsidRDefault="00E6707D" w:rsidP="00EB7389">
      <w:pPr>
        <w:jc w:val="both"/>
      </w:pPr>
      <w:r w:rsidRPr="00933B46">
        <w:rPr>
          <w:b/>
        </w:rPr>
        <w:t>Señalética.-</w:t>
      </w:r>
      <w:r w:rsidR="005C4DCF" w:rsidRPr="00933B46">
        <w:rPr>
          <w:b/>
        </w:rPr>
        <w:t xml:space="preserve">  </w:t>
      </w:r>
      <w:r w:rsidR="005C4DCF" w:rsidRPr="00933B46">
        <w:t>como herramienta educativa se puede colocar señalética con los nombres comunes y científico de cada ejemplar, a la vez que se recomendará la protección y respeto a los elementos vegetales y paisajísticos.</w:t>
      </w:r>
    </w:p>
    <w:p w14:paraId="1F6EF989" w14:textId="77777777" w:rsidR="005C4DCF" w:rsidRPr="00933B46" w:rsidRDefault="005C4DCF" w:rsidP="00EB7389">
      <w:pPr>
        <w:jc w:val="both"/>
        <w:rPr>
          <w:b/>
        </w:rPr>
      </w:pPr>
      <w:r w:rsidRPr="00933B46">
        <w:rPr>
          <w:b/>
        </w:rPr>
        <w:t>Se recomienda además tener en cuenta todos los cri</w:t>
      </w:r>
      <w:r w:rsidR="007977AD" w:rsidRPr="00933B46">
        <w:rPr>
          <w:b/>
        </w:rPr>
        <w:t>terios establecidos en los Manu</w:t>
      </w:r>
      <w:r w:rsidRPr="00933B46">
        <w:rPr>
          <w:b/>
        </w:rPr>
        <w:t xml:space="preserve">ales Técnicos de Arbolado Urbano tomos 1 y 2. </w:t>
      </w:r>
    </w:p>
    <w:p w14:paraId="7F67CAC4" w14:textId="77777777" w:rsidR="00EB7389" w:rsidRDefault="00EB7389" w:rsidP="00EB7389">
      <w:pPr>
        <w:jc w:val="both"/>
        <w:rPr>
          <w:b/>
        </w:rPr>
      </w:pPr>
    </w:p>
    <w:p w14:paraId="4BDAC4C7" w14:textId="77777777" w:rsidR="00D67823" w:rsidRPr="00933B46" w:rsidRDefault="00D67823" w:rsidP="00EB7389">
      <w:pPr>
        <w:jc w:val="both"/>
        <w:rPr>
          <w:b/>
        </w:rPr>
      </w:pPr>
    </w:p>
    <w:p w14:paraId="22BBDEA3" w14:textId="77777777" w:rsidR="00EB7389" w:rsidRPr="00933B46" w:rsidRDefault="00E8737A" w:rsidP="00EB7389">
      <w:pPr>
        <w:jc w:val="both"/>
        <w:rPr>
          <w:b/>
        </w:rPr>
      </w:pPr>
      <w:r w:rsidRPr="00933B46">
        <w:rPr>
          <w:b/>
        </w:rPr>
        <w:lastRenderedPageBreak/>
        <w:t>Li</w:t>
      </w:r>
      <w:r w:rsidR="00EB7389" w:rsidRPr="00933B46">
        <w:rPr>
          <w:b/>
        </w:rPr>
        <w:t>stado de especies idóneas para arbolado en contenedores:</w:t>
      </w:r>
    </w:p>
    <w:p w14:paraId="1C58CC9D" w14:textId="77777777" w:rsidR="00EB7389" w:rsidRPr="00933B46" w:rsidRDefault="00EB7389" w:rsidP="00EB7389">
      <w:pPr>
        <w:jc w:val="both"/>
        <w:rPr>
          <w:b/>
        </w:rPr>
      </w:pPr>
      <w:r w:rsidRPr="00933B46">
        <w:rPr>
          <w:b/>
          <w:noProof/>
          <w:lang w:val="es-EC" w:eastAsia="es-EC"/>
        </w:rPr>
        <w:drawing>
          <wp:inline distT="0" distB="0" distL="0" distR="0" wp14:anchorId="5D02E835" wp14:editId="53932513">
            <wp:extent cx="5400040" cy="40892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5BC2" w14:textId="77777777" w:rsidR="007E1838" w:rsidRPr="00933B46" w:rsidRDefault="007E1838"/>
    <w:sectPr w:rsidR="007E1838" w:rsidRPr="00933B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37D" w14:textId="77777777" w:rsidR="00BC405E" w:rsidRDefault="00BC405E" w:rsidP="00E6707D">
      <w:pPr>
        <w:spacing w:after="0" w:line="240" w:lineRule="auto"/>
      </w:pPr>
      <w:r>
        <w:separator/>
      </w:r>
    </w:p>
  </w:endnote>
  <w:endnote w:type="continuationSeparator" w:id="0">
    <w:p w14:paraId="3410C96F" w14:textId="77777777" w:rsidR="00BC405E" w:rsidRDefault="00BC405E" w:rsidP="00E6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7904"/>
      <w:docPartObj>
        <w:docPartGallery w:val="Page Numbers (Bottom of Page)"/>
        <w:docPartUnique/>
      </w:docPartObj>
    </w:sdtPr>
    <w:sdtEndPr/>
    <w:sdtContent>
      <w:p w14:paraId="442A9FDA" w14:textId="77777777" w:rsidR="00793F96" w:rsidRDefault="00793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D0">
          <w:rPr>
            <w:noProof/>
          </w:rPr>
          <w:t>1</w:t>
        </w:r>
        <w:r>
          <w:fldChar w:fldCharType="end"/>
        </w:r>
      </w:p>
    </w:sdtContent>
  </w:sdt>
  <w:p w14:paraId="324348DC" w14:textId="77777777" w:rsidR="00793F96" w:rsidRDefault="00793F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D273" w14:textId="77777777" w:rsidR="00BC405E" w:rsidRDefault="00BC405E" w:rsidP="00E6707D">
      <w:pPr>
        <w:spacing w:after="0" w:line="240" w:lineRule="auto"/>
      </w:pPr>
      <w:r>
        <w:separator/>
      </w:r>
    </w:p>
  </w:footnote>
  <w:footnote w:type="continuationSeparator" w:id="0">
    <w:p w14:paraId="198C4341" w14:textId="77777777" w:rsidR="00BC405E" w:rsidRDefault="00BC405E" w:rsidP="00E6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39E5" w14:textId="77777777" w:rsidR="00E6707D" w:rsidRDefault="00E6707D">
    <w:pPr>
      <w:pStyle w:val="Encabezado"/>
    </w:pPr>
    <w:r>
      <w:rPr>
        <w:noProof/>
        <w:lang w:eastAsia="es-ES"/>
      </w:rPr>
      <w:tab/>
    </w:r>
    <w:r>
      <w:rPr>
        <w:noProof/>
        <w:lang w:eastAsia="es-ES"/>
      </w:rPr>
      <w:tab/>
    </w:r>
    <w:r w:rsidR="00BC65E0">
      <w:rPr>
        <w:noProof/>
        <w:lang w:val="es-EC" w:eastAsia="es-EC"/>
      </w:rPr>
      <w:drawing>
        <wp:inline distT="0" distB="0" distL="0" distR="0" wp14:anchorId="51771E01" wp14:editId="61C6FE1A">
          <wp:extent cx="1426464" cy="689541"/>
          <wp:effectExtent l="0" t="0" r="2540" b="0"/>
          <wp:docPr id="40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82" cy="690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742"/>
    <w:multiLevelType w:val="hybridMultilevel"/>
    <w:tmpl w:val="5E7C4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754D"/>
    <w:multiLevelType w:val="hybridMultilevel"/>
    <w:tmpl w:val="9C840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4"/>
    <w:rsid w:val="0005627A"/>
    <w:rsid w:val="000C3807"/>
    <w:rsid w:val="0010594F"/>
    <w:rsid w:val="00137A04"/>
    <w:rsid w:val="001F4244"/>
    <w:rsid w:val="002030A2"/>
    <w:rsid w:val="00252445"/>
    <w:rsid w:val="002F7720"/>
    <w:rsid w:val="003A3D37"/>
    <w:rsid w:val="004210CD"/>
    <w:rsid w:val="00425CF6"/>
    <w:rsid w:val="005C4DCF"/>
    <w:rsid w:val="005C6821"/>
    <w:rsid w:val="00627A24"/>
    <w:rsid w:val="0066246C"/>
    <w:rsid w:val="006A3267"/>
    <w:rsid w:val="006F3E65"/>
    <w:rsid w:val="00793F96"/>
    <w:rsid w:val="007977AD"/>
    <w:rsid w:val="007D55D0"/>
    <w:rsid w:val="007E1838"/>
    <w:rsid w:val="008A01B0"/>
    <w:rsid w:val="00933B46"/>
    <w:rsid w:val="00A749ED"/>
    <w:rsid w:val="00B8469E"/>
    <w:rsid w:val="00BC405E"/>
    <w:rsid w:val="00BC65E0"/>
    <w:rsid w:val="00C734E0"/>
    <w:rsid w:val="00CA4CBE"/>
    <w:rsid w:val="00D510A4"/>
    <w:rsid w:val="00D67823"/>
    <w:rsid w:val="00D9348A"/>
    <w:rsid w:val="00E6707D"/>
    <w:rsid w:val="00E8737A"/>
    <w:rsid w:val="00EB7389"/>
    <w:rsid w:val="00EC7EA5"/>
    <w:rsid w:val="00F637EB"/>
    <w:rsid w:val="00F836C1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A2D3"/>
  <w15:docId w15:val="{4D75F7CD-E2FB-416F-A21D-7708B0C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3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7D"/>
  </w:style>
  <w:style w:type="paragraph" w:styleId="Piedepgina">
    <w:name w:val="footer"/>
    <w:basedOn w:val="Normal"/>
    <w:link w:val="PiedepginaCar"/>
    <w:uiPriority w:val="99"/>
    <w:unhideWhenUsed/>
    <w:rsid w:val="00E6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7D"/>
  </w:style>
  <w:style w:type="paragraph" w:styleId="Textodeglobo">
    <w:name w:val="Balloon Text"/>
    <w:basedOn w:val="Normal"/>
    <w:link w:val="TextodegloboCar"/>
    <w:uiPriority w:val="99"/>
    <w:semiHidden/>
    <w:unhideWhenUsed/>
    <w:rsid w:val="00E6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0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73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A3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6A32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2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32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2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Ismael Polo Abad</dc:creator>
  <cp:lastModifiedBy>Gustavo Adolfo Galindo Andrade</cp:lastModifiedBy>
  <cp:revision>4</cp:revision>
  <dcterms:created xsi:type="dcterms:W3CDTF">2021-11-26T02:19:00Z</dcterms:created>
  <dcterms:modified xsi:type="dcterms:W3CDTF">2021-11-26T13:07:00Z</dcterms:modified>
</cp:coreProperties>
</file>