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E36A3D" w:rsidRPr="005E3E0F" w:rsidRDefault="0030679D" w:rsidP="003C414D">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 xml:space="preserve">mediante </w:t>
      </w:r>
      <w:r w:rsidR="00501C4E">
        <w:rPr>
          <w:rFonts w:ascii="Palatino Linotype" w:eastAsiaTheme="minorHAnsi" w:hAnsi="Palatino Linotype"/>
          <w:sz w:val="22"/>
          <w:szCs w:val="22"/>
          <w:lang w:val="es-EC" w:eastAsia="en-US"/>
        </w:rPr>
        <w:t xml:space="preserve">solicitud ingresada en la Secretaría General del Concejo el 21 de abril de 2021, </w:t>
      </w:r>
      <w:r w:rsidR="00501C4E" w:rsidRPr="006E74D8">
        <w:rPr>
          <w:rFonts w:ascii="Palatino Linotype" w:eastAsiaTheme="minorHAnsi" w:hAnsi="Palatino Linotype"/>
          <w:sz w:val="22"/>
          <w:szCs w:val="22"/>
          <w:lang w:val="es-EC" w:eastAsia="en-US"/>
        </w:rPr>
        <w:t>el doctor Mauro Álvarez, abogado patrocinador</w:t>
      </w:r>
      <w:r w:rsidR="00501C4E">
        <w:rPr>
          <w:rFonts w:ascii="Palatino Linotype" w:eastAsiaTheme="minorHAnsi" w:hAnsi="Palatino Linotype"/>
          <w:sz w:val="22"/>
          <w:szCs w:val="22"/>
          <w:lang w:val="es-EC" w:eastAsia="en-US"/>
        </w:rPr>
        <w:t xml:space="preserve"> </w:t>
      </w:r>
      <w:r w:rsidR="00501C4E" w:rsidRPr="006E74D8">
        <w:rPr>
          <w:rFonts w:ascii="Palatino Linotype" w:eastAsiaTheme="minorHAnsi" w:hAnsi="Palatino Linotype"/>
          <w:sz w:val="22"/>
          <w:szCs w:val="22"/>
          <w:lang w:val="es-EC" w:eastAsia="en-US"/>
        </w:rPr>
        <w:t>del señor Víctor Hugo Tello</w:t>
      </w:r>
      <w:r w:rsidR="00501C4E">
        <w:rPr>
          <w:rFonts w:ascii="Palatino Linotype" w:eastAsiaTheme="minorHAnsi" w:hAnsi="Palatino Linotype"/>
          <w:sz w:val="22"/>
          <w:szCs w:val="22"/>
          <w:lang w:val="es-EC" w:eastAsia="en-US"/>
        </w:rPr>
        <w:t xml:space="preserve"> </w:t>
      </w:r>
      <w:r w:rsidR="00501C4E" w:rsidRPr="006E74D8">
        <w:rPr>
          <w:rFonts w:ascii="Palatino Linotype" w:eastAsiaTheme="minorHAnsi" w:hAnsi="Palatino Linotype"/>
          <w:sz w:val="22"/>
          <w:szCs w:val="22"/>
          <w:lang w:val="es-EC" w:eastAsia="en-US"/>
        </w:rPr>
        <w:t>Arteaga, solicitó la elaboración del informe de factibilidad de partición del predio</w:t>
      </w:r>
      <w:r w:rsidR="00501C4E">
        <w:rPr>
          <w:rFonts w:ascii="Palatino Linotype" w:eastAsiaTheme="minorHAnsi" w:hAnsi="Palatino Linotype"/>
          <w:sz w:val="22"/>
          <w:szCs w:val="22"/>
          <w:lang w:val="es-EC" w:eastAsia="en-US"/>
        </w:rPr>
        <w:t xml:space="preserve"> </w:t>
      </w:r>
      <w:r w:rsidR="00501C4E" w:rsidRPr="006E74D8">
        <w:rPr>
          <w:rFonts w:ascii="Palatino Linotype" w:eastAsiaTheme="minorHAnsi" w:hAnsi="Palatino Linotype"/>
          <w:sz w:val="22"/>
          <w:szCs w:val="22"/>
          <w:lang w:val="es-EC" w:eastAsia="en-US"/>
        </w:rPr>
        <w:t>No. 416600, ubicado en la parroquia Cotocollao</w:t>
      </w:r>
      <w:r w:rsidR="00501C4E">
        <w:rPr>
          <w:rFonts w:ascii="Palatino Linotype" w:eastAsiaTheme="minorHAnsi" w:hAnsi="Palatino Linotype"/>
          <w:sz w:val="22"/>
          <w:szCs w:val="22"/>
          <w:lang w:val="es-EC" w:eastAsia="en-US"/>
        </w:rPr>
        <w:t xml:space="preserve">; </w:t>
      </w: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437B89" w:rsidRPr="00295128" w:rsidRDefault="00D3174E" w:rsidP="005817CE">
      <w:pPr>
        <w:autoSpaceDE w:val="0"/>
        <w:autoSpaceDN w:val="0"/>
        <w:adjustRightInd w:val="0"/>
        <w:ind w:left="709" w:hanging="709"/>
        <w:jc w:val="both"/>
        <w:rPr>
          <w:rFonts w:ascii="Palatino Linotype" w:hAnsi="Palatino Linotype"/>
          <w:iCs/>
          <w:sz w:val="22"/>
          <w:szCs w:val="22"/>
          <w:lang w:val="es-EC"/>
        </w:rPr>
      </w:pPr>
      <w:r>
        <w:rPr>
          <w:rFonts w:ascii="Palatino Linotype" w:eastAsiaTheme="minorHAnsi" w:hAnsi="Palatino Linotype"/>
          <w:sz w:val="22"/>
          <w:szCs w:val="22"/>
          <w:lang w:val="es-EC" w:eastAsia="en-US"/>
        </w:rPr>
        <w:lastRenderedPageBreak/>
        <w:t xml:space="preserve">Que, </w:t>
      </w:r>
      <w:r>
        <w:rPr>
          <w:rFonts w:ascii="Palatino Linotype" w:hAnsi="Palatino Linotype"/>
          <w:sz w:val="22"/>
          <w:szCs w:val="22"/>
        </w:rPr>
        <w:t>mediante</w:t>
      </w:r>
      <w:bookmarkStart w:id="0" w:name="_Hlk51947053"/>
      <w:r>
        <w:rPr>
          <w:rFonts w:ascii="Palatino Linotype" w:hAnsi="Palatino Linotype"/>
          <w:sz w:val="22"/>
          <w:szCs w:val="22"/>
        </w:rPr>
        <w:t xml:space="preserve"> </w:t>
      </w:r>
      <w:r w:rsidR="00437B89" w:rsidRPr="00937E31">
        <w:rPr>
          <w:rFonts w:ascii="Palatino Linotype" w:hAnsi="Palatino Linotype"/>
          <w:iCs/>
          <w:sz w:val="22"/>
          <w:szCs w:val="22"/>
          <w:lang w:val="es-EC"/>
        </w:rPr>
        <w:t>Informe Técnico No. 031-UZGT-2021, el arquitecto Galo Cruz, Responsable de la Unidad de</w:t>
      </w:r>
      <w:r w:rsidR="00437B89">
        <w:rPr>
          <w:rFonts w:ascii="Palatino Linotype" w:hAnsi="Palatino Linotype"/>
          <w:iCs/>
          <w:sz w:val="22"/>
          <w:szCs w:val="22"/>
          <w:lang w:val="es-EC"/>
        </w:rPr>
        <w:t xml:space="preserve"> </w:t>
      </w:r>
      <w:r w:rsidR="00437B89" w:rsidRPr="00937E31">
        <w:rPr>
          <w:rFonts w:ascii="Palatino Linotype" w:hAnsi="Palatino Linotype"/>
          <w:iCs/>
          <w:sz w:val="22"/>
          <w:szCs w:val="22"/>
          <w:lang w:val="es-EC"/>
        </w:rPr>
        <w:t xml:space="preserve">Gestión Urbana de la </w:t>
      </w:r>
      <w:r w:rsidR="00437B89">
        <w:rPr>
          <w:rFonts w:ascii="Palatino Linotype" w:hAnsi="Palatino Linotype"/>
          <w:iCs/>
          <w:sz w:val="22"/>
          <w:szCs w:val="22"/>
          <w:lang w:val="es-EC"/>
        </w:rPr>
        <w:t xml:space="preserve">Administración Zonal La Delicia, señala: </w:t>
      </w:r>
    </w:p>
    <w:p w:rsidR="00437B89" w:rsidRPr="003206A9" w:rsidRDefault="00437B89" w:rsidP="00437B89">
      <w:pPr>
        <w:autoSpaceDE w:val="0"/>
        <w:autoSpaceDN w:val="0"/>
        <w:adjustRightInd w:val="0"/>
        <w:ind w:left="708"/>
        <w:jc w:val="both"/>
        <w:rPr>
          <w:rFonts w:ascii="Palatino Linotype" w:eastAsiaTheme="minorHAnsi" w:hAnsi="Palatino Linotype"/>
          <w:i/>
          <w:iCs/>
          <w:sz w:val="22"/>
          <w:szCs w:val="22"/>
          <w:lang w:val="es-EC" w:eastAsia="en-US"/>
        </w:rPr>
      </w:pPr>
    </w:p>
    <w:p w:rsidR="00437B89" w:rsidRDefault="00437B89" w:rsidP="00437B89">
      <w:pPr>
        <w:autoSpaceDE w:val="0"/>
        <w:autoSpaceDN w:val="0"/>
        <w:adjustRightInd w:val="0"/>
        <w:ind w:left="708"/>
        <w:jc w:val="both"/>
        <w:rPr>
          <w:rFonts w:ascii="Palatino Linotype" w:eastAsiaTheme="minorHAnsi" w:hAnsi="Palatino Linotype"/>
          <w:i/>
          <w:iCs/>
          <w:sz w:val="22"/>
          <w:szCs w:val="22"/>
          <w:lang w:eastAsia="en-US"/>
        </w:rPr>
      </w:pPr>
      <w:r w:rsidRPr="001341BB">
        <w:rPr>
          <w:rFonts w:ascii="Palatino Linotype" w:hAnsi="Palatino Linotype"/>
          <w:i/>
          <w:sz w:val="22"/>
          <w:szCs w:val="22"/>
        </w:rPr>
        <w:t>“(…)</w:t>
      </w:r>
      <w:r>
        <w:rPr>
          <w:rFonts w:ascii="Palatino Linotype" w:hAnsi="Palatino Linotype"/>
          <w:i/>
          <w:sz w:val="22"/>
          <w:szCs w:val="22"/>
        </w:rPr>
        <w:t xml:space="preserve"> </w:t>
      </w:r>
      <w:r w:rsidRPr="001341BB">
        <w:rPr>
          <w:rFonts w:ascii="Palatino Linotype" w:eastAsiaTheme="minorHAnsi" w:hAnsi="Palatino Linotype"/>
          <w:i/>
          <w:iCs/>
          <w:sz w:val="22"/>
          <w:szCs w:val="22"/>
          <w:lang w:eastAsia="en-US"/>
        </w:rPr>
        <w:t>El predio 416600, se encuentra declarado bajo el régimen de PROPIEDAD HORIZONTAL, con alícuota</w:t>
      </w:r>
      <w:r>
        <w:rPr>
          <w:rFonts w:ascii="Palatino Linotype" w:eastAsiaTheme="minorHAnsi" w:hAnsi="Palatino Linotype"/>
          <w:i/>
          <w:iCs/>
          <w:sz w:val="22"/>
          <w:szCs w:val="22"/>
          <w:lang w:eastAsia="en-US"/>
        </w:rPr>
        <w:t xml:space="preserve"> </w:t>
      </w:r>
      <w:r w:rsidRPr="001341BB">
        <w:rPr>
          <w:rFonts w:ascii="Palatino Linotype" w:eastAsiaTheme="minorHAnsi" w:hAnsi="Palatino Linotype"/>
          <w:i/>
          <w:iCs/>
          <w:sz w:val="22"/>
          <w:szCs w:val="22"/>
          <w:lang w:eastAsia="en-US"/>
        </w:rPr>
        <w:t>12.92%, por lo cual los datos de zonificación son válidos para todo el lote que conforma el condominio. La</w:t>
      </w:r>
      <w:r>
        <w:rPr>
          <w:rFonts w:ascii="Palatino Linotype" w:eastAsiaTheme="minorHAnsi" w:hAnsi="Palatino Linotype"/>
          <w:i/>
          <w:iCs/>
          <w:sz w:val="22"/>
          <w:szCs w:val="22"/>
          <w:lang w:eastAsia="en-US"/>
        </w:rPr>
        <w:t xml:space="preserve"> </w:t>
      </w:r>
      <w:r w:rsidRPr="001341BB">
        <w:rPr>
          <w:rFonts w:ascii="Palatino Linotype" w:eastAsiaTheme="minorHAnsi" w:hAnsi="Palatino Linotype"/>
          <w:i/>
          <w:iCs/>
          <w:sz w:val="22"/>
          <w:szCs w:val="22"/>
          <w:lang w:eastAsia="en-US"/>
        </w:rPr>
        <w:t>zonificación asignada es A10 (A604-50), que corresponde a un lote mínimo de 600 m2 y frente mínimo de 15 m.</w:t>
      </w:r>
      <w:r>
        <w:rPr>
          <w:rFonts w:ascii="Palatino Linotype" w:eastAsiaTheme="minorHAnsi" w:hAnsi="Palatino Linotype"/>
          <w:i/>
          <w:iCs/>
          <w:sz w:val="22"/>
          <w:szCs w:val="22"/>
          <w:lang w:eastAsia="en-US"/>
        </w:rPr>
        <w:t xml:space="preserve"> </w:t>
      </w:r>
    </w:p>
    <w:p w:rsidR="00437B89" w:rsidRDefault="00437B89" w:rsidP="00437B89">
      <w:pPr>
        <w:autoSpaceDE w:val="0"/>
        <w:autoSpaceDN w:val="0"/>
        <w:adjustRightInd w:val="0"/>
        <w:ind w:left="708"/>
        <w:jc w:val="both"/>
        <w:rPr>
          <w:rFonts w:ascii="Palatino Linotype" w:eastAsiaTheme="minorHAnsi" w:hAnsi="Palatino Linotype"/>
          <w:i/>
          <w:iCs/>
          <w:sz w:val="22"/>
          <w:szCs w:val="22"/>
          <w:lang w:eastAsia="en-US"/>
        </w:rPr>
      </w:pPr>
    </w:p>
    <w:p w:rsidR="00437B89" w:rsidRPr="001341BB" w:rsidRDefault="00437B89" w:rsidP="00437B89">
      <w:pPr>
        <w:autoSpaceDE w:val="0"/>
        <w:autoSpaceDN w:val="0"/>
        <w:adjustRightInd w:val="0"/>
        <w:ind w:left="708"/>
        <w:jc w:val="both"/>
        <w:rPr>
          <w:rFonts w:ascii="Palatino Linotype" w:eastAsiaTheme="minorHAnsi" w:hAnsi="Palatino Linotype"/>
          <w:i/>
          <w:iCs/>
          <w:sz w:val="22"/>
          <w:szCs w:val="22"/>
          <w:lang w:eastAsia="en-US"/>
        </w:rPr>
      </w:pPr>
      <w:r w:rsidRPr="001341BB">
        <w:rPr>
          <w:rFonts w:ascii="Palatino Linotype" w:eastAsiaTheme="minorHAnsi" w:hAnsi="Palatino Linotype"/>
          <w:i/>
          <w:iCs/>
          <w:sz w:val="22"/>
          <w:szCs w:val="22"/>
          <w:lang w:eastAsia="en-US"/>
        </w:rPr>
        <w:t xml:space="preserve">En ese contexto me permito informar que el predio N°416600, </w:t>
      </w:r>
      <w:r w:rsidRPr="001341BB">
        <w:rPr>
          <w:rFonts w:ascii="Palatino Linotype" w:eastAsiaTheme="minorHAnsi" w:hAnsi="Palatino Linotype"/>
          <w:b/>
          <w:bCs/>
          <w:i/>
          <w:iCs/>
          <w:sz w:val="22"/>
          <w:szCs w:val="22"/>
          <w:lang w:eastAsia="en-US"/>
        </w:rPr>
        <w:t xml:space="preserve">NO ES FACTIBLE </w:t>
      </w:r>
      <w:r w:rsidRPr="001341BB">
        <w:rPr>
          <w:rFonts w:ascii="Palatino Linotype" w:eastAsiaTheme="minorHAnsi" w:hAnsi="Palatino Linotype"/>
          <w:i/>
          <w:iCs/>
          <w:sz w:val="22"/>
          <w:szCs w:val="22"/>
          <w:lang w:eastAsia="en-US"/>
        </w:rPr>
        <w:t>de partición por no cumplir</w:t>
      </w:r>
      <w:r>
        <w:rPr>
          <w:rFonts w:ascii="Palatino Linotype" w:eastAsiaTheme="minorHAnsi" w:hAnsi="Palatino Linotype"/>
          <w:i/>
          <w:iCs/>
          <w:sz w:val="22"/>
          <w:szCs w:val="22"/>
          <w:lang w:eastAsia="en-US"/>
        </w:rPr>
        <w:t xml:space="preserve"> </w:t>
      </w:r>
      <w:r w:rsidRPr="001341BB">
        <w:rPr>
          <w:rFonts w:ascii="Palatino Linotype" w:eastAsiaTheme="minorHAnsi" w:hAnsi="Palatino Linotype"/>
          <w:i/>
          <w:iCs/>
          <w:sz w:val="22"/>
          <w:szCs w:val="22"/>
          <w:lang w:eastAsia="en-US"/>
        </w:rPr>
        <w:t>con la zonificación respecto al lote y frente mínimo.</w:t>
      </w:r>
      <w:r>
        <w:rPr>
          <w:rFonts w:ascii="Palatino Linotype" w:eastAsiaTheme="minorHAnsi" w:hAnsi="Palatino Linotype"/>
          <w:i/>
          <w:iCs/>
          <w:sz w:val="22"/>
          <w:szCs w:val="22"/>
          <w:lang w:eastAsia="en-US"/>
        </w:rPr>
        <w:t>”;</w:t>
      </w:r>
    </w:p>
    <w:p w:rsidR="00437B89" w:rsidRPr="002721AF" w:rsidRDefault="00437B89" w:rsidP="00437B89">
      <w:pPr>
        <w:autoSpaceDE w:val="0"/>
        <w:autoSpaceDN w:val="0"/>
        <w:adjustRightInd w:val="0"/>
        <w:ind w:left="708"/>
        <w:jc w:val="both"/>
        <w:rPr>
          <w:rFonts w:ascii="Palatino Linotype" w:hAnsi="Palatino Linotype"/>
          <w:b/>
          <w:bCs/>
          <w:i/>
          <w:sz w:val="22"/>
          <w:szCs w:val="22"/>
        </w:rPr>
      </w:pPr>
    </w:p>
    <w:p w:rsidR="005817CE" w:rsidRPr="00295128" w:rsidRDefault="001C2AA5" w:rsidP="005817CE">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 xml:space="preserve">mediante </w:t>
      </w:r>
      <w:r w:rsidR="005817CE" w:rsidRPr="00F635AD">
        <w:rPr>
          <w:rFonts w:ascii="Palatino Linotype" w:hAnsi="Palatino Linotype"/>
          <w:iCs/>
          <w:sz w:val="22"/>
          <w:szCs w:val="22"/>
          <w:lang w:val="es-EC"/>
        </w:rPr>
        <w:t>memorando Nro. AZLD-DJ-2021-92 de 28 de mayo de 2021, el doctor Byron Flores López, Director Jurídico de la Administración Zonal La Delicia</w:t>
      </w:r>
      <w:r w:rsidR="005817CE">
        <w:rPr>
          <w:rFonts w:ascii="Palatino Linotype" w:hAnsi="Palatino Linotype"/>
          <w:iCs/>
          <w:sz w:val="22"/>
          <w:szCs w:val="22"/>
          <w:lang w:val="es-EC"/>
        </w:rPr>
        <w:t xml:space="preserve">, señala: </w:t>
      </w:r>
      <w:r w:rsidR="005817CE" w:rsidRPr="00295128">
        <w:rPr>
          <w:rFonts w:ascii="Palatino Linotype" w:hAnsi="Palatino Linotype"/>
          <w:iCs/>
          <w:sz w:val="22"/>
          <w:szCs w:val="22"/>
          <w:lang w:val="es-EC"/>
        </w:rPr>
        <w:t xml:space="preserve"> </w:t>
      </w:r>
    </w:p>
    <w:p w:rsidR="005817CE" w:rsidRPr="0013569A" w:rsidRDefault="005817CE" w:rsidP="005817CE">
      <w:pPr>
        <w:autoSpaceDE w:val="0"/>
        <w:autoSpaceDN w:val="0"/>
        <w:adjustRightInd w:val="0"/>
        <w:jc w:val="both"/>
        <w:rPr>
          <w:rFonts w:ascii="Palatino Linotype" w:hAnsi="Palatino Linotype"/>
          <w:iCs/>
          <w:sz w:val="22"/>
          <w:szCs w:val="22"/>
          <w:lang w:val="es-EC"/>
        </w:rPr>
      </w:pPr>
    </w:p>
    <w:p w:rsidR="005817CE" w:rsidRPr="00FE1443" w:rsidRDefault="005817CE" w:rsidP="005817CE">
      <w:pPr>
        <w:autoSpaceDE w:val="0"/>
        <w:autoSpaceDN w:val="0"/>
        <w:adjustRightInd w:val="0"/>
        <w:ind w:left="708"/>
        <w:jc w:val="both"/>
        <w:rPr>
          <w:rFonts w:ascii="Palatino Linotype" w:eastAsiaTheme="minorHAnsi" w:hAnsi="Palatino Linotype"/>
          <w:i/>
          <w:iCs/>
          <w:sz w:val="22"/>
          <w:szCs w:val="22"/>
          <w:lang w:eastAsia="en-US"/>
        </w:rPr>
      </w:pPr>
      <w:r w:rsidRPr="00FE1443">
        <w:rPr>
          <w:rFonts w:ascii="Palatino Linotype" w:eastAsiaTheme="minorHAnsi" w:hAnsi="Palatino Linotype"/>
          <w:i/>
          <w:iCs/>
          <w:sz w:val="22"/>
          <w:szCs w:val="22"/>
          <w:lang w:eastAsia="en-US"/>
        </w:rPr>
        <w:t xml:space="preserve">“(…) esta Dirección emite criterio jurídico </w:t>
      </w:r>
      <w:r w:rsidRPr="00FE1443">
        <w:rPr>
          <w:rFonts w:ascii="Palatino Linotype" w:eastAsiaTheme="minorHAnsi" w:hAnsi="Palatino Linotype"/>
          <w:b/>
          <w:bCs/>
          <w:i/>
          <w:iCs/>
          <w:sz w:val="22"/>
          <w:szCs w:val="22"/>
          <w:lang w:eastAsia="en-US"/>
        </w:rPr>
        <w:t xml:space="preserve">DESFAVORABLE </w:t>
      </w:r>
      <w:r w:rsidRPr="00FE1443">
        <w:rPr>
          <w:rFonts w:ascii="Palatino Linotype" w:eastAsiaTheme="minorHAnsi" w:hAnsi="Palatino Linotype"/>
          <w:i/>
          <w:iCs/>
          <w:sz w:val="22"/>
          <w:szCs w:val="22"/>
          <w:lang w:eastAsia="en-US"/>
        </w:rPr>
        <w:t>por cuanto el predio No.- 416600 no es factible</w:t>
      </w:r>
      <w:r>
        <w:rPr>
          <w:rFonts w:ascii="Palatino Linotype" w:eastAsiaTheme="minorHAnsi" w:hAnsi="Palatino Linotype"/>
          <w:i/>
          <w:iCs/>
          <w:sz w:val="22"/>
          <w:szCs w:val="22"/>
          <w:lang w:eastAsia="en-US"/>
        </w:rPr>
        <w:t xml:space="preserve"> </w:t>
      </w:r>
      <w:r w:rsidRPr="00FE1443">
        <w:rPr>
          <w:rFonts w:ascii="Palatino Linotype" w:eastAsiaTheme="minorHAnsi" w:hAnsi="Palatino Linotype"/>
          <w:i/>
          <w:iCs/>
          <w:sz w:val="22"/>
          <w:szCs w:val="22"/>
          <w:lang w:eastAsia="en-US"/>
        </w:rPr>
        <w:t>de partición al estar declarado en propiedad horizontal y por no cumplir con la zonificación respecto al lote</w:t>
      </w:r>
      <w:r>
        <w:rPr>
          <w:rFonts w:ascii="Palatino Linotype" w:eastAsiaTheme="minorHAnsi" w:hAnsi="Palatino Linotype"/>
          <w:i/>
          <w:iCs/>
          <w:sz w:val="22"/>
          <w:szCs w:val="22"/>
          <w:lang w:eastAsia="en-US"/>
        </w:rPr>
        <w:t xml:space="preserve"> mínimo</w:t>
      </w:r>
      <w:r>
        <w:rPr>
          <w:rFonts w:ascii="Palatino Linotype" w:eastAsiaTheme="minorHAnsi" w:hAnsi="Palatino Linotype"/>
          <w:i/>
          <w:iCs/>
          <w:sz w:val="22"/>
          <w:szCs w:val="22"/>
          <w:lang w:eastAsia="en-US"/>
        </w:rPr>
        <w:t>”;g</w:t>
      </w:r>
    </w:p>
    <w:p w:rsidR="009E1981" w:rsidRPr="0014438F" w:rsidRDefault="009E1981" w:rsidP="005817CE">
      <w:pPr>
        <w:autoSpaceDE w:val="0"/>
        <w:autoSpaceDN w:val="0"/>
        <w:adjustRightInd w:val="0"/>
        <w:ind w:left="709" w:hanging="709"/>
        <w:jc w:val="both"/>
        <w:rPr>
          <w:rFonts w:ascii="Palatino Linotype" w:eastAsiaTheme="minorHAnsi" w:hAnsi="Palatino Linotype"/>
          <w:i/>
          <w:iCs/>
          <w:sz w:val="22"/>
          <w:szCs w:val="22"/>
          <w:lang w:eastAsia="en-US"/>
        </w:rPr>
      </w:pPr>
    </w:p>
    <w:bookmarkEnd w:id="0"/>
    <w:p w:rsidR="00505351" w:rsidRDefault="00D3174E" w:rsidP="008606A6">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Pr>
          <w:rFonts w:ascii="Palatino Linotype" w:hAnsi="Palatino Linotype"/>
          <w:i/>
          <w:sz w:val="22"/>
          <w:szCs w:val="22"/>
        </w:rPr>
        <w:t xml:space="preserve"> </w:t>
      </w:r>
      <w:r w:rsidR="005817CE" w:rsidRPr="00295128">
        <w:rPr>
          <w:rFonts w:ascii="Palatino Linotype" w:eastAsiaTheme="minorHAnsi" w:hAnsi="Palatino Linotype"/>
          <w:iCs/>
          <w:sz w:val="22"/>
          <w:szCs w:val="22"/>
          <w:lang w:val="es-EC" w:eastAsia="en-US"/>
        </w:rPr>
        <w:t xml:space="preserve">oficio Nro. </w:t>
      </w:r>
      <w:r w:rsidR="005817CE" w:rsidRPr="00B16F46">
        <w:rPr>
          <w:rFonts w:ascii="Palatino Linotype" w:eastAsiaTheme="minorHAnsi" w:hAnsi="Palatino Linotype"/>
          <w:iCs/>
          <w:sz w:val="22"/>
          <w:szCs w:val="22"/>
          <w:lang w:val="es-EC" w:eastAsia="en-US"/>
        </w:rPr>
        <w:t>GADDMQ-PM-2021-2792-O</w:t>
      </w:r>
      <w:r w:rsidR="005817CE" w:rsidRPr="00295128">
        <w:rPr>
          <w:rFonts w:ascii="Palatino Linotype" w:eastAsiaTheme="minorHAnsi" w:hAnsi="Palatino Linotype"/>
          <w:iCs/>
          <w:sz w:val="22"/>
          <w:szCs w:val="22"/>
          <w:lang w:val="es-EC" w:eastAsia="en-US"/>
        </w:rPr>
        <w:t xml:space="preserve"> de </w:t>
      </w:r>
      <w:r w:rsidR="005817CE">
        <w:rPr>
          <w:rFonts w:ascii="Palatino Linotype" w:eastAsiaTheme="minorHAnsi" w:hAnsi="Palatino Linotype"/>
          <w:iCs/>
          <w:sz w:val="22"/>
          <w:szCs w:val="22"/>
          <w:lang w:val="es-EC" w:eastAsia="en-US"/>
        </w:rPr>
        <w:t xml:space="preserve">20 </w:t>
      </w:r>
      <w:r w:rsidR="005817CE" w:rsidRPr="00295128">
        <w:rPr>
          <w:rFonts w:ascii="Palatino Linotype" w:eastAsiaTheme="minorHAnsi" w:hAnsi="Palatino Linotype"/>
          <w:iCs/>
          <w:sz w:val="22"/>
          <w:szCs w:val="22"/>
          <w:lang w:val="es-EC" w:eastAsia="en-US"/>
        </w:rPr>
        <w:t xml:space="preserve">de </w:t>
      </w:r>
      <w:r w:rsidR="005817CE">
        <w:rPr>
          <w:rFonts w:ascii="Palatino Linotype" w:eastAsiaTheme="minorHAnsi" w:hAnsi="Palatino Linotype"/>
          <w:iCs/>
          <w:sz w:val="22"/>
          <w:szCs w:val="22"/>
          <w:lang w:val="es-EC" w:eastAsia="en-US"/>
        </w:rPr>
        <w:t>septiembre de 2021</w:t>
      </w:r>
      <w:r w:rsidR="005817CE" w:rsidRPr="00295128">
        <w:rPr>
          <w:rFonts w:ascii="Palatino Linotype" w:eastAsiaTheme="minorHAnsi" w:hAnsi="Palatino Linotype"/>
          <w:iCs/>
          <w:sz w:val="22"/>
          <w:szCs w:val="22"/>
          <w:lang w:val="es-EC" w:eastAsia="en-US"/>
        </w:rPr>
        <w:t xml:space="preserve">, </w:t>
      </w:r>
      <w:r w:rsidR="005817CE">
        <w:rPr>
          <w:rFonts w:ascii="Palatino Linotype" w:eastAsiaTheme="minorHAnsi" w:hAnsi="Palatino Linotype"/>
          <w:iCs/>
          <w:sz w:val="22"/>
          <w:szCs w:val="22"/>
          <w:lang w:val="es-EC" w:eastAsia="en-US"/>
        </w:rPr>
        <w:t>la Abg. María Cristina Kronfle, Subprocurador de Asesoría sobre el Uso y Ocupación del Suelo</w:t>
      </w:r>
      <w:r w:rsidR="005817CE" w:rsidRPr="00295128">
        <w:rPr>
          <w:rFonts w:ascii="Palatino Linotype" w:eastAsiaTheme="minorHAnsi" w:hAnsi="Palatino Linotype"/>
          <w:iCs/>
          <w:sz w:val="22"/>
          <w:szCs w:val="22"/>
          <w:lang w:val="es-EC" w:eastAsia="en-US"/>
        </w:rPr>
        <w:t>, emitió su criterio jurídico el m</w:t>
      </w:r>
      <w:r w:rsidR="005817CE">
        <w:rPr>
          <w:rFonts w:ascii="Palatino Linotype" w:eastAsiaTheme="minorHAnsi" w:hAnsi="Palatino Linotype"/>
          <w:iCs/>
          <w:sz w:val="22"/>
          <w:szCs w:val="22"/>
          <w:lang w:val="es-EC" w:eastAsia="en-US"/>
        </w:rPr>
        <w:t xml:space="preserve">ismo que en la parte pertinente </w:t>
      </w:r>
      <w:r w:rsidR="007E435E" w:rsidRPr="00295128">
        <w:rPr>
          <w:rFonts w:ascii="Palatino Linotype" w:eastAsiaTheme="minorHAnsi" w:hAnsi="Palatino Linotype"/>
          <w:iCs/>
          <w:sz w:val="22"/>
          <w:szCs w:val="22"/>
          <w:lang w:val="es-EC" w:eastAsia="en-US"/>
        </w:rPr>
        <w:t>señala:</w:t>
      </w:r>
    </w:p>
    <w:p w:rsidR="00AC0744" w:rsidRPr="002768B5" w:rsidRDefault="00AC0744" w:rsidP="008606A6">
      <w:pPr>
        <w:autoSpaceDE w:val="0"/>
        <w:autoSpaceDN w:val="0"/>
        <w:adjustRightInd w:val="0"/>
        <w:ind w:left="709" w:hanging="709"/>
        <w:jc w:val="both"/>
        <w:rPr>
          <w:rFonts w:ascii="Palatino Linotype" w:eastAsiaTheme="minorHAnsi" w:hAnsi="Palatino Linotype"/>
          <w:iCs/>
          <w:sz w:val="22"/>
          <w:szCs w:val="22"/>
          <w:lang w:val="es-EC" w:eastAsia="en-US"/>
        </w:rPr>
      </w:pPr>
    </w:p>
    <w:p w:rsidR="00D3174E" w:rsidRDefault="0075744C"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xml:space="preserve"> </w:t>
      </w:r>
      <w:r w:rsidR="00D3174E" w:rsidRPr="003236B4">
        <w:rPr>
          <w:rFonts w:ascii="Palatino Linotype" w:eastAsiaTheme="minorHAnsi" w:hAnsi="Palatino Linotype"/>
          <w:i/>
          <w:iCs/>
          <w:sz w:val="22"/>
          <w:szCs w:val="22"/>
          <w:lang w:val="es-EC" w:eastAsia="en-US"/>
        </w:rPr>
        <w:t>(…) “</w:t>
      </w:r>
      <w:r w:rsidR="00D3174E" w:rsidRPr="003236B4">
        <w:rPr>
          <w:rFonts w:ascii="Palatino Linotype" w:eastAsiaTheme="minorHAnsi" w:hAnsi="Palatino Linotype"/>
          <w:b/>
          <w:i/>
          <w:sz w:val="22"/>
          <w:szCs w:val="22"/>
          <w:u w:val="single"/>
          <w:lang w:val="es-EC" w:eastAsia="en-US"/>
        </w:rPr>
        <w:t>Análisis y criterio jurídico</w:t>
      </w:r>
    </w:p>
    <w:p w:rsidR="00B634ED" w:rsidRDefault="00B634ED" w:rsidP="00D3174E">
      <w:pPr>
        <w:autoSpaceDE w:val="0"/>
        <w:autoSpaceDN w:val="0"/>
        <w:adjustRightInd w:val="0"/>
        <w:jc w:val="both"/>
        <w:rPr>
          <w:rFonts w:ascii="Palatino Linotype" w:eastAsiaTheme="minorHAnsi" w:hAnsi="Palatino Linotype"/>
          <w:i/>
          <w:sz w:val="22"/>
          <w:szCs w:val="22"/>
          <w:lang w:eastAsia="en-US"/>
        </w:rPr>
      </w:pPr>
    </w:p>
    <w:p w:rsidR="002B1785" w:rsidRPr="007A3228" w:rsidRDefault="002B1785" w:rsidP="002B1785">
      <w:pPr>
        <w:autoSpaceDE w:val="0"/>
        <w:autoSpaceDN w:val="0"/>
        <w:adjustRightInd w:val="0"/>
        <w:ind w:left="708"/>
        <w:jc w:val="both"/>
        <w:rPr>
          <w:rFonts w:ascii="Palatino Linotype" w:eastAsiaTheme="minorHAnsi" w:hAnsi="Palatino Linotype"/>
          <w:i/>
          <w:sz w:val="22"/>
          <w:szCs w:val="22"/>
          <w:lang w:eastAsia="en-US"/>
        </w:rPr>
      </w:pPr>
      <w:r w:rsidRPr="007A3228">
        <w:rPr>
          <w:rFonts w:ascii="Palatino Linotype" w:eastAsiaTheme="minorHAnsi" w:hAnsi="Palatino Linotype"/>
          <w:i/>
          <w:sz w:val="22"/>
          <w:szCs w:val="22"/>
          <w:lang w:eastAsia="en-US"/>
        </w:rPr>
        <w:t xml:space="preserve">De la revisión del expediente, se establece que el presente trámite se refiere al predio Nro. 416600, ubicado en la parroquia El Condado, con zonificación A10 (A604-50). De acuerdo con los informes de la Administración Zonal La Delicia el inmueble forma parte de un bien declarado bajo el régimen de propiedad horizontal y se encuentra debidamente individualizado con su respectiva alícuota. </w:t>
      </w:r>
    </w:p>
    <w:p w:rsidR="002B1785" w:rsidRPr="007A3228" w:rsidRDefault="002B1785" w:rsidP="002B1785">
      <w:pPr>
        <w:autoSpaceDE w:val="0"/>
        <w:autoSpaceDN w:val="0"/>
        <w:adjustRightInd w:val="0"/>
        <w:ind w:left="708"/>
        <w:jc w:val="both"/>
        <w:rPr>
          <w:rFonts w:ascii="Palatino Linotype" w:eastAsiaTheme="minorHAnsi" w:hAnsi="Palatino Linotype"/>
          <w:i/>
          <w:sz w:val="22"/>
          <w:szCs w:val="22"/>
          <w:lang w:eastAsia="en-US"/>
        </w:rPr>
      </w:pPr>
    </w:p>
    <w:p w:rsidR="002B1785" w:rsidRPr="007A3228" w:rsidRDefault="002B1785" w:rsidP="002B1785">
      <w:pPr>
        <w:autoSpaceDE w:val="0"/>
        <w:autoSpaceDN w:val="0"/>
        <w:adjustRightInd w:val="0"/>
        <w:ind w:left="708"/>
        <w:jc w:val="both"/>
        <w:rPr>
          <w:rFonts w:ascii="Palatino Linotype" w:eastAsiaTheme="minorHAnsi" w:hAnsi="Palatino Linotype"/>
          <w:i/>
          <w:sz w:val="22"/>
          <w:szCs w:val="22"/>
          <w:lang w:eastAsia="en-US"/>
        </w:rPr>
      </w:pPr>
      <w:r w:rsidRPr="007A3228">
        <w:rPr>
          <w:rFonts w:ascii="Palatino Linotype" w:eastAsiaTheme="minorHAnsi" w:hAnsi="Palatino Linotype"/>
          <w:i/>
          <w:sz w:val="22"/>
          <w:szCs w:val="22"/>
          <w:lang w:eastAsia="en-US"/>
        </w:rPr>
        <w:t xml:space="preserve">A partir de los informes técnico y legal de la Administración Zonal La Delicia; y, de la normativa, anteriormente expuesta, Procuraduría Metropolitana emite criterio legal </w:t>
      </w:r>
      <w:r w:rsidRPr="007A3228">
        <w:rPr>
          <w:rFonts w:ascii="Palatino Linotype" w:eastAsiaTheme="minorHAnsi" w:hAnsi="Palatino Linotype"/>
          <w:b/>
          <w:bCs/>
          <w:i/>
          <w:sz w:val="22"/>
          <w:szCs w:val="22"/>
          <w:lang w:eastAsia="en-US"/>
        </w:rPr>
        <w:t>desfavorable</w:t>
      </w:r>
      <w:r w:rsidRPr="007A3228">
        <w:rPr>
          <w:rFonts w:ascii="Palatino Linotype" w:eastAsiaTheme="minorHAnsi" w:hAnsi="Palatino Linotype"/>
          <w:i/>
          <w:sz w:val="22"/>
          <w:szCs w:val="22"/>
          <w:lang w:eastAsia="en-US"/>
        </w:rPr>
        <w:t xml:space="preserve">, respecto de la partición del predio No. 416600, por cuanto constituye un bien declarado bajo el régimen de propiedad horizontal, y como tal, no es factible de subdivisión. En estas condiciones no pueden cumplir con los requisitos y presupuestos materiales previstos en el régimen jurídico aplicable, en lo referente al lote y frente mínimos, necesarios para aprobar subdivisiones de bienes inmuebles en el Distrito Metropolitano de </w:t>
      </w:r>
      <w:r w:rsidRPr="007A3228">
        <w:rPr>
          <w:rFonts w:ascii="Palatino Linotype" w:eastAsiaTheme="minorHAnsi" w:hAnsi="Palatino Linotype"/>
          <w:i/>
          <w:sz w:val="22"/>
          <w:szCs w:val="22"/>
          <w:lang w:eastAsia="en-US"/>
        </w:rPr>
        <w:lastRenderedPageBreak/>
        <w:t>Quito. Lo observado a efectos que el Concejo Metropolitano de Quito, en ejercicio de sus facultades legales proceda con lo pertinente.</w:t>
      </w:r>
    </w:p>
    <w:p w:rsidR="002B1785" w:rsidRPr="007A3228" w:rsidRDefault="002B1785" w:rsidP="002B1785">
      <w:pPr>
        <w:autoSpaceDE w:val="0"/>
        <w:autoSpaceDN w:val="0"/>
        <w:adjustRightInd w:val="0"/>
        <w:ind w:left="708"/>
        <w:jc w:val="both"/>
        <w:rPr>
          <w:rFonts w:ascii="Palatino Linotype" w:eastAsiaTheme="minorHAnsi" w:hAnsi="Palatino Linotype"/>
          <w:i/>
          <w:sz w:val="22"/>
          <w:szCs w:val="22"/>
          <w:lang w:eastAsia="en-US"/>
        </w:rPr>
      </w:pPr>
    </w:p>
    <w:p w:rsidR="002B1785" w:rsidRPr="007A3228" w:rsidRDefault="002B1785" w:rsidP="002B1785">
      <w:pPr>
        <w:autoSpaceDE w:val="0"/>
        <w:autoSpaceDN w:val="0"/>
        <w:adjustRightInd w:val="0"/>
        <w:ind w:left="708"/>
        <w:jc w:val="both"/>
        <w:rPr>
          <w:rFonts w:ascii="Palatino Linotype" w:eastAsiaTheme="minorHAnsi" w:hAnsi="Palatino Linotype"/>
          <w:i/>
          <w:sz w:val="22"/>
          <w:szCs w:val="22"/>
          <w:lang w:eastAsia="en-US"/>
        </w:rPr>
      </w:pPr>
      <w:r w:rsidRPr="007A3228">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artículo 473 del COOTAD. No obstante, está situación no impide que las autoridades judiciales continúen con el proceso que corresponda en la causa.</w:t>
      </w:r>
    </w:p>
    <w:p w:rsidR="002B1785" w:rsidRPr="007A3228" w:rsidRDefault="002B1785" w:rsidP="002B1785">
      <w:pPr>
        <w:autoSpaceDE w:val="0"/>
        <w:autoSpaceDN w:val="0"/>
        <w:adjustRightInd w:val="0"/>
        <w:ind w:left="708"/>
        <w:jc w:val="both"/>
        <w:rPr>
          <w:rFonts w:ascii="Palatino Linotype" w:eastAsiaTheme="minorHAnsi" w:hAnsi="Palatino Linotype"/>
          <w:i/>
          <w:sz w:val="22"/>
          <w:szCs w:val="22"/>
          <w:lang w:eastAsia="en-US"/>
        </w:rPr>
      </w:pPr>
    </w:p>
    <w:p w:rsidR="002B1785" w:rsidRPr="007A3228" w:rsidRDefault="002B1785" w:rsidP="002B1785">
      <w:pPr>
        <w:autoSpaceDE w:val="0"/>
        <w:autoSpaceDN w:val="0"/>
        <w:adjustRightInd w:val="0"/>
        <w:ind w:left="708"/>
        <w:jc w:val="both"/>
        <w:rPr>
          <w:rFonts w:ascii="Palatino Linotype" w:eastAsiaTheme="minorHAnsi" w:hAnsi="Palatino Linotype"/>
          <w:i/>
          <w:iCs/>
          <w:sz w:val="22"/>
          <w:szCs w:val="22"/>
          <w:lang w:eastAsia="en-US"/>
        </w:rPr>
      </w:pPr>
      <w:r w:rsidRPr="007A3228">
        <w:rPr>
          <w:rFonts w:ascii="Palatino Linotype" w:eastAsiaTheme="minorHAnsi" w:hAnsi="Palatino Linotype"/>
          <w:i/>
          <w:sz w:val="22"/>
          <w:szCs w:val="22"/>
          <w:lang w:eastAsia="en-US"/>
        </w:rPr>
        <w:t>De este particular, el Concejo Metropolitano de Quito, comunicará al doctor Mauro Álvarez, abogado patrocinador del señor Víctor Hugo Tello Arteaga</w:t>
      </w:r>
      <w:r>
        <w:rPr>
          <w:rFonts w:ascii="Palatino Linotype" w:eastAsiaTheme="minorHAnsi" w:hAnsi="Palatino Linotype"/>
          <w:i/>
          <w:iCs/>
          <w:sz w:val="22"/>
          <w:szCs w:val="22"/>
          <w:lang w:eastAsia="en-US"/>
        </w:rPr>
        <w:t>”;</w:t>
      </w:r>
    </w:p>
    <w:p w:rsidR="002B1785" w:rsidRDefault="002B1785" w:rsidP="00D3174E">
      <w:pPr>
        <w:autoSpaceDE w:val="0"/>
        <w:autoSpaceDN w:val="0"/>
        <w:adjustRightInd w:val="0"/>
        <w:jc w:val="both"/>
        <w:rPr>
          <w:rFonts w:ascii="Palatino Linotype" w:eastAsiaTheme="minorHAnsi" w:hAnsi="Palatino Linotype"/>
          <w:i/>
          <w:sz w:val="22"/>
          <w:szCs w:val="22"/>
          <w:lang w:eastAsia="en-US"/>
        </w:rPr>
      </w:pPr>
    </w:p>
    <w:p w:rsidR="00F7406D" w:rsidRDefault="00F7406D" w:rsidP="00D3174E">
      <w:pPr>
        <w:autoSpaceDE w:val="0"/>
        <w:autoSpaceDN w:val="0"/>
        <w:adjustRightInd w:val="0"/>
        <w:jc w:val="both"/>
        <w:rPr>
          <w:rFonts w:ascii="Palatino Linotype" w:eastAsiaTheme="minorHAnsi" w:hAnsi="Palatino Linotype"/>
          <w:i/>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E27F49">
        <w:rPr>
          <w:rFonts w:ascii="Palatino Linotype" w:eastAsiaTheme="minorHAnsi" w:hAnsi="Palatino Linotype"/>
          <w:sz w:val="22"/>
          <w:szCs w:val="22"/>
          <w:lang w:val="es-EC" w:eastAsia="en-US"/>
        </w:rPr>
        <w:t>elo en sesión ordinaria Nro. 118</w:t>
      </w:r>
      <w:r w:rsidRPr="00E83C98">
        <w:rPr>
          <w:rFonts w:ascii="Palatino Linotype" w:eastAsiaTheme="minorHAnsi" w:hAnsi="Palatino Linotype"/>
          <w:sz w:val="22"/>
          <w:szCs w:val="22"/>
          <w:lang w:val="es-EC" w:eastAsia="en-US"/>
        </w:rPr>
        <w:t xml:space="preserve">, de </w:t>
      </w:r>
      <w:r w:rsidR="00E27F49">
        <w:rPr>
          <w:rFonts w:ascii="Palatino Linotype" w:eastAsiaTheme="minorHAnsi" w:hAnsi="Palatino Linotype"/>
          <w:sz w:val="22"/>
          <w:szCs w:val="22"/>
          <w:lang w:val="es-EC" w:eastAsia="en-US"/>
        </w:rPr>
        <w:t xml:space="preserve">15 </w:t>
      </w:r>
      <w:r w:rsidRPr="00E83C98">
        <w:rPr>
          <w:rFonts w:ascii="Palatino Linotype" w:eastAsiaTheme="minorHAnsi" w:hAnsi="Palatino Linotype"/>
          <w:sz w:val="22"/>
          <w:szCs w:val="22"/>
          <w:lang w:val="es-EC" w:eastAsia="en-US"/>
        </w:rPr>
        <w:t xml:space="preserve">de </w:t>
      </w:r>
      <w:r w:rsidR="00E27F49">
        <w:rPr>
          <w:rFonts w:ascii="Palatino Linotype" w:eastAsiaTheme="minorHAnsi" w:hAnsi="Palatino Linotype"/>
          <w:sz w:val="22"/>
          <w:szCs w:val="22"/>
          <w:lang w:val="es-EC" w:eastAsia="en-US"/>
        </w:rPr>
        <w:t xml:space="preserve">noviembre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C967AA">
        <w:rPr>
          <w:rFonts w:ascii="Palatino Linotype" w:eastAsiaTheme="minorHAnsi" w:hAnsi="Palatino Linotype"/>
          <w:sz w:val="22"/>
          <w:szCs w:val="22"/>
          <w:lang w:val="es-EC" w:eastAsia="en-US"/>
        </w:rPr>
        <w:t xml:space="preserve"> del predio </w:t>
      </w:r>
      <w:r w:rsidR="00C967AA" w:rsidRPr="00114FC0">
        <w:rPr>
          <w:rFonts w:ascii="Palatino Linotype" w:eastAsiaTheme="minorHAnsi" w:hAnsi="Palatino Linotype"/>
          <w:sz w:val="22"/>
          <w:szCs w:val="22"/>
          <w:lang w:val="es-EC" w:eastAsia="en-US"/>
        </w:rPr>
        <w:t>No.</w:t>
      </w:r>
      <w:r w:rsidR="009D6555">
        <w:rPr>
          <w:rFonts w:ascii="Palatino Linotype" w:eastAsiaTheme="minorHAnsi" w:hAnsi="Palatino Linotype"/>
          <w:sz w:val="22"/>
          <w:szCs w:val="22"/>
          <w:lang w:val="es-EC" w:eastAsia="en-US"/>
        </w:rPr>
        <w:t xml:space="preserve"> </w:t>
      </w:r>
      <w:r w:rsidR="009D6555">
        <w:rPr>
          <w:rFonts w:ascii="Palatino Linotype" w:eastAsiaTheme="minorHAnsi" w:hAnsi="Palatino Linotype"/>
          <w:sz w:val="22"/>
          <w:szCs w:val="22"/>
          <w:lang w:val="es-EC" w:eastAsia="en-US"/>
        </w:rPr>
        <w:t>416600</w:t>
      </w:r>
      <w:r w:rsidR="009D6555" w:rsidRPr="00295128">
        <w:rPr>
          <w:rFonts w:ascii="Palatino Linotype" w:eastAsiaTheme="minorHAnsi" w:hAnsi="Palatino Linotype"/>
          <w:sz w:val="22"/>
          <w:szCs w:val="22"/>
          <w:lang w:val="es-EC" w:eastAsia="en-US"/>
        </w:rPr>
        <w:t>, clave catastral Nro.</w:t>
      </w:r>
      <w:r w:rsidR="009D6555">
        <w:rPr>
          <w:rFonts w:ascii="Palatino Linotype" w:eastAsiaTheme="minorHAnsi" w:hAnsi="Palatino Linotype"/>
          <w:sz w:val="22"/>
          <w:szCs w:val="22"/>
          <w:lang w:val="es-EC" w:eastAsia="en-US"/>
        </w:rPr>
        <w:t xml:space="preserve"> 13203 01 007 001 002 002, ubicado en la parroquia El Condado, de este cantón</w:t>
      </w:r>
      <w:r w:rsidR="00C967AA">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aria realizada el …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9D6555">
        <w:rPr>
          <w:rFonts w:ascii="Palatino Linotype" w:eastAsiaTheme="minorHAnsi" w:hAnsi="Palatino Linotype"/>
          <w:sz w:val="22"/>
          <w:szCs w:val="22"/>
          <w:lang w:val="es-EC" w:eastAsia="en-US"/>
        </w:rPr>
        <w:t>068</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partición </w:t>
      </w:r>
      <w:r w:rsidR="0055302D">
        <w:rPr>
          <w:rFonts w:ascii="Palatino Linotype" w:eastAsiaTheme="minorHAnsi" w:hAnsi="Palatino Linotype"/>
          <w:sz w:val="22"/>
          <w:szCs w:val="22"/>
          <w:lang w:val="es-EC" w:eastAsia="en-US"/>
        </w:rPr>
        <w:t>del</w:t>
      </w:r>
      <w:r w:rsidR="004C5CEE">
        <w:rPr>
          <w:rFonts w:ascii="Palatino Linotype" w:eastAsiaTheme="minorHAnsi" w:hAnsi="Palatino Linotype"/>
          <w:sz w:val="22"/>
          <w:szCs w:val="22"/>
          <w:lang w:val="es-EC" w:eastAsia="en-US"/>
        </w:rPr>
        <w:t xml:space="preserve"> </w:t>
      </w:r>
      <w:r w:rsidR="0055302D">
        <w:rPr>
          <w:rFonts w:ascii="Palatino Linotype" w:eastAsiaTheme="minorHAnsi" w:hAnsi="Palatino Linotype"/>
          <w:sz w:val="22"/>
          <w:szCs w:val="22"/>
          <w:lang w:val="es-EC" w:eastAsia="en-US"/>
        </w:rPr>
        <w:t>predio Nro</w:t>
      </w:r>
      <w:r w:rsidR="009D6555">
        <w:rPr>
          <w:rFonts w:ascii="Palatino Linotype" w:eastAsiaTheme="minorHAnsi" w:hAnsi="Palatino Linotype"/>
          <w:sz w:val="22"/>
          <w:szCs w:val="22"/>
          <w:lang w:val="es-EC" w:eastAsia="en-US"/>
        </w:rPr>
        <w:t xml:space="preserve">. </w:t>
      </w:r>
      <w:bookmarkStart w:id="1" w:name="_GoBack"/>
      <w:bookmarkEnd w:id="1"/>
      <w:r w:rsidR="009D6555">
        <w:rPr>
          <w:rFonts w:ascii="Palatino Linotype" w:eastAsiaTheme="minorHAnsi" w:hAnsi="Palatino Linotype"/>
          <w:sz w:val="22"/>
          <w:szCs w:val="22"/>
          <w:lang w:val="es-EC" w:eastAsia="en-US"/>
        </w:rPr>
        <w:t>416600</w:t>
      </w:r>
      <w:r w:rsidR="009D6555" w:rsidRPr="00295128">
        <w:rPr>
          <w:rFonts w:ascii="Palatino Linotype" w:eastAsiaTheme="minorHAnsi" w:hAnsi="Palatino Linotype"/>
          <w:sz w:val="22"/>
          <w:szCs w:val="22"/>
          <w:lang w:val="es-EC" w:eastAsia="en-US"/>
        </w:rPr>
        <w:t>, clave catastral Nro.</w:t>
      </w:r>
      <w:r w:rsidR="009D6555">
        <w:rPr>
          <w:rFonts w:ascii="Palatino Linotype" w:eastAsiaTheme="minorHAnsi" w:hAnsi="Palatino Linotype"/>
          <w:sz w:val="22"/>
          <w:szCs w:val="22"/>
          <w:lang w:val="es-EC" w:eastAsia="en-US"/>
        </w:rPr>
        <w:t xml:space="preserve"> 13203 01 007 001 002 002, ubicado en la parroquia El Condado, de este cantón</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t xml:space="preserve">cumple </w:t>
      </w:r>
      <w:r w:rsidRPr="00E70C1B">
        <w:rPr>
          <w:rFonts w:ascii="Palatino Linotype" w:eastAsiaTheme="minorHAnsi" w:hAnsi="Palatino Linotype"/>
          <w:sz w:val="22"/>
          <w:szCs w:val="22"/>
          <w:lang w:val="es-EC" w:eastAsia="en-US"/>
        </w:rPr>
        <w:t xml:space="preserve">con </w:t>
      </w:r>
      <w:r w:rsidR="00966B3E">
        <w:rPr>
          <w:rFonts w:ascii="Palatino Linotype" w:eastAsiaTheme="minorHAnsi" w:hAnsi="Palatino Linotype"/>
          <w:sz w:val="22"/>
          <w:szCs w:val="22"/>
          <w:lang w:val="es-EC" w:eastAsia="en-US"/>
        </w:rPr>
        <w:t xml:space="preserve">los </w:t>
      </w:r>
      <w:r w:rsidRPr="00E70C1B">
        <w:rPr>
          <w:rFonts w:ascii="Palatino Linotype" w:eastAsiaTheme="minorHAnsi" w:hAnsi="Palatino Linotype"/>
          <w:sz w:val="22"/>
          <w:szCs w:val="22"/>
          <w:lang w:val="es-EC" w:eastAsia="en-US"/>
        </w:rPr>
        <w:t>requisito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y presupuesto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material</w:t>
      </w:r>
      <w:r w:rsidR="00966B3E">
        <w:rPr>
          <w:rFonts w:ascii="Palatino Linotype" w:eastAsiaTheme="minorHAnsi" w:hAnsi="Palatino Linotype"/>
          <w:sz w:val="22"/>
          <w:szCs w:val="22"/>
          <w:lang w:val="es-EC" w:eastAsia="en-US"/>
        </w:rPr>
        <w:t>es</w:t>
      </w:r>
      <w:r w:rsidRPr="00E70C1B">
        <w:rPr>
          <w:rFonts w:ascii="Palatino Linotype" w:eastAsiaTheme="minorHAnsi" w:hAnsi="Palatino Linotype"/>
          <w:sz w:val="22"/>
          <w:szCs w:val="22"/>
          <w:lang w:val="es-EC" w:eastAsia="en-US"/>
        </w:rPr>
        <w:t xml:space="preserve"> previsto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en el régimen jurídico aplicable, en lo referente a lote </w:t>
      </w:r>
      <w:r w:rsidR="00512578">
        <w:rPr>
          <w:rFonts w:ascii="Palatino Linotype" w:eastAsiaTheme="minorHAnsi" w:hAnsi="Palatino Linotype"/>
          <w:sz w:val="22"/>
          <w:szCs w:val="22"/>
          <w:lang w:val="es-EC" w:eastAsia="en-US"/>
        </w:rPr>
        <w:t xml:space="preserve">y frente </w:t>
      </w:r>
      <w:r w:rsidRPr="00E70C1B">
        <w:rPr>
          <w:rFonts w:ascii="Palatino Linotype" w:eastAsiaTheme="minorHAnsi" w:hAnsi="Palatino Linotype"/>
          <w:sz w:val="22"/>
          <w:szCs w:val="22"/>
          <w:lang w:val="es-EC" w:eastAsia="en-US"/>
        </w:rPr>
        <w:t>mínimo</w:t>
      </w:r>
      <w:r w:rsidR="0051257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necesario</w:t>
      </w:r>
      <w:r w:rsidR="0051257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para aprobar subdivisiones de bienes inmuebles en el </w:t>
      </w:r>
      <w:r w:rsidR="00827F3D">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lastRenderedPageBreak/>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el …;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 …..</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493" w:rsidRDefault="00FD2493">
      <w:r>
        <w:separator/>
      </w:r>
    </w:p>
  </w:endnote>
  <w:endnote w:type="continuationSeparator" w:id="0">
    <w:p w:rsidR="00FD2493" w:rsidRDefault="00FD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9D6555">
              <w:rPr>
                <w:rFonts w:ascii="Palatino Linotype" w:hAnsi="Palatino Linotype"/>
                <w:b/>
                <w:bCs/>
                <w:noProof/>
                <w:sz w:val="20"/>
                <w:szCs w:val="20"/>
              </w:rPr>
              <w:t>4</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9D6555">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493" w:rsidRDefault="00FD2493">
      <w:r>
        <w:separator/>
      </w:r>
    </w:p>
  </w:footnote>
  <w:footnote w:type="continuationSeparator" w:id="0">
    <w:p w:rsidR="00FD2493" w:rsidRDefault="00FD2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52"/>
    <w:rsid w:val="00046D00"/>
    <w:rsid w:val="00061BF3"/>
    <w:rsid w:val="001110F9"/>
    <w:rsid w:val="001C2AA5"/>
    <w:rsid w:val="0020460E"/>
    <w:rsid w:val="0022016F"/>
    <w:rsid w:val="002428FD"/>
    <w:rsid w:val="00265A74"/>
    <w:rsid w:val="0028000C"/>
    <w:rsid w:val="002B1785"/>
    <w:rsid w:val="0030679D"/>
    <w:rsid w:val="00355CCA"/>
    <w:rsid w:val="003914B8"/>
    <w:rsid w:val="003B59E0"/>
    <w:rsid w:val="003C2DF7"/>
    <w:rsid w:val="003C414D"/>
    <w:rsid w:val="003F3843"/>
    <w:rsid w:val="00403C06"/>
    <w:rsid w:val="00404903"/>
    <w:rsid w:val="00437B89"/>
    <w:rsid w:val="0045519D"/>
    <w:rsid w:val="004C5CEE"/>
    <w:rsid w:val="00501C4E"/>
    <w:rsid w:val="00505351"/>
    <w:rsid w:val="00512578"/>
    <w:rsid w:val="00515F29"/>
    <w:rsid w:val="0053655A"/>
    <w:rsid w:val="0055302D"/>
    <w:rsid w:val="005817CE"/>
    <w:rsid w:val="005D4EA4"/>
    <w:rsid w:val="00627371"/>
    <w:rsid w:val="007415F9"/>
    <w:rsid w:val="0075744C"/>
    <w:rsid w:val="0078380A"/>
    <w:rsid w:val="00787834"/>
    <w:rsid w:val="007959E0"/>
    <w:rsid w:val="007E435E"/>
    <w:rsid w:val="007F4020"/>
    <w:rsid w:val="00811606"/>
    <w:rsid w:val="00827F3D"/>
    <w:rsid w:val="008606A6"/>
    <w:rsid w:val="00883CE3"/>
    <w:rsid w:val="00885B17"/>
    <w:rsid w:val="008871CF"/>
    <w:rsid w:val="008943CB"/>
    <w:rsid w:val="008C58C4"/>
    <w:rsid w:val="008E7C1D"/>
    <w:rsid w:val="008F4533"/>
    <w:rsid w:val="00902702"/>
    <w:rsid w:val="00953F4C"/>
    <w:rsid w:val="00966B3E"/>
    <w:rsid w:val="009D6555"/>
    <w:rsid w:val="009E1981"/>
    <w:rsid w:val="009E5DE1"/>
    <w:rsid w:val="00A50CA0"/>
    <w:rsid w:val="00AC0744"/>
    <w:rsid w:val="00AD35F1"/>
    <w:rsid w:val="00AD6CC9"/>
    <w:rsid w:val="00AF346A"/>
    <w:rsid w:val="00B634ED"/>
    <w:rsid w:val="00B76593"/>
    <w:rsid w:val="00C35664"/>
    <w:rsid w:val="00C56B54"/>
    <w:rsid w:val="00C967AA"/>
    <w:rsid w:val="00CC4288"/>
    <w:rsid w:val="00D10FAD"/>
    <w:rsid w:val="00D3174E"/>
    <w:rsid w:val="00D82849"/>
    <w:rsid w:val="00DB5FA3"/>
    <w:rsid w:val="00E0725E"/>
    <w:rsid w:val="00E27F49"/>
    <w:rsid w:val="00E36A3D"/>
    <w:rsid w:val="00E47066"/>
    <w:rsid w:val="00E900DA"/>
    <w:rsid w:val="00F04221"/>
    <w:rsid w:val="00F11646"/>
    <w:rsid w:val="00F7406D"/>
    <w:rsid w:val="00FD2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5</Pages>
  <Words>1542</Words>
  <Characters>8483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98</cp:revision>
  <dcterms:created xsi:type="dcterms:W3CDTF">2022-01-04T23:49:00Z</dcterms:created>
  <dcterms:modified xsi:type="dcterms:W3CDTF">2022-01-20T00:29:00Z</dcterms:modified>
</cp:coreProperties>
</file>