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8B" w:rsidRPr="00E27D20" w:rsidRDefault="0089508B" w:rsidP="0089508B">
      <w:pPr>
        <w:autoSpaceDE w:val="0"/>
        <w:autoSpaceDN w:val="0"/>
        <w:adjustRightInd w:val="0"/>
        <w:jc w:val="center"/>
        <w:rPr>
          <w:rFonts w:ascii="Century Gothic" w:hAnsi="Century Gothic"/>
          <w:sz w:val="22"/>
          <w:szCs w:val="22"/>
        </w:rPr>
      </w:pPr>
      <w:bookmarkStart w:id="0" w:name="_GoBack"/>
      <w:bookmarkEnd w:id="0"/>
      <w:r>
        <w:rPr>
          <w:rFonts w:ascii="Century Gothic" w:hAnsi="Century Gothic"/>
          <w:sz w:val="22"/>
          <w:szCs w:val="22"/>
        </w:rPr>
        <w:t>RESOLUCIÓN No. C XXX - 2022</w:t>
      </w:r>
      <w:r w:rsidRPr="00E27D20">
        <w:rPr>
          <w:rFonts w:ascii="Century Gothic" w:hAnsi="Century Gothic"/>
          <w:sz w:val="22"/>
          <w:szCs w:val="22"/>
        </w:rPr>
        <w:t xml:space="preserve"> </w:t>
      </w:r>
    </w:p>
    <w:p w:rsidR="0089508B" w:rsidRPr="00E27D20" w:rsidRDefault="0089508B" w:rsidP="0089508B">
      <w:pPr>
        <w:autoSpaceDE w:val="0"/>
        <w:autoSpaceDN w:val="0"/>
        <w:adjustRightInd w:val="0"/>
        <w:jc w:val="center"/>
        <w:rPr>
          <w:rFonts w:ascii="Century Gothic" w:hAnsi="Century Gothic"/>
          <w:sz w:val="22"/>
          <w:szCs w:val="22"/>
        </w:rPr>
      </w:pPr>
    </w:p>
    <w:p w:rsidR="0089508B" w:rsidRPr="00E27D20" w:rsidRDefault="0089508B" w:rsidP="0089508B">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EL CONCEJO METROPOLITANO DE QUITO</w:t>
      </w:r>
    </w:p>
    <w:p w:rsidR="0089508B" w:rsidRPr="00E27D20" w:rsidRDefault="0089508B" w:rsidP="0089508B">
      <w:pPr>
        <w:autoSpaceDE w:val="0"/>
        <w:autoSpaceDN w:val="0"/>
        <w:adjustRightInd w:val="0"/>
        <w:jc w:val="center"/>
        <w:rPr>
          <w:rFonts w:ascii="Century Gothic" w:hAnsi="Century Gothic"/>
          <w:sz w:val="22"/>
          <w:szCs w:val="22"/>
        </w:rPr>
      </w:pPr>
    </w:p>
    <w:p w:rsidR="0089508B" w:rsidRPr="00E27D20" w:rsidRDefault="0089508B" w:rsidP="0089508B">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 xml:space="preserve"> CONSIDERANDO:</w:t>
      </w:r>
    </w:p>
    <w:p w:rsidR="0089508B" w:rsidRPr="00E27D20" w:rsidRDefault="0089508B" w:rsidP="0089508B">
      <w:pPr>
        <w:autoSpaceDE w:val="0"/>
        <w:autoSpaceDN w:val="0"/>
        <w:adjustRightInd w:val="0"/>
        <w:jc w:val="center"/>
        <w:rPr>
          <w:rFonts w:ascii="Century Gothic" w:hAnsi="Century Gothic"/>
          <w:sz w:val="22"/>
          <w:szCs w:val="22"/>
        </w:rPr>
      </w:pPr>
    </w:p>
    <w:p w:rsidR="0089508B" w:rsidRPr="00E27D20" w:rsidRDefault="0089508B" w:rsidP="0089508B">
      <w:pPr>
        <w:autoSpaceDE w:val="0"/>
        <w:autoSpaceDN w:val="0"/>
        <w:adjustRightInd w:val="0"/>
        <w:ind w:left="709" w:hanging="709"/>
        <w:jc w:val="both"/>
        <w:rPr>
          <w:rFonts w:ascii="Century Gothic" w:eastAsiaTheme="minorHAnsi" w:hAnsi="Century Gothic"/>
          <w:sz w:val="22"/>
          <w:szCs w:val="22"/>
          <w:lang w:val="es-EC" w:eastAsia="en-US"/>
        </w:rPr>
      </w:pPr>
    </w:p>
    <w:p w:rsidR="0089508B" w:rsidRPr="001B5A35" w:rsidRDefault="0089508B" w:rsidP="00BC645C">
      <w:pPr>
        <w:ind w:left="697" w:hanging="697"/>
        <w:jc w:val="both"/>
        <w:rPr>
          <w:rFonts w:ascii="Century Gothic" w:hAnsi="Century Gothic"/>
          <w:sz w:val="22"/>
          <w:szCs w:val="22"/>
          <w:lang w:val="es-ES_tradnl" w:eastAsia="ar-SA"/>
        </w:rPr>
      </w:pPr>
      <w:r w:rsidRPr="001B5A35">
        <w:rPr>
          <w:rFonts w:ascii="Century Gothic" w:hAnsi="Century Gothic"/>
          <w:b/>
          <w:bCs/>
          <w:sz w:val="22"/>
          <w:szCs w:val="22"/>
          <w:lang w:val="es-ES_tradnl" w:eastAsia="ar-SA"/>
        </w:rPr>
        <w:t>Que,</w:t>
      </w:r>
      <w:r w:rsidRPr="001B5A35">
        <w:rPr>
          <w:rFonts w:ascii="Century Gothic" w:hAnsi="Century Gothic"/>
          <w:sz w:val="22"/>
          <w:szCs w:val="22"/>
          <w:lang w:val="es-ES_tradnl" w:eastAsia="ar-SA"/>
        </w:rPr>
        <w:tab/>
        <w:t>el art. 226 de la Constitución de la República (la «</w:t>
      </w:r>
      <w:r w:rsidRPr="001B5A35">
        <w:rPr>
          <w:rFonts w:ascii="Century Gothic" w:hAnsi="Century Gothic"/>
          <w:sz w:val="22"/>
          <w:szCs w:val="22"/>
          <w:u w:val="single"/>
          <w:lang w:val="es-ES_tradnl" w:eastAsia="ar-SA"/>
        </w:rPr>
        <w:t>Constitución</w:t>
      </w:r>
      <w:r w:rsidRPr="001B5A35">
        <w:rPr>
          <w:rFonts w:ascii="Century Gothic" w:hAnsi="Century Gothic"/>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89508B" w:rsidRPr="001B5A35" w:rsidRDefault="0089508B" w:rsidP="00BC645C">
      <w:pPr>
        <w:ind w:left="697" w:hanging="697"/>
        <w:jc w:val="both"/>
        <w:rPr>
          <w:rFonts w:ascii="Century Gothic" w:hAnsi="Century Gothic"/>
          <w:sz w:val="22"/>
          <w:szCs w:val="22"/>
          <w:lang w:val="es-ES_tradnl" w:eastAsia="ar-SA"/>
        </w:rPr>
      </w:pPr>
    </w:p>
    <w:p w:rsidR="0089508B" w:rsidRPr="001B5A35" w:rsidRDefault="0089508B" w:rsidP="00BC645C">
      <w:pPr>
        <w:ind w:left="697" w:hanging="697"/>
        <w:jc w:val="both"/>
        <w:rPr>
          <w:rFonts w:ascii="Century Gothic" w:hAnsi="Century Gothic"/>
          <w:iCs/>
          <w:sz w:val="22"/>
          <w:szCs w:val="22"/>
          <w:lang w:val="es-ES_tradnl" w:eastAsia="ar-SA"/>
        </w:rPr>
      </w:pPr>
      <w:r w:rsidRPr="001B5A35">
        <w:rPr>
          <w:rFonts w:ascii="Century Gothic" w:hAnsi="Century Gothic"/>
          <w:b/>
          <w:bCs/>
          <w:sz w:val="22"/>
          <w:szCs w:val="22"/>
          <w:lang w:val="es-ES_tradnl" w:eastAsia="ar-SA"/>
        </w:rPr>
        <w:t>Que,</w:t>
      </w:r>
      <w:r w:rsidRPr="001B5A35">
        <w:rPr>
          <w:rFonts w:ascii="Century Gothic" w:hAnsi="Century Gothic"/>
          <w:sz w:val="22"/>
          <w:szCs w:val="22"/>
          <w:lang w:val="es-ES_tradnl" w:eastAsia="ar-SA"/>
        </w:rPr>
        <w:t xml:space="preserve"> </w:t>
      </w:r>
      <w:r w:rsidRPr="001B5A35">
        <w:rPr>
          <w:rFonts w:ascii="Century Gothic" w:hAnsi="Century Gothic"/>
          <w:sz w:val="22"/>
          <w:szCs w:val="22"/>
          <w:lang w:val="es-ES_tradnl" w:eastAsia="ar-SA"/>
        </w:rPr>
        <w:tab/>
        <w:t xml:space="preserve">de acuerdo con el art. 227 de la Constitución, </w:t>
      </w:r>
      <w:r w:rsidRPr="001B5A35">
        <w:rPr>
          <w:rFonts w:ascii="Century Gothic" w:hAnsi="Century Gothic"/>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89508B" w:rsidRPr="001B5A35" w:rsidRDefault="0089508B" w:rsidP="00BC645C">
      <w:pPr>
        <w:ind w:left="697" w:hanging="697"/>
        <w:jc w:val="both"/>
        <w:rPr>
          <w:rFonts w:ascii="Century Gothic" w:hAnsi="Century Gothic"/>
          <w:iCs/>
          <w:sz w:val="22"/>
          <w:szCs w:val="22"/>
          <w:lang w:val="es-ES_tradnl" w:eastAsia="ar-SA"/>
        </w:rPr>
      </w:pPr>
    </w:p>
    <w:p w:rsidR="0089508B" w:rsidRPr="001B5A35" w:rsidRDefault="0089508B" w:rsidP="00BC645C">
      <w:pPr>
        <w:ind w:left="697" w:hanging="697"/>
        <w:jc w:val="both"/>
        <w:rPr>
          <w:rFonts w:ascii="Century Gothic" w:hAnsi="Century Gothic"/>
          <w:iCs/>
          <w:sz w:val="22"/>
          <w:szCs w:val="22"/>
          <w:lang w:val="es-ES_tradnl" w:eastAsia="ar-SA"/>
        </w:rPr>
      </w:pPr>
      <w:r w:rsidRPr="001B5A35">
        <w:rPr>
          <w:rFonts w:ascii="Century Gothic" w:hAnsi="Century Gothic"/>
          <w:b/>
          <w:bCs/>
          <w:sz w:val="22"/>
          <w:szCs w:val="22"/>
          <w:lang w:val="es-ES_tradnl" w:eastAsia="ar-SA"/>
        </w:rPr>
        <w:t xml:space="preserve">Que,  </w:t>
      </w:r>
      <w:r w:rsidRPr="001B5A35">
        <w:rPr>
          <w:rFonts w:ascii="Century Gothic" w:hAnsi="Century Gothic"/>
          <w:bCs/>
          <w:sz w:val="22"/>
          <w:szCs w:val="22"/>
          <w:lang w:val="es-ES_tradnl" w:eastAsia="ar-SA"/>
        </w:rPr>
        <w:t xml:space="preserve">el art. 240 de la Constitución, los gobiernos autónomos descentralizados de los distritos metropolitanos tendrán facultades legislativas en el ámbito de sus competencias y jurisdicciones territoriales. </w:t>
      </w:r>
    </w:p>
    <w:p w:rsidR="0089508B" w:rsidRPr="001B5A35" w:rsidRDefault="0089508B" w:rsidP="00BC645C">
      <w:pPr>
        <w:autoSpaceDE w:val="0"/>
        <w:autoSpaceDN w:val="0"/>
        <w:adjustRightInd w:val="0"/>
        <w:ind w:left="697" w:hanging="697"/>
        <w:jc w:val="both"/>
        <w:rPr>
          <w:rFonts w:ascii="Century Gothic" w:eastAsiaTheme="minorHAnsi" w:hAnsi="Century Gothic"/>
          <w:sz w:val="22"/>
          <w:szCs w:val="22"/>
          <w:lang w:val="es-EC" w:eastAsia="en-US"/>
        </w:rPr>
      </w:pPr>
    </w:p>
    <w:p w:rsidR="0089508B" w:rsidRPr="001B5A35" w:rsidRDefault="0089508B" w:rsidP="00BC645C">
      <w:pPr>
        <w:autoSpaceDE w:val="0"/>
        <w:autoSpaceDN w:val="0"/>
        <w:adjustRightInd w:val="0"/>
        <w:ind w:left="697" w:hanging="697"/>
        <w:jc w:val="both"/>
        <w:rPr>
          <w:rFonts w:ascii="Century Gothic" w:eastAsiaTheme="minorHAnsi" w:hAnsi="Century Gothic"/>
          <w:i/>
          <w:sz w:val="22"/>
          <w:szCs w:val="22"/>
          <w:lang w:val="es-EC" w:eastAsia="en-US"/>
        </w:rPr>
      </w:pPr>
      <w:r w:rsidRPr="001B5A35">
        <w:rPr>
          <w:rFonts w:ascii="Century Gothic" w:eastAsiaTheme="minorHAnsi" w:hAnsi="Century Gothic"/>
          <w:b/>
          <w:sz w:val="22"/>
          <w:szCs w:val="22"/>
          <w:lang w:val="es-EC" w:eastAsia="en-US"/>
        </w:rPr>
        <w:t>Que,</w:t>
      </w:r>
      <w:r w:rsidRPr="001B5A35">
        <w:rPr>
          <w:rFonts w:ascii="Century Gothic" w:eastAsiaTheme="minorHAnsi" w:hAnsi="Century Gothic"/>
          <w:sz w:val="22"/>
          <w:szCs w:val="22"/>
          <w:lang w:val="es-EC" w:eastAsia="en-US"/>
        </w:rPr>
        <w:t xml:space="preserve"> </w:t>
      </w:r>
      <w:r w:rsidRPr="001B5A35">
        <w:rPr>
          <w:rFonts w:ascii="Century Gothic" w:eastAsiaTheme="minorHAnsi" w:hAnsi="Century Gothic"/>
          <w:sz w:val="22"/>
          <w:szCs w:val="22"/>
          <w:lang w:val="es-EC" w:eastAsia="en-US"/>
        </w:rPr>
        <w:tab/>
        <w:t xml:space="preserve">el numeral 1, del artículo 264 de la Constitución, establece que serán competencias exclusivas de los gobiernos municipales, sin perjuicio de otras que determine la ley: </w:t>
      </w:r>
      <w:r w:rsidRPr="001B5A35">
        <w:rPr>
          <w:rFonts w:ascii="Century Gothic" w:eastAsiaTheme="minorHAnsi" w:hAnsi="Century Gothic"/>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89508B" w:rsidRPr="001B5A35" w:rsidRDefault="0089508B" w:rsidP="00BC645C">
      <w:pPr>
        <w:autoSpaceDE w:val="0"/>
        <w:autoSpaceDN w:val="0"/>
        <w:adjustRightInd w:val="0"/>
        <w:ind w:left="697" w:hanging="697"/>
        <w:jc w:val="both"/>
        <w:rPr>
          <w:rFonts w:ascii="Century Gothic" w:eastAsiaTheme="minorHAnsi" w:hAnsi="Century Gothic"/>
          <w:i/>
          <w:sz w:val="22"/>
          <w:szCs w:val="22"/>
          <w:lang w:val="es-EC" w:eastAsia="en-US"/>
        </w:rPr>
      </w:pPr>
    </w:p>
    <w:p w:rsidR="0089508B" w:rsidRPr="001B5A35" w:rsidRDefault="0089508B" w:rsidP="00BC645C">
      <w:pPr>
        <w:autoSpaceDE w:val="0"/>
        <w:autoSpaceDN w:val="0"/>
        <w:adjustRightInd w:val="0"/>
        <w:ind w:left="697" w:hanging="697"/>
        <w:jc w:val="both"/>
        <w:rPr>
          <w:rFonts w:ascii="Century Gothic" w:hAnsi="Century Gothic"/>
          <w:sz w:val="22"/>
          <w:szCs w:val="22"/>
        </w:rPr>
      </w:pPr>
      <w:r w:rsidRPr="001B5A35">
        <w:rPr>
          <w:rFonts w:ascii="Century Gothic" w:eastAsiaTheme="minorHAnsi" w:hAnsi="Century Gothic"/>
          <w:b/>
          <w:sz w:val="22"/>
          <w:szCs w:val="22"/>
          <w:lang w:val="es-EC" w:eastAsia="en-US"/>
        </w:rPr>
        <w:t>Que,</w:t>
      </w:r>
      <w:r w:rsidRPr="001B5A35">
        <w:rPr>
          <w:rFonts w:ascii="Century Gothic" w:eastAsiaTheme="minorHAnsi" w:hAnsi="Century Gothic"/>
          <w:sz w:val="22"/>
          <w:szCs w:val="22"/>
          <w:lang w:val="es-EC" w:eastAsia="en-US"/>
        </w:rPr>
        <w:t xml:space="preserve"> </w:t>
      </w:r>
      <w:r w:rsidRPr="001B5A35">
        <w:rPr>
          <w:rFonts w:ascii="Century Gothic" w:eastAsiaTheme="minorHAnsi" w:hAnsi="Century Gothic"/>
          <w:sz w:val="22"/>
          <w:szCs w:val="22"/>
          <w:lang w:val="es-EC" w:eastAsia="en-US"/>
        </w:rPr>
        <w:tab/>
        <w:t>el artículo 266 de la Constitución dispone: “</w:t>
      </w:r>
      <w:r w:rsidRPr="001B5A35">
        <w:rPr>
          <w:rFonts w:ascii="Century Gothic" w:eastAsiaTheme="minorHAnsi" w:hAnsi="Century Gothic"/>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89508B" w:rsidRPr="001B5A35" w:rsidRDefault="0089508B" w:rsidP="00BC645C">
      <w:pPr>
        <w:autoSpaceDE w:val="0"/>
        <w:autoSpaceDN w:val="0"/>
        <w:adjustRightInd w:val="0"/>
        <w:ind w:left="697" w:hanging="697"/>
        <w:jc w:val="both"/>
        <w:rPr>
          <w:rFonts w:ascii="Century Gothic" w:hAnsi="Century Gothic"/>
          <w:sz w:val="22"/>
          <w:szCs w:val="22"/>
        </w:rPr>
      </w:pPr>
    </w:p>
    <w:p w:rsidR="0089508B" w:rsidRPr="001B5A35" w:rsidRDefault="0089508B" w:rsidP="00BC645C">
      <w:pPr>
        <w:pStyle w:val="Sinespaciado"/>
        <w:ind w:left="697" w:hanging="697"/>
        <w:rPr>
          <w:rFonts w:ascii="Century Gothic" w:hAnsi="Century Gothic" w:cs="Times New Roman"/>
        </w:rPr>
      </w:pPr>
      <w:r w:rsidRPr="001B5A35">
        <w:rPr>
          <w:rFonts w:ascii="Century Gothic" w:hAnsi="Century Gothic" w:cs="Times New Roman"/>
          <w:b/>
        </w:rPr>
        <w:t>Que,</w:t>
      </w:r>
      <w:r w:rsidRPr="001B5A35">
        <w:rPr>
          <w:rFonts w:ascii="Century Gothic" w:hAnsi="Century Gothic" w:cs="Times New Roman"/>
        </w:rPr>
        <w:t xml:space="preserve"> </w:t>
      </w:r>
      <w:r w:rsidRPr="001B5A35">
        <w:rPr>
          <w:rFonts w:ascii="Century Gothic" w:hAnsi="Century Gothic" w:cs="Times New Roman"/>
        </w:rPr>
        <w:tab/>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89508B" w:rsidRPr="001B5A35" w:rsidRDefault="0089508B" w:rsidP="00BC645C">
      <w:pPr>
        <w:pStyle w:val="Sinespaciado"/>
        <w:ind w:left="697" w:hanging="697"/>
        <w:rPr>
          <w:rFonts w:ascii="Century Gothic" w:hAnsi="Century Gothic" w:cs="Times New Roman"/>
        </w:rPr>
      </w:pPr>
    </w:p>
    <w:p w:rsidR="0089508B" w:rsidRPr="001B5A35" w:rsidRDefault="0089508B" w:rsidP="00BC645C">
      <w:pPr>
        <w:pStyle w:val="Sinespaciado"/>
        <w:ind w:left="697" w:hanging="697"/>
        <w:rPr>
          <w:rFonts w:ascii="Century Gothic" w:hAnsi="Century Gothic" w:cs="Times New Roman"/>
        </w:rPr>
      </w:pPr>
      <w:r w:rsidRPr="001B5A35">
        <w:rPr>
          <w:rFonts w:ascii="Century Gothic" w:hAnsi="Century Gothic" w:cs="Times New Roman"/>
          <w:b/>
        </w:rPr>
        <w:t>Que,</w:t>
      </w:r>
      <w:r w:rsidRPr="001B5A35">
        <w:rPr>
          <w:rFonts w:ascii="Century Gothic" w:hAnsi="Century Gothic" w:cs="Times New Roman"/>
        </w:rPr>
        <w:t xml:space="preserve"> </w:t>
      </w:r>
      <w:r w:rsidRPr="001B5A35">
        <w:rPr>
          <w:rFonts w:ascii="Century Gothic" w:hAnsi="Century Gothic" w:cs="Times New Roman"/>
        </w:rPr>
        <w:tab/>
        <w:t xml:space="preserve">los literales a) y d) del artículo 87 del Código Orgánico de Organización Territorial, Autonomía y Descentralización, (en adelante, «COOTAD»), establecen como atribuciones del Concejo Metropolitano: “a) Ejercer la facultad normativa en las materias de competencia del gobierno autónomo descentralizado metropolitano, mediante la expedición de </w:t>
      </w:r>
      <w:r w:rsidRPr="001B5A35">
        <w:rPr>
          <w:rFonts w:ascii="Century Gothic" w:hAnsi="Century Gothic" w:cs="Times New Roman"/>
        </w:rPr>
        <w:lastRenderedPageBreak/>
        <w:t xml:space="preserve">ordenanzas metropolitanas, acuerdos y resoluciones; (…) d) Expedir acuerdos o resoluciones en el ámbito de sus competencias para regular temas institucionales específicos o reconocer derechos particulares; (…)”; </w:t>
      </w:r>
    </w:p>
    <w:p w:rsidR="0089508B" w:rsidRPr="001B5A35" w:rsidRDefault="0089508B" w:rsidP="00BC645C">
      <w:pPr>
        <w:pStyle w:val="Sinespaciado"/>
        <w:ind w:left="697" w:hanging="697"/>
        <w:rPr>
          <w:rFonts w:ascii="Century Gothic" w:hAnsi="Century Gothic" w:cs="Times New Roman"/>
        </w:rPr>
      </w:pPr>
    </w:p>
    <w:p w:rsidR="0089508B" w:rsidRPr="001B5A35" w:rsidRDefault="0089508B" w:rsidP="00BC645C">
      <w:pPr>
        <w:pStyle w:val="Sinespaciado"/>
        <w:ind w:left="697" w:hanging="697"/>
        <w:rPr>
          <w:rFonts w:ascii="Century Gothic" w:hAnsi="Century Gothic" w:cs="Times New Roman"/>
        </w:rPr>
      </w:pPr>
      <w:r w:rsidRPr="001B5A35">
        <w:rPr>
          <w:rFonts w:ascii="Century Gothic" w:hAnsi="Century Gothic" w:cs="Times New Roman"/>
          <w:b/>
        </w:rPr>
        <w:t>Que,</w:t>
      </w:r>
      <w:r w:rsidRPr="001B5A35">
        <w:rPr>
          <w:rFonts w:ascii="Century Gothic" w:hAnsi="Century Gothic" w:cs="Times New Roman"/>
        </w:rPr>
        <w:t xml:space="preserve"> </w:t>
      </w:r>
      <w:r w:rsidRPr="001B5A35">
        <w:rPr>
          <w:rFonts w:ascii="Century Gothic" w:hAnsi="Century Gothic" w:cs="Times New Roman"/>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89508B" w:rsidRPr="0089508B" w:rsidRDefault="0089508B" w:rsidP="00A54FC6">
      <w:pPr>
        <w:autoSpaceDE w:val="0"/>
        <w:autoSpaceDN w:val="0"/>
        <w:adjustRightInd w:val="0"/>
        <w:jc w:val="both"/>
        <w:rPr>
          <w:rFonts w:ascii="Century Gothic" w:eastAsiaTheme="minorHAnsi" w:hAnsi="Century Gothic"/>
          <w:i/>
          <w:sz w:val="22"/>
          <w:szCs w:val="22"/>
          <w:lang w:val="es-EC" w:eastAsia="en-US"/>
        </w:rPr>
      </w:pPr>
    </w:p>
    <w:p w:rsidR="00BC645C" w:rsidRDefault="0089508B"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r w:rsidRPr="00310D40">
        <w:rPr>
          <w:rFonts w:ascii="Century Gothic" w:eastAsiaTheme="minorHAnsi" w:hAnsi="Century Gothic"/>
          <w:b/>
          <w:sz w:val="22"/>
          <w:szCs w:val="22"/>
          <w:lang w:val="es-EC" w:eastAsia="en-US"/>
        </w:rPr>
        <w:t xml:space="preserve">Que, </w:t>
      </w:r>
      <w:r w:rsidR="009041F4" w:rsidRPr="00310D40">
        <w:rPr>
          <w:rFonts w:ascii="Century Gothic" w:eastAsiaTheme="minorHAnsi" w:hAnsi="Century Gothic"/>
          <w:sz w:val="22"/>
          <w:szCs w:val="22"/>
          <w:lang w:val="es-EC" w:eastAsia="en-US"/>
        </w:rPr>
        <w:t>el artículo 1163</w:t>
      </w:r>
      <w:r w:rsidRPr="00310D40">
        <w:rPr>
          <w:rFonts w:ascii="Century Gothic" w:eastAsiaTheme="minorHAnsi" w:hAnsi="Century Gothic"/>
          <w:sz w:val="22"/>
          <w:szCs w:val="22"/>
          <w:lang w:val="es-EC" w:eastAsia="en-US"/>
        </w:rPr>
        <w:t xml:space="preserve"> de</w:t>
      </w:r>
      <w:r w:rsidR="00F24C40" w:rsidRPr="00310D40">
        <w:rPr>
          <w:rFonts w:ascii="Century Gothic" w:eastAsiaTheme="minorHAnsi" w:hAnsi="Century Gothic"/>
          <w:sz w:val="22"/>
          <w:szCs w:val="22"/>
          <w:lang w:val="es-EC" w:eastAsia="en-US"/>
        </w:rPr>
        <w:t xml:space="preserve">l Código Civil, establece que: </w:t>
      </w:r>
      <w:proofErr w:type="gramStart"/>
      <w:r w:rsidRPr="00310D40">
        <w:rPr>
          <w:rFonts w:ascii="Century Gothic" w:eastAsiaTheme="minorHAnsi" w:hAnsi="Century Gothic"/>
          <w:i/>
          <w:sz w:val="22"/>
          <w:szCs w:val="22"/>
          <w:lang w:val="es-EC" w:eastAsia="en-US"/>
        </w:rPr>
        <w:t>“</w:t>
      </w:r>
      <w:r w:rsidR="009041F4" w:rsidRPr="00310D40">
        <w:rPr>
          <w:rFonts w:ascii="Century Gothic" w:eastAsiaTheme="minorHAnsi" w:hAnsi="Century Gothic"/>
          <w:i/>
          <w:sz w:val="22"/>
          <w:szCs w:val="22"/>
          <w:lang w:val="es-EC" w:eastAsia="en-US"/>
        </w:rPr>
        <w:t xml:space="preserve"> </w:t>
      </w:r>
      <w:r w:rsidR="009041F4" w:rsidRPr="00310D40">
        <w:rPr>
          <w:rFonts w:ascii="Century Gothic" w:eastAsiaTheme="minorHAnsi" w:hAnsi="Century Gothic" w:cs="CourierNewNormal"/>
          <w:i/>
          <w:sz w:val="22"/>
          <w:szCs w:val="22"/>
          <w:lang w:val="es-EC" w:eastAsia="en-US"/>
        </w:rPr>
        <w:t>Donación</w:t>
      </w:r>
      <w:proofErr w:type="gramEnd"/>
      <w:r w:rsidR="009041F4" w:rsidRPr="00310D40">
        <w:rPr>
          <w:rFonts w:ascii="Century Gothic" w:eastAsiaTheme="minorHAnsi" w:hAnsi="Century Gothic" w:cs="CourierNewNormal"/>
          <w:i/>
          <w:sz w:val="22"/>
          <w:szCs w:val="22"/>
          <w:lang w:val="es-EC" w:eastAsia="en-US"/>
        </w:rPr>
        <w:t xml:space="preserve"> revocable es la que el donante puede revocar a su arbitrio(…)”</w:t>
      </w:r>
      <w:r w:rsidR="0081403B">
        <w:rPr>
          <w:rFonts w:ascii="Century Gothic" w:eastAsiaTheme="minorHAnsi" w:hAnsi="Century Gothic" w:cs="CourierNewNormal"/>
          <w:i/>
          <w:sz w:val="22"/>
          <w:szCs w:val="22"/>
          <w:lang w:val="es-EC" w:eastAsia="en-US"/>
        </w:rPr>
        <w:t>;</w:t>
      </w:r>
    </w:p>
    <w:p w:rsidR="00BC645C" w:rsidRDefault="00BC645C"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p>
    <w:p w:rsidR="00BC645C" w:rsidRDefault="00310D40"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r w:rsidRPr="00310D40">
        <w:rPr>
          <w:rFonts w:ascii="Century Gothic" w:eastAsiaTheme="minorHAnsi" w:hAnsi="Century Gothic"/>
          <w:b/>
          <w:sz w:val="22"/>
          <w:szCs w:val="22"/>
          <w:lang w:val="es-EC" w:eastAsia="en-US"/>
        </w:rPr>
        <w:t xml:space="preserve">Que, </w:t>
      </w:r>
      <w:r w:rsidRPr="00310D40">
        <w:rPr>
          <w:rFonts w:ascii="Century Gothic" w:eastAsiaTheme="minorHAnsi" w:hAnsi="Century Gothic"/>
          <w:sz w:val="22"/>
          <w:szCs w:val="22"/>
          <w:lang w:val="es-EC" w:eastAsia="en-US"/>
        </w:rPr>
        <w:t xml:space="preserve">el artículo </w:t>
      </w:r>
      <w:proofErr w:type="gramStart"/>
      <w:r w:rsidRPr="00310D40">
        <w:rPr>
          <w:rFonts w:ascii="Century Gothic" w:eastAsiaTheme="minorHAnsi" w:hAnsi="Century Gothic"/>
          <w:sz w:val="22"/>
          <w:szCs w:val="22"/>
          <w:lang w:val="es-EC" w:eastAsia="en-US"/>
        </w:rPr>
        <w:t>1402  del</w:t>
      </w:r>
      <w:proofErr w:type="gramEnd"/>
      <w:r w:rsidRPr="00310D40">
        <w:rPr>
          <w:rFonts w:ascii="Century Gothic" w:eastAsiaTheme="minorHAnsi" w:hAnsi="Century Gothic"/>
          <w:sz w:val="22"/>
          <w:szCs w:val="22"/>
          <w:lang w:val="es-EC" w:eastAsia="en-US"/>
        </w:rPr>
        <w:t xml:space="preserve"> Código Civil, establece que: </w:t>
      </w:r>
      <w:r w:rsidR="00BC645C">
        <w:rPr>
          <w:rFonts w:ascii="Century Gothic" w:eastAsiaTheme="minorHAnsi" w:hAnsi="Century Gothic"/>
          <w:i/>
          <w:sz w:val="22"/>
          <w:szCs w:val="22"/>
          <w:lang w:val="es-EC" w:eastAsia="en-US"/>
        </w:rPr>
        <w:t>“</w:t>
      </w:r>
      <w:r w:rsidRPr="00310D40">
        <w:rPr>
          <w:rFonts w:ascii="Century Gothic" w:eastAsiaTheme="minorHAnsi" w:hAnsi="Century Gothic"/>
          <w:i/>
          <w:sz w:val="22"/>
          <w:szCs w:val="22"/>
          <w:lang w:val="es-EC" w:eastAsia="en-US"/>
        </w:rPr>
        <w:t xml:space="preserve"> </w:t>
      </w:r>
      <w:r w:rsidRPr="00310D40">
        <w:rPr>
          <w:rFonts w:ascii="Century Gothic" w:eastAsiaTheme="minorHAnsi" w:hAnsi="Century Gothic" w:cs="CourierNewNormal"/>
          <w:i/>
          <w:sz w:val="22"/>
          <w:szCs w:val="22"/>
          <w:lang w:val="es-EC" w:eastAsia="en-US"/>
        </w:rPr>
        <w:t>La donación entre vivos es un acto por el cual una persona transfiere gratuita e irrevocablemente una parte de sus bienes a otra persona, que la acepta.”</w:t>
      </w:r>
      <w:r w:rsidR="0081403B">
        <w:rPr>
          <w:rFonts w:ascii="Century Gothic" w:eastAsiaTheme="minorHAnsi" w:hAnsi="Century Gothic" w:cs="CourierNewNormal"/>
          <w:i/>
          <w:sz w:val="22"/>
          <w:szCs w:val="22"/>
          <w:lang w:val="es-EC" w:eastAsia="en-US"/>
        </w:rPr>
        <w:t>;</w:t>
      </w:r>
    </w:p>
    <w:p w:rsidR="00BC645C" w:rsidRDefault="00BC645C"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p>
    <w:p w:rsidR="00BC645C" w:rsidRDefault="00310D40"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r w:rsidRPr="00310D40">
        <w:rPr>
          <w:rFonts w:ascii="Century Gothic" w:eastAsiaTheme="minorHAnsi" w:hAnsi="Century Gothic"/>
          <w:b/>
          <w:sz w:val="22"/>
          <w:szCs w:val="22"/>
          <w:lang w:val="es-EC" w:eastAsia="en-US"/>
        </w:rPr>
        <w:t xml:space="preserve">Que, </w:t>
      </w:r>
      <w:r w:rsidRPr="00310D40">
        <w:rPr>
          <w:rFonts w:ascii="Century Gothic" w:eastAsiaTheme="minorHAnsi" w:hAnsi="Century Gothic"/>
          <w:sz w:val="22"/>
          <w:szCs w:val="22"/>
          <w:lang w:val="es-EC" w:eastAsia="en-US"/>
        </w:rPr>
        <w:t>el artículo 1</w:t>
      </w:r>
      <w:r w:rsidR="00AC1055">
        <w:rPr>
          <w:rFonts w:ascii="Century Gothic" w:eastAsiaTheme="minorHAnsi" w:hAnsi="Century Gothic"/>
          <w:sz w:val="22"/>
          <w:szCs w:val="22"/>
          <w:lang w:val="es-EC" w:eastAsia="en-US"/>
        </w:rPr>
        <w:t>419</w:t>
      </w:r>
      <w:r w:rsidRPr="00310D40">
        <w:rPr>
          <w:rFonts w:ascii="Century Gothic" w:eastAsiaTheme="minorHAnsi" w:hAnsi="Century Gothic"/>
          <w:sz w:val="22"/>
          <w:szCs w:val="22"/>
          <w:lang w:val="es-EC" w:eastAsia="en-US"/>
        </w:rPr>
        <w:t xml:space="preserve">  del Código Civil, establece que: </w:t>
      </w:r>
      <w:r w:rsidR="00AC1055" w:rsidRPr="00AC1055">
        <w:rPr>
          <w:rFonts w:ascii="Century Gothic" w:eastAsiaTheme="minorHAnsi" w:hAnsi="Century Gothic"/>
          <w:i/>
          <w:sz w:val="22"/>
          <w:szCs w:val="22"/>
          <w:lang w:val="es-EC" w:eastAsia="en-US"/>
        </w:rPr>
        <w:t xml:space="preserve">“ </w:t>
      </w:r>
      <w:r w:rsidRPr="00AC1055">
        <w:rPr>
          <w:rFonts w:ascii="Century Gothic" w:eastAsiaTheme="minorHAnsi" w:hAnsi="Century Gothic" w:cs="CourierNewNormal"/>
          <w:i/>
          <w:sz w:val="22"/>
          <w:szCs w:val="22"/>
          <w:lang w:val="es-EC" w:eastAsia="en-US"/>
        </w:rPr>
        <w:t>La donación a plazo o bajo condición no surtirá</w:t>
      </w:r>
      <w:r w:rsidR="00AC1055" w:rsidRPr="00AC1055">
        <w:rPr>
          <w:rFonts w:ascii="Century Gothic" w:eastAsiaTheme="minorHAnsi" w:hAnsi="Century Gothic" w:cs="CourierNewNormal"/>
          <w:i/>
          <w:sz w:val="22"/>
          <w:szCs w:val="22"/>
          <w:lang w:val="es-EC" w:eastAsia="en-US"/>
        </w:rPr>
        <w:t xml:space="preserve"> efecto alguno, si no </w:t>
      </w:r>
      <w:r w:rsidRPr="00AC1055">
        <w:rPr>
          <w:rFonts w:ascii="Century Gothic" w:eastAsiaTheme="minorHAnsi" w:hAnsi="Century Gothic" w:cs="CourierNewNormal"/>
          <w:i/>
          <w:sz w:val="22"/>
          <w:szCs w:val="22"/>
          <w:lang w:val="es-EC" w:eastAsia="en-US"/>
        </w:rPr>
        <w:t>constare por escritura privada o pública en que se exprese la condición o plazo; y serán necesarias en ella la escritura pública y la insinuación e inscripción en los mismos términos que para las donaciones de presente.</w:t>
      </w:r>
      <w:r w:rsidR="00AC1055" w:rsidRPr="00AC1055">
        <w:rPr>
          <w:rFonts w:ascii="Century Gothic" w:eastAsiaTheme="minorHAnsi" w:hAnsi="Century Gothic" w:cs="CourierNewNormal"/>
          <w:i/>
          <w:sz w:val="22"/>
          <w:szCs w:val="22"/>
          <w:lang w:val="es-EC" w:eastAsia="en-US"/>
        </w:rPr>
        <w:t>”</w:t>
      </w:r>
      <w:r w:rsidR="0081403B">
        <w:rPr>
          <w:rFonts w:ascii="Century Gothic" w:eastAsiaTheme="minorHAnsi" w:hAnsi="Century Gothic" w:cs="CourierNewNormal"/>
          <w:i/>
          <w:sz w:val="22"/>
          <w:szCs w:val="22"/>
          <w:lang w:val="es-EC" w:eastAsia="en-US"/>
        </w:rPr>
        <w:t>;</w:t>
      </w:r>
    </w:p>
    <w:p w:rsidR="00BC645C" w:rsidRDefault="00BC645C"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p>
    <w:p w:rsidR="00AC1055" w:rsidRPr="00AC1055" w:rsidRDefault="00AC1055"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r w:rsidRPr="00310D40">
        <w:rPr>
          <w:rFonts w:ascii="Century Gothic" w:eastAsiaTheme="minorHAnsi" w:hAnsi="Century Gothic"/>
          <w:b/>
          <w:sz w:val="22"/>
          <w:szCs w:val="22"/>
          <w:lang w:val="es-EC" w:eastAsia="en-US"/>
        </w:rPr>
        <w:t xml:space="preserve">Que, </w:t>
      </w:r>
      <w:r w:rsidRPr="00310D40">
        <w:rPr>
          <w:rFonts w:ascii="Century Gothic" w:eastAsiaTheme="minorHAnsi" w:hAnsi="Century Gothic"/>
          <w:sz w:val="22"/>
          <w:szCs w:val="22"/>
          <w:lang w:val="es-EC" w:eastAsia="en-US"/>
        </w:rPr>
        <w:t>el artículo 1</w:t>
      </w:r>
      <w:r>
        <w:rPr>
          <w:rFonts w:ascii="Century Gothic" w:eastAsiaTheme="minorHAnsi" w:hAnsi="Century Gothic"/>
          <w:sz w:val="22"/>
          <w:szCs w:val="22"/>
          <w:lang w:val="es-EC" w:eastAsia="en-US"/>
        </w:rPr>
        <w:t>442</w:t>
      </w:r>
      <w:r w:rsidRPr="00310D40">
        <w:rPr>
          <w:rFonts w:ascii="Century Gothic" w:eastAsiaTheme="minorHAnsi" w:hAnsi="Century Gothic"/>
          <w:sz w:val="22"/>
          <w:szCs w:val="22"/>
          <w:lang w:val="es-EC" w:eastAsia="en-US"/>
        </w:rPr>
        <w:t xml:space="preserve">  del Código Civil, establece que: </w:t>
      </w:r>
      <w:r w:rsidRPr="00AC1055">
        <w:rPr>
          <w:rFonts w:ascii="Century Gothic" w:eastAsiaTheme="minorHAnsi" w:hAnsi="Century Gothic"/>
          <w:i/>
          <w:sz w:val="22"/>
          <w:szCs w:val="22"/>
          <w:lang w:val="es-EC" w:eastAsia="en-US"/>
        </w:rPr>
        <w:t>“</w:t>
      </w:r>
      <w:r w:rsidRPr="00AC1055">
        <w:rPr>
          <w:rFonts w:ascii="Century Gothic" w:eastAsiaTheme="minorHAnsi" w:hAnsi="Century Gothic" w:cs="CourierNewNormal"/>
          <w:i/>
          <w:sz w:val="22"/>
          <w:szCs w:val="22"/>
          <w:lang w:val="es-EC" w:eastAsia="en-US"/>
        </w:rPr>
        <w:t>Si el donatario estuviere en mora de cumplir lo que en la donación se le ha impuesto, tendrá derecho el donante, o para que se obligue al donatario a cumplirlo, o para que se rescinda la donación.”</w:t>
      </w:r>
      <w:r w:rsidR="0081403B">
        <w:rPr>
          <w:rFonts w:ascii="Century Gothic" w:eastAsiaTheme="minorHAnsi" w:hAnsi="Century Gothic" w:cs="CourierNewNormal"/>
          <w:i/>
          <w:sz w:val="22"/>
          <w:szCs w:val="22"/>
          <w:lang w:val="es-EC" w:eastAsia="en-US"/>
        </w:rPr>
        <w:t>;</w:t>
      </w:r>
    </w:p>
    <w:p w:rsidR="00AC1055" w:rsidRDefault="00AC1055"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p>
    <w:p w:rsidR="009041F4" w:rsidRDefault="00F24C40"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r w:rsidRPr="001B5A35">
        <w:rPr>
          <w:rFonts w:ascii="Century Gothic" w:hAnsi="Century Gothic"/>
          <w:b/>
          <w:sz w:val="22"/>
          <w:szCs w:val="22"/>
        </w:rPr>
        <w:t>Que,</w:t>
      </w:r>
      <w:r w:rsidR="00A54FC6">
        <w:rPr>
          <w:rFonts w:ascii="Century Gothic" w:hAnsi="Century Gothic"/>
          <w:b/>
          <w:sz w:val="22"/>
          <w:szCs w:val="22"/>
        </w:rPr>
        <w:t xml:space="preserve"> </w:t>
      </w:r>
      <w:r w:rsidR="009041F4" w:rsidRPr="0089508B">
        <w:rPr>
          <w:rFonts w:ascii="Century Gothic" w:eastAsiaTheme="minorHAnsi" w:hAnsi="Century Gothic"/>
          <w:sz w:val="22"/>
          <w:szCs w:val="22"/>
          <w:lang w:val="es-EC" w:eastAsia="en-US"/>
        </w:rPr>
        <w:t>el artículo 1563 de</w:t>
      </w:r>
      <w:r w:rsidR="009041F4">
        <w:rPr>
          <w:rFonts w:ascii="Century Gothic" w:eastAsiaTheme="minorHAnsi" w:hAnsi="Century Gothic"/>
          <w:sz w:val="22"/>
          <w:szCs w:val="22"/>
          <w:lang w:val="es-EC" w:eastAsia="en-US"/>
        </w:rPr>
        <w:t xml:space="preserve">l Código Civil, establece que: </w:t>
      </w:r>
      <w:r w:rsidR="009041F4" w:rsidRPr="0089508B">
        <w:rPr>
          <w:rFonts w:ascii="Century Gothic" w:eastAsiaTheme="minorHAnsi" w:hAnsi="Century Gothic"/>
          <w:i/>
          <w:sz w:val="22"/>
          <w:szCs w:val="22"/>
          <w:lang w:val="es-EC" w:eastAsia="en-US"/>
        </w:rPr>
        <w:t>“</w:t>
      </w:r>
      <w:r w:rsidR="009041F4">
        <w:rPr>
          <w:rFonts w:ascii="Century Gothic" w:eastAsiaTheme="minorHAnsi" w:hAnsi="Century Gothic" w:cs="CourierNewNormal"/>
          <w:i/>
          <w:sz w:val="22"/>
          <w:szCs w:val="22"/>
          <w:lang w:val="es-EC" w:eastAsia="en-US"/>
        </w:rPr>
        <w:t xml:space="preserve">Todo contrato </w:t>
      </w:r>
      <w:r w:rsidR="009041F4" w:rsidRPr="0089508B">
        <w:rPr>
          <w:rFonts w:ascii="Century Gothic" w:eastAsiaTheme="minorHAnsi" w:hAnsi="Century Gothic" w:cs="CourierNewNormal"/>
          <w:i/>
          <w:sz w:val="22"/>
          <w:szCs w:val="22"/>
          <w:lang w:val="es-EC" w:eastAsia="en-US"/>
        </w:rPr>
        <w:t>legalmente celebrado es una ley para los contratantes, y no puede ser invalidado sino por su consentimiento mutuo o por causas legales”</w:t>
      </w:r>
      <w:r w:rsidR="0081403B">
        <w:rPr>
          <w:rFonts w:ascii="Century Gothic" w:eastAsiaTheme="minorHAnsi" w:hAnsi="Century Gothic" w:cs="CourierNewNormal"/>
          <w:i/>
          <w:sz w:val="22"/>
          <w:szCs w:val="22"/>
          <w:lang w:val="es-EC" w:eastAsia="en-US"/>
        </w:rPr>
        <w:t>;</w:t>
      </w:r>
    </w:p>
    <w:p w:rsidR="00F24C40" w:rsidRDefault="00F24C40"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p>
    <w:p w:rsidR="00BC645C" w:rsidRDefault="00310D40"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r w:rsidRPr="001B5A35">
        <w:rPr>
          <w:rFonts w:ascii="Century Gothic" w:hAnsi="Century Gothic"/>
          <w:b/>
          <w:sz w:val="22"/>
          <w:szCs w:val="22"/>
        </w:rPr>
        <w:t>Que,</w:t>
      </w:r>
      <w:r>
        <w:rPr>
          <w:rFonts w:ascii="Century Gothic" w:hAnsi="Century Gothic"/>
          <w:b/>
          <w:sz w:val="22"/>
          <w:szCs w:val="22"/>
        </w:rPr>
        <w:t xml:space="preserve"> </w:t>
      </w:r>
      <w:r w:rsidR="00AC1055">
        <w:rPr>
          <w:rFonts w:ascii="Century Gothic" w:hAnsi="Century Gothic"/>
          <w:b/>
          <w:sz w:val="22"/>
          <w:szCs w:val="22"/>
        </w:rPr>
        <w:t xml:space="preserve"> </w:t>
      </w:r>
      <w:r w:rsidR="00AC1055">
        <w:rPr>
          <w:rFonts w:ascii="Century Gothic" w:hAnsi="Century Gothic"/>
          <w:sz w:val="22"/>
          <w:szCs w:val="22"/>
        </w:rPr>
        <w:t xml:space="preserve">con Escritura </w:t>
      </w:r>
      <w:r w:rsidR="00A54FC6">
        <w:rPr>
          <w:rFonts w:ascii="Century Gothic" w:hAnsi="Century Gothic"/>
          <w:sz w:val="22"/>
          <w:szCs w:val="22"/>
        </w:rPr>
        <w:t>Pública otorgada ante la Dra.</w:t>
      </w:r>
      <w:r w:rsidR="00AC1055">
        <w:rPr>
          <w:rFonts w:ascii="Century Gothic" w:hAnsi="Century Gothic"/>
          <w:sz w:val="22"/>
          <w:szCs w:val="22"/>
        </w:rPr>
        <w:t xml:space="preserve"> Mariela Pozo Acosta, Notaria Décimo Sexta del Distrito Metropolitano de Quito, el 27 de Octubre de 2010, los señores Gabriel Maldonado </w:t>
      </w:r>
      <w:proofErr w:type="spellStart"/>
      <w:r w:rsidR="00AC1055">
        <w:rPr>
          <w:rFonts w:ascii="Century Gothic" w:hAnsi="Century Gothic"/>
          <w:sz w:val="22"/>
          <w:szCs w:val="22"/>
        </w:rPr>
        <w:t>Piccinini</w:t>
      </w:r>
      <w:proofErr w:type="spellEnd"/>
      <w:r w:rsidR="006B39B6">
        <w:rPr>
          <w:rFonts w:ascii="Century Gothic" w:hAnsi="Century Gothic"/>
          <w:sz w:val="22"/>
          <w:szCs w:val="22"/>
        </w:rPr>
        <w:t xml:space="preserve"> y Raquel Maldonado </w:t>
      </w:r>
      <w:proofErr w:type="spellStart"/>
      <w:r w:rsidR="006B39B6">
        <w:rPr>
          <w:rFonts w:ascii="Century Gothic" w:hAnsi="Century Gothic"/>
          <w:sz w:val="22"/>
          <w:szCs w:val="22"/>
        </w:rPr>
        <w:t>Piccinini</w:t>
      </w:r>
      <w:proofErr w:type="spellEnd"/>
      <w:r w:rsidR="006B39B6">
        <w:rPr>
          <w:rFonts w:ascii="Century Gothic" w:hAnsi="Century Gothic"/>
          <w:sz w:val="22"/>
          <w:szCs w:val="22"/>
        </w:rPr>
        <w:t xml:space="preserve"> de </w:t>
      </w:r>
      <w:proofErr w:type="spellStart"/>
      <w:r w:rsidR="006B39B6">
        <w:rPr>
          <w:rFonts w:ascii="Century Gothic" w:hAnsi="Century Gothic"/>
          <w:sz w:val="22"/>
          <w:szCs w:val="22"/>
        </w:rPr>
        <w:t>Ogle</w:t>
      </w:r>
      <w:proofErr w:type="spellEnd"/>
      <w:r w:rsidR="006B39B6">
        <w:rPr>
          <w:rFonts w:ascii="Century Gothic" w:hAnsi="Century Gothic"/>
          <w:sz w:val="22"/>
          <w:szCs w:val="22"/>
        </w:rPr>
        <w:t xml:space="preserve">, donan de manera gratuita e irrevocablemente a favor del Fondo de Salvamento del Patrimonio Cultural </w:t>
      </w:r>
      <w:r w:rsidR="00A54FC6">
        <w:rPr>
          <w:rFonts w:ascii="Century Gothic" w:hAnsi="Century Gothic"/>
          <w:sz w:val="22"/>
          <w:szCs w:val="22"/>
        </w:rPr>
        <w:t>(</w:t>
      </w:r>
      <w:r w:rsidR="006B39B6">
        <w:rPr>
          <w:rFonts w:ascii="Century Gothic" w:hAnsi="Century Gothic"/>
          <w:sz w:val="22"/>
          <w:szCs w:val="22"/>
        </w:rPr>
        <w:t>FONSAL</w:t>
      </w:r>
      <w:r w:rsidR="00A54FC6">
        <w:rPr>
          <w:rFonts w:ascii="Century Gothic" w:hAnsi="Century Gothic"/>
          <w:sz w:val="22"/>
          <w:szCs w:val="22"/>
        </w:rPr>
        <w:t>)</w:t>
      </w:r>
      <w:r w:rsidR="006B39B6">
        <w:rPr>
          <w:rFonts w:ascii="Century Gothic" w:hAnsi="Century Gothic"/>
          <w:sz w:val="22"/>
          <w:szCs w:val="22"/>
        </w:rPr>
        <w:t>, sie</w:t>
      </w:r>
      <w:r w:rsidR="00F75BB6">
        <w:rPr>
          <w:rFonts w:ascii="Century Gothic" w:hAnsi="Century Gothic"/>
          <w:sz w:val="22"/>
          <w:szCs w:val="22"/>
        </w:rPr>
        <w:t xml:space="preserve">mpre y cuando cumplan las condiciones establecidas en la cláusula sexta y séptima  del contrato: </w:t>
      </w:r>
      <w:r w:rsidR="00F75BB6" w:rsidRPr="00F75BB6">
        <w:rPr>
          <w:rFonts w:ascii="Century Gothic" w:hAnsi="Century Gothic"/>
          <w:i/>
          <w:sz w:val="22"/>
          <w:szCs w:val="22"/>
        </w:rPr>
        <w:t xml:space="preserve">“(…) </w:t>
      </w:r>
      <w:r w:rsidR="00F75BB6" w:rsidRPr="00F75BB6">
        <w:rPr>
          <w:rFonts w:ascii="Century Gothic" w:hAnsi="Century Gothic"/>
          <w:b/>
          <w:i/>
          <w:sz w:val="22"/>
          <w:szCs w:val="22"/>
        </w:rPr>
        <w:t>SEXTA: CONDICIONES.</w:t>
      </w:r>
      <w:r w:rsidR="00F75BB6" w:rsidRPr="00F75BB6">
        <w:rPr>
          <w:rFonts w:ascii="Century Gothic" w:hAnsi="Century Gothic"/>
          <w:i/>
          <w:sz w:val="22"/>
          <w:szCs w:val="22"/>
        </w:rPr>
        <w:t>- La donación que se realiza por medio del presente instrumento, está sujeta a las siguientes condiciones que deberá cumplir EL DONATARIO: a) Ejecutar, con sus recursos , los estudios de suelos de diseño estructural , desarrollo del proyecto arquitectónico, los estudios de suelos, de diseño estructural, desarrollo del proyecto arquitectónico, desarrollo del proyecto arquitectónico definitivo con detalles constructivos e imagen , diseños de las distintas plantas, planos sanitarios, hídricos, eléctricos, telefónicos y de fibra óptica para la conexión de red con banda ancha e internet(…)</w:t>
      </w:r>
      <w:r w:rsidR="00F75BB6" w:rsidRPr="00F75BB6">
        <w:rPr>
          <w:rFonts w:ascii="Century Gothic" w:hAnsi="Century Gothic"/>
          <w:b/>
          <w:i/>
          <w:sz w:val="22"/>
          <w:szCs w:val="22"/>
        </w:rPr>
        <w:t>SÉPTIMA: INCUMPLIMIENTO CONDICIONES:</w:t>
      </w:r>
      <w:r w:rsidR="00F75BB6" w:rsidRPr="00F75BB6">
        <w:rPr>
          <w:rFonts w:ascii="Century Gothic" w:hAnsi="Century Gothic"/>
          <w:i/>
          <w:sz w:val="22"/>
          <w:szCs w:val="22"/>
        </w:rPr>
        <w:t xml:space="preserve"> La presente </w:t>
      </w:r>
      <w:r w:rsidR="00F75BB6" w:rsidRPr="00F75BB6">
        <w:rPr>
          <w:rFonts w:ascii="Century Gothic" w:hAnsi="Century Gothic"/>
          <w:i/>
          <w:sz w:val="22"/>
          <w:szCs w:val="22"/>
        </w:rPr>
        <w:lastRenderedPageBreak/>
        <w:t>donación está sujeta al cumplimiento de todas y cada una de las condiciones descritas en la Cláusula Sexta de la presente escritura; por lo cual , en caso de que el Fondo de Salvamento de Patrimonio Cultural  - FONSAL , incumpla una o más de estas condiciones. LOS DONANTES se reservarán el pleno derecho de ejercer las acciones legales pertinentes a fin de que  la propiedad del inmueble objeto de la presente donación sea restituida (…)”</w:t>
      </w:r>
      <w:r w:rsidR="0081403B">
        <w:rPr>
          <w:rFonts w:ascii="Century Gothic" w:hAnsi="Century Gothic"/>
          <w:i/>
          <w:sz w:val="22"/>
          <w:szCs w:val="22"/>
        </w:rPr>
        <w:t>;</w:t>
      </w:r>
    </w:p>
    <w:p w:rsidR="00BC645C" w:rsidRDefault="00BC645C" w:rsidP="00BC645C">
      <w:pPr>
        <w:autoSpaceDE w:val="0"/>
        <w:autoSpaceDN w:val="0"/>
        <w:adjustRightInd w:val="0"/>
        <w:ind w:left="697" w:hanging="697"/>
        <w:jc w:val="both"/>
        <w:rPr>
          <w:rFonts w:ascii="Century Gothic" w:eastAsiaTheme="minorHAnsi" w:hAnsi="Century Gothic" w:cs="CourierNewNormal"/>
          <w:i/>
          <w:sz w:val="22"/>
          <w:szCs w:val="22"/>
          <w:lang w:val="es-EC" w:eastAsia="en-US"/>
        </w:rPr>
      </w:pPr>
    </w:p>
    <w:p w:rsidR="0089508B" w:rsidRDefault="0089508B" w:rsidP="00BC645C">
      <w:pPr>
        <w:autoSpaceDE w:val="0"/>
        <w:autoSpaceDN w:val="0"/>
        <w:adjustRightInd w:val="0"/>
        <w:ind w:left="697" w:hanging="697"/>
        <w:jc w:val="both"/>
        <w:rPr>
          <w:rFonts w:ascii="Century Gothic" w:hAnsi="Century Gothic"/>
          <w:i/>
          <w:sz w:val="22"/>
          <w:szCs w:val="22"/>
        </w:rPr>
      </w:pPr>
      <w:r w:rsidRPr="001B5A35">
        <w:rPr>
          <w:rFonts w:ascii="Century Gothic" w:hAnsi="Century Gothic"/>
          <w:b/>
          <w:sz w:val="22"/>
          <w:szCs w:val="22"/>
        </w:rPr>
        <w:t>Que</w:t>
      </w:r>
      <w:r w:rsidR="00F75BB6">
        <w:rPr>
          <w:rFonts w:ascii="Century Gothic" w:hAnsi="Century Gothic"/>
          <w:b/>
          <w:sz w:val="22"/>
          <w:szCs w:val="22"/>
        </w:rPr>
        <w:t xml:space="preserve">, </w:t>
      </w:r>
      <w:r w:rsidR="0081403B">
        <w:rPr>
          <w:rFonts w:ascii="Century Gothic" w:hAnsi="Century Gothic"/>
          <w:b/>
          <w:sz w:val="22"/>
          <w:szCs w:val="22"/>
        </w:rPr>
        <w:t xml:space="preserve"> </w:t>
      </w:r>
      <w:r w:rsidR="0081403B">
        <w:rPr>
          <w:rFonts w:ascii="Century Gothic" w:hAnsi="Century Gothic"/>
          <w:sz w:val="22"/>
          <w:szCs w:val="22"/>
        </w:rPr>
        <w:t>con Resolución N. A 0040 de 29 de diciembre d</w:t>
      </w:r>
      <w:r w:rsidR="00BC645C">
        <w:rPr>
          <w:rFonts w:ascii="Century Gothic" w:hAnsi="Century Gothic"/>
          <w:sz w:val="22"/>
          <w:szCs w:val="22"/>
        </w:rPr>
        <w:t xml:space="preserve">e 2010, el Alcalde del Distrito </w:t>
      </w:r>
      <w:r w:rsidR="0081403B">
        <w:rPr>
          <w:rFonts w:ascii="Century Gothic" w:hAnsi="Century Gothic"/>
          <w:sz w:val="22"/>
          <w:szCs w:val="22"/>
        </w:rPr>
        <w:t>Metropolitano de Quito de ese entonces , resuelve expedir la Resolución Administrativa de creación del Instituto Metropolitano de Patrimonio</w:t>
      </w:r>
      <w:r w:rsidR="00A54FC6">
        <w:rPr>
          <w:rFonts w:ascii="Century Gothic" w:hAnsi="Century Gothic"/>
          <w:sz w:val="22"/>
          <w:szCs w:val="22"/>
        </w:rPr>
        <w:t>(IMP)</w:t>
      </w:r>
      <w:r w:rsidR="0081403B">
        <w:rPr>
          <w:rFonts w:ascii="Century Gothic" w:hAnsi="Century Gothic"/>
          <w:sz w:val="22"/>
          <w:szCs w:val="22"/>
        </w:rPr>
        <w:t xml:space="preserve">, en cuyo artículo 10, numeral 3, establece : </w:t>
      </w:r>
      <w:r w:rsidR="0081403B" w:rsidRPr="0081403B">
        <w:rPr>
          <w:rFonts w:ascii="Century Gothic" w:hAnsi="Century Gothic"/>
          <w:i/>
          <w:sz w:val="22"/>
          <w:szCs w:val="22"/>
        </w:rPr>
        <w:t>“ (…) Los contratos y obligaciones que hubiesen sido suscritos o adquiridas por el Fondo de Salva</w:t>
      </w:r>
      <w:r w:rsidR="00A54FC6">
        <w:rPr>
          <w:rFonts w:ascii="Century Gothic" w:hAnsi="Century Gothic"/>
          <w:i/>
          <w:sz w:val="22"/>
          <w:szCs w:val="22"/>
        </w:rPr>
        <w:t>mento del Patrimonio Cultural y</w:t>
      </w:r>
      <w:r w:rsidR="0081403B" w:rsidRPr="0081403B">
        <w:rPr>
          <w:rFonts w:ascii="Century Gothic" w:hAnsi="Century Gothic"/>
          <w:i/>
          <w:sz w:val="22"/>
          <w:szCs w:val="22"/>
        </w:rPr>
        <w:t>/o  sus órganos serán atendidos y gestionados, en representación del Municipio del Distrito Metropolitano de Quito, por el Instituto Metropolitano de Patrimonio Cultural y sus órganos(…)”</w:t>
      </w:r>
      <w:r w:rsidR="00F72952">
        <w:rPr>
          <w:rFonts w:ascii="Century Gothic" w:hAnsi="Century Gothic"/>
          <w:i/>
          <w:sz w:val="22"/>
          <w:szCs w:val="22"/>
        </w:rPr>
        <w:t>;</w:t>
      </w:r>
    </w:p>
    <w:p w:rsidR="00A54FC6" w:rsidRDefault="00A54FC6" w:rsidP="00BC645C">
      <w:pPr>
        <w:autoSpaceDE w:val="0"/>
        <w:autoSpaceDN w:val="0"/>
        <w:adjustRightInd w:val="0"/>
        <w:ind w:left="697" w:hanging="697"/>
        <w:jc w:val="both"/>
        <w:rPr>
          <w:rFonts w:ascii="Century Gothic" w:hAnsi="Century Gothic"/>
          <w:sz w:val="22"/>
          <w:szCs w:val="22"/>
        </w:rPr>
      </w:pPr>
    </w:p>
    <w:p w:rsidR="00A54FC6" w:rsidRDefault="00A54FC6" w:rsidP="00A54FC6">
      <w:pPr>
        <w:autoSpaceDE w:val="0"/>
        <w:autoSpaceDN w:val="0"/>
        <w:adjustRightInd w:val="0"/>
        <w:ind w:left="697" w:hanging="697"/>
        <w:jc w:val="both"/>
        <w:rPr>
          <w:rFonts w:ascii="Century Gothic" w:hAnsi="Century Gothic"/>
          <w:i/>
          <w:sz w:val="22"/>
          <w:szCs w:val="22"/>
        </w:rPr>
      </w:pPr>
      <w:r>
        <w:rPr>
          <w:rFonts w:ascii="Century Gothic" w:hAnsi="Century Gothic"/>
          <w:b/>
          <w:sz w:val="22"/>
          <w:szCs w:val="22"/>
        </w:rPr>
        <w:t xml:space="preserve">Que, </w:t>
      </w:r>
      <w:r>
        <w:rPr>
          <w:rFonts w:ascii="Century Gothic" w:hAnsi="Century Gothic"/>
          <w:sz w:val="22"/>
          <w:szCs w:val="22"/>
        </w:rPr>
        <w:t xml:space="preserve"> mediante Oficio No. 0002782 de 10 de noviembre de 2014, la Directora Ejecutiva del Instituto Metropolitano de Patrimonio, pone en conocimiento de la Fundación Museos de la Ciudad lo siguiente: </w:t>
      </w:r>
      <w:r>
        <w:rPr>
          <w:rFonts w:ascii="Century Gothic" w:hAnsi="Century Gothic"/>
          <w:i/>
          <w:sz w:val="22"/>
          <w:szCs w:val="22"/>
        </w:rPr>
        <w:t>“(…) en razón  de que el contrato suscrito el 27 de octubre de 2010, ante la Notaría décimo Sexta del Cantón Quito, feneció (…)los estudios , diseños y obras descritas en el numeral a) de la presente cláusula deberán haberse completado en el plazo máximo de tres años desde la fecha de celebración  de esta escritura”, no es factible la ejecución de los compromisos adquiridos a través de la suscripción de dicho contrato. De considerarse la implementación del “Museo Estuardo Maldonado</w:t>
      </w:r>
      <w:proofErr w:type="gramStart"/>
      <w:r>
        <w:rPr>
          <w:rFonts w:ascii="Century Gothic" w:hAnsi="Century Gothic"/>
          <w:i/>
          <w:sz w:val="22"/>
          <w:szCs w:val="22"/>
        </w:rPr>
        <w:t>” ,</w:t>
      </w:r>
      <w:proofErr w:type="gramEnd"/>
      <w:r>
        <w:rPr>
          <w:rFonts w:ascii="Century Gothic" w:hAnsi="Century Gothic"/>
          <w:i/>
          <w:sz w:val="22"/>
          <w:szCs w:val="22"/>
        </w:rPr>
        <w:t xml:space="preserve"> previamente debería realizarse la correspondientes reforma a la escritura de donación (…)”;</w:t>
      </w:r>
    </w:p>
    <w:p w:rsidR="00A54FC6" w:rsidRDefault="00A54FC6" w:rsidP="00A54FC6">
      <w:pPr>
        <w:autoSpaceDE w:val="0"/>
        <w:autoSpaceDN w:val="0"/>
        <w:adjustRightInd w:val="0"/>
        <w:ind w:left="697" w:hanging="697"/>
        <w:jc w:val="both"/>
        <w:rPr>
          <w:rFonts w:ascii="Century Gothic" w:hAnsi="Century Gothic"/>
          <w:i/>
          <w:sz w:val="22"/>
          <w:szCs w:val="22"/>
        </w:rPr>
      </w:pPr>
    </w:p>
    <w:p w:rsidR="00A54FC6" w:rsidRDefault="00A54FC6" w:rsidP="00A54FC6">
      <w:pPr>
        <w:autoSpaceDE w:val="0"/>
        <w:autoSpaceDN w:val="0"/>
        <w:adjustRightInd w:val="0"/>
        <w:ind w:left="697" w:hanging="697"/>
        <w:jc w:val="both"/>
        <w:rPr>
          <w:rFonts w:ascii="Century Gothic" w:hAnsi="Century Gothic"/>
          <w:i/>
          <w:sz w:val="22"/>
          <w:szCs w:val="22"/>
        </w:rPr>
      </w:pPr>
      <w:r>
        <w:rPr>
          <w:rFonts w:ascii="Century Gothic" w:hAnsi="Century Gothic"/>
          <w:b/>
          <w:sz w:val="22"/>
          <w:szCs w:val="22"/>
        </w:rPr>
        <w:t xml:space="preserve">Que, </w:t>
      </w:r>
      <w:r>
        <w:rPr>
          <w:rFonts w:ascii="Century Gothic" w:hAnsi="Century Gothic"/>
          <w:sz w:val="22"/>
          <w:szCs w:val="22"/>
        </w:rPr>
        <w:t xml:space="preserve">mediante Oficio No. 0004434 de 30 de octubre de 2015, el Director del IMP de ese entonces, informa: </w:t>
      </w:r>
      <w:r>
        <w:rPr>
          <w:rFonts w:ascii="Century Gothic" w:hAnsi="Century Gothic"/>
          <w:i/>
          <w:sz w:val="22"/>
          <w:szCs w:val="22"/>
        </w:rPr>
        <w:t xml:space="preserve">“(…) 4.- En vista de la situación Jurídica y económica derivada de la derogatoria de la Ley de Creación del  </w:t>
      </w:r>
      <w:proofErr w:type="spellStart"/>
      <w:r>
        <w:rPr>
          <w:rFonts w:ascii="Century Gothic" w:hAnsi="Century Gothic"/>
          <w:i/>
          <w:sz w:val="22"/>
          <w:szCs w:val="22"/>
        </w:rPr>
        <w:t>Fonsal</w:t>
      </w:r>
      <w:proofErr w:type="spellEnd"/>
      <w:r>
        <w:rPr>
          <w:rFonts w:ascii="Century Gothic" w:hAnsi="Century Gothic"/>
          <w:i/>
          <w:sz w:val="22"/>
          <w:szCs w:val="22"/>
        </w:rPr>
        <w:t xml:space="preserve">(…) en el año 2011 se inició un proceso para la reforma de la escritura de la donación que consistía en modificar los siguientes aspectos: Eliminar las obligaciones del MDMQ (IMP) asumir los gastos de mantenimiento y administración del “ MUSEO ESTUARDO MALDONADO”; (…)CONCLUSIONES. 1.- Las modificaciones a la escritura de donación que requirió el IMP para ajustar la normativa vigente los cumplimientos de las condiciones previstas en la escritura de donación no se concretaron pese a la voluntad del IMP para hacerlo ; 2.- Por tal motivo, solamente se avanzó con los estudios ya que las demás condiciones relativas al plazo y condiciones del comodato, ejecución de obras, administración , cuidado y financiamiento del museo no podían ejecutarse, porque debían ejecutarse a la normativa vigente a la celebración de cada acto, entre las que debía considerarse la prohibición que por principio contiene el Código Orgánico del Planificación y Finanzas Públicas para entregar asignaciones a entidades de derecho privado (…)”; </w:t>
      </w:r>
    </w:p>
    <w:p w:rsidR="00A54FC6" w:rsidRDefault="00A54FC6" w:rsidP="00A54FC6">
      <w:pPr>
        <w:autoSpaceDE w:val="0"/>
        <w:autoSpaceDN w:val="0"/>
        <w:adjustRightInd w:val="0"/>
        <w:ind w:left="697" w:hanging="697"/>
        <w:jc w:val="both"/>
        <w:rPr>
          <w:rFonts w:ascii="Century Gothic" w:hAnsi="Century Gothic"/>
          <w:i/>
          <w:sz w:val="22"/>
          <w:szCs w:val="22"/>
        </w:rPr>
      </w:pPr>
    </w:p>
    <w:p w:rsidR="00A54FC6" w:rsidRPr="00BC645C" w:rsidRDefault="00A54FC6" w:rsidP="00BC645C">
      <w:pPr>
        <w:autoSpaceDE w:val="0"/>
        <w:autoSpaceDN w:val="0"/>
        <w:adjustRightInd w:val="0"/>
        <w:ind w:left="697" w:hanging="697"/>
        <w:jc w:val="both"/>
        <w:rPr>
          <w:rFonts w:ascii="Century Gothic" w:hAnsi="Century Gothic"/>
          <w:sz w:val="22"/>
          <w:szCs w:val="22"/>
        </w:rPr>
      </w:pPr>
    </w:p>
    <w:p w:rsidR="00A54FC6" w:rsidRDefault="00A54FC6" w:rsidP="00A54FC6">
      <w:pPr>
        <w:autoSpaceDE w:val="0"/>
        <w:autoSpaceDN w:val="0"/>
        <w:adjustRightInd w:val="0"/>
        <w:ind w:left="697" w:hanging="697"/>
        <w:jc w:val="both"/>
        <w:rPr>
          <w:rFonts w:ascii="Century Gothic" w:hAnsi="Century Gothic"/>
          <w:sz w:val="22"/>
          <w:szCs w:val="22"/>
        </w:rPr>
      </w:pPr>
    </w:p>
    <w:p w:rsidR="00A54FC6" w:rsidRDefault="00A54FC6" w:rsidP="00A54FC6">
      <w:pPr>
        <w:autoSpaceDE w:val="0"/>
        <w:autoSpaceDN w:val="0"/>
        <w:adjustRightInd w:val="0"/>
        <w:ind w:left="697" w:hanging="697"/>
        <w:jc w:val="both"/>
        <w:rPr>
          <w:rFonts w:ascii="Century Gothic" w:hAnsi="Century Gothic"/>
          <w:sz w:val="22"/>
          <w:szCs w:val="22"/>
        </w:rPr>
      </w:pPr>
      <w:r w:rsidRPr="001B5A35">
        <w:rPr>
          <w:rFonts w:ascii="Century Gothic" w:hAnsi="Century Gothic"/>
          <w:b/>
          <w:sz w:val="22"/>
          <w:szCs w:val="22"/>
        </w:rPr>
        <w:t xml:space="preserve">Que, </w:t>
      </w:r>
      <w:r>
        <w:rPr>
          <w:rFonts w:ascii="Century Gothic" w:hAnsi="Century Gothic"/>
          <w:sz w:val="22"/>
          <w:szCs w:val="22"/>
        </w:rPr>
        <w:t>mediante certificado No. C30522576001 de 20 de enero de 2017, el Registro de la Propiedad informa que el Municipio del Distrito Metropolitano de Quito, es el propietario del predio No. 92444;</w:t>
      </w:r>
    </w:p>
    <w:p w:rsidR="0089508B" w:rsidRDefault="0089508B" w:rsidP="00BC645C">
      <w:pPr>
        <w:autoSpaceDE w:val="0"/>
        <w:autoSpaceDN w:val="0"/>
        <w:adjustRightInd w:val="0"/>
        <w:ind w:left="697" w:hanging="697"/>
        <w:jc w:val="both"/>
        <w:rPr>
          <w:rFonts w:ascii="Century Gothic" w:hAnsi="Century Gothic"/>
          <w:b/>
          <w:sz w:val="22"/>
          <w:szCs w:val="22"/>
        </w:rPr>
      </w:pPr>
    </w:p>
    <w:p w:rsidR="00A54FC6" w:rsidRDefault="00A54FC6" w:rsidP="00A54FC6">
      <w:pPr>
        <w:autoSpaceDE w:val="0"/>
        <w:autoSpaceDN w:val="0"/>
        <w:adjustRightInd w:val="0"/>
        <w:ind w:left="697" w:hanging="697"/>
        <w:jc w:val="both"/>
        <w:rPr>
          <w:rFonts w:ascii="Century Gothic" w:hAnsi="Century Gothic"/>
          <w:i/>
          <w:sz w:val="22"/>
          <w:szCs w:val="22"/>
        </w:rPr>
      </w:pPr>
      <w:r>
        <w:rPr>
          <w:rFonts w:ascii="Century Gothic" w:hAnsi="Century Gothic"/>
          <w:b/>
          <w:sz w:val="22"/>
          <w:szCs w:val="22"/>
        </w:rPr>
        <w:t xml:space="preserve">Que, </w:t>
      </w:r>
      <w:r>
        <w:rPr>
          <w:rFonts w:ascii="Century Gothic" w:hAnsi="Century Gothic"/>
          <w:sz w:val="22"/>
          <w:szCs w:val="22"/>
        </w:rPr>
        <w:t xml:space="preserve">mediante Oficio No. DMC-CE-5909 de 13 de junio de 2017, la Dirección Metropolitana de Catastro realiza la actualización Catastral del predio No. 92444 e informa : </w:t>
      </w:r>
      <w:r>
        <w:rPr>
          <w:rFonts w:ascii="Century Gothic" w:hAnsi="Century Gothic"/>
          <w:i/>
          <w:sz w:val="22"/>
          <w:szCs w:val="22"/>
        </w:rPr>
        <w:t xml:space="preserve">“(…) una vez revisada la documentación proporcionada por el IMP, procedió con la actualización de los inmuebles en el sistema catastral, mismos que se encuentran registrados en el SIREC-Q a nombre del Municipio del Distrito Metropolitano de Quito, conforma consta a la fecha en las fichas catastrales que se adjuntan al presente (…)” ; </w:t>
      </w:r>
    </w:p>
    <w:p w:rsidR="00A54FC6" w:rsidRDefault="00A54FC6" w:rsidP="00A54FC6">
      <w:pPr>
        <w:autoSpaceDE w:val="0"/>
        <w:autoSpaceDN w:val="0"/>
        <w:adjustRightInd w:val="0"/>
        <w:ind w:left="697" w:hanging="697"/>
        <w:jc w:val="both"/>
        <w:rPr>
          <w:rFonts w:ascii="Century Gothic" w:hAnsi="Century Gothic"/>
          <w:i/>
          <w:sz w:val="22"/>
          <w:szCs w:val="22"/>
        </w:rPr>
      </w:pPr>
    </w:p>
    <w:p w:rsidR="00A54FC6" w:rsidRDefault="00A54FC6" w:rsidP="00A54FC6">
      <w:pPr>
        <w:autoSpaceDE w:val="0"/>
        <w:autoSpaceDN w:val="0"/>
        <w:adjustRightInd w:val="0"/>
        <w:ind w:left="697" w:hanging="697"/>
        <w:jc w:val="both"/>
        <w:rPr>
          <w:rFonts w:ascii="Century Gothic" w:hAnsi="Century Gothic"/>
          <w:i/>
          <w:sz w:val="22"/>
          <w:szCs w:val="22"/>
        </w:rPr>
      </w:pPr>
      <w:r>
        <w:rPr>
          <w:rFonts w:ascii="Century Gothic" w:hAnsi="Century Gothic"/>
          <w:b/>
          <w:sz w:val="22"/>
          <w:szCs w:val="22"/>
        </w:rPr>
        <w:t xml:space="preserve">Que, </w:t>
      </w:r>
      <w:r>
        <w:rPr>
          <w:rFonts w:ascii="Century Gothic" w:hAnsi="Century Gothic"/>
          <w:sz w:val="22"/>
          <w:szCs w:val="22"/>
        </w:rPr>
        <w:t xml:space="preserve">el Dr. Hernán Benalcázar Vimos, representante de los señores Gabriel Maldonado </w:t>
      </w:r>
      <w:proofErr w:type="spellStart"/>
      <w:r>
        <w:rPr>
          <w:rFonts w:ascii="Century Gothic" w:hAnsi="Century Gothic"/>
          <w:sz w:val="22"/>
          <w:szCs w:val="22"/>
        </w:rPr>
        <w:t>Piccinini</w:t>
      </w:r>
      <w:proofErr w:type="spellEnd"/>
      <w:r>
        <w:rPr>
          <w:rFonts w:ascii="Century Gothic" w:hAnsi="Century Gothic"/>
          <w:sz w:val="22"/>
          <w:szCs w:val="22"/>
        </w:rPr>
        <w:t xml:space="preserve"> y Raquel Maldonado </w:t>
      </w:r>
      <w:proofErr w:type="spellStart"/>
      <w:r>
        <w:rPr>
          <w:rFonts w:ascii="Century Gothic" w:hAnsi="Century Gothic"/>
          <w:sz w:val="22"/>
          <w:szCs w:val="22"/>
        </w:rPr>
        <w:t>Piccinini</w:t>
      </w:r>
      <w:proofErr w:type="spellEnd"/>
      <w:r>
        <w:rPr>
          <w:rFonts w:ascii="Century Gothic" w:hAnsi="Century Gothic"/>
          <w:sz w:val="22"/>
          <w:szCs w:val="22"/>
        </w:rPr>
        <w:t xml:space="preserve">, mediante Oficio s/n de 20 de septiembre de 2017, dirigido a la Directora Ejecutiva del IMP, en el que sostiene lo siguiente: </w:t>
      </w:r>
      <w:r>
        <w:rPr>
          <w:rFonts w:ascii="Century Gothic" w:hAnsi="Century Gothic"/>
          <w:i/>
          <w:sz w:val="22"/>
          <w:szCs w:val="22"/>
        </w:rPr>
        <w:t xml:space="preserve">“(…) Conforme lo acordado en la reunión mantenida con </w:t>
      </w:r>
      <w:proofErr w:type="spellStart"/>
      <w:r>
        <w:rPr>
          <w:rFonts w:ascii="Century Gothic" w:hAnsi="Century Gothic"/>
          <w:i/>
          <w:sz w:val="22"/>
          <w:szCs w:val="22"/>
        </w:rPr>
        <w:t>Ud</w:t>
      </w:r>
      <w:proofErr w:type="spellEnd"/>
      <w:r>
        <w:rPr>
          <w:rFonts w:ascii="Century Gothic" w:hAnsi="Century Gothic"/>
          <w:i/>
          <w:sz w:val="22"/>
          <w:szCs w:val="22"/>
        </w:rPr>
        <w:t>(s) el día martes 19 de septiembre de 2017, a las 10h45, les reitero mi única y exclusivamente se ha insistido en la restitución del inmueble más no ningún otro rubro sugerido en mi comunicación de 9 de agosto de 2017(…)”;</w:t>
      </w:r>
    </w:p>
    <w:p w:rsidR="00A54FC6" w:rsidRDefault="00A54FC6" w:rsidP="00A54FC6">
      <w:pPr>
        <w:autoSpaceDE w:val="0"/>
        <w:autoSpaceDN w:val="0"/>
        <w:adjustRightInd w:val="0"/>
        <w:ind w:left="697" w:hanging="697"/>
        <w:jc w:val="both"/>
        <w:rPr>
          <w:rFonts w:ascii="Century Gothic" w:hAnsi="Century Gothic"/>
          <w:i/>
          <w:sz w:val="22"/>
          <w:szCs w:val="22"/>
        </w:rPr>
      </w:pPr>
    </w:p>
    <w:p w:rsidR="00A54FC6" w:rsidRDefault="00A54FC6" w:rsidP="00A54FC6">
      <w:pPr>
        <w:autoSpaceDE w:val="0"/>
        <w:autoSpaceDN w:val="0"/>
        <w:adjustRightInd w:val="0"/>
        <w:ind w:left="697" w:hanging="697"/>
        <w:jc w:val="both"/>
        <w:rPr>
          <w:rFonts w:ascii="Century Gothic" w:hAnsi="Century Gothic"/>
          <w:i/>
          <w:sz w:val="22"/>
          <w:szCs w:val="22"/>
        </w:rPr>
      </w:pPr>
      <w:r>
        <w:rPr>
          <w:rFonts w:ascii="Century Gothic" w:hAnsi="Century Gothic"/>
          <w:b/>
          <w:sz w:val="22"/>
          <w:szCs w:val="22"/>
        </w:rPr>
        <w:t xml:space="preserve">Que, </w:t>
      </w:r>
      <w:r>
        <w:rPr>
          <w:rFonts w:ascii="Century Gothic" w:hAnsi="Century Gothic"/>
          <w:sz w:val="22"/>
          <w:szCs w:val="22"/>
        </w:rPr>
        <w:t xml:space="preserve">mediante Oficio No. IMP-2017-0003528 de 16 de octubre de 2017, la Directora Ejecutiva del IMP, manifiesta: </w:t>
      </w:r>
      <w:r>
        <w:rPr>
          <w:rFonts w:ascii="Century Gothic" w:hAnsi="Century Gothic"/>
          <w:i/>
          <w:sz w:val="22"/>
          <w:szCs w:val="22"/>
        </w:rPr>
        <w:t xml:space="preserve">“(…)2.3.- El propio contrato de donación estipula que , en caso de incumplimiento de las condiciones señaladas, los donantes podrán realizar acciones a fin de que la propiedad del inmueble les sea restituida(…) El contrato establecía un plazo de tres años contados a partir del 27 de octubre de 2010 para la ejecución de estudios y obras a fin de que el inmueble pudiere cumplir con su función de museo . El plazo indicado se encuentra vencido pese a que el “IMP” ( ex FONSAL) realizó  gestiones tendientes al cumplimiento de condiciones previstas en el contrato de donación, condiciones que ameritaban la suscripción de modificaciones a las inicialmente estipuladas a fin de dar cumplimiento a la normativa vigente(…) Por tal motivo únicamente se avanzó con los estudios ya que las demás condiciones relativas al plazo y condiciones del comodato, ejecución de obras, administración , cuidado y financiamiento del Museo no podían ejecutarse porque debían ajustarse a la normativa vigente (…) Por lo expuesto , en razón de que el Instituto Metropolitano de Patrimonio , área competente, no ha recibido solicitud alguna para la ejecución de un nuevo proyecto en el referido predio, salvo disposición contraria , siendo la decisión municipal la de no continuar con el proyecto planteado  en su origen, consideramos viable acoge la petición de restitución del inmueble efectuada por los señores Gabriel Maldonado </w:t>
      </w:r>
      <w:proofErr w:type="spellStart"/>
      <w:r>
        <w:rPr>
          <w:rFonts w:ascii="Century Gothic" w:hAnsi="Century Gothic"/>
          <w:i/>
          <w:sz w:val="22"/>
          <w:szCs w:val="22"/>
        </w:rPr>
        <w:t>Piccinini</w:t>
      </w:r>
      <w:proofErr w:type="spellEnd"/>
      <w:r>
        <w:rPr>
          <w:rFonts w:ascii="Century Gothic" w:hAnsi="Century Gothic"/>
          <w:i/>
          <w:sz w:val="22"/>
          <w:szCs w:val="22"/>
        </w:rPr>
        <w:t xml:space="preserve"> y Raquel Maldonado </w:t>
      </w:r>
      <w:proofErr w:type="spellStart"/>
      <w:r>
        <w:rPr>
          <w:rFonts w:ascii="Century Gothic" w:hAnsi="Century Gothic"/>
          <w:i/>
          <w:sz w:val="22"/>
          <w:szCs w:val="22"/>
        </w:rPr>
        <w:t>Piccinini</w:t>
      </w:r>
      <w:proofErr w:type="spellEnd"/>
      <w:r>
        <w:rPr>
          <w:rFonts w:ascii="Century Gothic" w:hAnsi="Century Gothic"/>
          <w:i/>
          <w:sz w:val="22"/>
          <w:szCs w:val="22"/>
        </w:rPr>
        <w:t>, por ser esta la única penalidad que estipula el contrato celebrado el 27 octubre de 2010(…)”;</w:t>
      </w:r>
    </w:p>
    <w:p w:rsidR="00A54FC6" w:rsidRPr="001B5A35" w:rsidRDefault="00A54FC6" w:rsidP="00BC645C">
      <w:pPr>
        <w:autoSpaceDE w:val="0"/>
        <w:autoSpaceDN w:val="0"/>
        <w:adjustRightInd w:val="0"/>
        <w:ind w:left="697" w:hanging="697"/>
        <w:jc w:val="both"/>
        <w:rPr>
          <w:rFonts w:ascii="Century Gothic" w:hAnsi="Century Gothic"/>
          <w:b/>
          <w:sz w:val="22"/>
          <w:szCs w:val="22"/>
        </w:rPr>
      </w:pPr>
    </w:p>
    <w:p w:rsidR="00A54FC6" w:rsidRDefault="00A54FC6" w:rsidP="00BC645C">
      <w:pPr>
        <w:autoSpaceDE w:val="0"/>
        <w:autoSpaceDN w:val="0"/>
        <w:adjustRightInd w:val="0"/>
        <w:ind w:left="697" w:hanging="697"/>
        <w:jc w:val="both"/>
        <w:rPr>
          <w:rFonts w:ascii="Century Gothic" w:hAnsi="Century Gothic"/>
          <w:b/>
          <w:sz w:val="22"/>
          <w:szCs w:val="22"/>
        </w:rPr>
      </w:pPr>
    </w:p>
    <w:p w:rsidR="00A54FC6" w:rsidRDefault="00A54FC6" w:rsidP="00BC645C">
      <w:pPr>
        <w:autoSpaceDE w:val="0"/>
        <w:autoSpaceDN w:val="0"/>
        <w:adjustRightInd w:val="0"/>
        <w:ind w:left="697" w:hanging="697"/>
        <w:jc w:val="both"/>
        <w:rPr>
          <w:rFonts w:ascii="Century Gothic" w:hAnsi="Century Gothic"/>
          <w:b/>
          <w:sz w:val="22"/>
          <w:szCs w:val="22"/>
        </w:rPr>
      </w:pPr>
    </w:p>
    <w:p w:rsidR="0089508B" w:rsidRDefault="0089508B" w:rsidP="00BC645C">
      <w:pPr>
        <w:autoSpaceDE w:val="0"/>
        <w:autoSpaceDN w:val="0"/>
        <w:adjustRightInd w:val="0"/>
        <w:ind w:left="697" w:hanging="697"/>
        <w:jc w:val="both"/>
        <w:rPr>
          <w:rFonts w:ascii="Century Gothic" w:hAnsi="Century Gothic"/>
          <w:sz w:val="22"/>
          <w:szCs w:val="22"/>
        </w:rPr>
      </w:pPr>
      <w:r w:rsidRPr="001B5A35">
        <w:rPr>
          <w:rFonts w:ascii="Century Gothic" w:hAnsi="Century Gothic"/>
          <w:b/>
          <w:sz w:val="22"/>
          <w:szCs w:val="22"/>
        </w:rPr>
        <w:lastRenderedPageBreak/>
        <w:t>Que</w:t>
      </w:r>
      <w:r w:rsidR="0081403B">
        <w:rPr>
          <w:rFonts w:ascii="Century Gothic" w:hAnsi="Century Gothic"/>
          <w:b/>
          <w:sz w:val="22"/>
          <w:szCs w:val="22"/>
        </w:rPr>
        <w:t>,</w:t>
      </w:r>
      <w:r w:rsidR="0081403B" w:rsidRPr="00F72952">
        <w:rPr>
          <w:rFonts w:ascii="Century Gothic" w:hAnsi="Century Gothic"/>
          <w:sz w:val="22"/>
          <w:szCs w:val="22"/>
        </w:rPr>
        <w:t xml:space="preserve"> </w:t>
      </w:r>
      <w:r w:rsidR="00BC645C">
        <w:rPr>
          <w:rFonts w:ascii="Century Gothic" w:hAnsi="Century Gothic"/>
          <w:sz w:val="22"/>
          <w:szCs w:val="22"/>
        </w:rPr>
        <w:t xml:space="preserve">  </w:t>
      </w:r>
      <w:r w:rsidR="00F72952" w:rsidRPr="00F72952">
        <w:rPr>
          <w:rFonts w:ascii="Century Gothic" w:hAnsi="Century Gothic"/>
          <w:sz w:val="22"/>
          <w:szCs w:val="22"/>
        </w:rPr>
        <w:t xml:space="preserve">mediante </w:t>
      </w:r>
      <w:r w:rsidR="0081403B">
        <w:rPr>
          <w:rFonts w:ascii="Century Gothic" w:hAnsi="Century Gothic"/>
          <w:sz w:val="22"/>
          <w:szCs w:val="22"/>
        </w:rPr>
        <w:t>acta suscrita el 22 de febrero de 2018, el Instituto Metropolitano de Patrimonio, como sucesor del Ex Fondo de Salvamento de Patrimonio Cultural, entrega a favor de la Dirección Metropolitana  de Gestión de Bienes Inmuebles, el predio No.92444, ubicado en la calle Guayaquil No. 170 y L</w:t>
      </w:r>
      <w:r w:rsidR="00F72952">
        <w:rPr>
          <w:rFonts w:ascii="Century Gothic" w:hAnsi="Century Gothic"/>
          <w:sz w:val="22"/>
          <w:szCs w:val="22"/>
        </w:rPr>
        <w:t>oja, parroquia de San Sebastián;</w:t>
      </w:r>
    </w:p>
    <w:p w:rsidR="00F41E58" w:rsidRDefault="00F41E58" w:rsidP="00A54FC6">
      <w:pPr>
        <w:autoSpaceDE w:val="0"/>
        <w:autoSpaceDN w:val="0"/>
        <w:adjustRightInd w:val="0"/>
        <w:jc w:val="both"/>
        <w:rPr>
          <w:rFonts w:ascii="Century Gothic" w:hAnsi="Century Gothic"/>
          <w:i/>
          <w:sz w:val="22"/>
          <w:szCs w:val="22"/>
        </w:rPr>
      </w:pPr>
    </w:p>
    <w:p w:rsidR="000F1550" w:rsidRDefault="000F1550" w:rsidP="00BC645C">
      <w:pPr>
        <w:autoSpaceDE w:val="0"/>
        <w:autoSpaceDN w:val="0"/>
        <w:adjustRightInd w:val="0"/>
        <w:ind w:left="697" w:hanging="697"/>
        <w:jc w:val="both"/>
        <w:rPr>
          <w:rFonts w:ascii="Century Gothic" w:hAnsi="Century Gothic"/>
          <w:i/>
          <w:sz w:val="22"/>
          <w:szCs w:val="22"/>
        </w:rPr>
      </w:pPr>
    </w:p>
    <w:p w:rsidR="00BC645C" w:rsidRDefault="000F1550" w:rsidP="00BC645C">
      <w:pPr>
        <w:autoSpaceDE w:val="0"/>
        <w:autoSpaceDN w:val="0"/>
        <w:adjustRightInd w:val="0"/>
        <w:ind w:left="697" w:hanging="697"/>
        <w:jc w:val="both"/>
        <w:rPr>
          <w:rFonts w:ascii="Century Gothic" w:hAnsi="Century Gothic"/>
          <w:i/>
          <w:sz w:val="22"/>
          <w:szCs w:val="22"/>
        </w:rPr>
      </w:pPr>
      <w:r>
        <w:rPr>
          <w:rFonts w:ascii="Century Gothic" w:hAnsi="Century Gothic"/>
          <w:b/>
          <w:sz w:val="22"/>
          <w:szCs w:val="22"/>
        </w:rPr>
        <w:t xml:space="preserve">Que, </w:t>
      </w:r>
      <w:r>
        <w:rPr>
          <w:rFonts w:ascii="Century Gothic" w:hAnsi="Century Gothic"/>
          <w:sz w:val="22"/>
          <w:szCs w:val="22"/>
        </w:rPr>
        <w:t>mediante Oficio No. DMGBI -2018-0750  de 13 de marzo de 2018, la Dirección Metropolitana de Gestión de Bienes I</w:t>
      </w:r>
      <w:r w:rsidR="00A54FC6">
        <w:rPr>
          <w:rFonts w:ascii="Century Gothic" w:hAnsi="Century Gothic"/>
          <w:sz w:val="22"/>
          <w:szCs w:val="22"/>
        </w:rPr>
        <w:t>n</w:t>
      </w:r>
      <w:r>
        <w:rPr>
          <w:rFonts w:ascii="Century Gothic" w:hAnsi="Century Gothic"/>
          <w:sz w:val="22"/>
          <w:szCs w:val="22"/>
        </w:rPr>
        <w:t xml:space="preserve">muebles, expone lo siguiente: </w:t>
      </w:r>
      <w:r>
        <w:rPr>
          <w:rFonts w:ascii="Century Gothic" w:hAnsi="Century Gothic"/>
          <w:i/>
          <w:sz w:val="22"/>
          <w:szCs w:val="22"/>
        </w:rPr>
        <w:t>“(…) Una vez que la Dirección Metropolitana de Gestión de Bienes Inmuebles ha verificado la información registrada en el expediente del predio No. 92444, en la que se evidencia que la entidad municipal responsable del Inmueble Fondo de Salvamento y Patrimonio Cultural</w:t>
      </w:r>
      <w:r w:rsidR="002A750C">
        <w:rPr>
          <w:rFonts w:ascii="Century Gothic" w:hAnsi="Century Gothic"/>
          <w:i/>
          <w:sz w:val="22"/>
          <w:szCs w:val="22"/>
        </w:rPr>
        <w:t xml:space="preserve"> </w:t>
      </w:r>
      <w:r>
        <w:rPr>
          <w:rFonts w:ascii="Century Gothic" w:hAnsi="Century Gothic"/>
          <w:i/>
          <w:sz w:val="22"/>
          <w:szCs w:val="22"/>
        </w:rPr>
        <w:t xml:space="preserve">(FONSAL), hoy IMP, no pudo dar cumplimiento a lo dispuesto en las cláusulas SEXTA y SÉPTIMA del contrato de donación, y para continuar con el proceso de restitución de este predio a favor de los donantes Señores Gabriel y Raquel Maldonado </w:t>
      </w:r>
      <w:proofErr w:type="spellStart"/>
      <w:r>
        <w:rPr>
          <w:rFonts w:ascii="Century Gothic" w:hAnsi="Century Gothic"/>
          <w:i/>
          <w:sz w:val="22"/>
          <w:szCs w:val="22"/>
        </w:rPr>
        <w:t>Piccinini</w:t>
      </w:r>
      <w:proofErr w:type="spellEnd"/>
      <w:r>
        <w:rPr>
          <w:rFonts w:ascii="Century Gothic" w:hAnsi="Century Gothic"/>
          <w:i/>
          <w:sz w:val="22"/>
          <w:szCs w:val="22"/>
        </w:rPr>
        <w:t xml:space="preserve">, se procedió a la firma del Acta Entrega Recepción del predio antes mencionado en la que el IMP entrega a la DMGBI. Por lo expuesto, esta Dirección Metropolitana emite informe favorable, para que Procuraduría Metropolitana realice los trámites legales para la restitución de este predio a favor de los donantes señores Gabriel y Raquel Maldonado </w:t>
      </w:r>
      <w:proofErr w:type="spellStart"/>
      <w:proofErr w:type="gramStart"/>
      <w:r>
        <w:rPr>
          <w:rFonts w:ascii="Century Gothic" w:hAnsi="Century Gothic"/>
          <w:i/>
          <w:sz w:val="22"/>
          <w:szCs w:val="22"/>
        </w:rPr>
        <w:t>Piccinini</w:t>
      </w:r>
      <w:proofErr w:type="spellEnd"/>
      <w:r>
        <w:rPr>
          <w:rFonts w:ascii="Century Gothic" w:hAnsi="Century Gothic"/>
          <w:i/>
          <w:sz w:val="22"/>
          <w:szCs w:val="22"/>
        </w:rPr>
        <w:t>(</w:t>
      </w:r>
      <w:proofErr w:type="gramEnd"/>
      <w:r>
        <w:rPr>
          <w:rFonts w:ascii="Century Gothic" w:hAnsi="Century Gothic"/>
          <w:i/>
          <w:sz w:val="22"/>
          <w:szCs w:val="22"/>
        </w:rPr>
        <w:t>…)”</w:t>
      </w:r>
      <w:r w:rsidR="002A750C">
        <w:rPr>
          <w:rFonts w:ascii="Century Gothic" w:hAnsi="Century Gothic"/>
          <w:i/>
          <w:sz w:val="22"/>
          <w:szCs w:val="22"/>
        </w:rPr>
        <w:t>;</w:t>
      </w:r>
    </w:p>
    <w:p w:rsidR="00BC645C" w:rsidRDefault="00BC645C" w:rsidP="00BC645C">
      <w:pPr>
        <w:autoSpaceDE w:val="0"/>
        <w:autoSpaceDN w:val="0"/>
        <w:adjustRightInd w:val="0"/>
        <w:ind w:left="697" w:hanging="697"/>
        <w:jc w:val="both"/>
        <w:rPr>
          <w:rFonts w:ascii="Century Gothic" w:hAnsi="Century Gothic"/>
          <w:i/>
          <w:sz w:val="22"/>
          <w:szCs w:val="22"/>
        </w:rPr>
      </w:pPr>
    </w:p>
    <w:p w:rsidR="002A750C" w:rsidRDefault="002A750C" w:rsidP="00BC645C">
      <w:pPr>
        <w:autoSpaceDE w:val="0"/>
        <w:autoSpaceDN w:val="0"/>
        <w:adjustRightInd w:val="0"/>
        <w:ind w:left="697" w:hanging="697"/>
        <w:jc w:val="both"/>
        <w:rPr>
          <w:rFonts w:ascii="Century Gothic" w:hAnsi="Century Gothic"/>
          <w:i/>
          <w:sz w:val="22"/>
          <w:szCs w:val="22"/>
        </w:rPr>
      </w:pPr>
      <w:r>
        <w:rPr>
          <w:rFonts w:ascii="Century Gothic" w:hAnsi="Century Gothic"/>
          <w:b/>
          <w:sz w:val="22"/>
          <w:szCs w:val="22"/>
        </w:rPr>
        <w:t xml:space="preserve">Que, </w:t>
      </w:r>
      <w:r>
        <w:rPr>
          <w:rFonts w:ascii="Century Gothic" w:hAnsi="Century Gothic"/>
          <w:sz w:val="22"/>
          <w:szCs w:val="22"/>
        </w:rPr>
        <w:t>mediante Oficio No. GDOC-2017-136700 , de fecha 02 de mayo de 20</w:t>
      </w:r>
      <w:r w:rsidR="00A54FC6">
        <w:rPr>
          <w:rFonts w:ascii="Century Gothic" w:hAnsi="Century Gothic"/>
          <w:sz w:val="22"/>
          <w:szCs w:val="22"/>
        </w:rPr>
        <w:t xml:space="preserve">18, Procuraduría Metropolitana </w:t>
      </w:r>
      <w:r>
        <w:rPr>
          <w:rFonts w:ascii="Century Gothic" w:hAnsi="Century Gothic"/>
          <w:sz w:val="22"/>
          <w:szCs w:val="22"/>
        </w:rPr>
        <w:t xml:space="preserve">emite su criterio sobre la restitución del predio No.92444 y expone lo siguiente: </w:t>
      </w:r>
      <w:r>
        <w:rPr>
          <w:rFonts w:ascii="Century Gothic" w:hAnsi="Century Gothic"/>
          <w:i/>
          <w:sz w:val="22"/>
          <w:szCs w:val="22"/>
        </w:rPr>
        <w:t>“(…) considerando los informes del Instituto Metropolitano de Patrimonio y la Dirección Metropolitana de Gestión de Bienes I</w:t>
      </w:r>
      <w:r w:rsidR="00BC645C">
        <w:rPr>
          <w:rFonts w:ascii="Century Gothic" w:hAnsi="Century Gothic"/>
          <w:i/>
          <w:sz w:val="22"/>
          <w:szCs w:val="22"/>
        </w:rPr>
        <w:t>n</w:t>
      </w:r>
      <w:r>
        <w:rPr>
          <w:rFonts w:ascii="Century Gothic" w:hAnsi="Century Gothic"/>
          <w:i/>
          <w:sz w:val="22"/>
          <w:szCs w:val="22"/>
        </w:rPr>
        <w:t>muebles, Procuraduría Metropolitana emite</w:t>
      </w:r>
      <w:r>
        <w:rPr>
          <w:rFonts w:ascii="Century Gothic" w:hAnsi="Century Gothic"/>
          <w:b/>
          <w:i/>
          <w:sz w:val="22"/>
          <w:szCs w:val="22"/>
        </w:rPr>
        <w:t xml:space="preserve"> criterio legal favorable</w:t>
      </w:r>
      <w:r>
        <w:rPr>
          <w:rFonts w:ascii="Century Gothic" w:hAnsi="Century Gothic"/>
          <w:i/>
          <w:sz w:val="22"/>
          <w:szCs w:val="22"/>
        </w:rPr>
        <w:t xml:space="preserve"> para que el Concejo Metropolitano autorice la restitución del inmueble municipal con número de predio 92444 , ubicado en la calle Guayaquil y Loja, barrio San Sebastián(…) y, se proceda a la </w:t>
      </w:r>
      <w:proofErr w:type="spellStart"/>
      <w:r>
        <w:rPr>
          <w:rFonts w:ascii="Century Gothic" w:hAnsi="Century Gothic"/>
          <w:i/>
          <w:sz w:val="22"/>
          <w:szCs w:val="22"/>
        </w:rPr>
        <w:t>resciliación</w:t>
      </w:r>
      <w:proofErr w:type="spellEnd"/>
      <w:r>
        <w:rPr>
          <w:rFonts w:ascii="Century Gothic" w:hAnsi="Century Gothic"/>
          <w:i/>
          <w:sz w:val="22"/>
          <w:szCs w:val="22"/>
        </w:rPr>
        <w:t xml:space="preserve"> de la escritura pública otorgada el 27 de octubre de 2010, e inscrita el 11 de enero de 2011, por cuanto conforme lo establecen los informe técnicos, no se cumplió con las condiciones y el objeto para el cual fue entregado el inmueble en donación , en el plazo acordado(…)”;</w:t>
      </w:r>
    </w:p>
    <w:p w:rsidR="00C07F18" w:rsidRDefault="00C07F18" w:rsidP="00BC645C">
      <w:pPr>
        <w:autoSpaceDE w:val="0"/>
        <w:autoSpaceDN w:val="0"/>
        <w:adjustRightInd w:val="0"/>
        <w:ind w:left="697" w:hanging="697"/>
        <w:jc w:val="both"/>
        <w:rPr>
          <w:rFonts w:ascii="Century Gothic" w:hAnsi="Century Gothic"/>
          <w:i/>
          <w:sz w:val="22"/>
          <w:szCs w:val="22"/>
        </w:rPr>
      </w:pPr>
    </w:p>
    <w:p w:rsidR="00C07F18" w:rsidRDefault="00C07F18" w:rsidP="00BC645C">
      <w:pPr>
        <w:autoSpaceDE w:val="0"/>
        <w:autoSpaceDN w:val="0"/>
        <w:adjustRightInd w:val="0"/>
        <w:ind w:left="697" w:hanging="697"/>
        <w:jc w:val="both"/>
        <w:rPr>
          <w:rFonts w:ascii="Century Gothic" w:hAnsi="Century Gothic"/>
          <w:i/>
          <w:sz w:val="22"/>
          <w:szCs w:val="22"/>
        </w:rPr>
      </w:pPr>
      <w:r>
        <w:rPr>
          <w:rFonts w:ascii="Century Gothic" w:hAnsi="Century Gothic"/>
          <w:b/>
          <w:sz w:val="22"/>
          <w:szCs w:val="22"/>
        </w:rPr>
        <w:t xml:space="preserve">Que, </w:t>
      </w:r>
      <w:r>
        <w:rPr>
          <w:rFonts w:ascii="Century Gothic" w:hAnsi="Century Gothic"/>
          <w:sz w:val="22"/>
          <w:szCs w:val="22"/>
        </w:rPr>
        <w:t>mediante Oficio NO. 2018-004688  de fecha 03 de octubre de 2018,  el Abg. Diego Cevallos Salgado, Secretario General del Concejo Metropolitano de Quito, de ese entonces , solicita</w:t>
      </w:r>
      <w:r w:rsidR="00F24479">
        <w:rPr>
          <w:rFonts w:ascii="Century Gothic" w:hAnsi="Century Gothic"/>
          <w:sz w:val="22"/>
          <w:szCs w:val="22"/>
        </w:rPr>
        <w:t xml:space="preserve"> al IMP lo siguiente</w:t>
      </w:r>
      <w:r>
        <w:rPr>
          <w:rFonts w:ascii="Century Gothic" w:hAnsi="Century Gothic"/>
          <w:sz w:val="22"/>
          <w:szCs w:val="22"/>
        </w:rPr>
        <w:t xml:space="preserve">: </w:t>
      </w:r>
      <w:r>
        <w:rPr>
          <w:rFonts w:ascii="Century Gothic" w:hAnsi="Century Gothic"/>
          <w:i/>
          <w:sz w:val="22"/>
          <w:szCs w:val="22"/>
        </w:rPr>
        <w:t>“Por disposición del Concejal Luis Reina Chamorro, Presidente de la Comisión de Propiedad y Espacio Público, de conformidad a lo establecido e n el artículo 28 de la Ordenanza Metropol</w:t>
      </w:r>
      <w:r w:rsidR="00F24479">
        <w:rPr>
          <w:rFonts w:ascii="Century Gothic" w:hAnsi="Century Gothic"/>
          <w:i/>
          <w:sz w:val="22"/>
          <w:szCs w:val="22"/>
        </w:rPr>
        <w:t>itana No. 003(…) me permito solicitar a usted emitir su criterio sobre los gastos e inversiones realizados por efectos de donación del predio No. 9244(…)”;</w:t>
      </w:r>
    </w:p>
    <w:p w:rsidR="00F24479" w:rsidRDefault="00F24479" w:rsidP="00BC645C">
      <w:pPr>
        <w:autoSpaceDE w:val="0"/>
        <w:autoSpaceDN w:val="0"/>
        <w:adjustRightInd w:val="0"/>
        <w:ind w:left="697" w:hanging="697"/>
        <w:jc w:val="both"/>
        <w:rPr>
          <w:rFonts w:ascii="Century Gothic" w:hAnsi="Century Gothic"/>
          <w:i/>
          <w:sz w:val="22"/>
          <w:szCs w:val="22"/>
        </w:rPr>
      </w:pPr>
    </w:p>
    <w:p w:rsidR="00F24479" w:rsidRDefault="00F24479" w:rsidP="00BC645C">
      <w:pPr>
        <w:autoSpaceDE w:val="0"/>
        <w:autoSpaceDN w:val="0"/>
        <w:adjustRightInd w:val="0"/>
        <w:ind w:left="697" w:hanging="697"/>
        <w:jc w:val="both"/>
        <w:rPr>
          <w:rFonts w:ascii="Century Gothic" w:hAnsi="Century Gothic"/>
          <w:i/>
          <w:sz w:val="22"/>
          <w:szCs w:val="22"/>
        </w:rPr>
      </w:pPr>
      <w:r>
        <w:rPr>
          <w:rFonts w:ascii="Century Gothic" w:hAnsi="Century Gothic"/>
          <w:b/>
          <w:sz w:val="22"/>
          <w:szCs w:val="22"/>
        </w:rPr>
        <w:t xml:space="preserve">Que, </w:t>
      </w:r>
      <w:r>
        <w:rPr>
          <w:rFonts w:ascii="Century Gothic" w:hAnsi="Century Gothic"/>
          <w:sz w:val="22"/>
          <w:szCs w:val="22"/>
        </w:rPr>
        <w:t xml:space="preserve">con Oficio No. IMP-2018-0004137 de 21 de diciembre de 2018, la Directora del IMP, informa al Secretario General del Concejo Metropolitano de Quito lo siguiente: </w:t>
      </w:r>
      <w:r w:rsidRPr="00F24479">
        <w:rPr>
          <w:rFonts w:ascii="Century Gothic" w:hAnsi="Century Gothic"/>
          <w:i/>
          <w:sz w:val="22"/>
          <w:szCs w:val="22"/>
        </w:rPr>
        <w:t xml:space="preserve">“(…)Por los antecedentes expuestos, el Instituto Metropolitano de Patrimonio ex FONSAL, ejecutó los estudios y diseño de proyectos </w:t>
      </w:r>
      <w:r w:rsidR="00106E06">
        <w:rPr>
          <w:rFonts w:ascii="Century Gothic" w:hAnsi="Century Gothic"/>
          <w:i/>
          <w:sz w:val="22"/>
          <w:szCs w:val="22"/>
        </w:rPr>
        <w:t>como se evidencia de los informe</w:t>
      </w:r>
      <w:r w:rsidRPr="00F24479">
        <w:rPr>
          <w:rFonts w:ascii="Century Gothic" w:hAnsi="Century Gothic"/>
          <w:i/>
          <w:sz w:val="22"/>
          <w:szCs w:val="22"/>
        </w:rPr>
        <w:t xml:space="preserve">s técnicos y jurídicos que constan en el expediente remitido(…)y obviamente como el predio </w:t>
      </w:r>
      <w:r w:rsidRPr="00F24479">
        <w:rPr>
          <w:rFonts w:ascii="Century Gothic" w:hAnsi="Century Gothic"/>
          <w:i/>
          <w:sz w:val="22"/>
          <w:szCs w:val="22"/>
        </w:rPr>
        <w:lastRenderedPageBreak/>
        <w:t xml:space="preserve">estaba a nombre del Municipio del Distrito Metropolitano de Quito debía mantener la seguridad del mismo , por lo que se incurrió en los gastos correspondientes. En conclusión los gastos incurridos por el IMP en el inmueble de la referencia, ha sido conforme al siguiente detalle: GASTO DE </w:t>
      </w:r>
      <w:proofErr w:type="gramStart"/>
      <w:r w:rsidRPr="00F24479">
        <w:rPr>
          <w:rFonts w:ascii="Century Gothic" w:hAnsi="Century Gothic"/>
          <w:i/>
          <w:sz w:val="22"/>
          <w:szCs w:val="22"/>
        </w:rPr>
        <w:t>INVERSIÓN :</w:t>
      </w:r>
      <w:proofErr w:type="gramEnd"/>
      <w:r w:rsidRPr="00F24479">
        <w:rPr>
          <w:rFonts w:ascii="Century Gothic" w:hAnsi="Century Gothic"/>
          <w:i/>
          <w:sz w:val="22"/>
          <w:szCs w:val="22"/>
        </w:rPr>
        <w:t xml:space="preserve"> (ESTUDIOS) USD $ 48.322,00 ; GASTO CORRIENTE ( SEGURIDAD Y VIGILANCIA) USD $ 118.509,18(…)”; </w:t>
      </w:r>
    </w:p>
    <w:p w:rsidR="0089508B" w:rsidRPr="001B5A35" w:rsidRDefault="0089508B" w:rsidP="00BC645C">
      <w:pPr>
        <w:tabs>
          <w:tab w:val="left" w:pos="426"/>
        </w:tabs>
        <w:jc w:val="both"/>
        <w:rPr>
          <w:rFonts w:ascii="Century Gothic" w:hAnsi="Century Gothic"/>
          <w:sz w:val="22"/>
          <w:szCs w:val="22"/>
        </w:rPr>
      </w:pPr>
    </w:p>
    <w:p w:rsidR="0089508B" w:rsidRPr="001B5A35" w:rsidRDefault="0089508B" w:rsidP="00BC645C">
      <w:pPr>
        <w:tabs>
          <w:tab w:val="left" w:pos="426"/>
        </w:tabs>
        <w:ind w:left="697" w:hanging="697"/>
        <w:jc w:val="both"/>
        <w:rPr>
          <w:rFonts w:ascii="Century Gothic" w:hAnsi="Century Gothic"/>
          <w:sz w:val="22"/>
          <w:szCs w:val="22"/>
        </w:rPr>
      </w:pPr>
      <w:r w:rsidRPr="001B5A35">
        <w:rPr>
          <w:rFonts w:ascii="Century Gothic" w:hAnsi="Century Gothic"/>
          <w:sz w:val="22"/>
          <w:szCs w:val="22"/>
        </w:rPr>
        <w:t xml:space="preserve">  </w:t>
      </w:r>
      <w:r w:rsidRPr="001B5A35">
        <w:rPr>
          <w:rFonts w:ascii="Century Gothic" w:hAnsi="Century Gothic"/>
          <w:b/>
          <w:sz w:val="22"/>
          <w:szCs w:val="22"/>
        </w:rPr>
        <w:t>Que,</w:t>
      </w:r>
      <w:r w:rsidRPr="001B5A35">
        <w:rPr>
          <w:rFonts w:ascii="Century Gothic" w:hAnsi="Century Gothic"/>
          <w:sz w:val="22"/>
          <w:szCs w:val="22"/>
        </w:rPr>
        <w:tab/>
      </w:r>
      <w:r w:rsidRPr="001B5A35">
        <w:rPr>
          <w:rFonts w:ascii="Century Gothic" w:eastAsiaTheme="minorHAnsi" w:hAnsi="Century Gothic"/>
          <w:sz w:val="22"/>
          <w:szCs w:val="22"/>
          <w:lang w:val="es-EC" w:eastAsia="en-US"/>
        </w:rPr>
        <w:t>la Comisión de Propiedad y Espacio Público, emitió el Informe No. IC-CPP-2022-XXX de XX de XXXXXX de 2022, el que contiene el dictamen favorable para que el Concejo Metropolitano se pronuncie en los términos previstos en la presente resolución.</w:t>
      </w:r>
    </w:p>
    <w:p w:rsidR="0089508B" w:rsidRPr="001B5A35" w:rsidRDefault="0089508B" w:rsidP="00BC645C">
      <w:pPr>
        <w:autoSpaceDE w:val="0"/>
        <w:autoSpaceDN w:val="0"/>
        <w:adjustRightInd w:val="0"/>
        <w:jc w:val="both"/>
        <w:rPr>
          <w:rFonts w:ascii="Century Gothic" w:eastAsiaTheme="minorHAnsi" w:hAnsi="Century Gothic"/>
          <w:sz w:val="22"/>
          <w:szCs w:val="22"/>
          <w:lang w:val="es-EC" w:eastAsia="en-US"/>
        </w:rPr>
      </w:pPr>
    </w:p>
    <w:p w:rsidR="0089508B" w:rsidRPr="001B5A35" w:rsidRDefault="0089508B" w:rsidP="0089508B">
      <w:pPr>
        <w:pStyle w:val="Sinespaciado"/>
        <w:rPr>
          <w:rFonts w:ascii="Century Gothic" w:hAnsi="Century Gothic" w:cs="Times New Roman"/>
          <w:b/>
        </w:rPr>
      </w:pPr>
      <w:r w:rsidRPr="001B5A35">
        <w:rPr>
          <w:rFonts w:ascii="Century Gothic" w:hAnsi="Century Gothic" w:cs="Times New Roman"/>
          <w:b/>
          <w:bCs/>
        </w:rPr>
        <w:t xml:space="preserve">El Concejo Metropolitana de Quito, en ejercicio de sus atribuciones previstas en los artículos </w:t>
      </w:r>
      <w:r w:rsidRPr="001B5A35">
        <w:rPr>
          <w:rFonts w:ascii="Century Gothic" w:hAnsi="Century Gothic" w:cs="Times New Roman"/>
          <w:b/>
        </w:rPr>
        <w:t xml:space="preserve">240 de la Constitución de la República y artículos 87 letra a); y, 323 del Código Orgánico de Organización Territorial, Autonomía y Descentralización; </w:t>
      </w:r>
    </w:p>
    <w:p w:rsidR="0089508B" w:rsidRDefault="0089508B" w:rsidP="0089508B">
      <w:pPr>
        <w:autoSpaceDE w:val="0"/>
        <w:autoSpaceDN w:val="0"/>
        <w:adjustRightInd w:val="0"/>
        <w:jc w:val="center"/>
        <w:rPr>
          <w:rFonts w:ascii="Century Gothic" w:eastAsiaTheme="minorHAnsi" w:hAnsi="Century Gothic"/>
          <w:b/>
          <w:bCs/>
          <w:sz w:val="22"/>
          <w:szCs w:val="22"/>
          <w:lang w:val="es-EC" w:eastAsia="en-US"/>
        </w:rPr>
      </w:pPr>
    </w:p>
    <w:p w:rsidR="0089508B" w:rsidRDefault="0089508B" w:rsidP="0089508B">
      <w:pPr>
        <w:autoSpaceDE w:val="0"/>
        <w:autoSpaceDN w:val="0"/>
        <w:adjustRightInd w:val="0"/>
        <w:jc w:val="center"/>
        <w:rPr>
          <w:rFonts w:ascii="Century Gothic" w:eastAsiaTheme="minorHAnsi" w:hAnsi="Century Gothic"/>
          <w:b/>
          <w:bCs/>
          <w:sz w:val="22"/>
          <w:szCs w:val="22"/>
          <w:lang w:val="es-EC" w:eastAsia="en-US"/>
        </w:rPr>
      </w:pPr>
    </w:p>
    <w:p w:rsidR="0089508B" w:rsidRPr="001B5A35" w:rsidRDefault="0089508B" w:rsidP="0089508B">
      <w:pPr>
        <w:autoSpaceDE w:val="0"/>
        <w:autoSpaceDN w:val="0"/>
        <w:adjustRightInd w:val="0"/>
        <w:jc w:val="center"/>
        <w:rPr>
          <w:rFonts w:ascii="Century Gothic" w:eastAsiaTheme="minorHAnsi" w:hAnsi="Century Gothic"/>
          <w:b/>
          <w:bCs/>
          <w:sz w:val="22"/>
          <w:szCs w:val="22"/>
          <w:lang w:val="es-EC" w:eastAsia="en-US"/>
        </w:rPr>
      </w:pPr>
    </w:p>
    <w:p w:rsidR="0089508B" w:rsidRPr="001B5A35" w:rsidRDefault="0089508B" w:rsidP="0089508B">
      <w:pPr>
        <w:autoSpaceDE w:val="0"/>
        <w:autoSpaceDN w:val="0"/>
        <w:adjustRightInd w:val="0"/>
        <w:jc w:val="center"/>
        <w:rPr>
          <w:rFonts w:ascii="Century Gothic" w:eastAsiaTheme="minorHAnsi" w:hAnsi="Century Gothic"/>
          <w:b/>
          <w:bCs/>
          <w:sz w:val="22"/>
          <w:szCs w:val="22"/>
          <w:lang w:val="es-EC" w:eastAsia="en-US"/>
        </w:rPr>
      </w:pPr>
      <w:r w:rsidRPr="001B5A35">
        <w:rPr>
          <w:rFonts w:ascii="Century Gothic" w:eastAsiaTheme="minorHAnsi" w:hAnsi="Century Gothic"/>
          <w:b/>
          <w:bCs/>
          <w:sz w:val="22"/>
          <w:szCs w:val="22"/>
          <w:lang w:val="es-EC" w:eastAsia="en-US"/>
        </w:rPr>
        <w:t>RESUELVE:</w:t>
      </w:r>
    </w:p>
    <w:p w:rsidR="0089508B" w:rsidRPr="001B5A35" w:rsidRDefault="0089508B" w:rsidP="0089508B">
      <w:pPr>
        <w:autoSpaceDE w:val="0"/>
        <w:autoSpaceDN w:val="0"/>
        <w:adjustRightInd w:val="0"/>
        <w:rPr>
          <w:rFonts w:ascii="Century Gothic" w:eastAsiaTheme="minorHAnsi" w:hAnsi="Century Gothic"/>
          <w:b/>
          <w:bCs/>
          <w:sz w:val="22"/>
          <w:szCs w:val="22"/>
          <w:lang w:val="es-EC" w:eastAsia="en-US"/>
        </w:rPr>
      </w:pPr>
    </w:p>
    <w:p w:rsidR="000E4660" w:rsidRDefault="0089508B" w:rsidP="0089508B">
      <w:pPr>
        <w:pStyle w:val="Sinespaciado"/>
        <w:rPr>
          <w:rFonts w:ascii="Century Gothic" w:hAnsi="Century Gothic" w:cs="Times New Roman"/>
        </w:rPr>
      </w:pPr>
      <w:r w:rsidRPr="001B5A35">
        <w:rPr>
          <w:rFonts w:ascii="Century Gothic" w:hAnsi="Century Gothic" w:cs="Times New Roman"/>
          <w:b/>
        </w:rPr>
        <w:t>Artículo 1.-</w:t>
      </w:r>
      <w:r w:rsidRPr="001B5A35">
        <w:rPr>
          <w:rFonts w:ascii="Century Gothic" w:hAnsi="Century Gothic" w:cs="Times New Roman"/>
        </w:rPr>
        <w:t xml:space="preserve"> </w:t>
      </w:r>
      <w:r w:rsidR="000E4660">
        <w:rPr>
          <w:rFonts w:ascii="Century Gothic" w:hAnsi="Century Gothic" w:cs="Times New Roman"/>
        </w:rPr>
        <w:t>Autorizar la restitución del predio No. 92444, ubicado en el Barrio San Sebastián,</w:t>
      </w:r>
      <w:r w:rsidR="008612E2">
        <w:rPr>
          <w:rFonts w:ascii="Century Gothic" w:hAnsi="Century Gothic" w:cs="Times New Roman"/>
        </w:rPr>
        <w:t xml:space="preserve"> parroquia Centro Históricos, </w:t>
      </w:r>
      <w:r w:rsidR="000E4660">
        <w:rPr>
          <w:rFonts w:ascii="Century Gothic" w:hAnsi="Century Gothic" w:cs="Times New Roman"/>
        </w:rPr>
        <w:t>a los señores GABRIEL MALDONADO PICCININI y RAQUEL MALDONADO PICCININI, en concordancia c</w:t>
      </w:r>
      <w:r w:rsidR="008612E2">
        <w:rPr>
          <w:rFonts w:ascii="Century Gothic" w:hAnsi="Century Gothic" w:cs="Times New Roman"/>
        </w:rPr>
        <w:t>on los informes técnico y legal, por cuanto no se cumplió con las condiciones y objeto para el cual fue entregado el inmueble .</w:t>
      </w:r>
    </w:p>
    <w:p w:rsidR="0089508B" w:rsidRPr="001B5A35" w:rsidRDefault="0089508B" w:rsidP="0089508B">
      <w:pPr>
        <w:pStyle w:val="Sinespaciado"/>
        <w:rPr>
          <w:rFonts w:ascii="Century Gothic" w:hAnsi="Century Gothic" w:cs="Times New Roman"/>
        </w:rPr>
      </w:pPr>
    </w:p>
    <w:p w:rsidR="000E4660" w:rsidRDefault="0089508B" w:rsidP="0089508B">
      <w:pPr>
        <w:pStyle w:val="Sinespaciado"/>
        <w:rPr>
          <w:rFonts w:ascii="Century Gothic" w:hAnsi="Century Gothic" w:cs="Times New Roman"/>
        </w:rPr>
      </w:pPr>
      <w:r w:rsidRPr="001B5A35">
        <w:rPr>
          <w:rFonts w:ascii="Century Gothic" w:hAnsi="Century Gothic" w:cs="Times New Roman"/>
          <w:b/>
        </w:rPr>
        <w:t xml:space="preserve">Artículo 2.- </w:t>
      </w:r>
      <w:r w:rsidRPr="001B5A35">
        <w:rPr>
          <w:rFonts w:ascii="Century Gothic" w:hAnsi="Century Gothic" w:cs="Times New Roman"/>
        </w:rPr>
        <w:t xml:space="preserve">Autorizar </w:t>
      </w:r>
      <w:r w:rsidR="000E4660">
        <w:rPr>
          <w:rFonts w:ascii="Century Gothic" w:hAnsi="Century Gothic" w:cs="Times New Roman"/>
        </w:rPr>
        <w:t xml:space="preserve">la </w:t>
      </w:r>
      <w:proofErr w:type="spellStart"/>
      <w:r w:rsidR="000E4660">
        <w:rPr>
          <w:rFonts w:ascii="Century Gothic" w:hAnsi="Century Gothic" w:cs="Times New Roman"/>
        </w:rPr>
        <w:t>resciliación</w:t>
      </w:r>
      <w:proofErr w:type="spellEnd"/>
      <w:r w:rsidR="000E4660">
        <w:rPr>
          <w:rFonts w:ascii="Century Gothic" w:hAnsi="Century Gothic" w:cs="Times New Roman"/>
        </w:rPr>
        <w:t xml:space="preserve"> de la </w:t>
      </w:r>
      <w:r w:rsidR="008612E2">
        <w:rPr>
          <w:rFonts w:ascii="Century Gothic" w:hAnsi="Century Gothic" w:cs="Times New Roman"/>
        </w:rPr>
        <w:t>Escritura Pública de Donación otorgada en favor del Fondo de Salvamento del Patrimonio Cultural , celebrada el 27 de octubre de 2010 ante la Dra. Mariela Pozo Acosta, Notaria Décimo Sexta del Cantón Quito e inscrita el 11 de enero de 2011.</w:t>
      </w:r>
    </w:p>
    <w:p w:rsidR="000E4660" w:rsidRDefault="000E4660" w:rsidP="0089508B">
      <w:pPr>
        <w:pStyle w:val="Sinespaciado"/>
        <w:rPr>
          <w:rFonts w:ascii="Century Gothic" w:hAnsi="Century Gothic" w:cs="Times New Roman"/>
        </w:rPr>
      </w:pPr>
    </w:p>
    <w:p w:rsidR="0089508B" w:rsidRPr="001B5A35" w:rsidRDefault="008612E2" w:rsidP="0089508B">
      <w:pPr>
        <w:pStyle w:val="Sinespaciado"/>
        <w:rPr>
          <w:rFonts w:ascii="Century Gothic" w:hAnsi="Century Gothic" w:cs="Times New Roman"/>
        </w:rPr>
      </w:pPr>
      <w:r>
        <w:rPr>
          <w:rFonts w:ascii="Century Gothic" w:hAnsi="Century Gothic" w:cs="Times New Roman"/>
          <w:b/>
        </w:rPr>
        <w:t>Artículo 3</w:t>
      </w:r>
      <w:r w:rsidR="0089508B" w:rsidRPr="001B5A35">
        <w:rPr>
          <w:rFonts w:ascii="Century Gothic" w:hAnsi="Century Gothic" w:cs="Times New Roman"/>
          <w:b/>
        </w:rPr>
        <w:t>.-</w:t>
      </w:r>
      <w:r w:rsidR="0089508B" w:rsidRPr="001B5A35">
        <w:rPr>
          <w:rFonts w:ascii="Century Gothic" w:hAnsi="Century Gothic" w:cs="Times New Roman"/>
        </w:rPr>
        <w:t xml:space="preserve"> Comuníquese a los interesados y al señor Procurador Metropolitano, para </w:t>
      </w:r>
      <w:r>
        <w:rPr>
          <w:rFonts w:ascii="Century Gothic" w:hAnsi="Century Gothic" w:cs="Times New Roman"/>
        </w:rPr>
        <w:t xml:space="preserve">que se </w:t>
      </w:r>
      <w:r w:rsidR="0089508B" w:rsidRPr="001B5A35">
        <w:rPr>
          <w:rFonts w:ascii="Century Gothic" w:hAnsi="Century Gothic" w:cs="Times New Roman"/>
        </w:rPr>
        <w:t>continúe con los trámites de Ley y las acciones necesaria</w:t>
      </w:r>
      <w:r>
        <w:rPr>
          <w:rFonts w:ascii="Century Gothic" w:hAnsi="Century Gothic" w:cs="Times New Roman"/>
        </w:rPr>
        <w:t xml:space="preserve">s, para el perfeccionamiento del acto, </w:t>
      </w:r>
      <w:r w:rsidR="0089508B" w:rsidRPr="001B5A35">
        <w:rPr>
          <w:rFonts w:ascii="Century Gothic" w:hAnsi="Century Gothic" w:cs="Times New Roman"/>
        </w:rPr>
        <w:t xml:space="preserve">hasta la debida inscripción en el Registro de la Propiedad. </w:t>
      </w:r>
    </w:p>
    <w:p w:rsidR="0089508B" w:rsidRPr="001B5A35" w:rsidRDefault="0089508B" w:rsidP="0089508B">
      <w:pPr>
        <w:pStyle w:val="Sinespaciado"/>
        <w:rPr>
          <w:rFonts w:ascii="Century Gothic" w:hAnsi="Century Gothic" w:cs="Times New Roman"/>
        </w:rPr>
      </w:pPr>
    </w:p>
    <w:p w:rsidR="0089508B" w:rsidRPr="001B5A35" w:rsidRDefault="0089508B" w:rsidP="0089508B">
      <w:pPr>
        <w:autoSpaceDE w:val="0"/>
        <w:autoSpaceDN w:val="0"/>
        <w:adjustRightInd w:val="0"/>
        <w:jc w:val="both"/>
        <w:rPr>
          <w:rFonts w:ascii="Century Gothic" w:hAnsi="Century Gothic"/>
          <w:sz w:val="22"/>
          <w:szCs w:val="22"/>
        </w:rPr>
      </w:pPr>
      <w:r w:rsidRPr="001B5A35">
        <w:rPr>
          <w:rFonts w:ascii="Century Gothic" w:eastAsiaTheme="minorHAnsi" w:hAnsi="Century Gothic"/>
          <w:b/>
          <w:sz w:val="22"/>
          <w:szCs w:val="22"/>
          <w:lang w:val="es-EC" w:eastAsia="en-US"/>
        </w:rPr>
        <w:t xml:space="preserve">Disposición Final. - </w:t>
      </w:r>
      <w:r w:rsidRPr="001B5A35">
        <w:rPr>
          <w:rFonts w:ascii="Century Gothic" w:eastAsiaTheme="minorHAnsi" w:hAnsi="Century Gothic"/>
          <w:sz w:val="22"/>
          <w:szCs w:val="22"/>
          <w:lang w:val="es-EC" w:eastAsia="en-US"/>
        </w:rPr>
        <w:t xml:space="preserve">La presente Resolución entrará en vigencia a partir de su suscripción sin perjuicio de su publicación. </w:t>
      </w:r>
    </w:p>
    <w:p w:rsidR="0089508B" w:rsidRPr="001B5A35" w:rsidRDefault="0089508B" w:rsidP="0089508B">
      <w:pPr>
        <w:autoSpaceDE w:val="0"/>
        <w:autoSpaceDN w:val="0"/>
        <w:adjustRightInd w:val="0"/>
        <w:jc w:val="both"/>
        <w:rPr>
          <w:rFonts w:ascii="Century Gothic" w:eastAsiaTheme="minorHAnsi" w:hAnsi="Century Gothic"/>
          <w:sz w:val="22"/>
          <w:szCs w:val="22"/>
          <w:lang w:val="es-EC" w:eastAsia="en-US"/>
        </w:rPr>
      </w:pPr>
    </w:p>
    <w:p w:rsidR="0089508B" w:rsidRPr="001B5A35" w:rsidRDefault="0089508B" w:rsidP="0089508B">
      <w:pPr>
        <w:jc w:val="both"/>
        <w:rPr>
          <w:rFonts w:ascii="Century Gothic" w:hAnsi="Century Gothic"/>
          <w:sz w:val="22"/>
          <w:szCs w:val="22"/>
        </w:rPr>
      </w:pPr>
      <w:r w:rsidRPr="001B5A35">
        <w:rPr>
          <w:rFonts w:ascii="Century Gothic" w:hAnsi="Century Gothic"/>
          <w:b/>
          <w:sz w:val="22"/>
          <w:szCs w:val="22"/>
        </w:rPr>
        <w:t xml:space="preserve">Alcaldía del Distrito Metropolitano. - </w:t>
      </w:r>
      <w:r w:rsidRPr="001B5A35">
        <w:rPr>
          <w:rFonts w:ascii="Century Gothic" w:hAnsi="Century Gothic"/>
          <w:sz w:val="22"/>
          <w:szCs w:val="22"/>
        </w:rPr>
        <w:t xml:space="preserve">Distrito Metropolitano de Quito, </w:t>
      </w:r>
    </w:p>
    <w:p w:rsidR="0089508B" w:rsidRPr="001B5A35" w:rsidRDefault="0089508B" w:rsidP="0089508B">
      <w:pPr>
        <w:jc w:val="both"/>
        <w:rPr>
          <w:rFonts w:ascii="Century Gothic" w:hAnsi="Century Gothic"/>
          <w:sz w:val="22"/>
          <w:szCs w:val="22"/>
        </w:rPr>
      </w:pPr>
    </w:p>
    <w:p w:rsidR="0089508B" w:rsidRPr="001B5A35" w:rsidRDefault="0089508B" w:rsidP="0089508B">
      <w:pPr>
        <w:jc w:val="center"/>
        <w:rPr>
          <w:rFonts w:ascii="Century Gothic" w:hAnsi="Century Gothic"/>
          <w:b/>
          <w:sz w:val="22"/>
          <w:szCs w:val="22"/>
        </w:rPr>
      </w:pPr>
    </w:p>
    <w:p w:rsidR="0089508B" w:rsidRPr="001B5A35" w:rsidRDefault="0089508B" w:rsidP="0089508B">
      <w:pPr>
        <w:jc w:val="center"/>
        <w:rPr>
          <w:rFonts w:ascii="Century Gothic" w:hAnsi="Century Gothic"/>
          <w:b/>
          <w:sz w:val="22"/>
          <w:szCs w:val="22"/>
        </w:rPr>
      </w:pPr>
      <w:r w:rsidRPr="001B5A35">
        <w:rPr>
          <w:rFonts w:ascii="Century Gothic" w:hAnsi="Century Gothic"/>
          <w:b/>
          <w:sz w:val="22"/>
          <w:szCs w:val="22"/>
        </w:rPr>
        <w:t>EJECÚTESE:</w:t>
      </w:r>
    </w:p>
    <w:p w:rsidR="0089508B" w:rsidRPr="001B5A35" w:rsidRDefault="0089508B" w:rsidP="0089508B">
      <w:pPr>
        <w:pStyle w:val="Sinespaciado"/>
        <w:jc w:val="center"/>
        <w:rPr>
          <w:rFonts w:ascii="Century Gothic" w:hAnsi="Century Gothic" w:cs="Times New Roman"/>
        </w:rPr>
      </w:pPr>
    </w:p>
    <w:p w:rsidR="0089508B" w:rsidRPr="001B5A35" w:rsidRDefault="0089508B" w:rsidP="0089508B">
      <w:pPr>
        <w:pStyle w:val="Sinespaciado"/>
        <w:jc w:val="center"/>
        <w:rPr>
          <w:rFonts w:ascii="Century Gothic" w:hAnsi="Century Gothic" w:cs="Times New Roman"/>
        </w:rPr>
      </w:pPr>
    </w:p>
    <w:p w:rsidR="0089508B" w:rsidRPr="001B5A35" w:rsidRDefault="0089508B" w:rsidP="0089508B">
      <w:pPr>
        <w:pStyle w:val="Sinespaciado"/>
        <w:jc w:val="center"/>
        <w:rPr>
          <w:rFonts w:ascii="Century Gothic" w:hAnsi="Century Gothic" w:cs="Times New Roman"/>
        </w:rPr>
      </w:pPr>
    </w:p>
    <w:p w:rsidR="0089508B" w:rsidRPr="001B5A35" w:rsidRDefault="0089508B" w:rsidP="0089508B">
      <w:pPr>
        <w:pStyle w:val="Sinespaciado"/>
        <w:jc w:val="center"/>
        <w:rPr>
          <w:rFonts w:ascii="Century Gothic" w:hAnsi="Century Gothic" w:cs="Times New Roman"/>
        </w:rPr>
      </w:pPr>
    </w:p>
    <w:p w:rsidR="0089508B" w:rsidRPr="001B5A35" w:rsidRDefault="0089508B" w:rsidP="0089508B">
      <w:pPr>
        <w:pStyle w:val="Sinespaciado"/>
        <w:jc w:val="center"/>
        <w:rPr>
          <w:rFonts w:ascii="Century Gothic" w:hAnsi="Century Gothic" w:cs="Times New Roman"/>
        </w:rPr>
      </w:pPr>
      <w:r w:rsidRPr="001B5A35">
        <w:rPr>
          <w:rFonts w:ascii="Century Gothic" w:hAnsi="Century Gothic" w:cs="Times New Roman"/>
        </w:rPr>
        <w:t xml:space="preserve">Dr. Santiago Mauricio </w:t>
      </w:r>
      <w:proofErr w:type="spellStart"/>
      <w:r w:rsidRPr="001B5A35">
        <w:rPr>
          <w:rFonts w:ascii="Century Gothic" w:hAnsi="Century Gothic" w:cs="Times New Roman"/>
        </w:rPr>
        <w:t>Guarderas</w:t>
      </w:r>
      <w:proofErr w:type="spellEnd"/>
      <w:r w:rsidRPr="001B5A35">
        <w:rPr>
          <w:rFonts w:ascii="Century Gothic" w:hAnsi="Century Gothic" w:cs="Times New Roman"/>
        </w:rPr>
        <w:t xml:space="preserve"> Izquierdo</w:t>
      </w:r>
    </w:p>
    <w:p w:rsidR="0089508B" w:rsidRPr="001B5A35" w:rsidRDefault="0089508B" w:rsidP="0089508B">
      <w:pPr>
        <w:pStyle w:val="Sinespaciado"/>
        <w:jc w:val="center"/>
        <w:rPr>
          <w:rFonts w:ascii="Century Gothic" w:hAnsi="Century Gothic" w:cs="Times New Roman"/>
          <w:b/>
        </w:rPr>
      </w:pPr>
      <w:r w:rsidRPr="001B5A35">
        <w:rPr>
          <w:rFonts w:ascii="Century Gothic" w:hAnsi="Century Gothic" w:cs="Times New Roman"/>
          <w:b/>
        </w:rPr>
        <w:t>ALCALDE DEL DISTRITO METROPOLITANO DE QUITO</w:t>
      </w:r>
    </w:p>
    <w:p w:rsidR="0089508B" w:rsidRPr="001B5A35" w:rsidRDefault="0089508B" w:rsidP="0089508B">
      <w:pPr>
        <w:jc w:val="both"/>
        <w:rPr>
          <w:rFonts w:ascii="Century Gothic" w:hAnsi="Century Gothic"/>
          <w:b/>
          <w:sz w:val="22"/>
          <w:szCs w:val="22"/>
        </w:rPr>
      </w:pPr>
    </w:p>
    <w:p w:rsidR="0089508B" w:rsidRPr="001B5A35" w:rsidRDefault="0089508B" w:rsidP="0089508B">
      <w:pPr>
        <w:jc w:val="both"/>
        <w:rPr>
          <w:rFonts w:ascii="Century Gothic" w:hAnsi="Century Gothic"/>
          <w:sz w:val="22"/>
          <w:szCs w:val="22"/>
        </w:rPr>
      </w:pPr>
      <w:r w:rsidRPr="001B5A35">
        <w:rPr>
          <w:rFonts w:ascii="Century Gothic" w:hAnsi="Century Gothic"/>
          <w:b/>
          <w:sz w:val="22"/>
          <w:szCs w:val="22"/>
        </w:rPr>
        <w:lastRenderedPageBreak/>
        <w:t>CERTIFICO,</w:t>
      </w:r>
      <w:r w:rsidRPr="001B5A35">
        <w:rPr>
          <w:rFonts w:ascii="Century Gothic" w:hAnsi="Century Gothic"/>
          <w:sz w:val="22"/>
          <w:szCs w:val="22"/>
        </w:rPr>
        <w:t xml:space="preserve"> que la presente resolución fue discutida y aprobada en sesión pública ordinaria del Concejo Metropolitano de Quito, el XXXXXXXXXXX; y, suscrita por el Dr. Santiago Mauricio </w:t>
      </w:r>
      <w:proofErr w:type="spellStart"/>
      <w:r w:rsidRPr="001B5A35">
        <w:rPr>
          <w:rFonts w:ascii="Century Gothic" w:hAnsi="Century Gothic"/>
          <w:sz w:val="22"/>
          <w:szCs w:val="22"/>
        </w:rPr>
        <w:t>Guarderas</w:t>
      </w:r>
      <w:proofErr w:type="spellEnd"/>
      <w:r w:rsidRPr="001B5A35">
        <w:rPr>
          <w:rFonts w:ascii="Century Gothic" w:hAnsi="Century Gothic"/>
          <w:sz w:val="22"/>
          <w:szCs w:val="22"/>
        </w:rPr>
        <w:t xml:space="preserve"> Izquierdo, Alcalde del Distrito Metropolitano de Quito, el XXXXXXXXXXX de XXXXXXX de 2022.</w:t>
      </w:r>
    </w:p>
    <w:p w:rsidR="0089508B" w:rsidRPr="001B5A35" w:rsidRDefault="0089508B" w:rsidP="0089508B">
      <w:pPr>
        <w:jc w:val="both"/>
        <w:rPr>
          <w:rFonts w:ascii="Century Gothic" w:hAnsi="Century Gothic"/>
          <w:b/>
          <w:sz w:val="22"/>
          <w:szCs w:val="22"/>
        </w:rPr>
      </w:pPr>
    </w:p>
    <w:p w:rsidR="0089508B" w:rsidRPr="001B5A35" w:rsidRDefault="0089508B" w:rsidP="0089508B">
      <w:pPr>
        <w:jc w:val="both"/>
        <w:rPr>
          <w:rFonts w:ascii="Century Gothic" w:hAnsi="Century Gothic"/>
          <w:sz w:val="22"/>
          <w:szCs w:val="22"/>
        </w:rPr>
      </w:pPr>
      <w:r w:rsidRPr="001B5A35">
        <w:rPr>
          <w:rFonts w:ascii="Century Gothic" w:hAnsi="Century Gothic"/>
          <w:b/>
          <w:sz w:val="22"/>
          <w:szCs w:val="22"/>
        </w:rPr>
        <w:t xml:space="preserve">Lo certifico. - </w:t>
      </w:r>
      <w:r w:rsidRPr="001B5A35">
        <w:rPr>
          <w:rFonts w:ascii="Century Gothic" w:hAnsi="Century Gothic"/>
          <w:sz w:val="22"/>
          <w:szCs w:val="22"/>
        </w:rPr>
        <w:t xml:space="preserve">Distrito Metropolitano de Quito, el </w:t>
      </w:r>
    </w:p>
    <w:p w:rsidR="0089508B" w:rsidRPr="001B5A35" w:rsidRDefault="0089508B" w:rsidP="0089508B">
      <w:pPr>
        <w:jc w:val="both"/>
        <w:rPr>
          <w:rFonts w:ascii="Century Gothic" w:hAnsi="Century Gothic"/>
          <w:sz w:val="22"/>
          <w:szCs w:val="22"/>
        </w:rPr>
      </w:pPr>
    </w:p>
    <w:p w:rsidR="0089508B" w:rsidRPr="001B5A35" w:rsidRDefault="0089508B" w:rsidP="0089508B">
      <w:pPr>
        <w:rPr>
          <w:rFonts w:ascii="Century Gothic" w:hAnsi="Century Gothic"/>
          <w:sz w:val="22"/>
          <w:szCs w:val="22"/>
        </w:rPr>
      </w:pPr>
    </w:p>
    <w:p w:rsidR="0089508B" w:rsidRPr="001B5A35" w:rsidRDefault="0089508B" w:rsidP="0089508B">
      <w:pPr>
        <w:jc w:val="both"/>
        <w:rPr>
          <w:rFonts w:ascii="Century Gothic" w:hAnsi="Century Gothic"/>
          <w:sz w:val="22"/>
          <w:szCs w:val="22"/>
        </w:rPr>
      </w:pPr>
    </w:p>
    <w:p w:rsidR="0089508B" w:rsidRPr="001B5A35" w:rsidRDefault="0089508B" w:rsidP="0089508B">
      <w:pPr>
        <w:pStyle w:val="Sinespaciado"/>
        <w:jc w:val="center"/>
        <w:rPr>
          <w:rFonts w:ascii="Century Gothic" w:hAnsi="Century Gothic" w:cs="Times New Roman"/>
        </w:rPr>
      </w:pPr>
      <w:r w:rsidRPr="001B5A35">
        <w:rPr>
          <w:rFonts w:ascii="Century Gothic" w:hAnsi="Century Gothic" w:cs="Times New Roman"/>
        </w:rPr>
        <w:t>Abg. Pablo Antonio Santillán Paredes</w:t>
      </w:r>
    </w:p>
    <w:p w:rsidR="0089508B" w:rsidRPr="001B5A35" w:rsidRDefault="0089508B" w:rsidP="0089508B">
      <w:pPr>
        <w:pStyle w:val="Sinespaciado"/>
        <w:jc w:val="center"/>
        <w:rPr>
          <w:rFonts w:ascii="Century Gothic" w:hAnsi="Century Gothic" w:cs="Times New Roman"/>
        </w:rPr>
      </w:pPr>
      <w:r w:rsidRPr="001B5A35">
        <w:rPr>
          <w:rFonts w:ascii="Century Gothic" w:hAnsi="Century Gothic" w:cs="Times New Roman"/>
          <w:b/>
        </w:rPr>
        <w:t xml:space="preserve">SECRETARIO GENERAL DEL CONCEJO METROPOLITANO DE QUITO </w:t>
      </w:r>
    </w:p>
    <w:p w:rsidR="0089508B" w:rsidRPr="001B5A35" w:rsidRDefault="0089508B" w:rsidP="0089508B">
      <w:pPr>
        <w:rPr>
          <w:rFonts w:ascii="Century Gothic" w:hAnsi="Century Gothic"/>
          <w:sz w:val="22"/>
          <w:szCs w:val="22"/>
        </w:rPr>
      </w:pPr>
    </w:p>
    <w:p w:rsidR="0089508B" w:rsidRPr="001B5A35" w:rsidRDefault="0089508B" w:rsidP="0089508B">
      <w:pPr>
        <w:autoSpaceDE w:val="0"/>
        <w:autoSpaceDN w:val="0"/>
        <w:adjustRightInd w:val="0"/>
        <w:ind w:left="705" w:hanging="705"/>
        <w:jc w:val="both"/>
        <w:rPr>
          <w:rFonts w:ascii="Century Gothic" w:hAnsi="Century Gothic"/>
          <w:sz w:val="22"/>
          <w:szCs w:val="22"/>
        </w:rPr>
      </w:pPr>
    </w:p>
    <w:p w:rsidR="0089508B" w:rsidRPr="001B5A35" w:rsidRDefault="0089508B" w:rsidP="0089508B">
      <w:pPr>
        <w:rPr>
          <w:rFonts w:ascii="Century Gothic" w:hAnsi="Century Gothic"/>
          <w:sz w:val="22"/>
          <w:szCs w:val="22"/>
        </w:rPr>
      </w:pPr>
    </w:p>
    <w:p w:rsidR="00116287" w:rsidRDefault="00116287"/>
    <w:sectPr w:rsidR="001162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8B"/>
    <w:rsid w:val="000E4660"/>
    <w:rsid w:val="000F1550"/>
    <w:rsid w:val="00106E06"/>
    <w:rsid w:val="00116287"/>
    <w:rsid w:val="002A750C"/>
    <w:rsid w:val="00310D40"/>
    <w:rsid w:val="003B578A"/>
    <w:rsid w:val="006B39B6"/>
    <w:rsid w:val="006E6D4D"/>
    <w:rsid w:val="007307E0"/>
    <w:rsid w:val="0081403B"/>
    <w:rsid w:val="008612E2"/>
    <w:rsid w:val="0089508B"/>
    <w:rsid w:val="009041F4"/>
    <w:rsid w:val="00A14E55"/>
    <w:rsid w:val="00A54FC6"/>
    <w:rsid w:val="00AB0EAE"/>
    <w:rsid w:val="00AC1055"/>
    <w:rsid w:val="00BC645C"/>
    <w:rsid w:val="00C07F18"/>
    <w:rsid w:val="00E176FB"/>
    <w:rsid w:val="00E35A11"/>
    <w:rsid w:val="00F24479"/>
    <w:rsid w:val="00F24C40"/>
    <w:rsid w:val="00F41E58"/>
    <w:rsid w:val="00F72952"/>
    <w:rsid w:val="00F75BB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263A1-ED13-4AD5-92C1-25FD6A04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8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89508B"/>
  </w:style>
  <w:style w:type="paragraph" w:styleId="Sinespaciado">
    <w:name w:val="No Spacing"/>
    <w:basedOn w:val="Normal"/>
    <w:link w:val="SinespaciadoCar"/>
    <w:uiPriority w:val="1"/>
    <w:qFormat/>
    <w:rsid w:val="0089508B"/>
    <w:pPr>
      <w:jc w:val="both"/>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Andres Humberto Villalba Burbano</cp:lastModifiedBy>
  <cp:revision>2</cp:revision>
  <dcterms:created xsi:type="dcterms:W3CDTF">2022-04-11T19:37:00Z</dcterms:created>
  <dcterms:modified xsi:type="dcterms:W3CDTF">2022-04-11T19:37:00Z</dcterms:modified>
</cp:coreProperties>
</file>