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AD5EBA">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510F81">
        <w:rPr>
          <w:rFonts w:ascii="Palatino Linotype" w:eastAsiaTheme="minorHAnsi" w:hAnsi="Palatino Linotype"/>
          <w:sz w:val="22"/>
          <w:szCs w:val="22"/>
          <w:lang w:val="es-EC" w:eastAsia="en-US"/>
        </w:rPr>
        <w:t xml:space="preserve"> </w:t>
      </w:r>
      <w:r w:rsidR="00510F81">
        <w:rPr>
          <w:rFonts w:ascii="Palatino Linotype" w:eastAsiaTheme="minorHAnsi" w:hAnsi="Palatino Linotype"/>
          <w:sz w:val="22"/>
          <w:szCs w:val="22"/>
          <w:lang w:val="es-EC" w:eastAsia="en-US"/>
        </w:rPr>
        <w:t>solicitud</w:t>
      </w:r>
      <w:r w:rsidR="00510F81" w:rsidRPr="000E07E5">
        <w:rPr>
          <w:rFonts w:ascii="Palatino Linotype" w:eastAsiaTheme="minorHAnsi" w:hAnsi="Palatino Linotype"/>
          <w:sz w:val="22"/>
          <w:szCs w:val="22"/>
          <w:lang w:val="es-EC" w:eastAsia="en-US"/>
        </w:rPr>
        <w:t xml:space="preserve"> </w:t>
      </w:r>
      <w:r w:rsidR="00510F81">
        <w:rPr>
          <w:rFonts w:ascii="Palatino Linotype" w:eastAsiaTheme="minorHAnsi" w:hAnsi="Palatino Linotype"/>
          <w:sz w:val="22"/>
          <w:szCs w:val="22"/>
          <w:lang w:val="es-EC" w:eastAsia="en-US"/>
        </w:rPr>
        <w:t>presentada en la administración zonal Eloy Alfaro el 12 de enero de 2021, el señor José Miguel Calero Ledesma</w:t>
      </w:r>
      <w:r w:rsidR="00510F81" w:rsidRPr="003236B4">
        <w:rPr>
          <w:rFonts w:ascii="Palatino Linotype" w:eastAsiaTheme="minorHAnsi" w:hAnsi="Palatino Linotype"/>
          <w:sz w:val="22"/>
          <w:szCs w:val="22"/>
          <w:lang w:val="es-EC" w:eastAsia="en-US"/>
        </w:rPr>
        <w:t xml:space="preserve">, </w:t>
      </w:r>
      <w:r w:rsidR="00510F81">
        <w:rPr>
          <w:rFonts w:ascii="Palatino Linotype" w:eastAsiaTheme="minorHAnsi" w:hAnsi="Palatino Linotype"/>
          <w:sz w:val="22"/>
          <w:szCs w:val="22"/>
          <w:lang w:val="es-EC" w:eastAsia="en-US"/>
        </w:rPr>
        <w:t xml:space="preserve">solicita un informe en el que se indique si los predios 1247552 y 794114, son susceptibles de partición, </w:t>
      </w:r>
      <w:r w:rsidR="00510F81" w:rsidRPr="008035A4">
        <w:rPr>
          <w:rFonts w:ascii="Palatino Linotype" w:eastAsiaTheme="minorHAnsi" w:hAnsi="Palatino Linotype"/>
          <w:sz w:val="22"/>
          <w:szCs w:val="22"/>
          <w:lang w:val="es-EC" w:eastAsia="en-US"/>
        </w:rPr>
        <w:t>en los términos previstos en el Art. 473 del</w:t>
      </w:r>
      <w:r w:rsidR="00510F81">
        <w:rPr>
          <w:rFonts w:ascii="Palatino Linotype" w:eastAsiaTheme="minorHAnsi" w:hAnsi="Palatino Linotype"/>
          <w:sz w:val="22"/>
          <w:szCs w:val="22"/>
          <w:lang w:val="es-EC" w:eastAsia="en-US"/>
        </w:rPr>
        <w:t xml:space="preserve"> </w:t>
      </w:r>
      <w:r w:rsidR="00510F81" w:rsidRPr="008035A4">
        <w:rPr>
          <w:rFonts w:ascii="Palatino Linotype" w:eastAsiaTheme="minorHAnsi" w:hAnsi="Palatino Linotype"/>
          <w:sz w:val="22"/>
          <w:szCs w:val="22"/>
          <w:lang w:val="es-EC" w:eastAsia="en-US"/>
        </w:rPr>
        <w:t>Código Orgánico de Organización Territorial Autonomía y Descentralización</w:t>
      </w:r>
      <w:r w:rsidR="00AD5EBA">
        <w:rPr>
          <w:rFonts w:ascii="Palatino Linotype" w:eastAsiaTheme="minorHAnsi" w:hAnsi="Palatino Linotype"/>
          <w:i/>
          <w:sz w:val="22"/>
          <w:szCs w:val="22"/>
          <w:lang w:val="es-EC" w:eastAsia="en-US"/>
        </w:rPr>
        <w:t>;</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4E0489" w:rsidRPr="004E5931" w:rsidRDefault="00D3174E" w:rsidP="00734EED">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4E0489" w:rsidRPr="004E5931">
        <w:rPr>
          <w:rFonts w:ascii="Palatino Linotype" w:hAnsi="Palatino Linotype"/>
          <w:iCs/>
          <w:sz w:val="22"/>
          <w:szCs w:val="22"/>
          <w:lang w:val="es-EC"/>
        </w:rPr>
        <w:t xml:space="preserve">memorando </w:t>
      </w:r>
      <w:r w:rsidR="004E0489">
        <w:rPr>
          <w:rFonts w:ascii="Palatino Linotype" w:hAnsi="Palatino Linotype"/>
          <w:iCs/>
          <w:sz w:val="22"/>
          <w:szCs w:val="22"/>
          <w:lang w:val="es-EC"/>
        </w:rPr>
        <w:t xml:space="preserve">Nro. </w:t>
      </w:r>
      <w:r w:rsidR="004E0489" w:rsidRPr="004E5931">
        <w:rPr>
          <w:rFonts w:ascii="Palatino Linotype" w:hAnsi="Palatino Linotype"/>
          <w:iCs/>
          <w:sz w:val="22"/>
          <w:szCs w:val="22"/>
          <w:lang w:val="es-EC"/>
        </w:rPr>
        <w:t>GADDMQ-AZEA-DGT-UGU-2021-0014-M de 21 de enero de 2021, el Arq. Marcelo</w:t>
      </w:r>
      <w:r w:rsidR="004E0489">
        <w:rPr>
          <w:rFonts w:ascii="Palatino Linotype" w:hAnsi="Palatino Linotype"/>
          <w:iCs/>
          <w:sz w:val="22"/>
          <w:szCs w:val="22"/>
          <w:lang w:val="es-EC"/>
        </w:rPr>
        <w:t xml:space="preserve"> </w:t>
      </w:r>
      <w:r w:rsidR="004E0489" w:rsidRPr="004E5931">
        <w:rPr>
          <w:rFonts w:ascii="Palatino Linotype" w:hAnsi="Palatino Linotype"/>
          <w:iCs/>
          <w:sz w:val="22"/>
          <w:szCs w:val="22"/>
          <w:lang w:val="es-EC"/>
        </w:rPr>
        <w:t>Edwin Ati Pilaquinga, Responsable de la Gestión Urbana de la Administración Zonal</w:t>
      </w:r>
      <w:r w:rsidR="004E0489">
        <w:rPr>
          <w:rFonts w:ascii="Palatino Linotype" w:hAnsi="Palatino Linotype"/>
          <w:iCs/>
          <w:sz w:val="22"/>
          <w:szCs w:val="22"/>
          <w:lang w:val="es-EC"/>
        </w:rPr>
        <w:t xml:space="preserve"> Eloy Alfaro</w:t>
      </w:r>
      <w:r w:rsidR="004E0489" w:rsidRPr="004E5931">
        <w:rPr>
          <w:rFonts w:ascii="Palatino Linotype" w:hAnsi="Palatino Linotype"/>
          <w:iCs/>
          <w:sz w:val="22"/>
          <w:szCs w:val="22"/>
          <w:lang w:val="es-EC"/>
        </w:rPr>
        <w:t xml:space="preserve">, señala: </w:t>
      </w:r>
    </w:p>
    <w:p w:rsidR="004E0489" w:rsidRPr="003236B4" w:rsidRDefault="004E0489" w:rsidP="004E0489">
      <w:pPr>
        <w:autoSpaceDE w:val="0"/>
        <w:autoSpaceDN w:val="0"/>
        <w:adjustRightInd w:val="0"/>
        <w:jc w:val="both"/>
        <w:rPr>
          <w:rFonts w:ascii="Palatino Linotype" w:hAnsi="Palatino Linotype"/>
          <w:iCs/>
          <w:sz w:val="22"/>
          <w:szCs w:val="22"/>
          <w:lang w:val="es-EC"/>
        </w:rPr>
      </w:pPr>
    </w:p>
    <w:p w:rsidR="004E0489" w:rsidRDefault="004E0489" w:rsidP="004E0489">
      <w:pPr>
        <w:autoSpaceDE w:val="0"/>
        <w:autoSpaceDN w:val="0"/>
        <w:adjustRightInd w:val="0"/>
        <w:ind w:left="708"/>
        <w:jc w:val="both"/>
        <w:rPr>
          <w:rFonts w:ascii="Palatino Linotype" w:eastAsiaTheme="minorHAnsi" w:hAnsi="Palatino Linotype"/>
          <w:i/>
          <w:iCs/>
          <w:sz w:val="22"/>
          <w:szCs w:val="22"/>
          <w:lang w:eastAsia="en-US"/>
        </w:rPr>
      </w:pPr>
      <w:r w:rsidRPr="001F552F">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a.- El predio No.1247552 está ubicado en la Parroquia San Bartolo, barrio Frente</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Popular, Pasajes OE6A y S16D, se trata un predio en Unipropiedad de 117.18 m2 (según</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escrituras) en el cual se encuentra construida una edificación de 231.83 m2.; de acuerdo</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a la zonificación D3 (D203-80) que determina lotes con una superficie mínima de 200.00</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 xml:space="preserve">m2.; por tanto en las condiciones actuales </w:t>
      </w:r>
      <w:r w:rsidRPr="001F552F">
        <w:rPr>
          <w:rFonts w:ascii="Palatino Linotype" w:eastAsiaTheme="minorHAnsi" w:hAnsi="Palatino Linotype"/>
          <w:b/>
          <w:bCs/>
          <w:i/>
          <w:iCs/>
          <w:sz w:val="22"/>
          <w:szCs w:val="22"/>
          <w:lang w:eastAsia="en-US"/>
        </w:rPr>
        <w:t>no es factible su partición</w:t>
      </w:r>
      <w:r w:rsidRPr="001F552F">
        <w:rPr>
          <w:rFonts w:ascii="Palatino Linotype" w:eastAsiaTheme="minorHAnsi" w:hAnsi="Palatino Linotype"/>
          <w:i/>
          <w:iCs/>
          <w:sz w:val="22"/>
          <w:szCs w:val="22"/>
          <w:lang w:eastAsia="en-US"/>
        </w:rPr>
        <w:t>.</w:t>
      </w:r>
    </w:p>
    <w:p w:rsidR="004E0489" w:rsidRPr="001F552F" w:rsidRDefault="004E0489" w:rsidP="004E0489">
      <w:pPr>
        <w:autoSpaceDE w:val="0"/>
        <w:autoSpaceDN w:val="0"/>
        <w:adjustRightInd w:val="0"/>
        <w:ind w:left="708"/>
        <w:jc w:val="both"/>
        <w:rPr>
          <w:rFonts w:ascii="Palatino Linotype" w:eastAsiaTheme="minorHAnsi" w:hAnsi="Palatino Linotype"/>
          <w:i/>
          <w:iCs/>
          <w:sz w:val="22"/>
          <w:szCs w:val="22"/>
          <w:lang w:eastAsia="en-US"/>
        </w:rPr>
      </w:pPr>
    </w:p>
    <w:p w:rsidR="004E0489" w:rsidRPr="001F552F" w:rsidRDefault="004E0489" w:rsidP="004E0489">
      <w:pPr>
        <w:autoSpaceDE w:val="0"/>
        <w:autoSpaceDN w:val="0"/>
        <w:adjustRightInd w:val="0"/>
        <w:ind w:left="708"/>
        <w:jc w:val="both"/>
        <w:rPr>
          <w:rFonts w:ascii="Palatino Linotype" w:eastAsiaTheme="minorHAnsi" w:hAnsi="Palatino Linotype"/>
          <w:i/>
          <w:iCs/>
          <w:sz w:val="22"/>
          <w:szCs w:val="22"/>
          <w:lang w:eastAsia="en-US"/>
        </w:rPr>
      </w:pPr>
      <w:r w:rsidRPr="001F552F">
        <w:rPr>
          <w:rFonts w:ascii="Palatino Linotype" w:eastAsiaTheme="minorHAnsi" w:hAnsi="Palatino Linotype"/>
          <w:i/>
          <w:iCs/>
          <w:sz w:val="22"/>
          <w:szCs w:val="22"/>
          <w:lang w:eastAsia="en-US"/>
        </w:rPr>
        <w:t>b.- Respecto al Predio No.794114, está ubicado en la Parroquia Solanda, barrio Álvaro</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Pérez, calles Manglar Alto y Quimiag, se trata un predio que forma parte de otro</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 xml:space="preserve">declarado en propiedad horizontal con alícuota de 0.36%, y le corresponde con un </w:t>
      </w:r>
      <w:r>
        <w:rPr>
          <w:rFonts w:ascii="Palatino Linotype" w:eastAsiaTheme="minorHAnsi" w:hAnsi="Palatino Linotype"/>
          <w:i/>
          <w:iCs/>
          <w:sz w:val="22"/>
          <w:szCs w:val="22"/>
          <w:lang w:eastAsia="en-US"/>
        </w:rPr>
        <w:t>Á</w:t>
      </w:r>
      <w:r w:rsidRPr="001F552F">
        <w:rPr>
          <w:rFonts w:ascii="Palatino Linotype" w:eastAsiaTheme="minorHAnsi" w:hAnsi="Palatino Linotype"/>
          <w:i/>
          <w:iCs/>
          <w:sz w:val="22"/>
          <w:szCs w:val="22"/>
          <w:lang w:eastAsia="en-US"/>
        </w:rPr>
        <w:t>rea</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total de construcción de 88.90 m2.; de acuerdo al IRM le asigna la zonificación A13</w:t>
      </w:r>
      <w:r>
        <w:rPr>
          <w:rFonts w:ascii="Palatino Linotype" w:eastAsiaTheme="minorHAnsi" w:hAnsi="Palatino Linotype"/>
          <w:i/>
          <w:iCs/>
          <w:sz w:val="22"/>
          <w:szCs w:val="22"/>
          <w:lang w:eastAsia="en-US"/>
        </w:rPr>
        <w:t xml:space="preserve"> </w:t>
      </w:r>
      <w:r w:rsidRPr="001F552F">
        <w:rPr>
          <w:rFonts w:ascii="Palatino Linotype" w:eastAsiaTheme="minorHAnsi" w:hAnsi="Palatino Linotype"/>
          <w:i/>
          <w:iCs/>
          <w:sz w:val="22"/>
          <w:szCs w:val="22"/>
          <w:lang w:eastAsia="en-US"/>
        </w:rPr>
        <w:t xml:space="preserve">(A804i-60) que determina lotes con una superficie mínima de 800.00 m2.; por tanto </w:t>
      </w:r>
      <w:r w:rsidRPr="001F552F">
        <w:rPr>
          <w:rFonts w:ascii="Palatino Linotype" w:eastAsiaTheme="minorHAnsi" w:hAnsi="Palatino Linotype"/>
          <w:b/>
          <w:bCs/>
          <w:i/>
          <w:iCs/>
          <w:sz w:val="22"/>
          <w:szCs w:val="22"/>
          <w:lang w:eastAsia="en-US"/>
        </w:rPr>
        <w:t>no es</w:t>
      </w:r>
      <w:r>
        <w:rPr>
          <w:rFonts w:ascii="Palatino Linotype" w:eastAsiaTheme="minorHAnsi" w:hAnsi="Palatino Linotype"/>
          <w:b/>
          <w:bCs/>
          <w:i/>
          <w:iCs/>
          <w:sz w:val="22"/>
          <w:szCs w:val="22"/>
          <w:lang w:eastAsia="en-US"/>
        </w:rPr>
        <w:t xml:space="preserve"> </w:t>
      </w:r>
      <w:r w:rsidRPr="001F552F">
        <w:rPr>
          <w:rFonts w:ascii="Palatino Linotype" w:eastAsiaTheme="minorHAnsi" w:hAnsi="Palatino Linotype"/>
          <w:b/>
          <w:bCs/>
          <w:i/>
          <w:iCs/>
          <w:sz w:val="22"/>
          <w:szCs w:val="22"/>
          <w:lang w:eastAsia="en-US"/>
        </w:rPr>
        <w:t>factible su partición</w:t>
      </w:r>
      <w:r>
        <w:rPr>
          <w:rFonts w:ascii="Palatino Linotype" w:eastAsiaTheme="minorHAnsi" w:hAnsi="Palatino Linotype"/>
          <w:b/>
          <w:bCs/>
          <w:i/>
          <w:iCs/>
          <w:sz w:val="22"/>
          <w:szCs w:val="22"/>
          <w:lang w:eastAsia="en-US"/>
        </w:rPr>
        <w:t>”;</w:t>
      </w:r>
      <w:r>
        <w:rPr>
          <w:rFonts w:ascii="Palatino Linotype" w:eastAsiaTheme="minorHAnsi" w:hAnsi="Palatino Linotype"/>
          <w:b/>
          <w:bCs/>
          <w:i/>
          <w:iCs/>
          <w:sz w:val="22"/>
          <w:szCs w:val="22"/>
          <w:lang w:eastAsia="en-US"/>
        </w:rPr>
        <w:t xml:space="preserve"> </w:t>
      </w:r>
    </w:p>
    <w:p w:rsidR="00532CC8" w:rsidRDefault="00532CC8" w:rsidP="004E0489">
      <w:pPr>
        <w:autoSpaceDE w:val="0"/>
        <w:autoSpaceDN w:val="0"/>
        <w:adjustRightInd w:val="0"/>
        <w:ind w:left="709" w:hanging="709"/>
        <w:jc w:val="both"/>
        <w:rPr>
          <w:rFonts w:eastAsiaTheme="minorHAnsi"/>
          <w:b/>
          <w:bCs/>
          <w:i/>
          <w:iCs/>
          <w:sz w:val="22"/>
          <w:szCs w:val="22"/>
          <w:lang w:eastAsia="en-US"/>
        </w:rPr>
      </w:pPr>
    </w:p>
    <w:p w:rsidR="00D15B68" w:rsidRPr="00D15B68" w:rsidRDefault="001C2AA5" w:rsidP="00D15B68">
      <w:pPr>
        <w:autoSpaceDE w:val="0"/>
        <w:autoSpaceDN w:val="0"/>
        <w:adjustRightInd w:val="0"/>
        <w:ind w:left="709" w:hanging="709"/>
        <w:jc w:val="both"/>
        <w:rPr>
          <w:rFonts w:ascii="Palatino Linotype" w:hAnsi="Palatino Linotype"/>
          <w:sz w:val="22"/>
          <w:szCs w:val="22"/>
        </w:rPr>
      </w:pPr>
      <w:r w:rsidRPr="00D15B68">
        <w:rPr>
          <w:rFonts w:ascii="Palatino Linotype" w:hAnsi="Palatino Linotype"/>
          <w:sz w:val="22"/>
          <w:szCs w:val="22"/>
        </w:rPr>
        <w:t xml:space="preserve">Que, </w:t>
      </w:r>
      <w:r>
        <w:rPr>
          <w:rFonts w:ascii="Palatino Linotype" w:hAnsi="Palatino Linotype"/>
          <w:sz w:val="22"/>
          <w:szCs w:val="22"/>
        </w:rPr>
        <w:t>mediante</w:t>
      </w:r>
      <w:r w:rsidR="007E5968" w:rsidRPr="00D15B68">
        <w:rPr>
          <w:rFonts w:ascii="Palatino Linotype" w:hAnsi="Palatino Linotype"/>
          <w:sz w:val="22"/>
          <w:szCs w:val="22"/>
        </w:rPr>
        <w:t xml:space="preserve"> </w:t>
      </w:r>
      <w:r w:rsidR="00D15B68" w:rsidRPr="00D15B68">
        <w:rPr>
          <w:rFonts w:ascii="Palatino Linotype" w:hAnsi="Palatino Linotype"/>
          <w:sz w:val="22"/>
          <w:szCs w:val="22"/>
        </w:rPr>
        <w:t>Informe No. 24-2021-DJ de 27 de enero de 2021, la Dra. Silvia Lorena</w:t>
      </w:r>
      <w:r w:rsidR="00D15B68">
        <w:rPr>
          <w:rFonts w:ascii="Palatino Linotype" w:hAnsi="Palatino Linotype"/>
          <w:sz w:val="22"/>
          <w:szCs w:val="22"/>
        </w:rPr>
        <w:t xml:space="preserve"> </w:t>
      </w:r>
      <w:r w:rsidR="00D15B68" w:rsidRPr="00D15B68">
        <w:rPr>
          <w:rFonts w:ascii="Palatino Linotype" w:hAnsi="Palatino Linotype"/>
          <w:sz w:val="22"/>
          <w:szCs w:val="22"/>
        </w:rPr>
        <w:t xml:space="preserve">Gaibor Villota, Directora Jurídica de la Administración Zonal Eloy Alfaro, señala: </w:t>
      </w:r>
    </w:p>
    <w:p w:rsidR="00D15B68" w:rsidRPr="003617FC" w:rsidRDefault="00D15B68" w:rsidP="00D15B68">
      <w:pPr>
        <w:autoSpaceDE w:val="0"/>
        <w:autoSpaceDN w:val="0"/>
        <w:adjustRightInd w:val="0"/>
        <w:ind w:left="708"/>
        <w:jc w:val="both"/>
        <w:rPr>
          <w:rFonts w:ascii="Palatino Linotype" w:eastAsiaTheme="minorHAnsi" w:hAnsi="Palatino Linotype"/>
          <w:i/>
          <w:sz w:val="22"/>
          <w:szCs w:val="22"/>
          <w:lang w:eastAsia="en-US"/>
        </w:rPr>
      </w:pPr>
    </w:p>
    <w:p w:rsidR="00D15B68" w:rsidRPr="00C53EAB" w:rsidRDefault="00D15B68" w:rsidP="00D15B68">
      <w:pPr>
        <w:autoSpaceDE w:val="0"/>
        <w:autoSpaceDN w:val="0"/>
        <w:adjustRightInd w:val="0"/>
        <w:ind w:left="708"/>
        <w:jc w:val="both"/>
        <w:rPr>
          <w:rFonts w:ascii="Palatino Linotype" w:eastAsiaTheme="minorHAnsi" w:hAnsi="Palatino Linotype"/>
          <w:i/>
          <w:iCs/>
          <w:sz w:val="22"/>
          <w:szCs w:val="22"/>
          <w:lang w:eastAsia="en-US"/>
        </w:rPr>
      </w:pPr>
      <w:r w:rsidRPr="00C53EAB">
        <w:rPr>
          <w:rFonts w:ascii="Palatino Linotype" w:eastAsiaTheme="minorHAnsi" w:hAnsi="Palatino Linotype"/>
          <w:i/>
          <w:iCs/>
          <w:sz w:val="22"/>
          <w:szCs w:val="22"/>
          <w:lang w:eastAsia="en-US"/>
        </w:rPr>
        <w:t>“(… ) Siendo el informe técnico de factibilidad de partición desfavorable, y al amparo de</w:t>
      </w:r>
      <w:r>
        <w:rPr>
          <w:rFonts w:ascii="Palatino Linotype" w:eastAsiaTheme="minorHAnsi" w:hAnsi="Palatino Linotype"/>
          <w:i/>
          <w:iCs/>
          <w:sz w:val="22"/>
          <w:szCs w:val="22"/>
          <w:lang w:eastAsia="en-US"/>
        </w:rPr>
        <w:t xml:space="preserve"> </w:t>
      </w:r>
      <w:r w:rsidRPr="00C53EAB">
        <w:rPr>
          <w:rFonts w:ascii="Palatino Linotype" w:eastAsiaTheme="minorHAnsi" w:hAnsi="Palatino Linotype"/>
          <w:i/>
          <w:iCs/>
          <w:sz w:val="22"/>
          <w:szCs w:val="22"/>
          <w:lang w:eastAsia="en-US"/>
        </w:rPr>
        <w:t>lo dispone el Art. 473 del COOTAD, esta Dirección Jurídica emite criterio desfavorable</w:t>
      </w:r>
      <w:r>
        <w:rPr>
          <w:rFonts w:ascii="Palatino Linotype" w:eastAsiaTheme="minorHAnsi" w:hAnsi="Palatino Linotype"/>
          <w:i/>
          <w:iCs/>
          <w:sz w:val="22"/>
          <w:szCs w:val="22"/>
          <w:lang w:eastAsia="en-US"/>
        </w:rPr>
        <w:t xml:space="preserve"> </w:t>
      </w:r>
      <w:r w:rsidRPr="00C53EAB">
        <w:rPr>
          <w:rFonts w:ascii="Palatino Linotype" w:eastAsiaTheme="minorHAnsi" w:hAnsi="Palatino Linotype"/>
          <w:i/>
          <w:iCs/>
          <w:sz w:val="22"/>
          <w:szCs w:val="22"/>
          <w:lang w:eastAsia="en-US"/>
        </w:rPr>
        <w:t>por incumplir las normas técnicas y legales, para realizar el fraccionamiento de los</w:t>
      </w:r>
      <w:r>
        <w:rPr>
          <w:rFonts w:ascii="Palatino Linotype" w:eastAsiaTheme="minorHAnsi" w:hAnsi="Palatino Linotype"/>
          <w:i/>
          <w:iCs/>
          <w:sz w:val="22"/>
          <w:szCs w:val="22"/>
          <w:lang w:eastAsia="en-US"/>
        </w:rPr>
        <w:t xml:space="preserve"> predios 1247552 y 794114</w:t>
      </w:r>
      <w:r>
        <w:rPr>
          <w:rFonts w:ascii="Palatino Linotype" w:eastAsiaTheme="minorHAnsi" w:hAnsi="Palatino Linotype"/>
          <w:i/>
          <w:iCs/>
          <w:sz w:val="22"/>
          <w:szCs w:val="22"/>
          <w:lang w:eastAsia="en-US"/>
        </w:rPr>
        <w:t>”;</w:t>
      </w:r>
    </w:p>
    <w:p w:rsidR="00B82751" w:rsidRPr="001D45BB" w:rsidRDefault="00B82751" w:rsidP="00D15B68">
      <w:pPr>
        <w:autoSpaceDE w:val="0"/>
        <w:autoSpaceDN w:val="0"/>
        <w:adjustRightInd w:val="0"/>
        <w:ind w:left="709" w:hanging="709"/>
        <w:jc w:val="both"/>
        <w:rPr>
          <w:rFonts w:ascii="Palatino Linotype" w:eastAsiaTheme="minorHAnsi" w:hAnsi="Palatino Linotype"/>
          <w:i/>
          <w:iCs/>
          <w:sz w:val="22"/>
          <w:szCs w:val="22"/>
          <w:lang w:eastAsia="en-US"/>
        </w:rPr>
      </w:pPr>
    </w:p>
    <w:bookmarkEnd w:id="0"/>
    <w:p w:rsidR="00AC0744" w:rsidRDefault="00D3174E" w:rsidP="00703F56">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703F56">
        <w:rPr>
          <w:rFonts w:ascii="Palatino Linotype" w:eastAsiaTheme="minorHAnsi" w:hAnsi="Palatino Linotype"/>
          <w:iCs/>
          <w:sz w:val="22"/>
          <w:szCs w:val="22"/>
          <w:lang w:val="es-EC" w:eastAsia="en-US"/>
        </w:rPr>
        <w:t xml:space="preserve"> </w:t>
      </w:r>
      <w:r w:rsidR="00E06461" w:rsidRPr="003236B4">
        <w:rPr>
          <w:rFonts w:ascii="Palatino Linotype" w:eastAsiaTheme="minorHAnsi" w:hAnsi="Palatino Linotype"/>
          <w:iCs/>
          <w:sz w:val="22"/>
          <w:szCs w:val="22"/>
          <w:lang w:val="es-EC" w:eastAsia="en-US"/>
        </w:rPr>
        <w:t xml:space="preserve">oficio Nro. </w:t>
      </w:r>
      <w:r w:rsidR="00E06461" w:rsidRPr="00462A6E">
        <w:rPr>
          <w:rFonts w:ascii="Palatino Linotype" w:eastAsiaTheme="minorHAnsi" w:hAnsi="Palatino Linotype"/>
          <w:iCs/>
          <w:sz w:val="22"/>
          <w:szCs w:val="22"/>
          <w:lang w:val="es-EC" w:eastAsia="en-US"/>
        </w:rPr>
        <w:t>GADDMQ-PM-2021-2591-O</w:t>
      </w:r>
      <w:r w:rsidR="00E06461" w:rsidRPr="007B5200">
        <w:rPr>
          <w:rFonts w:ascii="Palatino Linotype" w:eastAsiaTheme="minorHAnsi" w:hAnsi="Palatino Linotype"/>
          <w:iCs/>
          <w:sz w:val="22"/>
          <w:szCs w:val="22"/>
          <w:lang w:val="es-EC" w:eastAsia="en-US"/>
        </w:rPr>
        <w:t xml:space="preserve"> </w:t>
      </w:r>
      <w:r w:rsidR="00E06461">
        <w:rPr>
          <w:rFonts w:ascii="Palatino Linotype" w:eastAsiaTheme="minorHAnsi" w:hAnsi="Palatino Linotype"/>
          <w:iCs/>
          <w:sz w:val="22"/>
          <w:szCs w:val="22"/>
          <w:lang w:val="es-EC" w:eastAsia="en-US"/>
        </w:rPr>
        <w:t xml:space="preserve"> </w:t>
      </w:r>
      <w:r w:rsidR="00E06461" w:rsidRPr="007B5200">
        <w:rPr>
          <w:rFonts w:ascii="Palatino Linotype" w:eastAsiaTheme="minorHAnsi" w:hAnsi="Palatino Linotype"/>
          <w:iCs/>
          <w:sz w:val="22"/>
          <w:szCs w:val="22"/>
          <w:lang w:val="es-EC" w:eastAsia="en-US"/>
        </w:rPr>
        <w:t xml:space="preserve">de </w:t>
      </w:r>
      <w:r w:rsidR="00E06461">
        <w:rPr>
          <w:rFonts w:ascii="Palatino Linotype" w:eastAsiaTheme="minorHAnsi" w:hAnsi="Palatino Linotype"/>
          <w:iCs/>
          <w:sz w:val="22"/>
          <w:szCs w:val="22"/>
          <w:lang w:val="es-EC" w:eastAsia="en-US"/>
        </w:rPr>
        <w:t xml:space="preserve">01 </w:t>
      </w:r>
      <w:r w:rsidR="00E06461" w:rsidRPr="007B5200">
        <w:rPr>
          <w:rFonts w:ascii="Palatino Linotype" w:eastAsiaTheme="minorHAnsi" w:hAnsi="Palatino Linotype"/>
          <w:iCs/>
          <w:sz w:val="22"/>
          <w:szCs w:val="22"/>
          <w:lang w:val="es-EC" w:eastAsia="en-US"/>
        </w:rPr>
        <w:t xml:space="preserve">de </w:t>
      </w:r>
      <w:r w:rsidR="00E06461">
        <w:rPr>
          <w:rFonts w:ascii="Palatino Linotype" w:eastAsiaTheme="minorHAnsi" w:hAnsi="Palatino Linotype"/>
          <w:iCs/>
          <w:sz w:val="22"/>
          <w:szCs w:val="22"/>
          <w:lang w:val="es-EC" w:eastAsia="en-US"/>
        </w:rPr>
        <w:t xml:space="preserve">septiembre </w:t>
      </w:r>
      <w:r w:rsidR="00E06461" w:rsidRPr="007B5200">
        <w:rPr>
          <w:rFonts w:ascii="Palatino Linotype" w:eastAsiaTheme="minorHAnsi" w:hAnsi="Palatino Linotype"/>
          <w:iCs/>
          <w:sz w:val="22"/>
          <w:szCs w:val="22"/>
          <w:lang w:val="es-EC" w:eastAsia="en-US"/>
        </w:rPr>
        <w:t>de 2021</w:t>
      </w:r>
      <w:r w:rsidR="00E06461" w:rsidRPr="003236B4">
        <w:rPr>
          <w:rFonts w:ascii="Palatino Linotype" w:eastAsiaTheme="minorHAnsi" w:hAnsi="Palatino Linotype"/>
          <w:iCs/>
          <w:sz w:val="22"/>
          <w:szCs w:val="22"/>
          <w:lang w:val="es-EC" w:eastAsia="en-US"/>
        </w:rPr>
        <w:t xml:space="preserve">, </w:t>
      </w:r>
      <w:r w:rsidR="00E06461">
        <w:rPr>
          <w:rFonts w:ascii="Palatino Linotype" w:eastAsiaTheme="minorHAnsi" w:hAnsi="Palatino Linotype"/>
          <w:iCs/>
          <w:sz w:val="22"/>
          <w:szCs w:val="22"/>
          <w:lang w:val="es-EC" w:eastAsia="en-US"/>
        </w:rPr>
        <w:t>la Abg. María Cristina Kronfle, Subprocuradora de Asesoría sobre el Uso y Ocupación del Suelo</w:t>
      </w:r>
      <w:r w:rsidR="00E06461" w:rsidRPr="003236B4">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722390" w:rsidRDefault="00722390" w:rsidP="00722390">
      <w:pPr>
        <w:autoSpaceDE w:val="0"/>
        <w:autoSpaceDN w:val="0"/>
        <w:adjustRightInd w:val="0"/>
        <w:ind w:left="708"/>
        <w:jc w:val="both"/>
        <w:rPr>
          <w:rFonts w:ascii="Palatino Linotype" w:eastAsiaTheme="minorHAnsi" w:hAnsi="Palatino Linotype"/>
          <w:i/>
          <w:iCs/>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De la revisión del expediente, se establece que el presente trámite se refiere a los predios No. 1247552, ubicado en la Parroquia San Bartolo, barrio Frente Popular, con zonificación D3 (D203-80); y, No. 794114, ubicado en la Parroquia Solanda, barrio Álvaro Pérez. De acuerdo con los informes de la Administración Zonal Eloy Alfaro, se establece que:</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(i) Respecto al predio No. 1247552, el lote mínimo para subdivisión en el sector es de</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lastRenderedPageBreak/>
        <w:t>200.00 m2, requerimiento que no se cumple en el presente caso, por cuanto el predio No. 1247552, según Informe de Regulación Metropolitana, tiene un área de terreno global según escritura de 117.18m², en el cual se encuentra construida una edificación de 231.83m².</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(ii) Respecto al predio No. 794114, el inmueble forma parte otro un bien declarado bajo el régimen de propiedad horizontal, el cual se encuentra debidamente individualizado con su respectiva alícuota.</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 xml:space="preserve">A partir de los informes técnico y legal de la Administración Zonal Eloy Alfaro; y, de la normativa, anteriormente expuestos, la Procuraduría Metropolitana emite criterio legal </w:t>
      </w:r>
      <w:r w:rsidRPr="00055D95">
        <w:rPr>
          <w:rFonts w:ascii="Palatino Linotype" w:eastAsiaTheme="minorHAnsi" w:hAnsi="Palatino Linotype"/>
          <w:b/>
          <w:bCs/>
          <w:i/>
          <w:sz w:val="22"/>
          <w:szCs w:val="22"/>
          <w:lang w:eastAsia="en-US"/>
        </w:rPr>
        <w:t xml:space="preserve">desfavorable </w:t>
      </w:r>
      <w:r w:rsidRPr="00055D95">
        <w:rPr>
          <w:rFonts w:ascii="Palatino Linotype" w:eastAsiaTheme="minorHAnsi" w:hAnsi="Palatino Linotype"/>
          <w:i/>
          <w:sz w:val="22"/>
          <w:szCs w:val="22"/>
          <w:lang w:eastAsia="en-US"/>
        </w:rPr>
        <w:t>para que el Concejo Metropolitano de Quito autorice la partición de los predios No. 1247552, en razón de que no puede cumplir con el requisito y presupuesto material previsto en el régimen jurídico aplicable, en lo referente a lote mínimo necesario para aprobar subdivisiones de bienes inmuebles en el Distrito Metropolitano de Quito; y No. 794114, por cuanto constituye alícuota de un bien declarado bajo el régimen de propiedad horizontal, y como tal, no es factible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 Lo observado a efectos que el Concejo Metropolitano de Quito, ejercicio de sus facultades legales proceda con lo pertinente.</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p>
    <w:p w:rsidR="00535FDE" w:rsidRPr="00055D95" w:rsidRDefault="00535FDE" w:rsidP="00535FDE">
      <w:pPr>
        <w:autoSpaceDE w:val="0"/>
        <w:autoSpaceDN w:val="0"/>
        <w:adjustRightInd w:val="0"/>
        <w:ind w:left="708"/>
        <w:jc w:val="both"/>
        <w:rPr>
          <w:rFonts w:ascii="Palatino Linotype" w:eastAsiaTheme="minorHAnsi" w:hAnsi="Palatino Linotype"/>
          <w:i/>
          <w:sz w:val="22"/>
          <w:szCs w:val="22"/>
          <w:lang w:eastAsia="en-US"/>
        </w:rPr>
      </w:pPr>
      <w:r w:rsidRPr="00055D95">
        <w:rPr>
          <w:rFonts w:ascii="Palatino Linotype" w:eastAsiaTheme="minorHAnsi" w:hAnsi="Palatino Linotype"/>
          <w:i/>
          <w:sz w:val="22"/>
          <w:szCs w:val="22"/>
          <w:lang w:eastAsia="en-US"/>
        </w:rPr>
        <w:t>De este particular, el Concejo Metropolitano de Quito, comunicará al señor José Miguel Calero Ledezma</w:t>
      </w:r>
      <w:r>
        <w:rPr>
          <w:rFonts w:ascii="Palatino Linotype" w:eastAsiaTheme="minorHAnsi" w:hAnsi="Palatino Linotype"/>
          <w:i/>
          <w:sz w:val="22"/>
          <w:szCs w:val="22"/>
          <w:lang w:eastAsia="en-US"/>
        </w:rPr>
        <w:t>”;</w:t>
      </w:r>
    </w:p>
    <w:p w:rsidR="0006618B" w:rsidRDefault="0006618B" w:rsidP="00D3174E">
      <w:pPr>
        <w:autoSpaceDE w:val="0"/>
        <w:autoSpaceDN w:val="0"/>
        <w:adjustRightInd w:val="0"/>
        <w:ind w:firstLine="708"/>
        <w:jc w:val="both"/>
        <w:rPr>
          <w:rFonts w:ascii="Palatino Linotype" w:eastAsiaTheme="minorHAnsi" w:hAnsi="Palatino Linotype"/>
          <w:i/>
          <w:sz w:val="22"/>
          <w:szCs w:val="22"/>
          <w:lang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7909E9">
        <w:rPr>
          <w:rFonts w:ascii="Palatino Linotype" w:eastAsiaTheme="minorHAnsi" w:hAnsi="Palatino Linotype"/>
          <w:sz w:val="22"/>
          <w:szCs w:val="22"/>
          <w:lang w:val="es-EC" w:eastAsia="en-US"/>
        </w:rPr>
        <w:t>elo en sesión ordinaria Nro. 109</w:t>
      </w:r>
      <w:r w:rsidRPr="00E83C98">
        <w:rPr>
          <w:rFonts w:ascii="Palatino Linotype" w:eastAsiaTheme="minorHAnsi" w:hAnsi="Palatino Linotype"/>
          <w:sz w:val="22"/>
          <w:szCs w:val="22"/>
          <w:lang w:val="es-EC" w:eastAsia="en-US"/>
        </w:rPr>
        <w:t xml:space="preserve">, de </w:t>
      </w:r>
      <w:r w:rsidR="00A76F35">
        <w:rPr>
          <w:rFonts w:ascii="Palatino Linotype" w:eastAsiaTheme="minorHAnsi" w:hAnsi="Palatino Linotype"/>
          <w:sz w:val="22"/>
          <w:szCs w:val="22"/>
          <w:lang w:val="es-EC" w:eastAsia="en-US"/>
        </w:rPr>
        <w:t xml:space="preserve">13 </w:t>
      </w:r>
      <w:r w:rsidRPr="00E83C98">
        <w:rPr>
          <w:rFonts w:ascii="Palatino Linotype" w:eastAsiaTheme="minorHAnsi" w:hAnsi="Palatino Linotype"/>
          <w:sz w:val="22"/>
          <w:szCs w:val="22"/>
          <w:lang w:val="es-EC" w:eastAsia="en-US"/>
        </w:rPr>
        <w:t xml:space="preserve">de </w:t>
      </w:r>
      <w:r w:rsidR="00A76F35">
        <w:rPr>
          <w:rFonts w:ascii="Palatino Linotype" w:eastAsiaTheme="minorHAnsi" w:hAnsi="Palatino Linotype"/>
          <w:sz w:val="22"/>
          <w:szCs w:val="22"/>
          <w:lang w:val="es-EC" w:eastAsia="en-US"/>
        </w:rPr>
        <w:t xml:space="preserve">septiembre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FD412B">
        <w:rPr>
          <w:rFonts w:ascii="Palatino Linotype" w:eastAsiaTheme="minorHAnsi" w:hAnsi="Palatino Linotype"/>
          <w:sz w:val="22"/>
          <w:szCs w:val="22"/>
          <w:lang w:val="es-EC" w:eastAsia="en-US"/>
        </w:rPr>
        <w:t xml:space="preserve">de los </w:t>
      </w:r>
      <w:r w:rsidR="00FD412B" w:rsidRPr="003236B4">
        <w:rPr>
          <w:rFonts w:ascii="Palatino Linotype" w:eastAsiaTheme="minorHAnsi" w:hAnsi="Palatino Linotype"/>
          <w:sz w:val="22"/>
          <w:szCs w:val="22"/>
          <w:lang w:val="es-EC" w:eastAsia="en-US"/>
        </w:rPr>
        <w:t>predio</w:t>
      </w:r>
      <w:r w:rsidR="00FD412B">
        <w:rPr>
          <w:rFonts w:ascii="Palatino Linotype" w:eastAsiaTheme="minorHAnsi" w:hAnsi="Palatino Linotype"/>
          <w:sz w:val="22"/>
          <w:szCs w:val="22"/>
          <w:lang w:val="es-EC" w:eastAsia="en-US"/>
        </w:rPr>
        <w:t>s</w:t>
      </w:r>
      <w:r w:rsidR="00FD412B" w:rsidRPr="003236B4">
        <w:rPr>
          <w:rFonts w:ascii="Palatino Linotype" w:eastAsiaTheme="minorHAnsi" w:hAnsi="Palatino Linotype"/>
          <w:sz w:val="22"/>
          <w:szCs w:val="22"/>
          <w:lang w:val="es-EC" w:eastAsia="en-US"/>
        </w:rPr>
        <w:t xml:space="preserve"> Nro</w:t>
      </w:r>
      <w:r w:rsidR="00FD412B">
        <w:rPr>
          <w:rFonts w:ascii="Palatino Linotype" w:eastAsiaTheme="minorHAnsi" w:hAnsi="Palatino Linotype"/>
          <w:sz w:val="22"/>
          <w:szCs w:val="22"/>
          <w:lang w:val="es-EC" w:eastAsia="en-US"/>
        </w:rPr>
        <w:t>s</w:t>
      </w:r>
      <w:r w:rsidR="00FD412B" w:rsidRPr="003236B4">
        <w:rPr>
          <w:rFonts w:ascii="Palatino Linotype" w:eastAsiaTheme="minorHAnsi" w:hAnsi="Palatino Linotype"/>
          <w:sz w:val="22"/>
          <w:szCs w:val="22"/>
          <w:lang w:val="es-EC" w:eastAsia="en-US"/>
        </w:rPr>
        <w:t xml:space="preserve">. </w:t>
      </w:r>
      <w:r w:rsidR="00FD412B" w:rsidRPr="00DA3661">
        <w:rPr>
          <w:rFonts w:ascii="Palatino Linotype" w:eastAsiaTheme="minorHAnsi" w:hAnsi="Palatino Linotype"/>
          <w:sz w:val="22"/>
          <w:szCs w:val="22"/>
          <w:lang w:val="es-EC" w:eastAsia="en-US"/>
        </w:rPr>
        <w:t>1247552 y 794114</w:t>
      </w:r>
      <w:r w:rsidR="00FD412B" w:rsidRPr="003236B4">
        <w:rPr>
          <w:rFonts w:ascii="Palatino Linotype" w:eastAsiaTheme="minorHAnsi" w:hAnsi="Palatino Linotype"/>
          <w:sz w:val="22"/>
          <w:szCs w:val="22"/>
          <w:lang w:val="es-EC" w:eastAsia="en-US"/>
        </w:rPr>
        <w:t>, clave</w:t>
      </w:r>
      <w:r w:rsidR="00FD412B">
        <w:rPr>
          <w:rFonts w:ascii="Palatino Linotype" w:eastAsiaTheme="minorHAnsi" w:hAnsi="Palatino Linotype"/>
          <w:sz w:val="22"/>
          <w:szCs w:val="22"/>
          <w:lang w:val="es-EC" w:eastAsia="en-US"/>
        </w:rPr>
        <w:t>s</w:t>
      </w:r>
      <w:r w:rsidR="00FD412B" w:rsidRPr="003236B4">
        <w:rPr>
          <w:rFonts w:ascii="Palatino Linotype" w:eastAsiaTheme="minorHAnsi" w:hAnsi="Palatino Linotype"/>
          <w:sz w:val="22"/>
          <w:szCs w:val="22"/>
          <w:lang w:val="es-EC" w:eastAsia="en-US"/>
        </w:rPr>
        <w:t xml:space="preserve"> catastral</w:t>
      </w:r>
      <w:r w:rsidR="00FD412B">
        <w:rPr>
          <w:rFonts w:ascii="Palatino Linotype" w:eastAsiaTheme="minorHAnsi" w:hAnsi="Palatino Linotype"/>
          <w:sz w:val="22"/>
          <w:szCs w:val="22"/>
          <w:lang w:val="es-EC" w:eastAsia="en-US"/>
        </w:rPr>
        <w:t>es</w:t>
      </w:r>
      <w:r w:rsidR="00FD412B" w:rsidRPr="003236B4">
        <w:rPr>
          <w:rFonts w:ascii="Palatino Linotype" w:eastAsiaTheme="minorHAnsi" w:hAnsi="Palatino Linotype"/>
          <w:sz w:val="22"/>
          <w:szCs w:val="22"/>
          <w:lang w:val="es-EC" w:eastAsia="en-US"/>
        </w:rPr>
        <w:t xml:space="preserve"> Nro</w:t>
      </w:r>
      <w:r w:rsidR="00FD412B">
        <w:rPr>
          <w:rFonts w:ascii="Palatino Linotype" w:eastAsiaTheme="minorHAnsi" w:hAnsi="Palatino Linotype"/>
          <w:sz w:val="22"/>
          <w:szCs w:val="22"/>
          <w:lang w:val="es-EC" w:eastAsia="en-US"/>
        </w:rPr>
        <w:t xml:space="preserve">s. 31007 28 001 000 000 000 y 31605 02 001 011 001 008, ubicados en la parroquia San Bartolo y Solanda </w:t>
      </w:r>
      <w:r w:rsidR="00FD412B" w:rsidRPr="003236B4">
        <w:rPr>
          <w:rFonts w:ascii="Palatino Linotype" w:eastAsiaTheme="minorHAnsi" w:hAnsi="Palatino Linotype"/>
          <w:sz w:val="22"/>
          <w:szCs w:val="22"/>
          <w:lang w:val="es-EC" w:eastAsia="en-US"/>
        </w:rPr>
        <w:t>de este cantón</w:t>
      </w:r>
      <w:r w:rsidR="00902554">
        <w:rPr>
          <w:rFonts w:ascii="Palatino Linotype" w:eastAsiaTheme="minorHAnsi" w:hAnsi="Palatino Linotype"/>
          <w:sz w:val="22"/>
          <w:szCs w:val="22"/>
          <w:lang w:val="es-EC" w:eastAsia="en-US"/>
        </w:rPr>
        <w:t>, respectivamente</w:t>
      </w:r>
      <w:bookmarkStart w:id="1" w:name="_GoBack"/>
      <w:bookmarkEnd w:id="1"/>
      <w:r w:rsidR="00485983">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aria realizada el …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1266C4">
        <w:rPr>
          <w:rFonts w:ascii="Palatino Linotype" w:eastAsiaTheme="minorHAnsi" w:hAnsi="Palatino Linotype"/>
          <w:sz w:val="22"/>
          <w:szCs w:val="22"/>
          <w:lang w:val="es-EC" w:eastAsia="en-US"/>
        </w:rPr>
        <w:t>047</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w:t>
      </w:r>
      <w:r w:rsidR="00EF1687">
        <w:rPr>
          <w:rFonts w:ascii="Palatino Linotype" w:eastAsiaTheme="minorHAnsi" w:hAnsi="Palatino Linotype"/>
          <w:sz w:val="22"/>
          <w:szCs w:val="22"/>
          <w:lang w:val="es-EC" w:eastAsia="en-US"/>
        </w:rPr>
        <w:t xml:space="preserve">partición </w:t>
      </w:r>
      <w:r w:rsidR="00902554">
        <w:rPr>
          <w:rFonts w:ascii="Palatino Linotype" w:eastAsiaTheme="minorHAnsi" w:hAnsi="Palatino Linotype"/>
          <w:sz w:val="22"/>
          <w:szCs w:val="22"/>
          <w:lang w:val="es-EC" w:eastAsia="en-US"/>
        </w:rPr>
        <w:t xml:space="preserve">de los </w:t>
      </w:r>
      <w:r w:rsidR="00902554" w:rsidRPr="003236B4">
        <w:rPr>
          <w:rFonts w:ascii="Palatino Linotype" w:eastAsiaTheme="minorHAnsi" w:hAnsi="Palatino Linotype"/>
          <w:sz w:val="22"/>
          <w:szCs w:val="22"/>
          <w:lang w:val="es-EC" w:eastAsia="en-US"/>
        </w:rPr>
        <w:t>predio</w:t>
      </w:r>
      <w:r w:rsidR="00902554">
        <w:rPr>
          <w:rFonts w:ascii="Palatino Linotype" w:eastAsiaTheme="minorHAnsi" w:hAnsi="Palatino Linotype"/>
          <w:sz w:val="22"/>
          <w:szCs w:val="22"/>
          <w:lang w:val="es-EC" w:eastAsia="en-US"/>
        </w:rPr>
        <w:t>s</w:t>
      </w:r>
      <w:r w:rsidR="00902554" w:rsidRPr="003236B4">
        <w:rPr>
          <w:rFonts w:ascii="Palatino Linotype" w:eastAsiaTheme="minorHAnsi" w:hAnsi="Palatino Linotype"/>
          <w:sz w:val="22"/>
          <w:szCs w:val="22"/>
          <w:lang w:val="es-EC" w:eastAsia="en-US"/>
        </w:rPr>
        <w:t xml:space="preserve"> Nro</w:t>
      </w:r>
      <w:r w:rsidR="00902554">
        <w:rPr>
          <w:rFonts w:ascii="Palatino Linotype" w:eastAsiaTheme="minorHAnsi" w:hAnsi="Palatino Linotype"/>
          <w:sz w:val="22"/>
          <w:szCs w:val="22"/>
          <w:lang w:val="es-EC" w:eastAsia="en-US"/>
        </w:rPr>
        <w:t>s</w:t>
      </w:r>
      <w:r w:rsidR="00902554" w:rsidRPr="003236B4">
        <w:rPr>
          <w:rFonts w:ascii="Palatino Linotype" w:eastAsiaTheme="minorHAnsi" w:hAnsi="Palatino Linotype"/>
          <w:sz w:val="22"/>
          <w:szCs w:val="22"/>
          <w:lang w:val="es-EC" w:eastAsia="en-US"/>
        </w:rPr>
        <w:t xml:space="preserve">. </w:t>
      </w:r>
      <w:r w:rsidR="00902554" w:rsidRPr="00DA3661">
        <w:rPr>
          <w:rFonts w:ascii="Palatino Linotype" w:eastAsiaTheme="minorHAnsi" w:hAnsi="Palatino Linotype"/>
          <w:sz w:val="22"/>
          <w:szCs w:val="22"/>
          <w:lang w:val="es-EC" w:eastAsia="en-US"/>
        </w:rPr>
        <w:t>1247552 y 794114</w:t>
      </w:r>
      <w:r w:rsidR="00902554" w:rsidRPr="003236B4">
        <w:rPr>
          <w:rFonts w:ascii="Palatino Linotype" w:eastAsiaTheme="minorHAnsi" w:hAnsi="Palatino Linotype"/>
          <w:sz w:val="22"/>
          <w:szCs w:val="22"/>
          <w:lang w:val="es-EC" w:eastAsia="en-US"/>
        </w:rPr>
        <w:t>, clave</w:t>
      </w:r>
      <w:r w:rsidR="00902554">
        <w:rPr>
          <w:rFonts w:ascii="Palatino Linotype" w:eastAsiaTheme="minorHAnsi" w:hAnsi="Palatino Linotype"/>
          <w:sz w:val="22"/>
          <w:szCs w:val="22"/>
          <w:lang w:val="es-EC" w:eastAsia="en-US"/>
        </w:rPr>
        <w:t>s</w:t>
      </w:r>
      <w:r w:rsidR="00902554" w:rsidRPr="003236B4">
        <w:rPr>
          <w:rFonts w:ascii="Palatino Linotype" w:eastAsiaTheme="minorHAnsi" w:hAnsi="Palatino Linotype"/>
          <w:sz w:val="22"/>
          <w:szCs w:val="22"/>
          <w:lang w:val="es-EC" w:eastAsia="en-US"/>
        </w:rPr>
        <w:t xml:space="preserve"> catastral</w:t>
      </w:r>
      <w:r w:rsidR="00902554">
        <w:rPr>
          <w:rFonts w:ascii="Palatino Linotype" w:eastAsiaTheme="minorHAnsi" w:hAnsi="Palatino Linotype"/>
          <w:sz w:val="22"/>
          <w:szCs w:val="22"/>
          <w:lang w:val="es-EC" w:eastAsia="en-US"/>
        </w:rPr>
        <w:t>es</w:t>
      </w:r>
      <w:r w:rsidR="00902554" w:rsidRPr="003236B4">
        <w:rPr>
          <w:rFonts w:ascii="Palatino Linotype" w:eastAsiaTheme="minorHAnsi" w:hAnsi="Palatino Linotype"/>
          <w:sz w:val="22"/>
          <w:szCs w:val="22"/>
          <w:lang w:val="es-EC" w:eastAsia="en-US"/>
        </w:rPr>
        <w:t xml:space="preserve"> Nro</w:t>
      </w:r>
      <w:r w:rsidR="00902554">
        <w:rPr>
          <w:rFonts w:ascii="Palatino Linotype" w:eastAsiaTheme="minorHAnsi" w:hAnsi="Palatino Linotype"/>
          <w:sz w:val="22"/>
          <w:szCs w:val="22"/>
          <w:lang w:val="es-EC" w:eastAsia="en-US"/>
        </w:rPr>
        <w:t xml:space="preserve">s. 31007 28 001 000 000 000 y 31605 02 001 011 001 008, ubicados en la parroquia San Bartolo y Solanda </w:t>
      </w:r>
      <w:r w:rsidR="00902554" w:rsidRPr="003236B4">
        <w:rPr>
          <w:rFonts w:ascii="Palatino Linotype" w:eastAsiaTheme="minorHAnsi" w:hAnsi="Palatino Linotype"/>
          <w:sz w:val="22"/>
          <w:szCs w:val="22"/>
          <w:lang w:val="es-EC" w:eastAsia="en-US"/>
        </w:rPr>
        <w:t>de este cantón</w:t>
      </w:r>
      <w:r w:rsidR="00902554">
        <w:rPr>
          <w:rFonts w:ascii="Palatino Linotype" w:eastAsiaTheme="minorHAnsi" w:hAnsi="Palatino Linotype"/>
          <w:sz w:val="22"/>
          <w:szCs w:val="22"/>
          <w:lang w:val="es-EC" w:eastAsia="en-US"/>
        </w:rPr>
        <w:t>, respectivamente</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cumple</w:t>
      </w:r>
      <w:r w:rsidR="00902554">
        <w:rPr>
          <w:rFonts w:ascii="Palatino Linotype" w:eastAsiaTheme="minorHAnsi" w:hAnsi="Palatino Linotype"/>
          <w:sz w:val="22"/>
          <w:szCs w:val="22"/>
          <w:lang w:val="es-EC" w:eastAsia="en-US"/>
        </w:rPr>
        <w:t>n</w:t>
      </w:r>
      <w:r>
        <w:rPr>
          <w:rFonts w:ascii="Palatino Linotype" w:eastAsiaTheme="minorHAnsi" w:hAnsi="Palatino Linotype"/>
          <w:sz w:val="22"/>
          <w:szCs w:val="22"/>
          <w:lang w:val="es-EC" w:eastAsia="en-US"/>
        </w:rPr>
        <w:t xml:space="preserve"> </w:t>
      </w:r>
      <w:r w:rsidRPr="00E70C1B">
        <w:rPr>
          <w:rFonts w:ascii="Palatino Linotype" w:eastAsiaTheme="minorHAnsi" w:hAnsi="Palatino Linotype"/>
          <w:sz w:val="22"/>
          <w:szCs w:val="22"/>
          <w:lang w:val="es-EC" w:eastAsia="en-US"/>
        </w:rPr>
        <w:t xml:space="preserve">con </w:t>
      </w:r>
      <w:r w:rsidR="00902554">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902554">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902554">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902554">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902554">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w:t>
      </w:r>
      <w:r w:rsidR="00FE16BA">
        <w:rPr>
          <w:rFonts w:ascii="Palatino Linotype" w:eastAsiaTheme="minorHAnsi" w:hAnsi="Palatino Linotype"/>
          <w:sz w:val="22"/>
          <w:szCs w:val="22"/>
          <w:lang w:val="es-EC" w:eastAsia="en-US"/>
        </w:rPr>
        <w:t>co aplicable, en lo referente a</w:t>
      </w:r>
      <w:r w:rsidR="00902554">
        <w:rPr>
          <w:rFonts w:ascii="Palatino Linotype" w:eastAsiaTheme="minorHAnsi" w:hAnsi="Palatino Linotype"/>
          <w:sz w:val="22"/>
          <w:szCs w:val="22"/>
          <w:lang w:val="es-EC" w:eastAsia="en-US"/>
        </w:rPr>
        <w:t>l</w:t>
      </w:r>
      <w:r w:rsidR="00ED7C9A">
        <w:rPr>
          <w:rFonts w:ascii="Palatino Linotype" w:eastAsiaTheme="minorHAnsi" w:hAnsi="Palatino Linotype"/>
          <w:sz w:val="22"/>
          <w:szCs w:val="22"/>
          <w:lang w:val="es-EC" w:eastAsia="en-US"/>
        </w:rPr>
        <w:t xml:space="preserve"> </w:t>
      </w:r>
      <w:r w:rsidRPr="00E70C1B">
        <w:rPr>
          <w:rFonts w:ascii="Palatino Linotype" w:eastAsiaTheme="minorHAnsi" w:hAnsi="Palatino Linotype"/>
          <w:sz w:val="22"/>
          <w:szCs w:val="22"/>
          <w:lang w:val="es-EC" w:eastAsia="en-US"/>
        </w:rPr>
        <w:t xml:space="preserve">lote </w:t>
      </w:r>
      <w:r w:rsidR="00902554">
        <w:rPr>
          <w:rFonts w:ascii="Palatino Linotype" w:eastAsiaTheme="minorHAnsi" w:hAnsi="Palatino Linotype"/>
          <w:sz w:val="22"/>
          <w:szCs w:val="22"/>
          <w:lang w:val="es-EC" w:eastAsia="en-US"/>
        </w:rPr>
        <w:t xml:space="preserve">y frente </w:t>
      </w:r>
      <w:r w:rsidRPr="00E70C1B">
        <w:rPr>
          <w:rFonts w:ascii="Palatino Linotype" w:eastAsiaTheme="minorHAnsi" w:hAnsi="Palatino Linotype"/>
          <w:sz w:val="22"/>
          <w:szCs w:val="22"/>
          <w:lang w:val="es-EC" w:eastAsia="en-US"/>
        </w:rPr>
        <w:t>mínimo</w:t>
      </w:r>
      <w:r w:rsidR="00902554">
        <w:rPr>
          <w:rFonts w:ascii="Palatino Linotype" w:eastAsiaTheme="minorHAnsi" w:hAnsi="Palatino Linotype"/>
          <w:sz w:val="22"/>
          <w:szCs w:val="22"/>
          <w:lang w:val="es-EC" w:eastAsia="en-US"/>
        </w:rPr>
        <w:t>s</w:t>
      </w:r>
      <w:r w:rsidR="00AD5316">
        <w:rPr>
          <w:rFonts w:ascii="Palatino Linotype" w:eastAsiaTheme="minorHAnsi" w:hAnsi="Palatino Linotype"/>
          <w:sz w:val="22"/>
          <w:szCs w:val="22"/>
          <w:lang w:val="es-EC" w:eastAsia="en-US"/>
        </w:rPr>
        <w:t>,</w:t>
      </w:r>
      <w:r w:rsidRPr="00E70C1B">
        <w:rPr>
          <w:rFonts w:ascii="Palatino Linotype" w:eastAsiaTheme="minorHAnsi" w:hAnsi="Palatino Linotype"/>
          <w:sz w:val="22"/>
          <w:szCs w:val="22"/>
          <w:lang w:val="es-EC" w:eastAsia="en-US"/>
        </w:rPr>
        <w:t xml:space="preserve"> necesario</w:t>
      </w:r>
      <w:r w:rsidR="00902554">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para aprobar subdivisiones de bienes inmuebles en el </w:t>
      </w:r>
      <w:r w:rsidR="00FE16BA">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lastRenderedPageBreak/>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8F" w:rsidRDefault="00FE638F">
      <w:r>
        <w:separator/>
      </w:r>
    </w:p>
  </w:endnote>
  <w:endnote w:type="continuationSeparator" w:id="0">
    <w:p w:rsidR="00FE638F" w:rsidRDefault="00F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02554">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02554">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8F" w:rsidRDefault="00FE638F">
      <w:r>
        <w:separator/>
      </w:r>
    </w:p>
  </w:footnote>
  <w:footnote w:type="continuationSeparator" w:id="0">
    <w:p w:rsidR="00FE638F" w:rsidRDefault="00FE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20"/>
    <w:rsid w:val="00002752"/>
    <w:rsid w:val="00004A4E"/>
    <w:rsid w:val="00010294"/>
    <w:rsid w:val="00031EBE"/>
    <w:rsid w:val="0003445C"/>
    <w:rsid w:val="00046D00"/>
    <w:rsid w:val="000472A8"/>
    <w:rsid w:val="00061BF3"/>
    <w:rsid w:val="00062CA9"/>
    <w:rsid w:val="0006618B"/>
    <w:rsid w:val="0007318B"/>
    <w:rsid w:val="000D3FCC"/>
    <w:rsid w:val="000E0AE5"/>
    <w:rsid w:val="000E197C"/>
    <w:rsid w:val="000E2976"/>
    <w:rsid w:val="000F4215"/>
    <w:rsid w:val="000F6739"/>
    <w:rsid w:val="001001B5"/>
    <w:rsid w:val="00110263"/>
    <w:rsid w:val="001110F9"/>
    <w:rsid w:val="001266C4"/>
    <w:rsid w:val="0013278A"/>
    <w:rsid w:val="00140161"/>
    <w:rsid w:val="0014173E"/>
    <w:rsid w:val="00183292"/>
    <w:rsid w:val="00186863"/>
    <w:rsid w:val="001A7EB7"/>
    <w:rsid w:val="001B0570"/>
    <w:rsid w:val="001B3564"/>
    <w:rsid w:val="001C2AA5"/>
    <w:rsid w:val="001F5B10"/>
    <w:rsid w:val="0020460E"/>
    <w:rsid w:val="0022016F"/>
    <w:rsid w:val="00220D50"/>
    <w:rsid w:val="00240108"/>
    <w:rsid w:val="002428FD"/>
    <w:rsid w:val="00254B4A"/>
    <w:rsid w:val="00265A74"/>
    <w:rsid w:val="002725CF"/>
    <w:rsid w:val="00272961"/>
    <w:rsid w:val="0028000C"/>
    <w:rsid w:val="002840B1"/>
    <w:rsid w:val="002B62F6"/>
    <w:rsid w:val="002B7459"/>
    <w:rsid w:val="002E1FC4"/>
    <w:rsid w:val="00301822"/>
    <w:rsid w:val="0030679D"/>
    <w:rsid w:val="00316DA1"/>
    <w:rsid w:val="003314AE"/>
    <w:rsid w:val="00336A76"/>
    <w:rsid w:val="00344385"/>
    <w:rsid w:val="00355CCA"/>
    <w:rsid w:val="003570AD"/>
    <w:rsid w:val="00362029"/>
    <w:rsid w:val="003914B8"/>
    <w:rsid w:val="0039716E"/>
    <w:rsid w:val="003B3C49"/>
    <w:rsid w:val="003C2DF7"/>
    <w:rsid w:val="003C313C"/>
    <w:rsid w:val="003C414D"/>
    <w:rsid w:val="003D4A51"/>
    <w:rsid w:val="003D78B7"/>
    <w:rsid w:val="003E44F3"/>
    <w:rsid w:val="003F3843"/>
    <w:rsid w:val="003F45A7"/>
    <w:rsid w:val="003F4848"/>
    <w:rsid w:val="00403C06"/>
    <w:rsid w:val="00404903"/>
    <w:rsid w:val="00415CDC"/>
    <w:rsid w:val="00420A49"/>
    <w:rsid w:val="00445B3E"/>
    <w:rsid w:val="0045519D"/>
    <w:rsid w:val="00456D47"/>
    <w:rsid w:val="00463576"/>
    <w:rsid w:val="0046371D"/>
    <w:rsid w:val="00473730"/>
    <w:rsid w:val="00485983"/>
    <w:rsid w:val="004C5CEE"/>
    <w:rsid w:val="004D2BBF"/>
    <w:rsid w:val="004D2C58"/>
    <w:rsid w:val="004E0489"/>
    <w:rsid w:val="004E1A23"/>
    <w:rsid w:val="004F0F23"/>
    <w:rsid w:val="004F1C32"/>
    <w:rsid w:val="00505351"/>
    <w:rsid w:val="00510F81"/>
    <w:rsid w:val="00512578"/>
    <w:rsid w:val="00515F29"/>
    <w:rsid w:val="005204FB"/>
    <w:rsid w:val="00532CC8"/>
    <w:rsid w:val="00535FDE"/>
    <w:rsid w:val="0055302D"/>
    <w:rsid w:val="0057493A"/>
    <w:rsid w:val="00594AB7"/>
    <w:rsid w:val="005A22CB"/>
    <w:rsid w:val="005C6173"/>
    <w:rsid w:val="005C6517"/>
    <w:rsid w:val="005D1E4A"/>
    <w:rsid w:val="005D4EA4"/>
    <w:rsid w:val="005D7EFF"/>
    <w:rsid w:val="005E36F6"/>
    <w:rsid w:val="006007AB"/>
    <w:rsid w:val="0061357D"/>
    <w:rsid w:val="00627371"/>
    <w:rsid w:val="006274BF"/>
    <w:rsid w:val="00627A87"/>
    <w:rsid w:val="006431B0"/>
    <w:rsid w:val="006542D4"/>
    <w:rsid w:val="00657E6A"/>
    <w:rsid w:val="006901DA"/>
    <w:rsid w:val="006B2574"/>
    <w:rsid w:val="006B258F"/>
    <w:rsid w:val="006B2B0E"/>
    <w:rsid w:val="006C0B9B"/>
    <w:rsid w:val="006E22A5"/>
    <w:rsid w:val="006E7DB3"/>
    <w:rsid w:val="006F3FBE"/>
    <w:rsid w:val="006F5CCA"/>
    <w:rsid w:val="00703F56"/>
    <w:rsid w:val="00722390"/>
    <w:rsid w:val="00734EED"/>
    <w:rsid w:val="0073697A"/>
    <w:rsid w:val="00740A38"/>
    <w:rsid w:val="007558D6"/>
    <w:rsid w:val="0075744C"/>
    <w:rsid w:val="007827DD"/>
    <w:rsid w:val="0078380A"/>
    <w:rsid w:val="00787834"/>
    <w:rsid w:val="007909E9"/>
    <w:rsid w:val="007959E0"/>
    <w:rsid w:val="00797BD8"/>
    <w:rsid w:val="007E2350"/>
    <w:rsid w:val="007E435E"/>
    <w:rsid w:val="007E53DE"/>
    <w:rsid w:val="007E5968"/>
    <w:rsid w:val="007E730C"/>
    <w:rsid w:val="007F4020"/>
    <w:rsid w:val="007F4650"/>
    <w:rsid w:val="008047C7"/>
    <w:rsid w:val="00811606"/>
    <w:rsid w:val="0082032A"/>
    <w:rsid w:val="00821379"/>
    <w:rsid w:val="0082230A"/>
    <w:rsid w:val="00827F3D"/>
    <w:rsid w:val="00852934"/>
    <w:rsid w:val="0085509A"/>
    <w:rsid w:val="008606A6"/>
    <w:rsid w:val="0088324B"/>
    <w:rsid w:val="00883CE3"/>
    <w:rsid w:val="00885B17"/>
    <w:rsid w:val="008871CF"/>
    <w:rsid w:val="008871F1"/>
    <w:rsid w:val="00892629"/>
    <w:rsid w:val="008943CB"/>
    <w:rsid w:val="008A67BB"/>
    <w:rsid w:val="008C0C27"/>
    <w:rsid w:val="008C58C4"/>
    <w:rsid w:val="008E7C1D"/>
    <w:rsid w:val="008F4533"/>
    <w:rsid w:val="00902554"/>
    <w:rsid w:val="00902702"/>
    <w:rsid w:val="009126A8"/>
    <w:rsid w:val="00941446"/>
    <w:rsid w:val="00953F4C"/>
    <w:rsid w:val="009610BA"/>
    <w:rsid w:val="00963F2D"/>
    <w:rsid w:val="009659BE"/>
    <w:rsid w:val="00966009"/>
    <w:rsid w:val="00966B3E"/>
    <w:rsid w:val="009716DA"/>
    <w:rsid w:val="009729DB"/>
    <w:rsid w:val="009748AC"/>
    <w:rsid w:val="009754E3"/>
    <w:rsid w:val="009948F0"/>
    <w:rsid w:val="009A0A26"/>
    <w:rsid w:val="009E1981"/>
    <w:rsid w:val="009E48B8"/>
    <w:rsid w:val="009E5DE1"/>
    <w:rsid w:val="009F276F"/>
    <w:rsid w:val="009F6C29"/>
    <w:rsid w:val="00A24745"/>
    <w:rsid w:val="00A322FE"/>
    <w:rsid w:val="00A40137"/>
    <w:rsid w:val="00A50CA0"/>
    <w:rsid w:val="00A76F35"/>
    <w:rsid w:val="00A76F66"/>
    <w:rsid w:val="00A80628"/>
    <w:rsid w:val="00A82204"/>
    <w:rsid w:val="00AA0B99"/>
    <w:rsid w:val="00AA20AC"/>
    <w:rsid w:val="00AA6215"/>
    <w:rsid w:val="00AC0744"/>
    <w:rsid w:val="00AD07D7"/>
    <w:rsid w:val="00AD35F1"/>
    <w:rsid w:val="00AD5316"/>
    <w:rsid w:val="00AD5EBA"/>
    <w:rsid w:val="00AD6CC9"/>
    <w:rsid w:val="00AF346A"/>
    <w:rsid w:val="00B0637E"/>
    <w:rsid w:val="00B13A33"/>
    <w:rsid w:val="00B221D0"/>
    <w:rsid w:val="00B26634"/>
    <w:rsid w:val="00B307FE"/>
    <w:rsid w:val="00B314ED"/>
    <w:rsid w:val="00B34EAF"/>
    <w:rsid w:val="00B3663B"/>
    <w:rsid w:val="00B502CD"/>
    <w:rsid w:val="00B634ED"/>
    <w:rsid w:val="00B64EAD"/>
    <w:rsid w:val="00B736FC"/>
    <w:rsid w:val="00B76593"/>
    <w:rsid w:val="00B76D38"/>
    <w:rsid w:val="00B770DD"/>
    <w:rsid w:val="00B82751"/>
    <w:rsid w:val="00B84758"/>
    <w:rsid w:val="00B868DD"/>
    <w:rsid w:val="00B86F0B"/>
    <w:rsid w:val="00B9776D"/>
    <w:rsid w:val="00BB5DAD"/>
    <w:rsid w:val="00BC4ACB"/>
    <w:rsid w:val="00BE0D81"/>
    <w:rsid w:val="00BE45CA"/>
    <w:rsid w:val="00BE71ED"/>
    <w:rsid w:val="00BE7230"/>
    <w:rsid w:val="00BF4D49"/>
    <w:rsid w:val="00C04F97"/>
    <w:rsid w:val="00C159E7"/>
    <w:rsid w:val="00C35664"/>
    <w:rsid w:val="00C53496"/>
    <w:rsid w:val="00C550EA"/>
    <w:rsid w:val="00C56959"/>
    <w:rsid w:val="00C56B54"/>
    <w:rsid w:val="00C5746E"/>
    <w:rsid w:val="00C8773C"/>
    <w:rsid w:val="00C940C7"/>
    <w:rsid w:val="00C967AA"/>
    <w:rsid w:val="00CB1E55"/>
    <w:rsid w:val="00CB58DB"/>
    <w:rsid w:val="00CC4288"/>
    <w:rsid w:val="00CC47B6"/>
    <w:rsid w:val="00CD7BAE"/>
    <w:rsid w:val="00CE2B70"/>
    <w:rsid w:val="00D04BEB"/>
    <w:rsid w:val="00D10FAD"/>
    <w:rsid w:val="00D13912"/>
    <w:rsid w:val="00D15B68"/>
    <w:rsid w:val="00D274E1"/>
    <w:rsid w:val="00D3174E"/>
    <w:rsid w:val="00D33A30"/>
    <w:rsid w:val="00D4721A"/>
    <w:rsid w:val="00D47544"/>
    <w:rsid w:val="00D5505A"/>
    <w:rsid w:val="00D62314"/>
    <w:rsid w:val="00D76FD5"/>
    <w:rsid w:val="00D81536"/>
    <w:rsid w:val="00D82849"/>
    <w:rsid w:val="00D90E9D"/>
    <w:rsid w:val="00D9181E"/>
    <w:rsid w:val="00D93397"/>
    <w:rsid w:val="00DA50F8"/>
    <w:rsid w:val="00DB5FA3"/>
    <w:rsid w:val="00DC6586"/>
    <w:rsid w:val="00DE2B38"/>
    <w:rsid w:val="00DF6AD8"/>
    <w:rsid w:val="00E06461"/>
    <w:rsid w:val="00E0690F"/>
    <w:rsid w:val="00E0725E"/>
    <w:rsid w:val="00E14042"/>
    <w:rsid w:val="00E177D5"/>
    <w:rsid w:val="00E205F6"/>
    <w:rsid w:val="00E27F49"/>
    <w:rsid w:val="00E318CF"/>
    <w:rsid w:val="00E36A3D"/>
    <w:rsid w:val="00E4560A"/>
    <w:rsid w:val="00E47066"/>
    <w:rsid w:val="00E65932"/>
    <w:rsid w:val="00E703E8"/>
    <w:rsid w:val="00E70488"/>
    <w:rsid w:val="00E7328A"/>
    <w:rsid w:val="00E777BF"/>
    <w:rsid w:val="00E900DA"/>
    <w:rsid w:val="00EA662D"/>
    <w:rsid w:val="00EA6CE2"/>
    <w:rsid w:val="00ED7C9A"/>
    <w:rsid w:val="00EF1687"/>
    <w:rsid w:val="00F04221"/>
    <w:rsid w:val="00F11646"/>
    <w:rsid w:val="00F11944"/>
    <w:rsid w:val="00F3149B"/>
    <w:rsid w:val="00F45081"/>
    <w:rsid w:val="00F450C1"/>
    <w:rsid w:val="00F50435"/>
    <w:rsid w:val="00F50B8C"/>
    <w:rsid w:val="00F528F6"/>
    <w:rsid w:val="00F55C9F"/>
    <w:rsid w:val="00F6115D"/>
    <w:rsid w:val="00F61F0C"/>
    <w:rsid w:val="00F7406D"/>
    <w:rsid w:val="00FD0DC9"/>
    <w:rsid w:val="00FD412B"/>
    <w:rsid w:val="00FD7402"/>
    <w:rsid w:val="00FE16BA"/>
    <w:rsid w:val="00FE638F"/>
    <w:rsid w:val="00FE6D38"/>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6</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449</cp:revision>
  <dcterms:created xsi:type="dcterms:W3CDTF">2022-01-04T23:49:00Z</dcterms:created>
  <dcterms:modified xsi:type="dcterms:W3CDTF">2022-01-13T15:11:00Z</dcterms:modified>
</cp:coreProperties>
</file>