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8ED40" w14:textId="375600D4" w:rsidR="003E7193" w:rsidRPr="00E64B45" w:rsidRDefault="003E7193" w:rsidP="00115483">
      <w:pPr>
        <w:pStyle w:val="NormalWeb"/>
        <w:jc w:val="center"/>
        <w:rPr>
          <w:rFonts w:ascii="Palatino Linotype" w:hAnsi="Palatino Linotype"/>
          <w:b/>
          <w:bCs/>
          <w:sz w:val="21"/>
          <w:szCs w:val="21"/>
        </w:rPr>
      </w:pPr>
      <w:bookmarkStart w:id="0" w:name="_GoBack"/>
      <w:bookmarkEnd w:id="0"/>
      <w:r w:rsidRPr="00E64B45">
        <w:rPr>
          <w:rFonts w:ascii="Palatino Linotype" w:hAnsi="Palatino Linotype"/>
          <w:b/>
          <w:bCs/>
          <w:sz w:val="21"/>
          <w:szCs w:val="21"/>
        </w:rPr>
        <w:t>EXPOSICIÓN DE MOTIVOS</w:t>
      </w:r>
    </w:p>
    <w:p w14:paraId="0C937B44" w14:textId="326FBE99" w:rsidR="00115483" w:rsidRPr="00E64B45" w:rsidRDefault="00115483" w:rsidP="00115483">
      <w:pPr>
        <w:pStyle w:val="NormalWeb"/>
        <w:jc w:val="both"/>
        <w:rPr>
          <w:rFonts w:ascii="Palatino Linotype" w:hAnsi="Palatino Linotype"/>
          <w:sz w:val="21"/>
          <w:szCs w:val="21"/>
        </w:rPr>
      </w:pPr>
      <w:r w:rsidRPr="00E64B45">
        <w:rPr>
          <w:rFonts w:ascii="Palatino Linotype" w:hAnsi="Palatino Linotype"/>
          <w:sz w:val="21"/>
          <w:szCs w:val="21"/>
        </w:rPr>
        <w:t>En la</w:t>
      </w:r>
      <w:r w:rsidRPr="00E64B45">
        <w:rPr>
          <w:rFonts w:ascii="Palatino Linotype" w:hAnsi="Palatino Linotype"/>
          <w:b/>
          <w:bCs/>
          <w:sz w:val="21"/>
          <w:szCs w:val="21"/>
        </w:rPr>
        <w:t xml:space="preserve"> </w:t>
      </w:r>
      <w:r w:rsidRPr="00E64B45">
        <w:rPr>
          <w:rFonts w:ascii="Palatino Linotype" w:hAnsi="Palatino Linotype"/>
          <w:sz w:val="21"/>
          <w:szCs w:val="21"/>
        </w:rPr>
        <w:t>sesión ordinaria Nro</w:t>
      </w:r>
      <w:r w:rsidR="007448AD" w:rsidRPr="00E64B45">
        <w:rPr>
          <w:rFonts w:ascii="Palatino Linotype" w:hAnsi="Palatino Linotype"/>
          <w:sz w:val="21"/>
          <w:szCs w:val="21"/>
        </w:rPr>
        <w:t>. 032</w:t>
      </w:r>
      <w:r w:rsidR="00D6291D">
        <w:rPr>
          <w:rFonts w:ascii="Palatino Linotype" w:hAnsi="Palatino Linotype"/>
          <w:sz w:val="21"/>
          <w:szCs w:val="21"/>
        </w:rPr>
        <w:t>,</w:t>
      </w:r>
      <w:r w:rsidRPr="00E64B45">
        <w:rPr>
          <w:rFonts w:ascii="Palatino Linotype" w:hAnsi="Palatino Linotype"/>
          <w:sz w:val="21"/>
          <w:szCs w:val="21"/>
        </w:rPr>
        <w:t xml:space="preserve"> de 29 de octubre de 2019, el Concejo Metropolitano aprobó  </w:t>
      </w:r>
      <w:r w:rsidR="00BB02E1" w:rsidRPr="00E64B45">
        <w:rPr>
          <w:rFonts w:ascii="Palatino Linotype" w:hAnsi="Palatino Linotype"/>
          <w:sz w:val="21"/>
          <w:szCs w:val="21"/>
        </w:rPr>
        <w:t>la Ordenanza N</w:t>
      </w:r>
      <w:r w:rsidR="00176F53" w:rsidRPr="00E64B45">
        <w:rPr>
          <w:rFonts w:ascii="Palatino Linotype" w:hAnsi="Palatino Linotype"/>
          <w:sz w:val="21"/>
          <w:szCs w:val="21"/>
        </w:rPr>
        <w:t>r</w:t>
      </w:r>
      <w:r w:rsidR="00BB02E1" w:rsidRPr="00E64B45">
        <w:rPr>
          <w:rFonts w:ascii="Palatino Linotype" w:hAnsi="Palatino Linotype"/>
          <w:sz w:val="21"/>
          <w:szCs w:val="21"/>
        </w:rPr>
        <w:t>o. OT-</w:t>
      </w:r>
      <w:r w:rsidR="004F2340" w:rsidRPr="00E64B45">
        <w:rPr>
          <w:rFonts w:ascii="Palatino Linotype" w:hAnsi="Palatino Linotype"/>
          <w:sz w:val="21"/>
          <w:szCs w:val="21"/>
        </w:rPr>
        <w:t>001-</w:t>
      </w:r>
      <w:r w:rsidR="00BB02E1" w:rsidRPr="00E64B45">
        <w:rPr>
          <w:rFonts w:ascii="Palatino Linotype" w:hAnsi="Palatino Linotype"/>
          <w:sz w:val="21"/>
          <w:szCs w:val="21"/>
        </w:rPr>
        <w:t xml:space="preserve">2019-PUOS, </w:t>
      </w:r>
      <w:r w:rsidRPr="00E64B45">
        <w:rPr>
          <w:rFonts w:ascii="Palatino Linotype" w:hAnsi="Palatino Linotype"/>
          <w:sz w:val="21"/>
          <w:szCs w:val="21"/>
        </w:rPr>
        <w:t>Modificatoria de la Ordenanza Metropolitana N</w:t>
      </w:r>
      <w:r w:rsidR="00677F8E" w:rsidRPr="00E64B45">
        <w:rPr>
          <w:rFonts w:ascii="Palatino Linotype" w:hAnsi="Palatino Linotype"/>
          <w:sz w:val="21"/>
          <w:szCs w:val="21"/>
        </w:rPr>
        <w:t>r</w:t>
      </w:r>
      <w:r w:rsidRPr="00E64B45">
        <w:rPr>
          <w:rFonts w:ascii="Palatino Linotype" w:hAnsi="Palatino Linotype"/>
          <w:sz w:val="21"/>
          <w:szCs w:val="21"/>
        </w:rPr>
        <w:t>o. 0127, de 25 de julio de 2016, que contiene el Plan de Uso y Ocupación de Suelo (PUOS), modificada por las Ordenanzas Metropolitanas N</w:t>
      </w:r>
      <w:r w:rsidR="00677F8E" w:rsidRPr="00E64B45">
        <w:rPr>
          <w:rFonts w:ascii="Palatino Linotype" w:hAnsi="Palatino Linotype"/>
          <w:sz w:val="21"/>
          <w:szCs w:val="21"/>
        </w:rPr>
        <w:t>r</w:t>
      </w:r>
      <w:r w:rsidRPr="00E64B45">
        <w:rPr>
          <w:rFonts w:ascii="Palatino Linotype" w:hAnsi="Palatino Linotype"/>
          <w:sz w:val="21"/>
          <w:szCs w:val="21"/>
        </w:rPr>
        <w:t>o. 0192 de 20 de diciembre de 2017 y N</w:t>
      </w:r>
      <w:r w:rsidR="00516262" w:rsidRPr="00E64B45">
        <w:rPr>
          <w:rFonts w:ascii="Palatino Linotype" w:hAnsi="Palatino Linotype"/>
          <w:sz w:val="21"/>
          <w:szCs w:val="21"/>
        </w:rPr>
        <w:t>r</w:t>
      </w:r>
      <w:r w:rsidRPr="00E64B45">
        <w:rPr>
          <w:rFonts w:ascii="Palatino Linotype" w:hAnsi="Palatino Linotype"/>
          <w:sz w:val="21"/>
          <w:szCs w:val="21"/>
        </w:rPr>
        <w:t>o. 210 de 12 de abril de 2018, la</w:t>
      </w:r>
      <w:r w:rsidR="003A5674" w:rsidRPr="00E64B45">
        <w:rPr>
          <w:rFonts w:ascii="Palatino Linotype" w:hAnsi="Palatino Linotype"/>
          <w:sz w:val="21"/>
          <w:szCs w:val="21"/>
        </w:rPr>
        <w:t>s</w:t>
      </w:r>
      <w:r w:rsidRPr="00E64B45">
        <w:rPr>
          <w:rFonts w:ascii="Palatino Linotype" w:hAnsi="Palatino Linotype"/>
          <w:sz w:val="21"/>
          <w:szCs w:val="21"/>
        </w:rPr>
        <w:t xml:space="preserve"> cual</w:t>
      </w:r>
      <w:r w:rsidR="00B41485" w:rsidRPr="00E64B45">
        <w:rPr>
          <w:rFonts w:ascii="Palatino Linotype" w:hAnsi="Palatino Linotype"/>
          <w:sz w:val="21"/>
          <w:szCs w:val="21"/>
        </w:rPr>
        <w:t>es</w:t>
      </w:r>
      <w:r w:rsidRPr="00E64B45">
        <w:rPr>
          <w:rFonts w:ascii="Palatino Linotype" w:hAnsi="Palatino Linotype"/>
          <w:b/>
          <w:bCs/>
          <w:sz w:val="21"/>
          <w:szCs w:val="21"/>
        </w:rPr>
        <w:t xml:space="preserve"> </w:t>
      </w:r>
      <w:r w:rsidRPr="00E64B45">
        <w:rPr>
          <w:rFonts w:ascii="Palatino Linotype" w:hAnsi="Palatino Linotype"/>
          <w:sz w:val="21"/>
          <w:szCs w:val="21"/>
        </w:rPr>
        <w:t>reforma</w:t>
      </w:r>
      <w:r w:rsidR="00B41485" w:rsidRPr="00E64B45">
        <w:rPr>
          <w:rFonts w:ascii="Palatino Linotype" w:hAnsi="Palatino Linotype"/>
          <w:sz w:val="21"/>
          <w:szCs w:val="21"/>
        </w:rPr>
        <w:t>n</w:t>
      </w:r>
      <w:r w:rsidRPr="00E64B45">
        <w:rPr>
          <w:rFonts w:ascii="Palatino Linotype" w:hAnsi="Palatino Linotype"/>
          <w:sz w:val="21"/>
          <w:szCs w:val="21"/>
        </w:rPr>
        <w:t xml:space="preserve"> los mapas PUOS U2-2, Mapa de Uso de Suelo Principal y Mapa PUOS Z2-2, de Ocupación y Edificabilidad, anexos de la </w:t>
      </w:r>
      <w:r w:rsidR="00B41485" w:rsidRPr="00E64B45">
        <w:rPr>
          <w:rFonts w:ascii="Palatino Linotype" w:hAnsi="Palatino Linotype"/>
          <w:sz w:val="21"/>
          <w:szCs w:val="21"/>
        </w:rPr>
        <w:t>O</w:t>
      </w:r>
      <w:r w:rsidRPr="00E64B45">
        <w:rPr>
          <w:rFonts w:ascii="Palatino Linotype" w:hAnsi="Palatino Linotype"/>
          <w:sz w:val="21"/>
          <w:szCs w:val="21"/>
        </w:rPr>
        <w:t xml:space="preserve">rdenanza </w:t>
      </w:r>
      <w:r w:rsidR="00B41485" w:rsidRPr="00E64B45">
        <w:rPr>
          <w:rFonts w:ascii="Palatino Linotype" w:hAnsi="Palatino Linotype"/>
          <w:sz w:val="21"/>
          <w:szCs w:val="21"/>
        </w:rPr>
        <w:t>M</w:t>
      </w:r>
      <w:r w:rsidRPr="00E64B45">
        <w:rPr>
          <w:rFonts w:ascii="Palatino Linotype" w:hAnsi="Palatino Linotype"/>
          <w:sz w:val="21"/>
          <w:szCs w:val="21"/>
        </w:rPr>
        <w:t>etropolitana N</w:t>
      </w:r>
      <w:r w:rsidR="00B41485" w:rsidRPr="00E64B45">
        <w:rPr>
          <w:rFonts w:ascii="Palatino Linotype" w:hAnsi="Palatino Linotype"/>
          <w:sz w:val="21"/>
          <w:szCs w:val="21"/>
        </w:rPr>
        <w:t>r</w:t>
      </w:r>
      <w:r w:rsidRPr="00E64B45">
        <w:rPr>
          <w:rFonts w:ascii="Palatino Linotype" w:hAnsi="Palatino Linotype"/>
          <w:sz w:val="21"/>
          <w:szCs w:val="21"/>
        </w:rPr>
        <w:t>o. 0127, de 25 de julio de 2016</w:t>
      </w:r>
      <w:r w:rsidR="004E7E29">
        <w:rPr>
          <w:rFonts w:ascii="Palatino Linotype" w:hAnsi="Palatino Linotype"/>
          <w:sz w:val="21"/>
          <w:szCs w:val="21"/>
        </w:rPr>
        <w:t>; la cual fue sancionada el 05 de noviembre de 2019</w:t>
      </w:r>
    </w:p>
    <w:p w14:paraId="5EF3DC17" w14:textId="150EE058" w:rsidR="00115483" w:rsidRPr="00E64B45" w:rsidRDefault="00BB02E1" w:rsidP="00BB02E1">
      <w:pPr>
        <w:pStyle w:val="NormalWeb"/>
        <w:jc w:val="both"/>
        <w:rPr>
          <w:rFonts w:ascii="Palatino Linotype" w:hAnsi="Palatino Linotype"/>
          <w:sz w:val="21"/>
          <w:szCs w:val="21"/>
        </w:rPr>
      </w:pPr>
      <w:r w:rsidRPr="00E64B45">
        <w:rPr>
          <w:rFonts w:ascii="Palatino Linotype" w:hAnsi="Palatino Linotype"/>
          <w:sz w:val="21"/>
          <w:szCs w:val="21"/>
        </w:rPr>
        <w:t>E</w:t>
      </w:r>
      <w:r w:rsidR="00115483" w:rsidRPr="00E64B45">
        <w:rPr>
          <w:rFonts w:ascii="Palatino Linotype" w:hAnsi="Palatino Linotype"/>
          <w:sz w:val="21"/>
          <w:szCs w:val="21"/>
        </w:rPr>
        <w:t xml:space="preserve">n el artículo único de la </w:t>
      </w:r>
      <w:r w:rsidRPr="00E64B45">
        <w:rPr>
          <w:rFonts w:ascii="Palatino Linotype" w:hAnsi="Palatino Linotype"/>
          <w:sz w:val="21"/>
          <w:szCs w:val="21"/>
        </w:rPr>
        <w:t>referida o</w:t>
      </w:r>
      <w:r w:rsidR="00115483" w:rsidRPr="00E64B45">
        <w:rPr>
          <w:rFonts w:ascii="Palatino Linotype" w:hAnsi="Palatino Linotype"/>
          <w:sz w:val="21"/>
          <w:szCs w:val="21"/>
        </w:rPr>
        <w:t>rdenanza</w:t>
      </w:r>
      <w:r w:rsidRPr="00E64B45">
        <w:rPr>
          <w:rFonts w:ascii="Palatino Linotype" w:hAnsi="Palatino Linotype"/>
          <w:sz w:val="21"/>
          <w:szCs w:val="21"/>
        </w:rPr>
        <w:t xml:space="preserve">, </w:t>
      </w:r>
      <w:r w:rsidR="00115483" w:rsidRPr="00E64B45">
        <w:rPr>
          <w:rFonts w:ascii="Palatino Linotype" w:hAnsi="Palatino Linotype"/>
          <w:sz w:val="21"/>
          <w:szCs w:val="21"/>
        </w:rPr>
        <w:t>se cambia</w:t>
      </w:r>
      <w:r w:rsidRPr="00E64B45">
        <w:rPr>
          <w:rFonts w:ascii="Palatino Linotype" w:hAnsi="Palatino Linotype"/>
          <w:sz w:val="21"/>
          <w:szCs w:val="21"/>
        </w:rPr>
        <w:t xml:space="preserve"> entre otros,</w:t>
      </w:r>
      <w:r w:rsidR="00115483" w:rsidRPr="00E64B45">
        <w:rPr>
          <w:rFonts w:ascii="Palatino Linotype" w:hAnsi="Palatino Linotype"/>
          <w:sz w:val="21"/>
          <w:szCs w:val="21"/>
        </w:rPr>
        <w:t xml:space="preserve"> el uso de suelo y zonificación del predio N</w:t>
      </w:r>
      <w:r w:rsidRPr="00E64B45">
        <w:rPr>
          <w:rFonts w:ascii="Palatino Linotype" w:hAnsi="Palatino Linotype"/>
          <w:sz w:val="21"/>
          <w:szCs w:val="21"/>
        </w:rPr>
        <w:t>r</w:t>
      </w:r>
      <w:r w:rsidR="00115483" w:rsidRPr="00E64B45">
        <w:rPr>
          <w:rFonts w:ascii="Palatino Linotype" w:hAnsi="Palatino Linotype"/>
          <w:sz w:val="21"/>
          <w:szCs w:val="21"/>
        </w:rPr>
        <w:t xml:space="preserve">o. 3697579, de propiedad municipal, a </w:t>
      </w:r>
      <w:r w:rsidRPr="00E64B45">
        <w:rPr>
          <w:rFonts w:ascii="Palatino Linotype" w:hAnsi="Palatino Linotype"/>
          <w:sz w:val="21"/>
          <w:szCs w:val="21"/>
        </w:rPr>
        <w:t xml:space="preserve">uso de </w:t>
      </w:r>
      <w:r w:rsidR="00115483" w:rsidRPr="00E64B45">
        <w:rPr>
          <w:rFonts w:ascii="Palatino Linotype" w:hAnsi="Palatino Linotype"/>
          <w:sz w:val="21"/>
          <w:szCs w:val="21"/>
        </w:rPr>
        <w:t>equipamiento con zonificación A10 (A604-50)</w:t>
      </w:r>
      <w:r w:rsidRPr="00E64B45">
        <w:rPr>
          <w:rFonts w:ascii="Palatino Linotype" w:hAnsi="Palatino Linotype"/>
          <w:sz w:val="21"/>
          <w:szCs w:val="21"/>
        </w:rPr>
        <w:t>. E</w:t>
      </w:r>
      <w:r w:rsidR="0054050C" w:rsidRPr="00E64B45">
        <w:rPr>
          <w:rFonts w:ascii="Palatino Linotype" w:hAnsi="Palatino Linotype"/>
          <w:sz w:val="21"/>
          <w:szCs w:val="21"/>
        </w:rPr>
        <w:t>ste</w:t>
      </w:r>
      <w:r w:rsidRPr="00E64B45">
        <w:rPr>
          <w:rFonts w:ascii="Palatino Linotype" w:hAnsi="Palatino Linotype"/>
          <w:sz w:val="21"/>
          <w:szCs w:val="21"/>
        </w:rPr>
        <w:t xml:space="preserve"> cambio se </w:t>
      </w:r>
      <w:r w:rsidR="0054050C" w:rsidRPr="00E64B45">
        <w:rPr>
          <w:rFonts w:ascii="Palatino Linotype" w:hAnsi="Palatino Linotype"/>
          <w:sz w:val="21"/>
          <w:szCs w:val="21"/>
        </w:rPr>
        <w:t xml:space="preserve">realizó </w:t>
      </w:r>
      <w:r w:rsidR="001936E2" w:rsidRPr="00E64B45">
        <w:rPr>
          <w:rFonts w:ascii="Palatino Linotype" w:hAnsi="Palatino Linotype"/>
          <w:sz w:val="21"/>
          <w:szCs w:val="21"/>
        </w:rPr>
        <w:t xml:space="preserve">en razón de que se </w:t>
      </w:r>
      <w:r w:rsidR="00E2253F" w:rsidRPr="00E64B45">
        <w:rPr>
          <w:rFonts w:ascii="Palatino Linotype" w:hAnsi="Palatino Linotype"/>
          <w:sz w:val="21"/>
          <w:szCs w:val="21"/>
        </w:rPr>
        <w:t>tenía planificado</w:t>
      </w:r>
      <w:r w:rsidR="00115483" w:rsidRPr="00E64B45">
        <w:rPr>
          <w:rFonts w:ascii="Palatino Linotype" w:hAnsi="Palatino Linotype"/>
          <w:sz w:val="21"/>
          <w:szCs w:val="21"/>
        </w:rPr>
        <w:t xml:space="preserve"> construir la</w:t>
      </w:r>
      <w:r w:rsidRPr="00E64B45">
        <w:rPr>
          <w:rFonts w:ascii="Palatino Linotype" w:hAnsi="Palatino Linotype"/>
          <w:sz w:val="21"/>
          <w:szCs w:val="21"/>
        </w:rPr>
        <w:t xml:space="preserve"> </w:t>
      </w:r>
      <w:r w:rsidR="0011419F">
        <w:rPr>
          <w:rFonts w:ascii="Palatino Linotype" w:hAnsi="Palatino Linotype"/>
          <w:sz w:val="21"/>
          <w:szCs w:val="21"/>
        </w:rPr>
        <w:t>E</w:t>
      </w:r>
      <w:r w:rsidR="00E2253F" w:rsidRPr="00E64B45">
        <w:rPr>
          <w:rFonts w:ascii="Palatino Linotype" w:hAnsi="Palatino Linotype"/>
          <w:sz w:val="21"/>
          <w:szCs w:val="21"/>
        </w:rPr>
        <w:t xml:space="preserve">stación de </w:t>
      </w:r>
      <w:r w:rsidR="0011419F">
        <w:rPr>
          <w:rFonts w:ascii="Palatino Linotype" w:hAnsi="Palatino Linotype"/>
          <w:sz w:val="21"/>
          <w:szCs w:val="21"/>
        </w:rPr>
        <w:t>T</w:t>
      </w:r>
      <w:r w:rsidR="00E2253F" w:rsidRPr="00E64B45">
        <w:rPr>
          <w:rFonts w:ascii="Palatino Linotype" w:hAnsi="Palatino Linotype"/>
          <w:sz w:val="21"/>
          <w:szCs w:val="21"/>
        </w:rPr>
        <w:t>rans</w:t>
      </w:r>
      <w:r w:rsidR="0011419F">
        <w:rPr>
          <w:rFonts w:ascii="Palatino Linotype" w:hAnsi="Palatino Linotype"/>
          <w:sz w:val="21"/>
          <w:szCs w:val="21"/>
        </w:rPr>
        <w:t>ferencia de</w:t>
      </w:r>
      <w:r w:rsidR="00115483" w:rsidRPr="00E64B45">
        <w:rPr>
          <w:rFonts w:ascii="Palatino Linotype" w:hAnsi="Palatino Linotype"/>
          <w:sz w:val="21"/>
          <w:szCs w:val="21"/>
        </w:rPr>
        <w:t xml:space="preserve"> Cumbayá</w:t>
      </w:r>
      <w:r w:rsidRPr="00E64B45">
        <w:rPr>
          <w:rFonts w:ascii="Palatino Linotype" w:hAnsi="Palatino Linotype"/>
          <w:sz w:val="21"/>
          <w:szCs w:val="21"/>
        </w:rPr>
        <w:t>, la cual</w:t>
      </w:r>
      <w:r w:rsidR="004E4F54">
        <w:rPr>
          <w:rFonts w:ascii="Palatino Linotype" w:hAnsi="Palatino Linotype"/>
          <w:sz w:val="21"/>
          <w:szCs w:val="21"/>
        </w:rPr>
        <w:t xml:space="preserve"> fue </w:t>
      </w:r>
      <w:r w:rsidR="00115483" w:rsidRPr="00E64B45">
        <w:rPr>
          <w:rFonts w:ascii="Palatino Linotype" w:hAnsi="Palatino Linotype"/>
          <w:sz w:val="21"/>
          <w:szCs w:val="21"/>
        </w:rPr>
        <w:t xml:space="preserve">considerada un equipamiento </w:t>
      </w:r>
      <w:r w:rsidR="000A37CC" w:rsidRPr="00E64B45">
        <w:rPr>
          <w:rFonts w:ascii="Palatino Linotype" w:hAnsi="Palatino Linotype"/>
          <w:sz w:val="21"/>
          <w:szCs w:val="21"/>
        </w:rPr>
        <w:t xml:space="preserve">indispensable </w:t>
      </w:r>
      <w:r w:rsidR="00115483" w:rsidRPr="00E64B45">
        <w:rPr>
          <w:rFonts w:ascii="Palatino Linotype" w:hAnsi="Palatino Linotype"/>
          <w:sz w:val="21"/>
          <w:szCs w:val="21"/>
        </w:rPr>
        <w:t>para el funcionamiento eficiente del sistema de movilidad y transporte público de la parroquia de Cumbayá</w:t>
      </w:r>
      <w:r w:rsidR="0035311F" w:rsidRPr="00E64B45">
        <w:rPr>
          <w:rFonts w:ascii="Palatino Linotype" w:hAnsi="Palatino Linotype"/>
          <w:sz w:val="21"/>
          <w:szCs w:val="21"/>
        </w:rPr>
        <w:t xml:space="preserve">, </w:t>
      </w:r>
      <w:r w:rsidR="007448AD" w:rsidRPr="00E64B45">
        <w:rPr>
          <w:rFonts w:ascii="Palatino Linotype" w:hAnsi="Palatino Linotype"/>
          <w:sz w:val="21"/>
          <w:szCs w:val="21"/>
        </w:rPr>
        <w:t>convirtié</w:t>
      </w:r>
      <w:r w:rsidR="000A37CC" w:rsidRPr="00E64B45">
        <w:rPr>
          <w:rFonts w:ascii="Palatino Linotype" w:hAnsi="Palatino Linotype"/>
          <w:sz w:val="21"/>
          <w:szCs w:val="21"/>
        </w:rPr>
        <w:t xml:space="preserve">ndose en </w:t>
      </w:r>
      <w:r w:rsidR="00115483" w:rsidRPr="00E64B45">
        <w:rPr>
          <w:rFonts w:ascii="Palatino Linotype" w:hAnsi="Palatino Linotype"/>
          <w:sz w:val="21"/>
          <w:szCs w:val="21"/>
        </w:rPr>
        <w:t xml:space="preserve"> una necesidad manifestada por el Gobierno Autónomo Descentralizado Parroquial de Cumbayá</w:t>
      </w:r>
      <w:r w:rsidR="007448AD" w:rsidRPr="00E64B45">
        <w:rPr>
          <w:rFonts w:ascii="Palatino Linotype" w:hAnsi="Palatino Linotype"/>
          <w:sz w:val="21"/>
          <w:szCs w:val="21"/>
        </w:rPr>
        <w:t xml:space="preserve">. </w:t>
      </w:r>
    </w:p>
    <w:p w14:paraId="7E941F55" w14:textId="4682A43E" w:rsidR="0024297B" w:rsidRPr="00E64B45" w:rsidRDefault="00731AC2" w:rsidP="00115483">
      <w:pPr>
        <w:pStyle w:val="NormalWeb"/>
        <w:jc w:val="both"/>
        <w:rPr>
          <w:rFonts w:ascii="Palatino Linotype" w:hAnsi="Palatino Linotype"/>
          <w:i/>
          <w:iCs/>
          <w:sz w:val="21"/>
          <w:szCs w:val="21"/>
        </w:rPr>
      </w:pPr>
      <w:r w:rsidRPr="00E64B45">
        <w:rPr>
          <w:rFonts w:ascii="Palatino Linotype" w:hAnsi="Palatino Linotype"/>
          <w:sz w:val="21"/>
          <w:szCs w:val="21"/>
        </w:rPr>
        <w:t>Por otro lado,</w:t>
      </w:r>
      <w:r w:rsidRPr="00E64B45">
        <w:rPr>
          <w:rFonts w:ascii="Palatino Linotype" w:hAnsi="Palatino Linotype"/>
          <w:b/>
          <w:bCs/>
          <w:sz w:val="21"/>
          <w:szCs w:val="21"/>
        </w:rPr>
        <w:t xml:space="preserve"> </w:t>
      </w:r>
      <w:r w:rsidRPr="00E64B45">
        <w:rPr>
          <w:rFonts w:ascii="Palatino Linotype" w:hAnsi="Palatino Linotype"/>
          <w:sz w:val="21"/>
          <w:szCs w:val="21"/>
        </w:rPr>
        <w:t xml:space="preserve">mediante </w:t>
      </w:r>
      <w:r w:rsidR="00115483" w:rsidRPr="00E64B45">
        <w:rPr>
          <w:rFonts w:ascii="Palatino Linotype" w:hAnsi="Palatino Linotype"/>
          <w:sz w:val="21"/>
          <w:szCs w:val="21"/>
        </w:rPr>
        <w:t>Resolución N</w:t>
      </w:r>
      <w:r w:rsidR="00F07B8D" w:rsidRPr="00E64B45">
        <w:rPr>
          <w:rFonts w:ascii="Palatino Linotype" w:hAnsi="Palatino Linotype"/>
          <w:sz w:val="21"/>
          <w:szCs w:val="21"/>
        </w:rPr>
        <w:t>r</w:t>
      </w:r>
      <w:r w:rsidR="00115483" w:rsidRPr="00E64B45">
        <w:rPr>
          <w:rFonts w:ascii="Palatino Linotype" w:hAnsi="Palatino Linotype"/>
          <w:sz w:val="21"/>
          <w:szCs w:val="21"/>
        </w:rPr>
        <w:t>o. C</w:t>
      </w:r>
      <w:r w:rsidR="007448AD" w:rsidRPr="00E64B45">
        <w:rPr>
          <w:rFonts w:ascii="Palatino Linotype" w:hAnsi="Palatino Linotype"/>
          <w:sz w:val="21"/>
          <w:szCs w:val="21"/>
        </w:rPr>
        <w:t xml:space="preserve"> 021-2021</w:t>
      </w:r>
      <w:r w:rsidR="00411211">
        <w:rPr>
          <w:rFonts w:ascii="Palatino Linotype" w:hAnsi="Palatino Linotype"/>
          <w:sz w:val="21"/>
          <w:szCs w:val="21"/>
        </w:rPr>
        <w:t>,</w:t>
      </w:r>
      <w:r w:rsidR="007448AD" w:rsidRPr="00E64B45">
        <w:rPr>
          <w:rFonts w:ascii="Palatino Linotype" w:hAnsi="Palatino Linotype"/>
          <w:sz w:val="21"/>
          <w:szCs w:val="21"/>
        </w:rPr>
        <w:t xml:space="preserve"> de 14 de marzo de 2021</w:t>
      </w:r>
      <w:r w:rsidR="0024297B" w:rsidRPr="00E64B45">
        <w:rPr>
          <w:rFonts w:ascii="Palatino Linotype" w:hAnsi="Palatino Linotype"/>
          <w:sz w:val="21"/>
          <w:szCs w:val="21"/>
        </w:rPr>
        <w:t>,</w:t>
      </w:r>
      <w:r w:rsidR="00115483" w:rsidRPr="00E64B45">
        <w:rPr>
          <w:rFonts w:ascii="Palatino Linotype" w:hAnsi="Palatino Linotype"/>
          <w:sz w:val="21"/>
          <w:szCs w:val="21"/>
        </w:rPr>
        <w:t xml:space="preserve"> el Concejo Metropolitano apr</w:t>
      </w:r>
      <w:r w:rsidR="0024297B" w:rsidRPr="00E64B45">
        <w:rPr>
          <w:rFonts w:ascii="Palatino Linotype" w:hAnsi="Palatino Linotype"/>
          <w:sz w:val="21"/>
          <w:szCs w:val="21"/>
        </w:rPr>
        <w:t>obó</w:t>
      </w:r>
      <w:r w:rsidR="00115483" w:rsidRPr="00E64B45">
        <w:rPr>
          <w:rFonts w:ascii="Palatino Linotype" w:hAnsi="Palatino Linotype"/>
          <w:sz w:val="21"/>
          <w:szCs w:val="21"/>
        </w:rPr>
        <w:t xml:space="preserve"> las asignaciones de uso de suelo, forma de ocupación y edificabilidad al predio Nro. 279520, en virtud de la petición del señor Carlos Montúfar Gangotena, Apoderado General de Fornax Group Corp., Gerente General de TOMORAGUADUA S.A.,  el</w:t>
      </w:r>
      <w:r w:rsidR="00A809BE" w:rsidRPr="00E64B45">
        <w:rPr>
          <w:rFonts w:ascii="Palatino Linotype" w:hAnsi="Palatino Linotype"/>
          <w:sz w:val="21"/>
          <w:szCs w:val="21"/>
        </w:rPr>
        <w:t xml:space="preserve"> mismo que </w:t>
      </w:r>
      <w:r w:rsidR="00115483" w:rsidRPr="00E64B45">
        <w:rPr>
          <w:rFonts w:ascii="Palatino Linotype" w:hAnsi="Palatino Linotype"/>
          <w:sz w:val="21"/>
          <w:szCs w:val="21"/>
        </w:rPr>
        <w:t>tenía una asignación de  uso de suelo equipamiento y zonificación ZC, la cual de conformidad con el artículo 21 de la Ordenanza Metropolitana N</w:t>
      </w:r>
      <w:r w:rsidR="00CE1657" w:rsidRPr="00E64B45">
        <w:rPr>
          <w:rFonts w:ascii="Palatino Linotype" w:hAnsi="Palatino Linotype"/>
          <w:sz w:val="21"/>
          <w:szCs w:val="21"/>
        </w:rPr>
        <w:t>r</w:t>
      </w:r>
      <w:r w:rsidR="00115483" w:rsidRPr="00E64B45">
        <w:rPr>
          <w:rFonts w:ascii="Palatino Linotype" w:hAnsi="Palatino Linotype"/>
          <w:sz w:val="21"/>
          <w:szCs w:val="21"/>
        </w:rPr>
        <w:t xml:space="preserve">o. 210 señala que:  </w:t>
      </w:r>
      <w:r w:rsidR="00115483" w:rsidRPr="00E64B45">
        <w:rPr>
          <w:rFonts w:ascii="Palatino Linotype" w:hAnsi="Palatino Linotype"/>
          <w:i/>
          <w:iCs/>
          <w:position w:val="-2"/>
          <w:sz w:val="21"/>
          <w:szCs w:val="21"/>
        </w:rPr>
        <w:t xml:space="preserve">"Los predios con zonificación </w:t>
      </w:r>
      <w:r w:rsidR="00115483" w:rsidRPr="00E64B45">
        <w:rPr>
          <w:rFonts w:ascii="Palatino Linotype" w:hAnsi="Palatino Linotype"/>
          <w:i/>
          <w:iCs/>
          <w:position w:val="2"/>
          <w:sz w:val="21"/>
          <w:szCs w:val="21"/>
        </w:rPr>
        <w:t>ZC, cuya superficie sea inferior a 10.000 m</w:t>
      </w:r>
      <w:r w:rsidR="00115483" w:rsidRPr="00E64B45">
        <w:rPr>
          <w:rFonts w:ascii="Palatino Linotype" w:hAnsi="Palatino Linotype"/>
          <w:i/>
          <w:iCs/>
          <w:sz w:val="21"/>
          <w:szCs w:val="21"/>
        </w:rPr>
        <w:t>2</w:t>
      </w:r>
      <w:r w:rsidR="009A1C7A" w:rsidRPr="00E64B45">
        <w:rPr>
          <w:rFonts w:ascii="Palatino Linotype" w:hAnsi="Palatino Linotype"/>
          <w:i/>
          <w:iCs/>
          <w:sz w:val="21"/>
          <w:szCs w:val="21"/>
        </w:rPr>
        <w:t xml:space="preserve"> </w:t>
      </w:r>
      <w:r w:rsidR="00115483" w:rsidRPr="00E64B45">
        <w:rPr>
          <w:rFonts w:ascii="Palatino Linotype" w:hAnsi="Palatino Linotype"/>
          <w:i/>
          <w:iCs/>
          <w:sz w:val="21"/>
          <w:szCs w:val="21"/>
        </w:rPr>
        <w:t>o inferior a 3.000 m</w:t>
      </w:r>
      <w:r w:rsidR="00115483" w:rsidRPr="00E64B45">
        <w:rPr>
          <w:rFonts w:ascii="Palatino Linotype" w:hAnsi="Palatino Linotype"/>
          <w:i/>
          <w:iCs/>
          <w:position w:val="-2"/>
          <w:sz w:val="21"/>
          <w:szCs w:val="21"/>
        </w:rPr>
        <w:t>2</w:t>
      </w:r>
      <w:r w:rsidR="009A1C7A" w:rsidRPr="00E64B45">
        <w:rPr>
          <w:rFonts w:ascii="Palatino Linotype" w:hAnsi="Palatino Linotype"/>
          <w:i/>
          <w:iCs/>
          <w:position w:val="-2"/>
          <w:sz w:val="21"/>
          <w:szCs w:val="21"/>
        </w:rPr>
        <w:t xml:space="preserve"> </w:t>
      </w:r>
      <w:r w:rsidR="00115483" w:rsidRPr="00E64B45">
        <w:rPr>
          <w:rFonts w:ascii="Palatino Linotype" w:hAnsi="Palatino Linotype"/>
          <w:i/>
          <w:iCs/>
          <w:position w:val="-2"/>
          <w:sz w:val="21"/>
          <w:szCs w:val="21"/>
        </w:rPr>
        <w:t xml:space="preserve">para predios ubicados </w:t>
      </w:r>
      <w:r w:rsidR="00115483" w:rsidRPr="00E64B45">
        <w:rPr>
          <w:rFonts w:ascii="Palatino Linotype" w:hAnsi="Palatino Linotype"/>
          <w:i/>
          <w:iCs/>
          <w:sz w:val="21"/>
          <w:szCs w:val="21"/>
        </w:rPr>
        <w:t>en áreas de centralidades debidamente establecidas en el PMDOT, podrán solicitar a la entidad encargada del Territorio, Hábitat y Vivienda la asignación de datos de zonificación mediante la presentación de un proyecto urbano - arquitectónico que establezca las condiciones de integración urbanística y vial al entorno. El proyecto contendrá́ la propuesta de asignación de datos de uso y ocupación del suelo, derivado de un análisis urbanístico del entorno. (…)”</w:t>
      </w:r>
      <w:r w:rsidR="00B3792D" w:rsidRPr="00E64B45">
        <w:rPr>
          <w:rFonts w:ascii="Palatino Linotype" w:hAnsi="Palatino Linotype"/>
          <w:i/>
          <w:iCs/>
          <w:sz w:val="21"/>
          <w:szCs w:val="21"/>
        </w:rPr>
        <w:t>.</w:t>
      </w:r>
    </w:p>
    <w:p w14:paraId="15AD2D87" w14:textId="738C12A1" w:rsidR="00115483" w:rsidRPr="00E64B45" w:rsidRDefault="0024297B" w:rsidP="00115483">
      <w:pPr>
        <w:pStyle w:val="NormalWeb"/>
        <w:jc w:val="both"/>
        <w:rPr>
          <w:rFonts w:ascii="Palatino Linotype" w:hAnsi="Palatino Linotype"/>
          <w:sz w:val="21"/>
          <w:szCs w:val="21"/>
        </w:rPr>
      </w:pPr>
      <w:r w:rsidRPr="00E64B45">
        <w:rPr>
          <w:rFonts w:ascii="Palatino Linotype" w:hAnsi="Palatino Linotype"/>
          <w:sz w:val="21"/>
          <w:szCs w:val="21"/>
        </w:rPr>
        <w:t xml:space="preserve">Es importante </w:t>
      </w:r>
      <w:r w:rsidR="00D46C56" w:rsidRPr="00E64B45">
        <w:rPr>
          <w:rFonts w:ascii="Palatino Linotype" w:hAnsi="Palatino Linotype"/>
          <w:sz w:val="21"/>
          <w:szCs w:val="21"/>
        </w:rPr>
        <w:t xml:space="preserve">mencionar </w:t>
      </w:r>
      <w:r w:rsidRPr="00E64B45">
        <w:rPr>
          <w:rFonts w:ascii="Palatino Linotype" w:hAnsi="Palatino Linotype"/>
          <w:sz w:val="21"/>
          <w:szCs w:val="21"/>
        </w:rPr>
        <w:t>que</w:t>
      </w:r>
      <w:r w:rsidRPr="00E64B45">
        <w:rPr>
          <w:rFonts w:ascii="Palatino Linotype" w:hAnsi="Palatino Linotype"/>
          <w:i/>
          <w:iCs/>
          <w:sz w:val="21"/>
          <w:szCs w:val="21"/>
        </w:rPr>
        <w:t xml:space="preserve"> </w:t>
      </w:r>
      <w:r w:rsidR="00115483" w:rsidRPr="00E64B45">
        <w:rPr>
          <w:rFonts w:ascii="Palatino Linotype" w:hAnsi="Palatino Linotype"/>
          <w:sz w:val="21"/>
          <w:szCs w:val="21"/>
        </w:rPr>
        <w:t>en el predio Nro. 27</w:t>
      </w:r>
      <w:r w:rsidR="00D82F1A" w:rsidRPr="00E64B45">
        <w:rPr>
          <w:rFonts w:ascii="Palatino Linotype" w:hAnsi="Palatino Linotype"/>
          <w:sz w:val="21"/>
          <w:szCs w:val="21"/>
        </w:rPr>
        <w:t>9520, se establece como aportes urbanísticos,  entre otros</w:t>
      </w:r>
      <w:r w:rsidR="00426466">
        <w:rPr>
          <w:rFonts w:ascii="Palatino Linotype" w:hAnsi="Palatino Linotype"/>
          <w:sz w:val="21"/>
          <w:szCs w:val="21"/>
        </w:rPr>
        <w:t>,</w:t>
      </w:r>
      <w:r w:rsidR="00D82F1A" w:rsidRPr="00E64B45">
        <w:rPr>
          <w:rFonts w:ascii="Palatino Linotype" w:hAnsi="Palatino Linotype"/>
          <w:sz w:val="21"/>
          <w:szCs w:val="21"/>
        </w:rPr>
        <w:t xml:space="preserve"> </w:t>
      </w:r>
      <w:r w:rsidR="00115483" w:rsidRPr="00E64B45">
        <w:rPr>
          <w:rFonts w:ascii="Palatino Linotype" w:hAnsi="Palatino Linotype"/>
          <w:sz w:val="21"/>
          <w:szCs w:val="21"/>
        </w:rPr>
        <w:t xml:space="preserve">la </w:t>
      </w:r>
      <w:r w:rsidR="00D82F1A" w:rsidRPr="00E64B45">
        <w:rPr>
          <w:rFonts w:ascii="Palatino Linotype" w:hAnsi="Palatino Linotype"/>
          <w:sz w:val="21"/>
          <w:szCs w:val="21"/>
        </w:rPr>
        <w:t>dotación del equipamiento de transporte p</w:t>
      </w:r>
      <w:r w:rsidRPr="00E64B45">
        <w:rPr>
          <w:rFonts w:ascii="Palatino Linotype" w:hAnsi="Palatino Linotype"/>
          <w:sz w:val="21"/>
          <w:szCs w:val="21"/>
        </w:rPr>
        <w:t>úblico</w:t>
      </w:r>
      <w:r w:rsidR="00D82F1A" w:rsidRPr="00E64B45">
        <w:rPr>
          <w:rFonts w:ascii="Palatino Linotype" w:hAnsi="Palatino Linotype"/>
          <w:sz w:val="21"/>
          <w:szCs w:val="21"/>
        </w:rPr>
        <w:t xml:space="preserve"> </w:t>
      </w:r>
      <w:r w:rsidR="00686FA1">
        <w:rPr>
          <w:rFonts w:ascii="Palatino Linotype" w:hAnsi="Palatino Linotype"/>
          <w:sz w:val="22"/>
          <w:szCs w:val="22"/>
        </w:rPr>
        <w:t xml:space="preserve">. </w:t>
      </w:r>
      <w:r w:rsidR="00D46C56" w:rsidRPr="00E64B45">
        <w:rPr>
          <w:rFonts w:ascii="Palatino Linotype" w:hAnsi="Palatino Linotype"/>
          <w:sz w:val="21"/>
          <w:szCs w:val="21"/>
        </w:rPr>
        <w:t>E</w:t>
      </w:r>
      <w:r w:rsidR="00D82F1A" w:rsidRPr="00E64B45">
        <w:rPr>
          <w:rFonts w:ascii="Palatino Linotype" w:hAnsi="Palatino Linotype"/>
          <w:sz w:val="21"/>
          <w:szCs w:val="21"/>
        </w:rPr>
        <w:t>n e</w:t>
      </w:r>
      <w:r w:rsidR="00D46C56" w:rsidRPr="00E64B45">
        <w:rPr>
          <w:rFonts w:ascii="Palatino Linotype" w:hAnsi="Palatino Linotype"/>
          <w:sz w:val="21"/>
          <w:szCs w:val="21"/>
        </w:rPr>
        <w:t xml:space="preserve">l </w:t>
      </w:r>
      <w:r w:rsidR="00115483" w:rsidRPr="00E64B45">
        <w:rPr>
          <w:rFonts w:ascii="Palatino Linotype" w:hAnsi="Palatino Linotype"/>
          <w:sz w:val="21"/>
          <w:szCs w:val="21"/>
        </w:rPr>
        <w:t>informe técnico Nro. IT-004-DMPPS-STHV-2021 de la Secretaría de Territorio, Hábitat y Vivienda</w:t>
      </w:r>
      <w:r w:rsidR="008B22D9" w:rsidRPr="00E64B45">
        <w:rPr>
          <w:rFonts w:ascii="Palatino Linotype" w:hAnsi="Palatino Linotype"/>
          <w:sz w:val="21"/>
          <w:szCs w:val="21"/>
        </w:rPr>
        <w:t xml:space="preserve"> detalla los aportes </w:t>
      </w:r>
      <w:r w:rsidR="00D82F1A" w:rsidRPr="00E64B45">
        <w:rPr>
          <w:rFonts w:ascii="Palatino Linotype" w:hAnsi="Palatino Linotype"/>
          <w:sz w:val="21"/>
          <w:szCs w:val="21"/>
        </w:rPr>
        <w:t>urbanísticos</w:t>
      </w:r>
      <w:r w:rsidR="008B22D9" w:rsidRPr="00E64B45">
        <w:rPr>
          <w:rFonts w:ascii="Palatino Linotype" w:hAnsi="Palatino Linotype"/>
          <w:sz w:val="21"/>
          <w:szCs w:val="21"/>
        </w:rPr>
        <w:t xml:space="preserve"> </w:t>
      </w:r>
      <w:r w:rsidR="001E4D8C" w:rsidRPr="00E64B45">
        <w:rPr>
          <w:rFonts w:ascii="Palatino Linotype" w:hAnsi="Palatino Linotype"/>
          <w:sz w:val="21"/>
          <w:szCs w:val="21"/>
        </w:rPr>
        <w:t xml:space="preserve">al predio </w:t>
      </w:r>
      <w:r w:rsidR="00D82F1A" w:rsidRPr="00E64B45">
        <w:rPr>
          <w:rFonts w:ascii="Palatino Linotype" w:hAnsi="Palatino Linotype"/>
          <w:sz w:val="21"/>
          <w:szCs w:val="21"/>
        </w:rPr>
        <w:t>en mención</w:t>
      </w:r>
      <w:r w:rsidR="00D46C56" w:rsidRPr="00E64B45">
        <w:rPr>
          <w:rFonts w:ascii="Palatino Linotype" w:hAnsi="Palatino Linotype"/>
          <w:sz w:val="21"/>
          <w:szCs w:val="21"/>
        </w:rPr>
        <w:t>.</w:t>
      </w:r>
    </w:p>
    <w:p w14:paraId="4FB89BA8" w14:textId="4FEF3B14" w:rsidR="00115483" w:rsidRPr="00E64B45" w:rsidRDefault="00D646DE" w:rsidP="00115483">
      <w:pPr>
        <w:pStyle w:val="NormalWeb"/>
        <w:jc w:val="both"/>
        <w:rPr>
          <w:rFonts w:ascii="Palatino Linotype" w:hAnsi="Palatino Linotype"/>
          <w:position w:val="2"/>
          <w:sz w:val="21"/>
          <w:szCs w:val="21"/>
        </w:rPr>
      </w:pPr>
      <w:r w:rsidRPr="00E64B45">
        <w:rPr>
          <w:rFonts w:ascii="Palatino Linotype" w:hAnsi="Palatino Linotype"/>
          <w:sz w:val="21"/>
          <w:szCs w:val="21"/>
        </w:rPr>
        <w:t>En</w:t>
      </w:r>
      <w:r w:rsidR="00115483" w:rsidRPr="00E64B45">
        <w:rPr>
          <w:rFonts w:ascii="Palatino Linotype" w:hAnsi="Palatino Linotype"/>
          <w:sz w:val="21"/>
          <w:szCs w:val="21"/>
        </w:rPr>
        <w:t xml:space="preserve"> la referida Resolución N</w:t>
      </w:r>
      <w:r w:rsidR="002C7440" w:rsidRPr="00E64B45">
        <w:rPr>
          <w:rFonts w:ascii="Palatino Linotype" w:hAnsi="Palatino Linotype"/>
          <w:sz w:val="21"/>
          <w:szCs w:val="21"/>
        </w:rPr>
        <w:t>r</w:t>
      </w:r>
      <w:r w:rsidR="00115483" w:rsidRPr="00E64B45">
        <w:rPr>
          <w:rFonts w:ascii="Palatino Linotype" w:hAnsi="Palatino Linotype"/>
          <w:sz w:val="21"/>
          <w:szCs w:val="21"/>
        </w:rPr>
        <w:t xml:space="preserve">o. C 021-2021, se incluyó además, que de manera previa a la asignación de los datos de uso de suelo y zonificación para el lote con número de predio Nro. 279520, se deberá suscribir un convenio </w:t>
      </w:r>
      <w:r w:rsidR="00E1733A">
        <w:rPr>
          <w:rFonts w:ascii="Palatino Linotype" w:hAnsi="Palatino Linotype"/>
          <w:sz w:val="22"/>
          <w:szCs w:val="22"/>
        </w:rPr>
        <w:t>para el cumplimiento y entrega de aportes</w:t>
      </w:r>
      <w:r w:rsidR="00E1733A" w:rsidRPr="00666F59">
        <w:rPr>
          <w:rFonts w:ascii="Palatino Linotype" w:hAnsi="Palatino Linotype"/>
          <w:sz w:val="22"/>
          <w:szCs w:val="22"/>
        </w:rPr>
        <w:t xml:space="preserve"> </w:t>
      </w:r>
      <w:r w:rsidR="00E1733A">
        <w:rPr>
          <w:rFonts w:ascii="Palatino Linotype" w:hAnsi="Palatino Linotype"/>
          <w:sz w:val="22"/>
          <w:szCs w:val="22"/>
        </w:rPr>
        <w:t>por parte del</w:t>
      </w:r>
      <w:r w:rsidR="00E1733A" w:rsidRPr="00E64B45">
        <w:rPr>
          <w:rFonts w:ascii="Palatino Linotype" w:hAnsi="Palatino Linotype"/>
          <w:sz w:val="21"/>
          <w:szCs w:val="21"/>
        </w:rPr>
        <w:t xml:space="preserve"> </w:t>
      </w:r>
      <w:r w:rsidR="00115483" w:rsidRPr="00E64B45">
        <w:rPr>
          <w:rFonts w:ascii="Palatino Linotype" w:hAnsi="Palatino Linotype"/>
          <w:sz w:val="21"/>
          <w:szCs w:val="21"/>
        </w:rPr>
        <w:t xml:space="preserve">propietario </w:t>
      </w:r>
      <w:r w:rsidR="00E1733A">
        <w:rPr>
          <w:rFonts w:ascii="Palatino Linotype" w:hAnsi="Palatino Linotype"/>
          <w:sz w:val="21"/>
          <w:szCs w:val="21"/>
        </w:rPr>
        <w:t>hacia</w:t>
      </w:r>
      <w:r w:rsidR="00115483" w:rsidRPr="00E64B45">
        <w:rPr>
          <w:rFonts w:ascii="Palatino Linotype" w:hAnsi="Palatino Linotype"/>
          <w:sz w:val="21"/>
          <w:szCs w:val="21"/>
        </w:rPr>
        <w:t xml:space="preserve"> el Municipio del Distrito Metropolitano de Quito, a través de la Empresa Publica Metropolitana</w:t>
      </w:r>
      <w:r w:rsidR="00D82F1A" w:rsidRPr="00E64B45">
        <w:rPr>
          <w:rFonts w:ascii="Palatino Linotype" w:hAnsi="Palatino Linotype"/>
          <w:sz w:val="21"/>
          <w:szCs w:val="21"/>
        </w:rPr>
        <w:t xml:space="preserve"> de Movilidad y Obras </w:t>
      </w:r>
      <w:r w:rsidR="00DC5800" w:rsidRPr="00E64B45">
        <w:rPr>
          <w:rFonts w:ascii="Palatino Linotype" w:hAnsi="Palatino Linotype"/>
          <w:sz w:val="21"/>
          <w:szCs w:val="21"/>
        </w:rPr>
        <w:t>Publica</w:t>
      </w:r>
      <w:r w:rsidR="00D82F1A" w:rsidRPr="00E64B45">
        <w:rPr>
          <w:rFonts w:ascii="Palatino Linotype" w:hAnsi="Palatino Linotype"/>
          <w:sz w:val="21"/>
          <w:szCs w:val="21"/>
        </w:rPr>
        <w:t xml:space="preserve">. </w:t>
      </w:r>
      <w:r w:rsidR="00DC5800" w:rsidRPr="00E64B45">
        <w:rPr>
          <w:rFonts w:ascii="Palatino Linotype" w:hAnsi="Palatino Linotype"/>
          <w:sz w:val="21"/>
          <w:szCs w:val="21"/>
        </w:rPr>
        <w:t xml:space="preserve">Dicho </w:t>
      </w:r>
      <w:r w:rsidR="00115483" w:rsidRPr="00E64B45">
        <w:rPr>
          <w:rFonts w:ascii="Palatino Linotype" w:hAnsi="Palatino Linotype"/>
          <w:position w:val="2"/>
          <w:sz w:val="21"/>
          <w:szCs w:val="21"/>
        </w:rPr>
        <w:t xml:space="preserve">convenio </w:t>
      </w:r>
      <w:r w:rsidR="00115483" w:rsidRPr="00E64B45">
        <w:rPr>
          <w:rFonts w:ascii="Palatino Linotype" w:hAnsi="Palatino Linotype"/>
          <w:sz w:val="21"/>
          <w:szCs w:val="21"/>
        </w:rPr>
        <w:t>fue suscrito el 08 de abril de 2021.</w:t>
      </w:r>
    </w:p>
    <w:p w14:paraId="49A51D97" w14:textId="2E373F48" w:rsidR="00764BA0" w:rsidRDefault="007E10EC" w:rsidP="00D646DE">
      <w:pPr>
        <w:pStyle w:val="NormalWeb"/>
        <w:jc w:val="both"/>
        <w:rPr>
          <w:rFonts w:ascii="Palatino Linotype" w:hAnsi="Palatino Linotype"/>
          <w:sz w:val="21"/>
          <w:szCs w:val="21"/>
        </w:rPr>
      </w:pPr>
      <w:r w:rsidRPr="005D32AC">
        <w:rPr>
          <w:rFonts w:ascii="Palatino Linotype" w:hAnsi="Palatino Linotype"/>
          <w:sz w:val="21"/>
          <w:szCs w:val="21"/>
        </w:rPr>
        <w:t xml:space="preserve">Con los antecedentes expuestos, se </w:t>
      </w:r>
      <w:r w:rsidR="00FA6BC3" w:rsidRPr="005D32AC">
        <w:rPr>
          <w:rFonts w:ascii="Palatino Linotype" w:hAnsi="Palatino Linotype"/>
          <w:sz w:val="21"/>
          <w:szCs w:val="21"/>
        </w:rPr>
        <w:t>concluye</w:t>
      </w:r>
      <w:r w:rsidRPr="005D32AC">
        <w:rPr>
          <w:rFonts w:ascii="Palatino Linotype" w:hAnsi="Palatino Linotype"/>
          <w:sz w:val="21"/>
          <w:szCs w:val="21"/>
        </w:rPr>
        <w:t xml:space="preserve"> que </w:t>
      </w:r>
      <w:r w:rsidR="00115483" w:rsidRPr="005D32AC">
        <w:rPr>
          <w:rFonts w:ascii="Palatino Linotype" w:hAnsi="Palatino Linotype"/>
          <w:sz w:val="21"/>
          <w:szCs w:val="21"/>
        </w:rPr>
        <w:t xml:space="preserve">la </w:t>
      </w:r>
      <w:r w:rsidR="009C0F15" w:rsidRPr="005D32AC">
        <w:rPr>
          <w:rFonts w:ascii="Palatino Linotype" w:hAnsi="Palatino Linotype"/>
          <w:sz w:val="22"/>
          <w:szCs w:val="22"/>
        </w:rPr>
        <w:t xml:space="preserve">Estación </w:t>
      </w:r>
      <w:r w:rsidR="003815D7" w:rsidRPr="005D32AC">
        <w:rPr>
          <w:rFonts w:ascii="Palatino Linotype" w:hAnsi="Palatino Linotype"/>
          <w:sz w:val="22"/>
          <w:szCs w:val="22"/>
        </w:rPr>
        <w:t xml:space="preserve">de Tranferencia </w:t>
      </w:r>
      <w:r w:rsidR="008F540E" w:rsidRPr="005D32AC">
        <w:rPr>
          <w:rFonts w:ascii="Palatino Linotype" w:hAnsi="Palatino Linotype"/>
          <w:sz w:val="22"/>
          <w:szCs w:val="22"/>
        </w:rPr>
        <w:t xml:space="preserve">de </w:t>
      </w:r>
      <w:r w:rsidR="009C0F15" w:rsidRPr="005D32AC">
        <w:rPr>
          <w:rFonts w:ascii="Palatino Linotype" w:hAnsi="Palatino Linotype"/>
          <w:sz w:val="22"/>
          <w:szCs w:val="22"/>
        </w:rPr>
        <w:t>Cumbayá definitiva</w:t>
      </w:r>
      <w:r w:rsidR="00144F45" w:rsidRPr="005D32AC">
        <w:rPr>
          <w:rFonts w:ascii="Palatino Linotype" w:hAnsi="Palatino Linotype"/>
          <w:sz w:val="21"/>
          <w:szCs w:val="21"/>
        </w:rPr>
        <w:t xml:space="preserve"> </w:t>
      </w:r>
      <w:r w:rsidR="00115483" w:rsidRPr="005D32AC">
        <w:rPr>
          <w:rFonts w:ascii="Palatino Linotype" w:hAnsi="Palatino Linotype"/>
          <w:sz w:val="21"/>
          <w:szCs w:val="21"/>
        </w:rPr>
        <w:t>será construida en el predio Nro. 279520</w:t>
      </w:r>
      <w:r w:rsidR="007430D2" w:rsidRPr="005D32AC">
        <w:rPr>
          <w:rFonts w:ascii="Palatino Linotype" w:hAnsi="Palatino Linotype"/>
          <w:sz w:val="21"/>
          <w:szCs w:val="21"/>
        </w:rPr>
        <w:t xml:space="preserve">, </w:t>
      </w:r>
      <w:r w:rsidR="007430D2" w:rsidRPr="005D32AC">
        <w:rPr>
          <w:rFonts w:ascii="Palatino Linotype" w:hAnsi="Palatino Linotype"/>
          <w:sz w:val="22"/>
          <w:szCs w:val="22"/>
        </w:rPr>
        <w:t>según el criterio técnico favorable establecido mediante oficio N</w:t>
      </w:r>
      <w:r w:rsidR="00191C11" w:rsidRPr="005D32AC">
        <w:rPr>
          <w:rFonts w:ascii="Palatino Linotype" w:hAnsi="Palatino Linotype"/>
          <w:sz w:val="22"/>
          <w:szCs w:val="22"/>
        </w:rPr>
        <w:t>r</w:t>
      </w:r>
      <w:r w:rsidR="007430D2" w:rsidRPr="005D32AC">
        <w:rPr>
          <w:rFonts w:ascii="Palatino Linotype" w:hAnsi="Palatino Linotype"/>
          <w:sz w:val="22"/>
          <w:szCs w:val="22"/>
        </w:rPr>
        <w:t>o. SM-2020-245</w:t>
      </w:r>
      <w:r w:rsidR="00191C11" w:rsidRPr="005D32AC">
        <w:rPr>
          <w:rFonts w:ascii="Palatino Linotype" w:hAnsi="Palatino Linotype"/>
          <w:sz w:val="22"/>
          <w:szCs w:val="22"/>
        </w:rPr>
        <w:t>,</w:t>
      </w:r>
      <w:r w:rsidR="007430D2" w:rsidRPr="005D32AC">
        <w:rPr>
          <w:rFonts w:ascii="Palatino Linotype" w:hAnsi="Palatino Linotype"/>
          <w:sz w:val="22"/>
          <w:szCs w:val="22"/>
        </w:rPr>
        <w:t xml:space="preserve"> de 10 de noviembre de 2020</w:t>
      </w:r>
      <w:r w:rsidR="002A7863" w:rsidRPr="005D32AC">
        <w:rPr>
          <w:rFonts w:ascii="Palatino Linotype" w:hAnsi="Palatino Linotype"/>
          <w:sz w:val="22"/>
          <w:szCs w:val="22"/>
        </w:rPr>
        <w:t>,</w:t>
      </w:r>
      <w:r w:rsidR="007430D2" w:rsidRPr="005D32AC">
        <w:rPr>
          <w:rFonts w:ascii="Palatino Linotype" w:hAnsi="Palatino Linotype"/>
          <w:sz w:val="22"/>
          <w:szCs w:val="22"/>
        </w:rPr>
        <w:t xml:space="preserve"> de la </w:t>
      </w:r>
      <w:r w:rsidR="007430D2" w:rsidRPr="005D32AC">
        <w:rPr>
          <w:rFonts w:ascii="Palatino Linotype" w:hAnsi="Palatino Linotype"/>
          <w:sz w:val="22"/>
          <w:szCs w:val="22"/>
        </w:rPr>
        <w:lastRenderedPageBreak/>
        <w:t>Secretaría de Movilidad</w:t>
      </w:r>
      <w:r w:rsidR="008B31E2" w:rsidRPr="005D32AC">
        <w:rPr>
          <w:rFonts w:ascii="Palatino Linotype" w:hAnsi="Palatino Linotype"/>
          <w:sz w:val="21"/>
          <w:szCs w:val="21"/>
        </w:rPr>
        <w:t>;</w:t>
      </w:r>
      <w:r w:rsidR="00FA6BC3" w:rsidRPr="005D32AC">
        <w:rPr>
          <w:rFonts w:ascii="Palatino Linotype" w:hAnsi="Palatino Linotype"/>
          <w:sz w:val="21"/>
          <w:szCs w:val="21"/>
        </w:rPr>
        <w:t xml:space="preserve"> </w:t>
      </w:r>
      <w:r w:rsidR="008B31E2" w:rsidRPr="005D32AC">
        <w:rPr>
          <w:rFonts w:ascii="Palatino Linotype" w:hAnsi="Palatino Linotype"/>
          <w:sz w:val="21"/>
          <w:szCs w:val="21"/>
        </w:rPr>
        <w:t xml:space="preserve">en este sentido, </w:t>
      </w:r>
      <w:r w:rsidR="00AB6562" w:rsidRPr="005D32AC">
        <w:rPr>
          <w:rFonts w:ascii="Palatino Linotype" w:hAnsi="Palatino Linotype"/>
          <w:sz w:val="21"/>
          <w:szCs w:val="21"/>
        </w:rPr>
        <w:t>las asignaciones de uso y zonificación</w:t>
      </w:r>
      <w:r w:rsidR="00D646DE" w:rsidRPr="005D32AC">
        <w:rPr>
          <w:rFonts w:ascii="Palatino Linotype" w:hAnsi="Palatino Linotype"/>
          <w:sz w:val="21"/>
          <w:szCs w:val="21"/>
        </w:rPr>
        <w:t xml:space="preserve"> </w:t>
      </w:r>
      <w:r w:rsidR="00AB6562" w:rsidRPr="005D32AC">
        <w:rPr>
          <w:rFonts w:ascii="Palatino Linotype" w:hAnsi="Palatino Linotype"/>
          <w:sz w:val="21"/>
          <w:szCs w:val="21"/>
        </w:rPr>
        <w:t>otorgadas al</w:t>
      </w:r>
      <w:r w:rsidR="00115483" w:rsidRPr="005D32AC">
        <w:rPr>
          <w:rFonts w:ascii="Palatino Linotype" w:hAnsi="Palatino Linotype"/>
          <w:sz w:val="21"/>
          <w:szCs w:val="21"/>
        </w:rPr>
        <w:t xml:space="preserve"> predio Nro. 3697579,</w:t>
      </w:r>
      <w:r w:rsidR="005C5374" w:rsidRPr="005D32AC">
        <w:rPr>
          <w:rFonts w:ascii="Palatino Linotype" w:hAnsi="Palatino Linotype"/>
          <w:sz w:val="21"/>
          <w:szCs w:val="21"/>
        </w:rPr>
        <w:t xml:space="preserve"> </w:t>
      </w:r>
      <w:r w:rsidR="00D646DE" w:rsidRPr="005D32AC">
        <w:rPr>
          <w:rFonts w:ascii="Palatino Linotype" w:hAnsi="Palatino Linotype"/>
          <w:sz w:val="21"/>
          <w:szCs w:val="21"/>
        </w:rPr>
        <w:t xml:space="preserve"> </w:t>
      </w:r>
      <w:r w:rsidR="00115483" w:rsidRPr="005D32AC">
        <w:rPr>
          <w:rFonts w:ascii="Palatino Linotype" w:hAnsi="Palatino Linotype"/>
          <w:sz w:val="21"/>
          <w:szCs w:val="21"/>
        </w:rPr>
        <w:t xml:space="preserve"> </w:t>
      </w:r>
      <w:r w:rsidR="00AB6562" w:rsidRPr="005D32AC">
        <w:rPr>
          <w:rFonts w:ascii="Palatino Linotype" w:hAnsi="Palatino Linotype"/>
          <w:sz w:val="21"/>
          <w:szCs w:val="21"/>
        </w:rPr>
        <w:t>ya no s</w:t>
      </w:r>
      <w:r w:rsidR="009C5AE1" w:rsidRPr="005D32AC">
        <w:rPr>
          <w:rFonts w:ascii="Palatino Linotype" w:hAnsi="Palatino Linotype"/>
          <w:sz w:val="21"/>
          <w:szCs w:val="21"/>
        </w:rPr>
        <w:t>e justifican</w:t>
      </w:r>
      <w:r w:rsidR="00AB6562" w:rsidRPr="005D32AC">
        <w:rPr>
          <w:rFonts w:ascii="Palatino Linotype" w:hAnsi="Palatino Linotype"/>
          <w:sz w:val="21"/>
          <w:szCs w:val="21"/>
        </w:rPr>
        <w:t xml:space="preserve">, </w:t>
      </w:r>
      <w:r w:rsidR="009C5AE1" w:rsidRPr="005D32AC">
        <w:rPr>
          <w:rFonts w:ascii="Palatino Linotype" w:hAnsi="Palatino Linotype"/>
          <w:sz w:val="21"/>
          <w:szCs w:val="21"/>
        </w:rPr>
        <w:t>por tanto</w:t>
      </w:r>
      <w:r w:rsidR="008B31E2" w:rsidRPr="005D32AC">
        <w:rPr>
          <w:rFonts w:ascii="Palatino Linotype" w:hAnsi="Palatino Linotype"/>
          <w:sz w:val="21"/>
          <w:szCs w:val="21"/>
        </w:rPr>
        <w:t>,</w:t>
      </w:r>
      <w:r w:rsidR="009C5AE1" w:rsidRPr="005D32AC">
        <w:rPr>
          <w:rFonts w:ascii="Palatino Linotype" w:hAnsi="Palatino Linotype"/>
          <w:sz w:val="21"/>
          <w:szCs w:val="21"/>
        </w:rPr>
        <w:t xml:space="preserve"> </w:t>
      </w:r>
      <w:r w:rsidR="00115483" w:rsidRPr="005D32AC">
        <w:rPr>
          <w:rFonts w:ascii="Palatino Linotype" w:hAnsi="Palatino Linotype"/>
          <w:sz w:val="21"/>
          <w:szCs w:val="21"/>
        </w:rPr>
        <w:t>se establece la necesidad de revertir el cambio.</w:t>
      </w:r>
    </w:p>
    <w:p w14:paraId="0224A4ED" w14:textId="257F6AE9" w:rsidR="007A7BD6" w:rsidRPr="00493223" w:rsidRDefault="00764BA0" w:rsidP="00D646DE">
      <w:pPr>
        <w:pStyle w:val="NormalWeb"/>
        <w:jc w:val="both"/>
        <w:rPr>
          <w:rFonts w:ascii="Palatino Linotype" w:hAnsi="Palatino Linotype"/>
          <w:sz w:val="22"/>
          <w:szCs w:val="22"/>
        </w:rPr>
      </w:pPr>
      <w:r w:rsidRPr="008F540E">
        <w:rPr>
          <w:rFonts w:ascii="Palatino Linotype" w:hAnsi="Palatino Linotype"/>
          <w:sz w:val="22"/>
          <w:szCs w:val="22"/>
        </w:rPr>
        <w:t>.</w:t>
      </w:r>
    </w:p>
    <w:p w14:paraId="466B39BF" w14:textId="37C6129E" w:rsidR="003E7193" w:rsidRPr="00E64B45" w:rsidRDefault="003E7193" w:rsidP="009C5AE1">
      <w:pPr>
        <w:pStyle w:val="NormalWeb"/>
        <w:jc w:val="center"/>
        <w:rPr>
          <w:rFonts w:ascii="Palatino Linotype" w:hAnsi="Palatino Linotype"/>
          <w:b/>
          <w:bCs/>
          <w:sz w:val="21"/>
          <w:szCs w:val="21"/>
        </w:rPr>
      </w:pPr>
      <w:r w:rsidRPr="00E64B45">
        <w:rPr>
          <w:rFonts w:ascii="Palatino Linotype" w:hAnsi="Palatino Linotype"/>
          <w:b/>
          <w:bCs/>
          <w:sz w:val="21"/>
          <w:szCs w:val="21"/>
        </w:rPr>
        <w:t>CONSIDERANDOS</w:t>
      </w:r>
    </w:p>
    <w:p w14:paraId="7FC26340" w14:textId="5B1764A3" w:rsidR="00DE1BE5" w:rsidRPr="00E64B45" w:rsidRDefault="003E7193" w:rsidP="00D850D9">
      <w:pPr>
        <w:pStyle w:val="NormalWeb"/>
        <w:jc w:val="both"/>
        <w:rPr>
          <w:rFonts w:ascii="Palatino Linotype" w:hAnsi="Palatino Linotype" w:cs="Arial"/>
          <w:color w:val="222222"/>
          <w:sz w:val="21"/>
          <w:szCs w:val="21"/>
        </w:rPr>
      </w:pPr>
      <w:r w:rsidRPr="00E64B45">
        <w:rPr>
          <w:rFonts w:ascii="Palatino Linotype" w:hAnsi="Palatino Linotype"/>
          <w:b/>
          <w:bCs/>
          <w:sz w:val="21"/>
          <w:szCs w:val="21"/>
        </w:rPr>
        <w:t>Que,</w:t>
      </w:r>
      <w:r w:rsidRPr="00E64B45">
        <w:rPr>
          <w:rFonts w:ascii="Palatino Linotype" w:hAnsi="Palatino Linotype"/>
          <w:sz w:val="21"/>
          <w:szCs w:val="21"/>
        </w:rPr>
        <w:t xml:space="preserve"> </w:t>
      </w:r>
      <w:r w:rsidR="00515FAA" w:rsidRPr="00E64B45">
        <w:rPr>
          <w:rFonts w:ascii="Palatino Linotype" w:hAnsi="Palatino Linotype"/>
          <w:sz w:val="21"/>
          <w:szCs w:val="21"/>
        </w:rPr>
        <w:t xml:space="preserve">los </w:t>
      </w:r>
      <w:r w:rsidR="00515FAA" w:rsidRPr="00703B7B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numerales 1, 6 y 7</w:t>
      </w:r>
      <w:r w:rsidR="00A754CC"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 d</w:t>
      </w:r>
      <w:r w:rsidRPr="00E64B45">
        <w:rPr>
          <w:rFonts w:ascii="Palatino Linotype" w:hAnsi="Palatino Linotype"/>
          <w:sz w:val="21"/>
          <w:szCs w:val="21"/>
        </w:rPr>
        <w:t xml:space="preserve">el artículo </w:t>
      </w:r>
      <w:r w:rsidR="00A754CC" w:rsidRPr="00E64B45">
        <w:rPr>
          <w:rFonts w:ascii="Palatino Linotype" w:hAnsi="Palatino Linotype"/>
          <w:sz w:val="21"/>
          <w:szCs w:val="21"/>
        </w:rPr>
        <w:t>3</w:t>
      </w:r>
      <w:r w:rsidRPr="00E64B45">
        <w:rPr>
          <w:rFonts w:ascii="Palatino Linotype" w:hAnsi="Palatino Linotype"/>
          <w:sz w:val="21"/>
          <w:szCs w:val="21"/>
        </w:rPr>
        <w:t xml:space="preserve"> de la Constitución de la República</w:t>
      </w:r>
      <w:r w:rsidR="002C4967" w:rsidRPr="00E64B45">
        <w:rPr>
          <w:rFonts w:ascii="Palatino Linotype" w:hAnsi="Palatino Linotype"/>
          <w:sz w:val="21"/>
          <w:szCs w:val="21"/>
        </w:rPr>
        <w:t>, en adelante Constitución,</w:t>
      </w:r>
      <w:r w:rsidRPr="00E64B45">
        <w:rPr>
          <w:rFonts w:ascii="Palatino Linotype" w:hAnsi="Palatino Linotype"/>
          <w:sz w:val="21"/>
          <w:szCs w:val="21"/>
        </w:rPr>
        <w:t xml:space="preserve"> </w:t>
      </w:r>
      <w:r w:rsidR="00703B7B" w:rsidRPr="00703B7B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determina</w:t>
      </w:r>
      <w:r w:rsidR="00DD2457"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n</w:t>
      </w:r>
      <w:r w:rsidR="00703B7B" w:rsidRPr="00703B7B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 que son deberes primordiales del Estado</w:t>
      </w:r>
      <w:r w:rsidR="00703B7B" w:rsidRPr="00703B7B">
        <w:rPr>
          <w:rFonts w:ascii="Palatino Linotype" w:hAnsi="Palatino Linotype" w:cs="Arial"/>
          <w:i/>
          <w:iCs/>
          <w:color w:val="222222"/>
          <w:sz w:val="21"/>
          <w:szCs w:val="21"/>
          <w:shd w:val="clear" w:color="auto" w:fill="FFFFFF"/>
        </w:rPr>
        <w:t>: “1. Garantizar sin discriminación alguna el efectivo goce de los derechos establecidos en la Constitución y en los instrumentos internacionales, en particular la educación, la salud, la alimentación, la seguridad social y el agua para sus habitantes”;  “6. Promover el desarrollo equitativo y solidario de todo el territorio, mediante el fortalecimiento del proceso de autonomías y descentralización”; y, “7. “Proteger el patrimonio natural y cultural del país";</w:t>
      </w:r>
      <w:r w:rsidR="007A7BD6" w:rsidRPr="00E64B45">
        <w:rPr>
          <w:rFonts w:ascii="Palatino Linotype" w:hAnsi="Palatino Linotype" w:cs="Arial"/>
          <w:i/>
          <w:iCs/>
          <w:color w:val="222222"/>
          <w:sz w:val="21"/>
          <w:szCs w:val="21"/>
          <w:shd w:val="clear" w:color="auto" w:fill="FFFFFF"/>
        </w:rPr>
        <w:tab/>
      </w:r>
      <w:r w:rsidR="00703B7B" w:rsidRPr="00703B7B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 </w:t>
      </w:r>
      <w:r w:rsidR="00703B7B" w:rsidRPr="00703B7B">
        <w:rPr>
          <w:rFonts w:ascii="Palatino Linotype" w:hAnsi="Palatino Linotype" w:cs="Arial"/>
          <w:color w:val="222222"/>
          <w:sz w:val="21"/>
          <w:szCs w:val="21"/>
        </w:rPr>
        <w:br/>
      </w:r>
      <w:r w:rsidR="00703B7B" w:rsidRPr="00703B7B">
        <w:rPr>
          <w:rFonts w:ascii="Palatino Linotype" w:hAnsi="Palatino Linotype" w:cs="Arial"/>
          <w:color w:val="222222"/>
          <w:sz w:val="21"/>
          <w:szCs w:val="21"/>
        </w:rPr>
        <w:br/>
      </w:r>
      <w:r w:rsidR="00703B7B" w:rsidRPr="00703B7B">
        <w:rPr>
          <w:rFonts w:ascii="Palatino Linotype" w:hAnsi="Palatino Linotype" w:cs="Arial"/>
          <w:b/>
          <w:bCs/>
          <w:color w:val="222222"/>
          <w:sz w:val="21"/>
          <w:szCs w:val="21"/>
          <w:shd w:val="clear" w:color="auto" w:fill="FFFFFF"/>
        </w:rPr>
        <w:t>Que,</w:t>
      </w:r>
      <w:r w:rsidR="00703B7B" w:rsidRPr="00703B7B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    el artículo 14 de la Constitución reconoce el derecho de la población</w:t>
      </w:r>
      <w:r w:rsidR="00ED725E"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:</w:t>
      </w:r>
      <w:r w:rsidR="00703B7B" w:rsidRPr="00703B7B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 “</w:t>
      </w:r>
      <w:r w:rsidR="00703B7B" w:rsidRPr="00703B7B">
        <w:rPr>
          <w:rFonts w:ascii="Palatino Linotype" w:hAnsi="Palatino Linotype" w:cs="Arial"/>
          <w:i/>
          <w:iCs/>
          <w:color w:val="222222"/>
          <w:sz w:val="21"/>
          <w:szCs w:val="21"/>
          <w:shd w:val="clear" w:color="auto" w:fill="FFFFFF"/>
        </w:rPr>
        <w:t>a vivir en un ambiente sano y ecológicamente equilibrado, que garantice la sostenibilidad y el buen vivir, sumak kawsay</w:t>
      </w:r>
      <w:r w:rsidR="00703B7B" w:rsidRPr="00703B7B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”;</w:t>
      </w:r>
    </w:p>
    <w:p w14:paraId="3E09256B" w14:textId="77777777" w:rsidR="0013529D" w:rsidRPr="00E64B45" w:rsidRDefault="00DE1BE5" w:rsidP="00D850D9">
      <w:pPr>
        <w:pStyle w:val="NormalWeb"/>
        <w:jc w:val="both"/>
        <w:rPr>
          <w:rFonts w:ascii="Palatino Linotype" w:hAnsi="Palatino Linotype" w:cs="Arial"/>
          <w:i/>
          <w:iCs/>
          <w:color w:val="222222"/>
          <w:sz w:val="21"/>
          <w:szCs w:val="21"/>
        </w:rPr>
      </w:pPr>
      <w:r w:rsidRPr="00703B7B">
        <w:rPr>
          <w:rFonts w:ascii="Palatino Linotype" w:hAnsi="Palatino Linotype" w:cs="Arial"/>
          <w:b/>
          <w:bCs/>
          <w:color w:val="222222"/>
          <w:sz w:val="21"/>
          <w:szCs w:val="21"/>
          <w:shd w:val="clear" w:color="auto" w:fill="FFFFFF"/>
        </w:rPr>
        <w:t>Que,</w:t>
      </w:r>
      <w:r w:rsidRPr="00703B7B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    el artículo </w:t>
      </w:r>
      <w:r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31</w:t>
      </w:r>
      <w:r w:rsidRPr="00703B7B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 de la Constitución </w:t>
      </w:r>
      <w:r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señala</w:t>
      </w:r>
      <w:r w:rsidRPr="00703B7B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 que</w:t>
      </w:r>
      <w:r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:</w:t>
      </w:r>
      <w:r w:rsidRPr="00703B7B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 </w:t>
      </w:r>
      <w:r w:rsidRPr="00E64B45">
        <w:rPr>
          <w:rFonts w:ascii="Palatino Linotype" w:hAnsi="Palatino Linotype" w:cs="Arial"/>
          <w:color w:val="222222"/>
          <w:sz w:val="21"/>
          <w:szCs w:val="21"/>
        </w:rPr>
        <w:t xml:space="preserve"> </w:t>
      </w:r>
      <w:r w:rsidR="0013529D" w:rsidRPr="00E64B45">
        <w:rPr>
          <w:rFonts w:ascii="Palatino Linotype" w:hAnsi="Palatino Linotype" w:cs="Arial"/>
          <w:i/>
          <w:iCs/>
          <w:color w:val="222222"/>
          <w:sz w:val="21"/>
          <w:szCs w:val="21"/>
        </w:rPr>
        <w:t>“Las personas tienen derecho al disfrute pleno de la ciudad y de sus espacios públicos, bajo los principios de sustentabilidad, justicia social, respeto a las diferentes culturas urbanas y equilibrio entre lo urbano y lo rural. El ejercicio del derecho a la ciudad se basa en la gestión democrática de ésta, en la función social y ambiental de la propiedad y de la ciudad, y en el ejercicio pleno de la ciudadanía.”</w:t>
      </w:r>
    </w:p>
    <w:p w14:paraId="0B18E2E0" w14:textId="38842297" w:rsidR="00B64FB0" w:rsidRPr="00E64B45" w:rsidRDefault="00703B7B" w:rsidP="00D850D9">
      <w:pPr>
        <w:pStyle w:val="NormalWeb"/>
        <w:jc w:val="both"/>
        <w:rPr>
          <w:rFonts w:ascii="Palatino Linotype" w:hAnsi="Palatino Linotype" w:cs="Arial"/>
          <w:i/>
          <w:iCs/>
          <w:color w:val="222222"/>
          <w:sz w:val="21"/>
          <w:szCs w:val="21"/>
          <w:shd w:val="clear" w:color="auto" w:fill="FFFFFF"/>
        </w:rPr>
      </w:pPr>
      <w:r w:rsidRPr="00703B7B">
        <w:rPr>
          <w:rFonts w:ascii="Palatino Linotype" w:hAnsi="Palatino Linotype" w:cs="Arial"/>
          <w:b/>
          <w:bCs/>
          <w:color w:val="222222"/>
          <w:sz w:val="21"/>
          <w:szCs w:val="21"/>
          <w:shd w:val="clear" w:color="auto" w:fill="FFFFFF"/>
        </w:rPr>
        <w:t>Que,</w:t>
      </w:r>
      <w:r w:rsidRPr="00703B7B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    el artículo 71 de la Constitución establece que</w:t>
      </w:r>
      <w:r w:rsidR="00516187"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:</w:t>
      </w:r>
      <w:r w:rsidRPr="00703B7B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 “</w:t>
      </w:r>
      <w:r w:rsidRPr="00703B7B">
        <w:rPr>
          <w:rFonts w:ascii="Palatino Linotype" w:hAnsi="Palatino Linotype" w:cs="Arial"/>
          <w:i/>
          <w:iCs/>
          <w:color w:val="222222"/>
          <w:sz w:val="21"/>
          <w:szCs w:val="21"/>
          <w:shd w:val="clear" w:color="auto" w:fill="FFFFFF"/>
        </w:rPr>
        <w:t>La naturaleza o Pacha Mama, donde se reproduce y realiza la vida, tiene derecho a que se respete integralmente su existencia y el mantenimiento y regeneración de sus ciclos vitales, estructura, funciones y procesos evolutivos.</w:t>
      </w:r>
      <w:r w:rsidRPr="00703B7B">
        <w:rPr>
          <w:rFonts w:ascii="Palatino Linotype" w:hAnsi="Palatino Linotype" w:cs="Arial"/>
          <w:i/>
          <w:iCs/>
          <w:color w:val="222222"/>
          <w:sz w:val="21"/>
          <w:szCs w:val="21"/>
        </w:rPr>
        <w:br/>
      </w:r>
      <w:r w:rsidRPr="00703B7B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 </w:t>
      </w:r>
      <w:r w:rsidR="000E1186"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(…)</w:t>
      </w:r>
      <w:r w:rsidRPr="00703B7B">
        <w:rPr>
          <w:rFonts w:ascii="Palatino Linotype" w:hAnsi="Palatino Linotype" w:cs="Arial"/>
          <w:i/>
          <w:iCs/>
          <w:color w:val="222222"/>
          <w:sz w:val="21"/>
          <w:szCs w:val="21"/>
          <w:shd w:val="clear" w:color="auto" w:fill="FFFFFF"/>
        </w:rPr>
        <w:t>El Estado incentivará a las personas naturales y jurídicas, y a los colectivos, para que protejan la naturaleza, y promoverá el respeto a todos los elementos que forman un ecosistema”;</w:t>
      </w:r>
      <w:r w:rsidRPr="00703B7B">
        <w:rPr>
          <w:rFonts w:ascii="Palatino Linotype" w:hAnsi="Palatino Linotype" w:cs="Arial"/>
          <w:i/>
          <w:iCs/>
          <w:color w:val="222222"/>
          <w:sz w:val="21"/>
          <w:szCs w:val="21"/>
        </w:rPr>
        <w:br/>
      </w:r>
      <w:r w:rsidRPr="00703B7B">
        <w:rPr>
          <w:rFonts w:ascii="Palatino Linotype" w:hAnsi="Palatino Linotype" w:cs="Arial"/>
          <w:i/>
          <w:iCs/>
          <w:color w:val="222222"/>
          <w:sz w:val="21"/>
          <w:szCs w:val="21"/>
        </w:rPr>
        <w:br/>
      </w:r>
      <w:r w:rsidRPr="00703B7B">
        <w:rPr>
          <w:rFonts w:ascii="Palatino Linotype" w:hAnsi="Palatino Linotype" w:cs="Arial"/>
          <w:b/>
          <w:bCs/>
          <w:color w:val="222222"/>
          <w:sz w:val="21"/>
          <w:szCs w:val="21"/>
          <w:shd w:val="clear" w:color="auto" w:fill="FFFFFF"/>
        </w:rPr>
        <w:t>Que</w:t>
      </w:r>
      <w:r w:rsidR="00CB71CB">
        <w:rPr>
          <w:rFonts w:ascii="Palatino Linotype" w:hAnsi="Palatino Linotype" w:cs="Arial"/>
          <w:b/>
          <w:bCs/>
          <w:color w:val="222222"/>
          <w:sz w:val="21"/>
          <w:szCs w:val="21"/>
          <w:shd w:val="clear" w:color="auto" w:fill="FFFFFF"/>
        </w:rPr>
        <w:t>,</w:t>
      </w:r>
      <w:r w:rsidRPr="00703B7B">
        <w:rPr>
          <w:rFonts w:ascii="Palatino Linotype" w:hAnsi="Palatino Linotype" w:cs="Arial"/>
          <w:b/>
          <w:bCs/>
          <w:color w:val="222222"/>
          <w:sz w:val="21"/>
          <w:szCs w:val="21"/>
          <w:shd w:val="clear" w:color="auto" w:fill="FFFFFF"/>
        </w:rPr>
        <w:t> </w:t>
      </w:r>
      <w:r w:rsidRPr="00703B7B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 el artículo 73 de la Constitución </w:t>
      </w:r>
      <w:r w:rsidR="00516187"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determina</w:t>
      </w:r>
      <w:r w:rsidRPr="00703B7B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 que</w:t>
      </w:r>
      <w:r w:rsidR="00516187"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:</w:t>
      </w:r>
      <w:r w:rsidRPr="00703B7B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 “</w:t>
      </w:r>
      <w:r w:rsidRPr="00703B7B">
        <w:rPr>
          <w:rFonts w:ascii="Palatino Linotype" w:hAnsi="Palatino Linotype" w:cs="Arial"/>
          <w:i/>
          <w:iCs/>
          <w:color w:val="222222"/>
          <w:sz w:val="21"/>
          <w:szCs w:val="21"/>
          <w:shd w:val="clear" w:color="auto" w:fill="FFFFFF"/>
        </w:rPr>
        <w:t>El Estado aplicará medidas de precaución y restricción para las actividades que puedan conducir a la extinción de especies, la destrucción de ecosistemas o la alteración permanente de los ciclos naturales”;</w:t>
      </w:r>
      <w:r w:rsidR="007A7BD6" w:rsidRPr="00E64B45">
        <w:rPr>
          <w:rFonts w:ascii="Palatino Linotype" w:hAnsi="Palatino Linotype" w:cs="Arial"/>
          <w:i/>
          <w:iCs/>
          <w:color w:val="222222"/>
          <w:sz w:val="21"/>
          <w:szCs w:val="21"/>
          <w:shd w:val="clear" w:color="auto" w:fill="FFFFFF"/>
        </w:rPr>
        <w:tab/>
      </w:r>
    </w:p>
    <w:p w14:paraId="79F634C1" w14:textId="402FBFDD" w:rsidR="00D850D9" w:rsidRPr="00E64B45" w:rsidRDefault="00B64FB0" w:rsidP="00B64FB0">
      <w:pPr>
        <w:pStyle w:val="NormalWeb"/>
        <w:jc w:val="both"/>
        <w:rPr>
          <w:rFonts w:ascii="Palatino Linotype" w:hAnsi="Palatino Linotype" w:cs="Arial"/>
          <w:i/>
          <w:iCs/>
          <w:color w:val="222222"/>
          <w:sz w:val="21"/>
          <w:szCs w:val="21"/>
          <w:shd w:val="clear" w:color="auto" w:fill="FFFFFF"/>
        </w:rPr>
      </w:pPr>
      <w:r w:rsidRPr="00703B7B">
        <w:rPr>
          <w:rFonts w:ascii="Palatino Linotype" w:hAnsi="Palatino Linotype" w:cs="Arial"/>
          <w:b/>
          <w:bCs/>
          <w:color w:val="222222"/>
          <w:sz w:val="21"/>
          <w:szCs w:val="21"/>
          <w:shd w:val="clear" w:color="auto" w:fill="FFFFFF"/>
        </w:rPr>
        <w:t>Que</w:t>
      </w:r>
      <w:r w:rsidR="00CB71CB">
        <w:rPr>
          <w:rFonts w:ascii="Palatino Linotype" w:hAnsi="Palatino Linotype" w:cs="Arial"/>
          <w:b/>
          <w:bCs/>
          <w:color w:val="222222"/>
          <w:sz w:val="21"/>
          <w:szCs w:val="21"/>
          <w:shd w:val="clear" w:color="auto" w:fill="FFFFFF"/>
        </w:rPr>
        <w:t>,</w:t>
      </w:r>
      <w:r w:rsidRPr="00703B7B">
        <w:rPr>
          <w:rFonts w:ascii="Palatino Linotype" w:hAnsi="Palatino Linotype" w:cs="Arial"/>
          <w:b/>
          <w:bCs/>
          <w:color w:val="222222"/>
          <w:sz w:val="21"/>
          <w:szCs w:val="21"/>
          <w:shd w:val="clear" w:color="auto" w:fill="FFFFFF"/>
        </w:rPr>
        <w:t> </w:t>
      </w:r>
      <w:r w:rsidRPr="00703B7B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 el artículo </w:t>
      </w:r>
      <w:r w:rsidR="00A3523E"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95</w:t>
      </w:r>
      <w:r w:rsidRPr="00703B7B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 de la Constitución </w:t>
      </w:r>
      <w:r w:rsidR="00A3523E"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señal</w:t>
      </w:r>
      <w:r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a</w:t>
      </w:r>
      <w:r w:rsidRPr="00703B7B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 que</w:t>
      </w:r>
      <w:r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: “</w:t>
      </w:r>
      <w:r w:rsidRPr="00E64B45">
        <w:rPr>
          <w:rFonts w:ascii="Palatino Linotype" w:hAnsi="Palatino Linotype" w:cs="Arial"/>
          <w:i/>
          <w:iCs/>
          <w:color w:val="222222"/>
          <w:sz w:val="21"/>
          <w:szCs w:val="21"/>
        </w:rPr>
        <w:t>Las ciudadanas y ciudadanos, en forma individual y colectiva, participarán de manera protagónica en la toma de decisiones, planificación y gestión de los asuntos públicos, y en el control popular de las instituciones del Estado y la sociedad, y de sus representantes, en un proceso permanente de construcción del poder ciudadano. La participación se orientará por los principios de igualdad, autonomía, deliberación pública, respeto a la diferencia, control popular, solidaridad e interculturalidad.</w:t>
      </w:r>
      <w:r w:rsidR="00A3523E" w:rsidRPr="00E64B45">
        <w:rPr>
          <w:rFonts w:ascii="Palatino Linotype" w:hAnsi="Palatino Linotype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r w:rsidRPr="00E64B45">
        <w:rPr>
          <w:rFonts w:ascii="Palatino Linotype" w:hAnsi="Palatino Linotype" w:cs="Arial"/>
          <w:i/>
          <w:iCs/>
          <w:color w:val="222222"/>
          <w:sz w:val="21"/>
          <w:szCs w:val="21"/>
        </w:rPr>
        <w:t>La participación de la ciudadanía en todos los asuntos de interés público es un derecho, que se ejercerá a través de los mecanismos de la democracia representativa, directa y comunitaria.</w:t>
      </w:r>
      <w:r w:rsidR="00A3523E" w:rsidRPr="00E64B45">
        <w:rPr>
          <w:rFonts w:ascii="Palatino Linotype" w:hAnsi="Palatino Linotype" w:cs="Arial"/>
          <w:i/>
          <w:iCs/>
          <w:color w:val="222222"/>
          <w:sz w:val="21"/>
          <w:szCs w:val="21"/>
        </w:rPr>
        <w:t>”</w:t>
      </w:r>
      <w:r w:rsidR="00A3523E" w:rsidRPr="00E64B45">
        <w:rPr>
          <w:rFonts w:ascii="Palatino Linotype" w:hAnsi="Palatino Linotype" w:cs="Arial"/>
          <w:i/>
          <w:iCs/>
          <w:color w:val="222222"/>
          <w:sz w:val="21"/>
          <w:szCs w:val="21"/>
        </w:rPr>
        <w:tab/>
      </w:r>
      <w:r w:rsidR="00703B7B" w:rsidRPr="00703B7B">
        <w:rPr>
          <w:rFonts w:ascii="Palatino Linotype" w:hAnsi="Palatino Linotype" w:cs="Arial"/>
          <w:i/>
          <w:iCs/>
          <w:color w:val="222222"/>
          <w:sz w:val="21"/>
          <w:szCs w:val="21"/>
        </w:rPr>
        <w:br/>
      </w:r>
      <w:r w:rsidR="00703B7B" w:rsidRPr="00703B7B">
        <w:rPr>
          <w:rFonts w:ascii="Palatino Linotype" w:hAnsi="Palatino Linotype" w:cs="Arial"/>
          <w:color w:val="222222"/>
          <w:sz w:val="21"/>
          <w:szCs w:val="21"/>
        </w:rPr>
        <w:br/>
      </w:r>
      <w:r w:rsidR="00703B7B" w:rsidRPr="00703B7B">
        <w:rPr>
          <w:rFonts w:ascii="Palatino Linotype" w:hAnsi="Palatino Linotype" w:cs="Arial"/>
          <w:b/>
          <w:bCs/>
          <w:color w:val="222222"/>
          <w:sz w:val="21"/>
          <w:szCs w:val="21"/>
          <w:shd w:val="clear" w:color="auto" w:fill="FFFFFF"/>
        </w:rPr>
        <w:t>Que,</w:t>
      </w:r>
      <w:r w:rsidR="00703B7B" w:rsidRPr="00703B7B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 el artículo 240 de la Constitución de la República menciona que</w:t>
      </w:r>
      <w:r w:rsidR="00A82BFC"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:</w:t>
      </w:r>
      <w:r w:rsidR="00703B7B" w:rsidRPr="00703B7B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 </w:t>
      </w:r>
      <w:r w:rsidR="00703B7B" w:rsidRPr="00703B7B">
        <w:rPr>
          <w:rFonts w:ascii="Palatino Linotype" w:hAnsi="Palatino Linotype" w:cs="Arial"/>
          <w:i/>
          <w:iCs/>
          <w:color w:val="222222"/>
          <w:sz w:val="21"/>
          <w:szCs w:val="21"/>
          <w:shd w:val="clear" w:color="auto" w:fill="FFFFFF"/>
        </w:rPr>
        <w:t>“los gobiernos autónomos descentralizados de las regiones, distritos metropolitanos, provincias y cantones tendrán facultades legislativas en el ámbito de sus competencias y jurisdicciones territoriales”;</w:t>
      </w:r>
      <w:r w:rsidR="00703B7B" w:rsidRPr="00703B7B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 </w:t>
      </w:r>
    </w:p>
    <w:p w14:paraId="7552B929" w14:textId="626EE761" w:rsidR="00D850D9" w:rsidRPr="00E64B45" w:rsidRDefault="00D850D9" w:rsidP="00D850D9">
      <w:pPr>
        <w:pStyle w:val="NormalWeb"/>
        <w:jc w:val="both"/>
        <w:rPr>
          <w:rFonts w:ascii="Palatino Linotype" w:hAnsi="Palatino Linotype"/>
          <w:sz w:val="21"/>
          <w:szCs w:val="21"/>
        </w:rPr>
      </w:pPr>
      <w:r w:rsidRPr="00E64B45">
        <w:rPr>
          <w:rFonts w:ascii="Palatino Linotype" w:hAnsi="Palatino Linotype"/>
          <w:b/>
          <w:bCs/>
          <w:sz w:val="21"/>
          <w:szCs w:val="21"/>
        </w:rPr>
        <w:lastRenderedPageBreak/>
        <w:t>Que,</w:t>
      </w:r>
      <w:r w:rsidRPr="00E64B45">
        <w:rPr>
          <w:rFonts w:ascii="Palatino Linotype" w:hAnsi="Palatino Linotype"/>
          <w:sz w:val="21"/>
          <w:szCs w:val="21"/>
        </w:rPr>
        <w:t xml:space="preserve"> el artículo 241 de la Constitución señala que: </w:t>
      </w:r>
      <w:r w:rsidRPr="00E64B45">
        <w:rPr>
          <w:rFonts w:ascii="Palatino Linotype" w:hAnsi="Palatino Linotype"/>
          <w:i/>
          <w:iCs/>
          <w:sz w:val="21"/>
          <w:szCs w:val="21"/>
        </w:rPr>
        <w:t xml:space="preserve">"La planificación garantizará el ordenamiento territorial y será obligatoria en todos los gobiernos autónomos descentralizados"; </w:t>
      </w:r>
    </w:p>
    <w:p w14:paraId="556F5734" w14:textId="77777777" w:rsidR="008B09BD" w:rsidRPr="00E64B45" w:rsidRDefault="008B09BD" w:rsidP="008B09BD">
      <w:pPr>
        <w:pStyle w:val="NormalWeb"/>
        <w:jc w:val="both"/>
        <w:rPr>
          <w:rFonts w:ascii="Palatino Linotype" w:hAnsi="Palatino Linotype"/>
          <w:sz w:val="21"/>
          <w:szCs w:val="21"/>
        </w:rPr>
      </w:pPr>
      <w:r w:rsidRPr="00E64B45">
        <w:rPr>
          <w:rFonts w:ascii="Palatino Linotype" w:hAnsi="Palatino Linotype"/>
          <w:b/>
          <w:bCs/>
          <w:sz w:val="21"/>
          <w:szCs w:val="21"/>
        </w:rPr>
        <w:t>Que,</w:t>
      </w:r>
      <w:r w:rsidRPr="00E64B45">
        <w:rPr>
          <w:rFonts w:ascii="Palatino Linotype" w:hAnsi="Palatino Linotype"/>
          <w:sz w:val="21"/>
          <w:szCs w:val="21"/>
        </w:rPr>
        <w:t xml:space="preserve"> los numerales 1 y 2 del artículo 264 de la Constitución señalan como competencias exclusivas de los gobiernos municipales las siguientes: "</w:t>
      </w:r>
      <w:r w:rsidRPr="00E64B45">
        <w:rPr>
          <w:rFonts w:ascii="Palatino Linotype" w:hAnsi="Palatino Linotype"/>
          <w:i/>
          <w:iCs/>
          <w:sz w:val="21"/>
          <w:szCs w:val="21"/>
        </w:rPr>
        <w:t>1</w:t>
      </w:r>
      <w:r w:rsidRPr="00E64B45">
        <w:rPr>
          <w:rFonts w:ascii="Palatino Linotype" w:hAnsi="Palatino Linotype"/>
          <w:sz w:val="21"/>
          <w:szCs w:val="21"/>
        </w:rPr>
        <w:t xml:space="preserve">. </w:t>
      </w:r>
      <w:r w:rsidRPr="00E64B45">
        <w:rPr>
          <w:rFonts w:ascii="Palatino Linotype" w:hAnsi="Palatino Linotype"/>
          <w:i/>
          <w:iCs/>
          <w:sz w:val="21"/>
          <w:szCs w:val="21"/>
        </w:rPr>
        <w:t xml:space="preserve">Planificar el desarrollo cantonal y formular los correspondientes planes de ordenamiento territorial, de manera articulada con la planificación nacional, regional, provincial y parroquial, con el fin de regular el uso y la ocupación del suelo urbano y rural; 2. Ejercer el control sobre el uso y ocupación del suelo en el cantón"; </w:t>
      </w:r>
    </w:p>
    <w:p w14:paraId="4B8D4D09" w14:textId="77777777" w:rsidR="00F62930" w:rsidRPr="00E64B45" w:rsidRDefault="003E7193" w:rsidP="00F62930">
      <w:pPr>
        <w:pStyle w:val="NormalWeb"/>
        <w:jc w:val="both"/>
        <w:rPr>
          <w:rFonts w:ascii="Palatino Linotype" w:hAnsi="Palatino Linotype"/>
          <w:sz w:val="21"/>
          <w:szCs w:val="21"/>
        </w:rPr>
      </w:pPr>
      <w:r w:rsidRPr="00E64B45">
        <w:rPr>
          <w:rFonts w:ascii="Palatino Linotype" w:hAnsi="Palatino Linotype"/>
          <w:b/>
          <w:bCs/>
          <w:sz w:val="21"/>
          <w:szCs w:val="21"/>
        </w:rPr>
        <w:t>Que,</w:t>
      </w:r>
      <w:r w:rsidRPr="00E64B45">
        <w:rPr>
          <w:rFonts w:ascii="Palatino Linotype" w:hAnsi="Palatino Linotype"/>
          <w:sz w:val="21"/>
          <w:szCs w:val="21"/>
        </w:rPr>
        <w:t xml:space="preserve"> </w:t>
      </w:r>
      <w:r w:rsidR="002C4967" w:rsidRPr="00E64B45">
        <w:rPr>
          <w:rFonts w:ascii="Palatino Linotype" w:hAnsi="Palatino Linotype"/>
          <w:sz w:val="21"/>
          <w:szCs w:val="21"/>
        </w:rPr>
        <w:t xml:space="preserve">el artículo 266 de </w:t>
      </w:r>
      <w:r w:rsidRPr="00E64B45">
        <w:rPr>
          <w:rFonts w:ascii="Palatino Linotype" w:hAnsi="Palatino Linotype"/>
          <w:sz w:val="21"/>
          <w:szCs w:val="21"/>
        </w:rPr>
        <w:t>la Constitución</w:t>
      </w:r>
      <w:r w:rsidR="002C4967" w:rsidRPr="00E64B45">
        <w:rPr>
          <w:rFonts w:ascii="Palatino Linotype" w:hAnsi="Palatino Linotype"/>
          <w:sz w:val="21"/>
          <w:szCs w:val="21"/>
        </w:rPr>
        <w:t xml:space="preserve"> </w:t>
      </w:r>
      <w:r w:rsidRPr="00E64B45">
        <w:rPr>
          <w:rFonts w:ascii="Palatino Linotype" w:hAnsi="Palatino Linotype"/>
          <w:sz w:val="21"/>
          <w:szCs w:val="21"/>
        </w:rPr>
        <w:t xml:space="preserve">determina: </w:t>
      </w:r>
      <w:r w:rsidRPr="00E64B45">
        <w:rPr>
          <w:rFonts w:ascii="Palatino Linotype" w:hAnsi="Palatino Linotype"/>
          <w:i/>
          <w:iCs/>
          <w:sz w:val="21"/>
          <w:szCs w:val="21"/>
        </w:rPr>
        <w:t xml:space="preserve">"Los gobiernos de los distritos metropolitanos autónomos ejercerán las competencias que corresponden a los gobiernos cantonales y todas las que sean aplicables a los gobiernos provinciales y regionales, sin perjuicio de las adicionales que determine la ley que regule el sistema nacional de competencias </w:t>
      </w:r>
      <w:r w:rsidRPr="00E64B45">
        <w:rPr>
          <w:rFonts w:ascii="Palatino Linotype" w:hAnsi="Palatino Linotype"/>
          <w:sz w:val="21"/>
          <w:szCs w:val="21"/>
        </w:rPr>
        <w:t>(...)</w:t>
      </w:r>
      <w:r w:rsidR="002C4967" w:rsidRPr="00E64B45">
        <w:rPr>
          <w:rFonts w:ascii="Palatino Linotype" w:hAnsi="Palatino Linotype"/>
          <w:sz w:val="21"/>
          <w:szCs w:val="21"/>
        </w:rPr>
        <w:t>;</w:t>
      </w:r>
    </w:p>
    <w:p w14:paraId="6D09DA13" w14:textId="4B5B8533" w:rsidR="0013529D" w:rsidRPr="00E64B45" w:rsidRDefault="006D0BA1" w:rsidP="00F3128F">
      <w:pPr>
        <w:pStyle w:val="NormalWeb"/>
        <w:jc w:val="both"/>
        <w:rPr>
          <w:rFonts w:ascii="Palatino Linotype" w:hAnsi="Palatino Linotype" w:cs="Arial"/>
          <w:b/>
          <w:bCs/>
          <w:color w:val="222222"/>
          <w:sz w:val="21"/>
          <w:szCs w:val="21"/>
          <w:shd w:val="clear" w:color="auto" w:fill="FFFFFF"/>
        </w:rPr>
      </w:pPr>
      <w:r w:rsidRPr="006D0BA1">
        <w:rPr>
          <w:rFonts w:ascii="Palatino Linotype" w:hAnsi="Palatino Linotype" w:cs="Arial"/>
          <w:b/>
          <w:bCs/>
          <w:color w:val="222222"/>
          <w:sz w:val="21"/>
          <w:szCs w:val="21"/>
          <w:shd w:val="clear" w:color="auto" w:fill="FFFFFF"/>
        </w:rPr>
        <w:t>Que</w:t>
      </w:r>
      <w:r w:rsidRPr="006D0BA1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, el artículo 409 de la Constitución </w:t>
      </w:r>
      <w:r w:rsidR="005716CF"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determina que</w:t>
      </w:r>
      <w:r w:rsidRPr="006D0BA1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: “</w:t>
      </w:r>
      <w:r w:rsidRPr="006D0BA1">
        <w:rPr>
          <w:rFonts w:ascii="Palatino Linotype" w:hAnsi="Palatino Linotype" w:cs="Arial"/>
          <w:i/>
          <w:iCs/>
          <w:color w:val="222222"/>
          <w:sz w:val="21"/>
          <w:szCs w:val="21"/>
          <w:shd w:val="clear" w:color="auto" w:fill="FFFFFF"/>
        </w:rPr>
        <w:t>Es de interés público y prioridad nacional la conservación del suelo, en especial su capa fértil. Se establecerá un marco normativo para su protección y uso sustentable que prevenga su degradación, en particular la provocada por la contaminación, la desertificación y la erosión";</w:t>
      </w:r>
      <w:r w:rsidR="00C51619" w:rsidRPr="00E64B45">
        <w:rPr>
          <w:rFonts w:ascii="Palatino Linotype" w:hAnsi="Palatino Linotype" w:cs="Arial"/>
          <w:i/>
          <w:iCs/>
          <w:color w:val="222222"/>
          <w:sz w:val="21"/>
          <w:szCs w:val="21"/>
          <w:shd w:val="clear" w:color="auto" w:fill="FFFFFF"/>
        </w:rPr>
        <w:tab/>
      </w:r>
    </w:p>
    <w:p w14:paraId="60201A85" w14:textId="342E3DE9" w:rsidR="00F3128F" w:rsidRPr="00E64B45" w:rsidRDefault="003F3FD0" w:rsidP="00F3128F">
      <w:pPr>
        <w:pStyle w:val="NormalWeb"/>
        <w:jc w:val="both"/>
        <w:rPr>
          <w:rFonts w:ascii="Palatino Linotype" w:hAnsi="Palatino Linotype" w:cs="Arial"/>
          <w:b/>
          <w:bCs/>
          <w:color w:val="222222"/>
          <w:sz w:val="21"/>
          <w:szCs w:val="21"/>
          <w:shd w:val="clear" w:color="auto" w:fill="FFFFFF"/>
        </w:rPr>
      </w:pPr>
      <w:r w:rsidRPr="003F3FD0">
        <w:rPr>
          <w:rFonts w:ascii="Palatino Linotype" w:hAnsi="Palatino Linotype" w:cs="Arial"/>
          <w:b/>
          <w:bCs/>
          <w:color w:val="222222"/>
          <w:sz w:val="21"/>
          <w:szCs w:val="21"/>
          <w:shd w:val="clear" w:color="auto" w:fill="FFFFFF"/>
        </w:rPr>
        <w:t>Que,</w:t>
      </w:r>
      <w:r w:rsidRPr="003F3FD0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 el</w:t>
      </w:r>
      <w:r w:rsidR="0066503B"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 literal d)</w:t>
      </w:r>
      <w:r w:rsidR="00914905"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 del</w:t>
      </w:r>
      <w:r w:rsidRPr="003F3FD0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 artículo 4 del Código Orgánico de Organización Territorial, Autonomía y Descentralización, </w:t>
      </w:r>
      <w:r w:rsidR="0066503B" w:rsidRPr="00E64B45">
        <w:rPr>
          <w:rFonts w:ascii="Palatino Linotype" w:hAnsi="Palatino Linotype"/>
          <w:sz w:val="21"/>
          <w:szCs w:val="21"/>
        </w:rPr>
        <w:t xml:space="preserve">en adelante COOTAD, </w:t>
      </w:r>
      <w:r w:rsidR="0066503B"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e</w:t>
      </w:r>
      <w:r w:rsidRPr="003F3FD0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stablece que</w:t>
      </w:r>
      <w:r w:rsidR="0066503B"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:</w:t>
      </w:r>
      <w:r w:rsidRPr="003F3FD0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 </w:t>
      </w:r>
      <w:r w:rsidRPr="003F3FD0">
        <w:rPr>
          <w:rFonts w:ascii="Palatino Linotype" w:hAnsi="Palatino Linotype" w:cs="Arial"/>
          <w:i/>
          <w:iCs/>
          <w:color w:val="222222"/>
          <w:sz w:val="21"/>
          <w:szCs w:val="21"/>
          <w:shd w:val="clear" w:color="auto" w:fill="FFFFFF"/>
        </w:rPr>
        <w:t>“dentro de sus respectivas circunscripciones territoriales son fines de los gobiernos autónomos descentralizados: d) La recuperación y conservación de la naturaleza y el mantenimiento de un ambiente sostenible y sustentable”; </w:t>
      </w:r>
    </w:p>
    <w:p w14:paraId="4A6046C6" w14:textId="26C4B16D" w:rsidR="003E7193" w:rsidRPr="00E64B45" w:rsidRDefault="003E7193" w:rsidP="00FD2FDB">
      <w:pPr>
        <w:pStyle w:val="NormalWeb"/>
        <w:jc w:val="both"/>
        <w:rPr>
          <w:rFonts w:ascii="Palatino Linotype" w:hAnsi="Palatino Linotype" w:cs="Arial"/>
          <w:i/>
          <w:iCs/>
          <w:color w:val="222222"/>
          <w:sz w:val="21"/>
          <w:szCs w:val="21"/>
          <w:shd w:val="clear" w:color="auto" w:fill="FFFFFF"/>
        </w:rPr>
      </w:pPr>
      <w:r w:rsidRPr="00E64B45">
        <w:rPr>
          <w:rFonts w:ascii="Palatino Linotype" w:hAnsi="Palatino Linotype"/>
          <w:b/>
          <w:bCs/>
          <w:sz w:val="21"/>
          <w:szCs w:val="21"/>
        </w:rPr>
        <w:t>Que,</w:t>
      </w:r>
      <w:r w:rsidRPr="00E64B45">
        <w:rPr>
          <w:rFonts w:ascii="Palatino Linotype" w:hAnsi="Palatino Linotype"/>
          <w:sz w:val="21"/>
          <w:szCs w:val="21"/>
        </w:rPr>
        <w:t xml:space="preserve"> </w:t>
      </w:r>
      <w:r w:rsidR="002C4967" w:rsidRPr="00E64B45">
        <w:rPr>
          <w:rFonts w:ascii="Palatino Linotype" w:hAnsi="Palatino Linotype"/>
          <w:sz w:val="21"/>
          <w:szCs w:val="21"/>
        </w:rPr>
        <w:t xml:space="preserve"> </w:t>
      </w:r>
      <w:r w:rsidR="000B70E1" w:rsidRPr="00E64B45">
        <w:rPr>
          <w:rFonts w:ascii="Palatino Linotype" w:hAnsi="Palatino Linotype"/>
          <w:sz w:val="21"/>
          <w:szCs w:val="21"/>
        </w:rPr>
        <w:t>los</w:t>
      </w:r>
      <w:r w:rsidRPr="00E64B45">
        <w:rPr>
          <w:rFonts w:ascii="Palatino Linotype" w:hAnsi="Palatino Linotype"/>
          <w:sz w:val="21"/>
          <w:szCs w:val="21"/>
        </w:rPr>
        <w:t xml:space="preserve"> literal</w:t>
      </w:r>
      <w:r w:rsidR="000B70E1" w:rsidRPr="00E64B45">
        <w:rPr>
          <w:rFonts w:ascii="Palatino Linotype" w:hAnsi="Palatino Linotype"/>
          <w:sz w:val="21"/>
          <w:szCs w:val="21"/>
        </w:rPr>
        <w:t>es</w:t>
      </w:r>
      <w:r w:rsidRPr="00E64B45">
        <w:rPr>
          <w:rFonts w:ascii="Palatino Linotype" w:hAnsi="Palatino Linotype"/>
          <w:sz w:val="21"/>
          <w:szCs w:val="21"/>
        </w:rPr>
        <w:t xml:space="preserve"> </w:t>
      </w:r>
      <w:r w:rsidR="00F24F29" w:rsidRPr="00E64B45">
        <w:rPr>
          <w:rFonts w:ascii="Palatino Linotype" w:hAnsi="Palatino Linotype"/>
          <w:sz w:val="21"/>
          <w:szCs w:val="21"/>
        </w:rPr>
        <w:t xml:space="preserve">a), </w:t>
      </w:r>
      <w:r w:rsidRPr="00E64B45">
        <w:rPr>
          <w:rFonts w:ascii="Palatino Linotype" w:hAnsi="Palatino Linotype"/>
          <w:sz w:val="21"/>
          <w:szCs w:val="21"/>
        </w:rPr>
        <w:t xml:space="preserve">c) </w:t>
      </w:r>
      <w:r w:rsidR="000B70E1" w:rsidRPr="00E64B45">
        <w:rPr>
          <w:rFonts w:ascii="Palatino Linotype" w:hAnsi="Palatino Linotype"/>
          <w:sz w:val="21"/>
          <w:szCs w:val="21"/>
        </w:rPr>
        <w:t xml:space="preserve">y e) </w:t>
      </w:r>
      <w:r w:rsidRPr="00E64B45">
        <w:rPr>
          <w:rFonts w:ascii="Palatino Linotype" w:hAnsi="Palatino Linotype"/>
          <w:sz w:val="21"/>
          <w:szCs w:val="21"/>
        </w:rPr>
        <w:t xml:space="preserve">del artículo 84 </w:t>
      </w:r>
      <w:r w:rsidR="002C4967" w:rsidRPr="00E64B45">
        <w:rPr>
          <w:rFonts w:ascii="Palatino Linotype" w:hAnsi="Palatino Linotype"/>
          <w:sz w:val="21"/>
          <w:szCs w:val="21"/>
        </w:rPr>
        <w:t xml:space="preserve"> del </w:t>
      </w:r>
      <w:r w:rsidR="00CD2D08" w:rsidRPr="00E64B45">
        <w:rPr>
          <w:rFonts w:ascii="Palatino Linotype" w:hAnsi="Palatino Linotype"/>
          <w:sz w:val="21"/>
          <w:szCs w:val="21"/>
        </w:rPr>
        <w:t>COOTAD</w:t>
      </w:r>
      <w:r w:rsidR="0066503B" w:rsidRPr="00E64B45">
        <w:rPr>
          <w:rFonts w:ascii="Palatino Linotype" w:hAnsi="Palatino Linotype"/>
          <w:sz w:val="21"/>
          <w:szCs w:val="21"/>
        </w:rPr>
        <w:t xml:space="preserve"> </w:t>
      </w:r>
      <w:r w:rsidRPr="00E64B45">
        <w:rPr>
          <w:rFonts w:ascii="Palatino Linotype" w:hAnsi="Palatino Linotype"/>
          <w:sz w:val="21"/>
          <w:szCs w:val="21"/>
        </w:rPr>
        <w:t>determina</w:t>
      </w:r>
      <w:r w:rsidR="000B70E1" w:rsidRPr="00E64B45">
        <w:rPr>
          <w:rFonts w:ascii="Palatino Linotype" w:hAnsi="Palatino Linotype"/>
          <w:sz w:val="21"/>
          <w:szCs w:val="21"/>
        </w:rPr>
        <w:t>n</w:t>
      </w:r>
      <w:r w:rsidRPr="00E64B45">
        <w:rPr>
          <w:rFonts w:ascii="Palatino Linotype" w:hAnsi="Palatino Linotype"/>
          <w:sz w:val="21"/>
          <w:szCs w:val="21"/>
        </w:rPr>
        <w:t xml:space="preserve"> entre las funciones del gobierno del distrito metropolitano</w:t>
      </w:r>
      <w:r w:rsidR="002C4967" w:rsidRPr="00E64B45">
        <w:rPr>
          <w:rFonts w:ascii="Palatino Linotype" w:hAnsi="Palatino Linotype"/>
          <w:sz w:val="21"/>
          <w:szCs w:val="21"/>
        </w:rPr>
        <w:t xml:space="preserve"> la de: </w:t>
      </w:r>
      <w:r w:rsidR="002C4967" w:rsidRPr="00E64B45">
        <w:rPr>
          <w:rFonts w:ascii="Palatino Linotype" w:hAnsi="Palatino Linotype"/>
          <w:i/>
          <w:iCs/>
          <w:sz w:val="21"/>
          <w:szCs w:val="21"/>
        </w:rPr>
        <w:t>“</w:t>
      </w:r>
      <w:r w:rsidR="007A23EC" w:rsidRPr="00E64B45">
        <w:rPr>
          <w:rFonts w:ascii="Palatino Linotype" w:hAnsi="Palatino Linotype"/>
          <w:i/>
          <w:iCs/>
          <w:sz w:val="21"/>
          <w:szCs w:val="21"/>
        </w:rPr>
        <w:t xml:space="preserve">a) Promover el desarrollo sustentable de su circunscripción distrital metropolitana, para garantizar la realización del buen vivir a través de la implementación de políticas públicas metropolitanas, en el marco de sus competencias constitucionales y legales; </w:t>
      </w:r>
      <w:r w:rsidR="000B70E1" w:rsidRPr="00E64B45">
        <w:rPr>
          <w:rFonts w:ascii="Palatino Linotype" w:hAnsi="Palatino Linotype"/>
          <w:i/>
          <w:iCs/>
          <w:sz w:val="21"/>
          <w:szCs w:val="21"/>
        </w:rPr>
        <w:t xml:space="preserve">c) </w:t>
      </w:r>
      <w:r w:rsidRPr="00E64B45">
        <w:rPr>
          <w:rFonts w:ascii="Palatino Linotype" w:hAnsi="Palatino Linotype"/>
          <w:i/>
          <w:iCs/>
          <w:sz w:val="21"/>
          <w:szCs w:val="21"/>
        </w:rPr>
        <w:t>establecer el régimen de uso del suelo y urbanístico</w:t>
      </w:r>
      <w:r w:rsidR="002C4967" w:rsidRPr="00E64B45">
        <w:rPr>
          <w:rFonts w:ascii="Palatino Linotype" w:hAnsi="Palatino Linotype"/>
          <w:i/>
          <w:iCs/>
          <w:sz w:val="21"/>
          <w:szCs w:val="21"/>
        </w:rPr>
        <w:t xml:space="preserve"> (…)</w:t>
      </w:r>
      <w:r w:rsidR="005B603E" w:rsidRPr="00E64B45">
        <w:rPr>
          <w:rFonts w:ascii="Palatino Linotype" w:hAnsi="Palatino Linotype"/>
          <w:i/>
          <w:iCs/>
          <w:sz w:val="21"/>
          <w:szCs w:val="21"/>
        </w:rPr>
        <w:t xml:space="preserve">, e) </w:t>
      </w:r>
      <w:r w:rsidR="005B603E" w:rsidRPr="00E64B45">
        <w:rPr>
          <w:rFonts w:ascii="Palatino Linotype" w:hAnsi="Palatino Linotype" w:cs="Arial"/>
          <w:i/>
          <w:iCs/>
          <w:color w:val="000000"/>
          <w:sz w:val="21"/>
          <w:szCs w:val="21"/>
          <w:shd w:val="clear" w:color="auto" w:fill="FFFFFF"/>
        </w:rPr>
        <w:t xml:space="preserve">Elaborar y ejecutar el plan metropolitano de desarrollo, de ordenamiento territorial y las políticas públicas en el ámbito de sus competencias y en su circunscripción territorial, de manera coordinada con la planificación nacional, regional, provincial y parroquial, </w:t>
      </w:r>
      <w:r w:rsidR="001E44E8" w:rsidRPr="00E64B45">
        <w:rPr>
          <w:rFonts w:ascii="Palatino Linotype" w:hAnsi="Palatino Linotype" w:cs="Arial"/>
          <w:i/>
          <w:iCs/>
          <w:color w:val="000000"/>
          <w:sz w:val="21"/>
          <w:szCs w:val="21"/>
          <w:shd w:val="clear" w:color="auto" w:fill="FFFFFF"/>
        </w:rPr>
        <w:t>(…)</w:t>
      </w:r>
      <w:r w:rsidR="002C4967" w:rsidRPr="00E64B45">
        <w:rPr>
          <w:rFonts w:ascii="Palatino Linotype" w:hAnsi="Palatino Linotype"/>
          <w:i/>
          <w:iCs/>
          <w:sz w:val="21"/>
          <w:szCs w:val="21"/>
        </w:rPr>
        <w:t>”</w:t>
      </w:r>
      <w:r w:rsidRPr="00E64B45">
        <w:rPr>
          <w:rFonts w:ascii="Palatino Linotype" w:hAnsi="Palatino Linotype"/>
          <w:i/>
          <w:iCs/>
          <w:sz w:val="21"/>
          <w:szCs w:val="21"/>
        </w:rPr>
        <w:t>;</w:t>
      </w:r>
      <w:r w:rsidR="004D26BE" w:rsidRPr="00E64B45">
        <w:rPr>
          <w:rFonts w:ascii="Palatino Linotype" w:hAnsi="Palatino Linotype"/>
          <w:i/>
          <w:iCs/>
          <w:sz w:val="21"/>
          <w:szCs w:val="21"/>
        </w:rPr>
        <w:t xml:space="preserve"> y, </w:t>
      </w:r>
      <w:r w:rsidRPr="00E64B45">
        <w:rPr>
          <w:rFonts w:ascii="Palatino Linotype" w:hAnsi="Palatino Linotype"/>
          <w:i/>
          <w:iCs/>
          <w:sz w:val="21"/>
          <w:szCs w:val="21"/>
        </w:rPr>
        <w:t xml:space="preserve"> </w:t>
      </w:r>
      <w:r w:rsidR="004D26BE" w:rsidRPr="00E64B45">
        <w:rPr>
          <w:rFonts w:ascii="Palatino Linotype" w:hAnsi="Palatino Linotype"/>
          <w:i/>
          <w:iCs/>
          <w:sz w:val="21"/>
          <w:szCs w:val="21"/>
        </w:rPr>
        <w:t>k) Regular, prevenir y controlar la contaminación ambiental en su circunscripción territorial de manera</w:t>
      </w:r>
      <w:r w:rsidR="00FD2FDB" w:rsidRPr="00E64B45">
        <w:rPr>
          <w:rFonts w:ascii="Palatino Linotype" w:hAnsi="Palatino Linotype"/>
          <w:i/>
          <w:iCs/>
          <w:sz w:val="21"/>
          <w:szCs w:val="21"/>
        </w:rPr>
        <w:t xml:space="preserve"> </w:t>
      </w:r>
      <w:r w:rsidR="004D26BE" w:rsidRPr="00E64B45">
        <w:rPr>
          <w:rFonts w:ascii="Palatino Linotype" w:hAnsi="Palatino Linotype"/>
          <w:i/>
          <w:iCs/>
          <w:sz w:val="21"/>
          <w:szCs w:val="21"/>
        </w:rPr>
        <w:t>articulada con las políticas ambientales nacionales;</w:t>
      </w:r>
    </w:p>
    <w:p w14:paraId="60D87713" w14:textId="3DB04FF1" w:rsidR="003E7193" w:rsidRPr="00E64B45" w:rsidRDefault="003E7193" w:rsidP="00905B9C">
      <w:pPr>
        <w:pStyle w:val="NormalWeb"/>
        <w:jc w:val="both"/>
        <w:rPr>
          <w:rFonts w:ascii="Palatino Linotype" w:hAnsi="Palatino Linotype"/>
          <w:sz w:val="21"/>
          <w:szCs w:val="21"/>
        </w:rPr>
      </w:pPr>
      <w:r w:rsidRPr="00E64B45">
        <w:rPr>
          <w:rFonts w:ascii="Palatino Linotype" w:hAnsi="Palatino Linotype"/>
          <w:b/>
          <w:bCs/>
          <w:sz w:val="21"/>
          <w:szCs w:val="21"/>
        </w:rPr>
        <w:t>Que,</w:t>
      </w:r>
      <w:r w:rsidRPr="00E64B45">
        <w:rPr>
          <w:rFonts w:ascii="Palatino Linotype" w:hAnsi="Palatino Linotype"/>
          <w:sz w:val="21"/>
          <w:szCs w:val="21"/>
        </w:rPr>
        <w:t xml:space="preserve"> el artículo 85 del COOTAD, establece que los gobiernos autónomos descentralizados de</w:t>
      </w:r>
      <w:r w:rsidR="002C4967" w:rsidRPr="00E64B45">
        <w:rPr>
          <w:rFonts w:ascii="Palatino Linotype" w:hAnsi="Palatino Linotype"/>
          <w:sz w:val="21"/>
          <w:szCs w:val="21"/>
        </w:rPr>
        <w:t xml:space="preserve"> </w:t>
      </w:r>
      <w:r w:rsidRPr="00E64B45">
        <w:rPr>
          <w:rFonts w:ascii="Palatino Linotype" w:hAnsi="Palatino Linotype"/>
          <w:sz w:val="21"/>
          <w:szCs w:val="21"/>
        </w:rPr>
        <w:t xml:space="preserve">los distritos metropolitanos ejercerán las competencias que corresponden a los gobierno </w:t>
      </w:r>
      <w:r w:rsidR="002C4967" w:rsidRPr="00E64B45">
        <w:rPr>
          <w:rFonts w:ascii="Palatino Linotype" w:hAnsi="Palatino Linotype"/>
          <w:sz w:val="21"/>
          <w:szCs w:val="21"/>
        </w:rPr>
        <w:t xml:space="preserve"> </w:t>
      </w:r>
      <w:r w:rsidRPr="00E64B45">
        <w:rPr>
          <w:rFonts w:ascii="Palatino Linotype" w:hAnsi="Palatino Linotype"/>
          <w:sz w:val="21"/>
          <w:szCs w:val="21"/>
        </w:rPr>
        <w:t xml:space="preserve">cantonales y todas las asumidas de los gobiernos provinciales y regionales, sin perjuicio de las adicionales que se les asigne; </w:t>
      </w:r>
    </w:p>
    <w:p w14:paraId="6B5D081D" w14:textId="03C1FC61" w:rsidR="003E7193" w:rsidRPr="00E64B45" w:rsidRDefault="003E7193" w:rsidP="00905B9C">
      <w:pPr>
        <w:pStyle w:val="NormalWeb"/>
        <w:jc w:val="both"/>
        <w:rPr>
          <w:rFonts w:ascii="Palatino Linotype" w:hAnsi="Palatino Linotype"/>
          <w:sz w:val="21"/>
          <w:szCs w:val="21"/>
        </w:rPr>
      </w:pPr>
      <w:r w:rsidRPr="00E64B45">
        <w:rPr>
          <w:rFonts w:ascii="Palatino Linotype" w:hAnsi="Palatino Linotype"/>
          <w:b/>
          <w:bCs/>
          <w:sz w:val="21"/>
          <w:szCs w:val="21"/>
        </w:rPr>
        <w:t>Que,</w:t>
      </w:r>
      <w:r w:rsidRPr="00E64B45">
        <w:rPr>
          <w:rFonts w:ascii="Palatino Linotype" w:hAnsi="Palatino Linotype"/>
          <w:sz w:val="21"/>
          <w:szCs w:val="21"/>
        </w:rPr>
        <w:t xml:space="preserve"> el </w:t>
      </w:r>
      <w:r w:rsidR="00DC5800" w:rsidRPr="00E64B45">
        <w:rPr>
          <w:rFonts w:ascii="Palatino Linotype" w:hAnsi="Palatino Linotype"/>
          <w:sz w:val="21"/>
          <w:szCs w:val="21"/>
        </w:rPr>
        <w:t>artículo 87 literal a)</w:t>
      </w:r>
      <w:r w:rsidRPr="00E64B45">
        <w:rPr>
          <w:rFonts w:ascii="Palatino Linotype" w:hAnsi="Palatino Linotype"/>
          <w:sz w:val="21"/>
          <w:szCs w:val="21"/>
        </w:rPr>
        <w:t xml:space="preserve"> del COOTAD establece como atribuciones del Concejo </w:t>
      </w:r>
      <w:r w:rsidRPr="00E64B45">
        <w:rPr>
          <w:rFonts w:ascii="Palatino Linotype" w:hAnsi="Palatino Linotype"/>
          <w:position w:val="2"/>
          <w:sz w:val="21"/>
          <w:szCs w:val="21"/>
        </w:rPr>
        <w:t xml:space="preserve">Metropolitano: </w:t>
      </w:r>
      <w:r w:rsidRPr="00E64B45">
        <w:rPr>
          <w:rFonts w:ascii="Palatino Linotype" w:hAnsi="Palatino Linotype"/>
          <w:i/>
          <w:iCs/>
          <w:sz w:val="21"/>
          <w:szCs w:val="21"/>
        </w:rPr>
        <w:t xml:space="preserve">"Ejercer la facultad normativa en las materias de competencia del gobierno autónomo descentralizado metropolitano, mediante la expedición de ordenanzas metropolitanas, acuerdos y resoluciones"; </w:t>
      </w:r>
    </w:p>
    <w:p w14:paraId="6B0D362C" w14:textId="3D7834D1" w:rsidR="003E7193" w:rsidRPr="00E64B45" w:rsidRDefault="003E7193" w:rsidP="00905B9C">
      <w:pPr>
        <w:pStyle w:val="NormalWeb"/>
        <w:jc w:val="both"/>
        <w:rPr>
          <w:rFonts w:ascii="Palatino Linotype" w:hAnsi="Palatino Linotype"/>
          <w:i/>
          <w:iCs/>
          <w:sz w:val="21"/>
          <w:szCs w:val="21"/>
        </w:rPr>
      </w:pPr>
      <w:r w:rsidRPr="00E64B45">
        <w:rPr>
          <w:rFonts w:ascii="Palatino Linotype" w:hAnsi="Palatino Linotype"/>
          <w:b/>
          <w:bCs/>
          <w:position w:val="2"/>
          <w:sz w:val="21"/>
          <w:szCs w:val="21"/>
        </w:rPr>
        <w:t xml:space="preserve">Que, </w:t>
      </w:r>
      <w:r w:rsidRPr="00E64B45">
        <w:rPr>
          <w:rFonts w:ascii="Palatino Linotype" w:hAnsi="Palatino Linotype"/>
          <w:sz w:val="21"/>
          <w:szCs w:val="21"/>
        </w:rPr>
        <w:t xml:space="preserve">conforme lo establece el artículo 87, literal </w:t>
      </w:r>
      <w:r w:rsidR="002C4967" w:rsidRPr="00E64B45">
        <w:rPr>
          <w:rFonts w:ascii="Palatino Linotype" w:hAnsi="Palatino Linotype"/>
          <w:sz w:val="21"/>
          <w:szCs w:val="21"/>
        </w:rPr>
        <w:t>v</w:t>
      </w:r>
      <w:r w:rsidRPr="00E64B45">
        <w:rPr>
          <w:rFonts w:ascii="Palatino Linotype" w:hAnsi="Palatino Linotype"/>
          <w:sz w:val="21"/>
          <w:szCs w:val="21"/>
        </w:rPr>
        <w:t xml:space="preserve">) del COOTAD, al Concejo Metropolitano le </w:t>
      </w:r>
      <w:r w:rsidRPr="00E64B45">
        <w:rPr>
          <w:rFonts w:ascii="Palatino Linotype" w:hAnsi="Palatino Linotype"/>
          <w:position w:val="2"/>
          <w:sz w:val="21"/>
          <w:szCs w:val="21"/>
        </w:rPr>
        <w:t xml:space="preserve">corresponde: "...v) </w:t>
      </w:r>
      <w:r w:rsidRPr="00E64B45">
        <w:rPr>
          <w:rFonts w:ascii="Palatino Linotype" w:hAnsi="Palatino Linotype"/>
          <w:i/>
          <w:iCs/>
          <w:sz w:val="21"/>
          <w:szCs w:val="21"/>
        </w:rPr>
        <w:t xml:space="preserve">Regular y controlar el uso del suelo en el territorio del distrito metropolitano, de conformidad con las leyes sobre la materia, y establecer el régimen urbanístico de la tierra"; </w:t>
      </w:r>
    </w:p>
    <w:p w14:paraId="679ABCF0" w14:textId="2555B8EE" w:rsidR="0005016D" w:rsidRPr="00E64B45" w:rsidRDefault="005E69DE" w:rsidP="002E19B1">
      <w:pPr>
        <w:jc w:val="both"/>
        <w:rPr>
          <w:rFonts w:ascii="Palatino Linotype" w:hAnsi="Palatino Linotype"/>
          <w:sz w:val="21"/>
          <w:szCs w:val="21"/>
        </w:rPr>
      </w:pPr>
      <w:r w:rsidRPr="005E69DE">
        <w:rPr>
          <w:rFonts w:ascii="Palatino Linotype" w:hAnsi="Palatino Linotype" w:cs="Arial"/>
          <w:b/>
          <w:bCs/>
          <w:color w:val="222222"/>
          <w:sz w:val="21"/>
          <w:szCs w:val="21"/>
          <w:shd w:val="clear" w:color="auto" w:fill="FFFFFF"/>
        </w:rPr>
        <w:lastRenderedPageBreak/>
        <w:t>Que,</w:t>
      </w:r>
      <w:r w:rsidRPr="005E69DE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 el artículo 297 del COOTAD señala</w:t>
      </w:r>
      <w:r w:rsidR="00C06FE2"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 que</w:t>
      </w:r>
      <w:r w:rsidRPr="005E69DE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: “</w:t>
      </w:r>
      <w:r w:rsidRPr="005E69DE">
        <w:rPr>
          <w:rFonts w:ascii="Palatino Linotype" w:hAnsi="Palatino Linotype" w:cs="Arial"/>
          <w:i/>
          <w:iCs/>
          <w:color w:val="222222"/>
          <w:sz w:val="21"/>
          <w:szCs w:val="21"/>
          <w:shd w:val="clear" w:color="auto" w:fill="FFFFFF"/>
        </w:rPr>
        <w:t>El ordenamiento del territorio regional, provincial, distrital, cantonal y parroquial, tiene por objeto complementar la planificación económica, social y ambiental con dimensión territorial; racionalizar las intervenciones sobre el territorio; y, orientar su desarrollo y aprovechamiento sostenible, a través de los siguientes objetivos: a) La definición de las estrategias territoriales de uso, ocupación y manejo del suelo en función de los objetivos económicos, sociales, ambientales y</w:t>
      </w:r>
      <w:r w:rsidR="006808EA" w:rsidRPr="00E64B45">
        <w:rPr>
          <w:rFonts w:ascii="Palatino Linotype" w:hAnsi="Palatino Linotype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r w:rsidRPr="005E69DE">
        <w:rPr>
          <w:rFonts w:ascii="Palatino Linotype" w:hAnsi="Palatino Linotype" w:cs="Arial"/>
          <w:i/>
          <w:iCs/>
          <w:color w:val="222222"/>
          <w:sz w:val="21"/>
          <w:szCs w:val="21"/>
          <w:shd w:val="clear" w:color="auto" w:fill="FFFFFF"/>
        </w:rPr>
        <w:t>urbanísticos</w:t>
      </w:r>
      <w:r w:rsidRPr="005E69DE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”;</w:t>
      </w:r>
      <w:r w:rsidR="003035E8"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ab/>
      </w:r>
      <w:r w:rsidRPr="005E69DE">
        <w:rPr>
          <w:rFonts w:ascii="Palatino Linotype" w:hAnsi="Palatino Linotype" w:cs="Arial"/>
          <w:color w:val="222222"/>
          <w:sz w:val="21"/>
          <w:szCs w:val="21"/>
        </w:rPr>
        <w:br/>
      </w:r>
      <w:r w:rsidRPr="005E69DE">
        <w:rPr>
          <w:rFonts w:ascii="Palatino Linotype" w:hAnsi="Palatino Linotype" w:cs="Arial"/>
          <w:color w:val="222222"/>
          <w:sz w:val="21"/>
          <w:szCs w:val="21"/>
        </w:rPr>
        <w:br/>
      </w:r>
      <w:r w:rsidRPr="005E69DE">
        <w:rPr>
          <w:rFonts w:ascii="Palatino Linotype" w:hAnsi="Palatino Linotype" w:cs="Arial"/>
          <w:b/>
          <w:bCs/>
          <w:color w:val="222222"/>
          <w:sz w:val="21"/>
          <w:szCs w:val="21"/>
          <w:shd w:val="clear" w:color="auto" w:fill="FFFFFF"/>
        </w:rPr>
        <w:t>Que,</w:t>
      </w:r>
      <w:r w:rsidRPr="005E69DE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 la Ley Orgánica de Tierras Rurales y Territorios Ancestrales ratifica las funciones ambientales y sociales de la propiedad de la tierra rural, las políticas de apoyo para el cumplimiento de estas funciones, la planificación productiva enmarcada en directrices de planificación y ordenamiento territorial, el control de la expansión urbana en predios rurales;</w:t>
      </w:r>
    </w:p>
    <w:p w14:paraId="189A2A5C" w14:textId="550DE311" w:rsidR="0005016D" w:rsidRPr="00E64B45" w:rsidRDefault="00E80858" w:rsidP="00905B9C">
      <w:pPr>
        <w:pStyle w:val="NormalWeb"/>
        <w:jc w:val="both"/>
        <w:rPr>
          <w:rFonts w:ascii="Palatino Linotype" w:hAnsi="Palatino Linotype"/>
          <w:i/>
          <w:iCs/>
          <w:sz w:val="21"/>
          <w:szCs w:val="21"/>
        </w:rPr>
      </w:pPr>
      <w:r w:rsidRPr="00E64B45">
        <w:rPr>
          <w:rFonts w:ascii="Palatino Linotype" w:hAnsi="Palatino Linotype"/>
          <w:b/>
          <w:bCs/>
          <w:sz w:val="21"/>
          <w:szCs w:val="21"/>
        </w:rPr>
        <w:t xml:space="preserve">Que, </w:t>
      </w:r>
      <w:r w:rsidRPr="00E64B45">
        <w:rPr>
          <w:rFonts w:ascii="Palatino Linotype" w:hAnsi="Palatino Linotype"/>
          <w:bCs/>
          <w:sz w:val="21"/>
          <w:szCs w:val="21"/>
        </w:rPr>
        <w:t xml:space="preserve">el </w:t>
      </w:r>
      <w:r w:rsidRPr="00E64B45">
        <w:rPr>
          <w:rFonts w:ascii="Palatino Linotype" w:hAnsi="Palatino Linotype"/>
          <w:sz w:val="21"/>
          <w:szCs w:val="21"/>
        </w:rPr>
        <w:t xml:space="preserve">numeral 3 del artículo 91 de la Ley Orgánica de Ordenamiento Territorial, Uso y Gestión del Suelo; </w:t>
      </w:r>
      <w:r w:rsidR="00511CE0" w:rsidRPr="00E64B45">
        <w:rPr>
          <w:rFonts w:ascii="Palatino Linotype" w:hAnsi="Palatino Linotype"/>
          <w:sz w:val="21"/>
          <w:szCs w:val="21"/>
        </w:rPr>
        <w:t xml:space="preserve"> en adelante LOOTUGS , </w:t>
      </w:r>
      <w:r w:rsidRPr="00E64B45">
        <w:rPr>
          <w:rFonts w:ascii="Palatino Linotype" w:hAnsi="Palatino Linotype"/>
          <w:sz w:val="21"/>
          <w:szCs w:val="21"/>
        </w:rPr>
        <w:t xml:space="preserve">señala respecto a las atribuciones y obligaciones de los Gobiernos Autónomos Descentralizados metropolitanos para el uso y la gestión del suelo: </w:t>
      </w:r>
      <w:r w:rsidRPr="00E64B45">
        <w:rPr>
          <w:rFonts w:ascii="Palatino Linotype" w:hAnsi="Palatino Linotype"/>
          <w:i/>
          <w:iCs/>
          <w:position w:val="-2"/>
          <w:sz w:val="21"/>
          <w:szCs w:val="21"/>
        </w:rPr>
        <w:t xml:space="preserve">"3. Clasificar el suelo </w:t>
      </w:r>
      <w:r w:rsidRPr="00E64B45">
        <w:rPr>
          <w:rFonts w:ascii="Palatino Linotype" w:hAnsi="Palatino Linotype"/>
          <w:i/>
          <w:iCs/>
          <w:sz w:val="21"/>
          <w:szCs w:val="21"/>
        </w:rPr>
        <w:t>en urbano y rural, y establecer las correspondientes subclasificaciones, asignar los tratamientos urbanísticos, usos y las obligaciones correspondientes, de acuerdo con lo establecido en esta Ley";</w:t>
      </w:r>
    </w:p>
    <w:p w14:paraId="3F76D9FD" w14:textId="5B35030C" w:rsidR="00B25F0F" w:rsidRPr="00E64B45" w:rsidRDefault="003E7193" w:rsidP="00E279AB">
      <w:pPr>
        <w:jc w:val="both"/>
        <w:rPr>
          <w:rFonts w:ascii="Palatino Linotype" w:hAnsi="Palatino Linotype"/>
          <w:i/>
          <w:iCs/>
          <w:sz w:val="21"/>
          <w:szCs w:val="21"/>
        </w:rPr>
      </w:pPr>
      <w:r w:rsidRPr="00E64B45">
        <w:rPr>
          <w:rFonts w:ascii="Palatino Linotype" w:hAnsi="Palatino Linotype"/>
          <w:b/>
          <w:bCs/>
          <w:sz w:val="21"/>
          <w:szCs w:val="21"/>
        </w:rPr>
        <w:t xml:space="preserve">Que, </w:t>
      </w:r>
      <w:r w:rsidR="00867FC4" w:rsidRPr="00E64B45">
        <w:rPr>
          <w:rFonts w:ascii="Palatino Linotype" w:hAnsi="Palatino Linotype"/>
          <w:sz w:val="21"/>
          <w:szCs w:val="21"/>
        </w:rPr>
        <w:t>los</w:t>
      </w:r>
      <w:r w:rsidR="00867FC4" w:rsidRPr="00E64B45">
        <w:rPr>
          <w:rFonts w:ascii="Palatino Linotype" w:hAnsi="Palatino Linotype"/>
          <w:b/>
          <w:bCs/>
          <w:sz w:val="21"/>
          <w:szCs w:val="21"/>
        </w:rPr>
        <w:t xml:space="preserve"> </w:t>
      </w:r>
      <w:r w:rsidR="00867FC4"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numerales 1</w:t>
      </w:r>
      <w:r w:rsidR="00B44DDB"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 </w:t>
      </w:r>
      <w:r w:rsidR="00867FC4"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y 3 d</w:t>
      </w:r>
      <w:r w:rsidR="00B25F0F" w:rsidRPr="00E64B45">
        <w:rPr>
          <w:rFonts w:ascii="Palatino Linotype" w:hAnsi="Palatino Linotype"/>
          <w:sz w:val="21"/>
          <w:szCs w:val="21"/>
        </w:rPr>
        <w:t xml:space="preserve">el artículo 2 de la Ley Orgánica de Régimen para el Distrito Metropolitano de Quito </w:t>
      </w:r>
      <w:r w:rsidR="00B25F0F" w:rsidRPr="00E64B45">
        <w:rPr>
          <w:rFonts w:ascii="Palatino Linotype" w:hAnsi="Palatino Linotype"/>
          <w:position w:val="2"/>
          <w:sz w:val="21"/>
          <w:szCs w:val="21"/>
        </w:rPr>
        <w:t>establece</w:t>
      </w:r>
      <w:r w:rsidR="00867FC4" w:rsidRPr="00E64B45">
        <w:rPr>
          <w:rFonts w:ascii="Palatino Linotype" w:hAnsi="Palatino Linotype"/>
          <w:position w:val="2"/>
          <w:sz w:val="21"/>
          <w:szCs w:val="21"/>
        </w:rPr>
        <w:t>n</w:t>
      </w:r>
      <w:r w:rsidR="00B25F0F" w:rsidRPr="00E64B45">
        <w:rPr>
          <w:rFonts w:ascii="Palatino Linotype" w:hAnsi="Palatino Linotype"/>
          <w:position w:val="2"/>
          <w:sz w:val="21"/>
          <w:szCs w:val="21"/>
        </w:rPr>
        <w:t>: "</w:t>
      </w:r>
      <w:r w:rsidR="00B25F0F" w:rsidRPr="00E64B45">
        <w:rPr>
          <w:rFonts w:ascii="Palatino Linotype" w:hAnsi="Palatino Linotype"/>
          <w:i/>
          <w:position w:val="2"/>
          <w:sz w:val="21"/>
          <w:szCs w:val="21"/>
        </w:rPr>
        <w:t xml:space="preserve">1. </w:t>
      </w:r>
      <w:r w:rsidR="00DC5800" w:rsidRPr="00E64B45">
        <w:rPr>
          <w:rFonts w:ascii="Palatino Linotype" w:hAnsi="Palatino Linotype"/>
          <w:i/>
          <w:iCs/>
          <w:sz w:val="21"/>
          <w:szCs w:val="21"/>
        </w:rPr>
        <w:t>Regulará</w:t>
      </w:r>
      <w:r w:rsidR="00B25F0F" w:rsidRPr="00E64B45">
        <w:rPr>
          <w:rFonts w:ascii="Palatino Linotype" w:hAnsi="Palatino Linotype"/>
          <w:i/>
          <w:iCs/>
          <w:sz w:val="21"/>
          <w:szCs w:val="21"/>
        </w:rPr>
        <w:t xml:space="preserve"> el uso y la adecuad</w:t>
      </w:r>
      <w:r w:rsidR="00DC5800" w:rsidRPr="00E64B45">
        <w:rPr>
          <w:rFonts w:ascii="Palatino Linotype" w:hAnsi="Palatino Linotype"/>
          <w:i/>
          <w:iCs/>
          <w:sz w:val="21"/>
          <w:szCs w:val="21"/>
        </w:rPr>
        <w:t xml:space="preserve">a ocupación del suelo y ejercerá </w:t>
      </w:r>
      <w:r w:rsidR="00B25F0F" w:rsidRPr="00E64B45">
        <w:rPr>
          <w:rFonts w:ascii="Palatino Linotype" w:hAnsi="Palatino Linotype"/>
          <w:i/>
          <w:iCs/>
          <w:sz w:val="21"/>
          <w:szCs w:val="21"/>
        </w:rPr>
        <w:t xml:space="preserve"> control sobre el mismo con comp</w:t>
      </w:r>
      <w:r w:rsidR="00DC5800" w:rsidRPr="00E64B45">
        <w:rPr>
          <w:rFonts w:ascii="Palatino Linotype" w:hAnsi="Palatino Linotype"/>
          <w:i/>
          <w:iCs/>
          <w:sz w:val="21"/>
          <w:szCs w:val="21"/>
        </w:rPr>
        <w:t>etencia exclusiva y privativa (.</w:t>
      </w:r>
      <w:r w:rsidR="00B25F0F" w:rsidRPr="00E64B45">
        <w:rPr>
          <w:rFonts w:ascii="Palatino Linotype" w:hAnsi="Palatino Linotype"/>
          <w:i/>
          <w:iCs/>
          <w:sz w:val="21"/>
          <w:szCs w:val="21"/>
        </w:rPr>
        <w:t>..)</w:t>
      </w:r>
      <w:r w:rsidR="00B44DDB" w:rsidRPr="00E64B45">
        <w:rPr>
          <w:rFonts w:ascii="Palatino Linotype" w:hAnsi="Palatino Linotype"/>
          <w:i/>
          <w:iCs/>
          <w:sz w:val="21"/>
          <w:szCs w:val="21"/>
        </w:rPr>
        <w:t xml:space="preserve"> </w:t>
      </w:r>
      <w:r w:rsidR="00217080" w:rsidRPr="00E64B45">
        <w:rPr>
          <w:rFonts w:ascii="Palatino Linotype" w:hAnsi="Palatino Linotype"/>
          <w:i/>
          <w:iCs/>
          <w:sz w:val="21"/>
          <w:szCs w:val="21"/>
        </w:rPr>
        <w:t>3.</w:t>
      </w:r>
      <w:r w:rsidR="00E279AB" w:rsidRPr="00E64B45">
        <w:rPr>
          <w:rFonts w:ascii="Palatino Linotype" w:hAnsi="Palatino Linotype"/>
          <w:i/>
          <w:iCs/>
          <w:sz w:val="21"/>
          <w:szCs w:val="21"/>
        </w:rPr>
        <w:t xml:space="preserve"> </w:t>
      </w:r>
      <w:r w:rsidR="00217080" w:rsidRPr="00E64B45">
        <w:rPr>
          <w:rFonts w:ascii="Palatino Linotype" w:hAnsi="Palatino Linotype" w:cs="Arial"/>
          <w:i/>
          <w:iCs/>
          <w:color w:val="222222"/>
          <w:sz w:val="21"/>
          <w:szCs w:val="21"/>
          <w:shd w:val="clear" w:color="auto" w:fill="FFFFFF"/>
        </w:rPr>
        <w:t>Prevendrá y controlará cualquier tipo de contaminación del ambiente</w:t>
      </w:r>
      <w:r w:rsidR="00B25F0F" w:rsidRPr="00E64B45">
        <w:rPr>
          <w:rFonts w:ascii="Palatino Linotype" w:hAnsi="Palatino Linotype"/>
          <w:i/>
          <w:iCs/>
          <w:sz w:val="21"/>
          <w:szCs w:val="21"/>
        </w:rPr>
        <w:t xml:space="preserve">"; </w:t>
      </w:r>
    </w:p>
    <w:p w14:paraId="42B82F89" w14:textId="3543ADD5" w:rsidR="002C4967" w:rsidRPr="00E64B45" w:rsidRDefault="00B25F0F" w:rsidP="00905B9C">
      <w:pPr>
        <w:spacing w:before="100" w:beforeAutospacing="1" w:after="100" w:afterAutospacing="1"/>
        <w:jc w:val="both"/>
        <w:rPr>
          <w:rFonts w:ascii="Palatino Linotype" w:hAnsi="Palatino Linotype"/>
          <w:sz w:val="21"/>
          <w:szCs w:val="21"/>
        </w:rPr>
      </w:pPr>
      <w:r w:rsidRPr="00E64B45">
        <w:rPr>
          <w:rFonts w:ascii="Palatino Linotype" w:hAnsi="Palatino Linotype"/>
          <w:b/>
          <w:bCs/>
          <w:sz w:val="21"/>
          <w:szCs w:val="21"/>
        </w:rPr>
        <w:t>Que,</w:t>
      </w:r>
      <w:r w:rsidRPr="00E64B45">
        <w:rPr>
          <w:rFonts w:ascii="Palatino Linotype" w:hAnsi="Palatino Linotype"/>
          <w:sz w:val="21"/>
          <w:szCs w:val="21"/>
        </w:rPr>
        <w:t xml:space="preserve"> </w:t>
      </w:r>
      <w:r w:rsidR="00E279AB" w:rsidRPr="00E64B45">
        <w:rPr>
          <w:rFonts w:ascii="Palatino Linotype" w:hAnsi="Palatino Linotype"/>
          <w:sz w:val="21"/>
          <w:szCs w:val="21"/>
        </w:rPr>
        <w:t>el numeral 1 d</w:t>
      </w:r>
      <w:r w:rsidRPr="00E64B45">
        <w:rPr>
          <w:rFonts w:ascii="Palatino Linotype" w:hAnsi="Palatino Linotype"/>
          <w:sz w:val="21"/>
          <w:szCs w:val="21"/>
        </w:rPr>
        <w:t xml:space="preserve">el artículo 8 del mismo cuerpo normativo establece que le corresponde al Concejo Metropolitano, decidir mediante ordenanza, sobre los asuntos de interés general, relativos al desarrollo integral y a la ordenación urbanística del distrito; </w:t>
      </w:r>
    </w:p>
    <w:p w14:paraId="06AC38A7" w14:textId="4E975D46" w:rsidR="00A21FE8" w:rsidRPr="00A21FE8" w:rsidRDefault="003E7193" w:rsidP="00A21FE8">
      <w:pPr>
        <w:jc w:val="both"/>
        <w:rPr>
          <w:rFonts w:ascii="Palatino Linotype" w:hAnsi="Palatino Linotype"/>
          <w:i/>
          <w:iCs/>
          <w:sz w:val="21"/>
          <w:szCs w:val="21"/>
        </w:rPr>
      </w:pPr>
      <w:r w:rsidRPr="00A21FE8">
        <w:rPr>
          <w:rFonts w:ascii="Palatino Linotype" w:hAnsi="Palatino Linotype"/>
          <w:b/>
          <w:bCs/>
          <w:position w:val="2"/>
          <w:sz w:val="21"/>
          <w:szCs w:val="21"/>
        </w:rPr>
        <w:t xml:space="preserve">Que, </w:t>
      </w:r>
      <w:r w:rsidRPr="00A21FE8">
        <w:rPr>
          <w:rFonts w:ascii="Palatino Linotype" w:hAnsi="Palatino Linotype"/>
          <w:sz w:val="21"/>
          <w:szCs w:val="21"/>
        </w:rPr>
        <w:t>el Concejo Metropolitano de Quito mediante Ordenanza Metropolitana N</w:t>
      </w:r>
      <w:r w:rsidR="00452BAB" w:rsidRPr="00A21FE8">
        <w:rPr>
          <w:rFonts w:ascii="Palatino Linotype" w:hAnsi="Palatino Linotype"/>
          <w:sz w:val="21"/>
          <w:szCs w:val="21"/>
        </w:rPr>
        <w:t>r</w:t>
      </w:r>
      <w:r w:rsidRPr="00A21FE8">
        <w:rPr>
          <w:rFonts w:ascii="Palatino Linotype" w:hAnsi="Palatino Linotype"/>
          <w:sz w:val="21"/>
          <w:szCs w:val="21"/>
        </w:rPr>
        <w:t>o. 0041, sancionada el 22 de febrero de 2015, aprobó</w:t>
      </w:r>
      <w:r w:rsidR="00A21FE8">
        <w:rPr>
          <w:rFonts w:ascii="Palatino Linotype" w:hAnsi="Palatino Linotype"/>
          <w:sz w:val="21"/>
          <w:szCs w:val="21"/>
        </w:rPr>
        <w:t xml:space="preserve"> el</w:t>
      </w:r>
      <w:r w:rsidRPr="00A21FE8">
        <w:rPr>
          <w:rFonts w:ascii="Palatino Linotype" w:hAnsi="Palatino Linotype"/>
          <w:sz w:val="21"/>
          <w:szCs w:val="21"/>
        </w:rPr>
        <w:t xml:space="preserve"> </w:t>
      </w:r>
      <w:r w:rsidR="00A21FE8" w:rsidRPr="007A7BD6">
        <w:rPr>
          <w:rFonts w:ascii="Palatino Linotype" w:hAnsi="Palatino Linotype" w:cs="Arial"/>
          <w:i/>
          <w:iCs/>
          <w:color w:val="222222"/>
          <w:sz w:val="21"/>
          <w:szCs w:val="21"/>
          <w:shd w:val="clear" w:color="auto" w:fill="FFFFFF"/>
        </w:rPr>
        <w:t>“Plan Metropolitano de Desarrollo y Ordenamiento Territorial del Distrito  Metropolitano  de  Quito  PMDOT 2015 -2025”,</w:t>
      </w:r>
      <w:r w:rsidR="00A21FE8" w:rsidRPr="007A7BD6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 instrumento que promueve  mediante sus políticas ambientales: “</w:t>
      </w:r>
      <w:r w:rsidR="00A21FE8" w:rsidRPr="007A7BD6">
        <w:rPr>
          <w:rFonts w:ascii="Palatino Linotype" w:hAnsi="Palatino Linotype" w:cs="Arial"/>
          <w:i/>
          <w:iCs/>
          <w:color w:val="222222"/>
          <w:sz w:val="21"/>
          <w:szCs w:val="21"/>
          <w:shd w:val="clear" w:color="auto" w:fill="FFFFFF"/>
        </w:rPr>
        <w:t>la sustentabilidad ambiental del territorio garantizando los servicios ecosistémicos, del patrimonio natural, fomentando su conocimiento, su manejo sustentable y su contribución al tejido urbano-rural; Garantizar la sostenibilidad local del territorio enfocado a la reducción y compensación de la huella de carbono y a la resiliencia del DMQ frente al cambio climático; Garantizar el derecho de la ciudadanía a vivir en un ambiente sano, precautelando la calidad de los recursos naturales; Fomentar en la ciudadanía los principios de ciudad sostenible, soportados por compromisos conjuntos que logren incidir en los patrones de producción, comportamientos y hábitos de consumo de todos los sectores del DMQ”;</w:t>
      </w:r>
    </w:p>
    <w:p w14:paraId="463CFD0B" w14:textId="58FC3712" w:rsidR="003E7193" w:rsidRPr="00E64B45" w:rsidRDefault="003E7193" w:rsidP="00905B9C">
      <w:pPr>
        <w:pStyle w:val="NormalWeb"/>
        <w:jc w:val="both"/>
        <w:rPr>
          <w:rFonts w:ascii="Palatino Linotype" w:hAnsi="Palatino Linotype"/>
          <w:sz w:val="21"/>
          <w:szCs w:val="21"/>
        </w:rPr>
      </w:pPr>
      <w:r w:rsidRPr="00E64B45">
        <w:rPr>
          <w:rFonts w:ascii="Palatino Linotype" w:hAnsi="Palatino Linotype"/>
          <w:b/>
          <w:bCs/>
          <w:sz w:val="21"/>
          <w:szCs w:val="21"/>
        </w:rPr>
        <w:t xml:space="preserve">Que, </w:t>
      </w:r>
      <w:r w:rsidRPr="00E64B45">
        <w:rPr>
          <w:rFonts w:ascii="Palatino Linotype" w:hAnsi="Palatino Linotype"/>
          <w:sz w:val="21"/>
          <w:szCs w:val="21"/>
        </w:rPr>
        <w:t xml:space="preserve">el </w:t>
      </w:r>
      <w:r w:rsidR="004F0326" w:rsidRPr="007A7BD6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Código Municipal para el Distrito Metropolitano de Quito </w:t>
      </w:r>
      <w:r w:rsidR="004F0326"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, en adelante </w:t>
      </w:r>
      <w:r w:rsidR="004F0326" w:rsidRPr="007A7BD6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Código Municipal</w:t>
      </w:r>
      <w:r w:rsidR="004F0326"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, </w:t>
      </w:r>
      <w:r w:rsidR="00E56E2A"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referente al</w:t>
      </w:r>
      <w:r w:rsidR="004F0326"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 </w:t>
      </w:r>
      <w:r w:rsidRPr="00E64B45">
        <w:rPr>
          <w:rFonts w:ascii="Palatino Linotype" w:hAnsi="Palatino Linotype"/>
          <w:sz w:val="21"/>
          <w:szCs w:val="21"/>
        </w:rPr>
        <w:t xml:space="preserve">Plan de Uso y Ocupación de Suelo (PUOS) </w:t>
      </w:r>
      <w:r w:rsidR="00E56E2A" w:rsidRPr="00E64B45">
        <w:rPr>
          <w:rFonts w:ascii="Palatino Linotype" w:hAnsi="Palatino Linotype"/>
          <w:sz w:val="21"/>
          <w:szCs w:val="21"/>
        </w:rPr>
        <w:t xml:space="preserve">señala que </w:t>
      </w:r>
      <w:r w:rsidRPr="00E64B45">
        <w:rPr>
          <w:rFonts w:ascii="Palatino Linotype" w:hAnsi="Palatino Linotype"/>
          <w:sz w:val="21"/>
          <w:szCs w:val="21"/>
        </w:rPr>
        <w:t xml:space="preserve">es un instrumento de regulación metropolitana que, de acuerdo con el artículo IV.1.22 del Código Municipal para el Distrito Metropolitano de Quito, tiene por objeto la estructuración de la admisibilidad de usos y la edificación mediante la fijación de los parámetros y normas específicas para el uso, ocupación, habilitación del suelo y edificación; </w:t>
      </w:r>
    </w:p>
    <w:p w14:paraId="7A5A6FB9" w14:textId="5917431E" w:rsidR="00304293" w:rsidRPr="00E64B45" w:rsidRDefault="007A7BD6" w:rsidP="00E64B45">
      <w:pPr>
        <w:jc w:val="both"/>
        <w:rPr>
          <w:rFonts w:ascii="Palatino Linotype" w:hAnsi="Palatino Linotype"/>
          <w:sz w:val="21"/>
          <w:szCs w:val="21"/>
        </w:rPr>
      </w:pPr>
      <w:r w:rsidRPr="007A7BD6">
        <w:rPr>
          <w:rFonts w:ascii="Palatino Linotype" w:hAnsi="Palatino Linotype" w:cs="Arial"/>
          <w:b/>
          <w:bCs/>
          <w:color w:val="222222"/>
          <w:sz w:val="21"/>
          <w:szCs w:val="21"/>
          <w:shd w:val="clear" w:color="auto" w:fill="FFFFFF"/>
        </w:rPr>
        <w:lastRenderedPageBreak/>
        <w:t>Que</w:t>
      </w:r>
      <w:r w:rsidRPr="007A7BD6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,  </w:t>
      </w:r>
      <w:r w:rsidR="00E802FA"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el artículo IV.1.52 </w:t>
      </w:r>
      <w:r w:rsidR="00E802FA" w:rsidRPr="00E64B45">
        <w:rPr>
          <w:rStyle w:val="nrmar"/>
          <w:rFonts w:ascii="Palatino Linotype" w:hAnsi="Palatino Linotype" w:cs="Arial"/>
          <w:color w:val="000000"/>
          <w:sz w:val="21"/>
          <w:szCs w:val="21"/>
        </w:rPr>
        <w:t>d</w:t>
      </w:r>
      <w:r w:rsidR="00B31A5A" w:rsidRPr="00E64B45">
        <w:rPr>
          <w:rFonts w:ascii="Palatino Linotype" w:hAnsi="Palatino Linotype"/>
          <w:sz w:val="21"/>
          <w:szCs w:val="21"/>
        </w:rPr>
        <w:t xml:space="preserve">el </w:t>
      </w:r>
      <w:r w:rsidR="00B31A5A" w:rsidRPr="007A7BD6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Código Municipal</w:t>
      </w:r>
      <w:r w:rsidRPr="007A7BD6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> </w:t>
      </w:r>
      <w:r w:rsidR="00E64B45" w:rsidRPr="00E64B45">
        <w:rPr>
          <w:rFonts w:ascii="Palatino Linotype" w:hAnsi="Palatino Linotype" w:cs="Arial"/>
          <w:color w:val="222222"/>
          <w:sz w:val="21"/>
          <w:szCs w:val="21"/>
          <w:shd w:val="clear" w:color="auto" w:fill="FFFFFF"/>
        </w:rPr>
        <w:t xml:space="preserve">relativo al </w:t>
      </w:r>
      <w:r w:rsidR="00304293" w:rsidRPr="00E64B45">
        <w:rPr>
          <w:rFonts w:ascii="Palatino Linotype" w:hAnsi="Palatino Linotype" w:cs="Arial"/>
          <w:color w:val="000000"/>
          <w:sz w:val="21"/>
          <w:szCs w:val="21"/>
          <w:shd w:val="clear" w:color="auto" w:fill="FFFFFF"/>
        </w:rPr>
        <w:t>Uso Protección Ecológica</w:t>
      </w:r>
      <w:r w:rsidR="00304293" w:rsidRPr="00E64B45">
        <w:rPr>
          <w:rStyle w:val="apple-converted-space"/>
          <w:rFonts w:ascii="Palatino Linotype" w:hAnsi="Palatino Linotype" w:cs="Arial"/>
          <w:color w:val="000000"/>
          <w:sz w:val="21"/>
          <w:szCs w:val="21"/>
          <w:shd w:val="clear" w:color="auto" w:fill="FFFFFF"/>
        </w:rPr>
        <w:t> </w:t>
      </w:r>
      <w:r w:rsidR="00E64B45" w:rsidRPr="00E64B45">
        <w:rPr>
          <w:rStyle w:val="apple-converted-space"/>
          <w:rFonts w:ascii="Palatino Linotype" w:hAnsi="Palatino Linotype" w:cs="Arial"/>
          <w:color w:val="000000"/>
          <w:sz w:val="21"/>
          <w:szCs w:val="21"/>
          <w:shd w:val="clear" w:color="auto" w:fill="FFFFFF"/>
        </w:rPr>
        <w:t xml:space="preserve">señala: </w:t>
      </w:r>
      <w:r w:rsidR="00E64B45" w:rsidRPr="00E64B45">
        <w:rPr>
          <w:rStyle w:val="apple-converted-space"/>
          <w:rFonts w:ascii="Palatino Linotype" w:hAnsi="Palatino Linotype" w:cs="Arial"/>
          <w:i/>
          <w:iCs/>
          <w:color w:val="000000"/>
          <w:sz w:val="21"/>
          <w:szCs w:val="21"/>
          <w:shd w:val="clear" w:color="auto" w:fill="FFFFFF"/>
        </w:rPr>
        <w:t>“</w:t>
      </w:r>
      <w:r w:rsidR="00304293" w:rsidRPr="00E64B45">
        <w:rPr>
          <w:rFonts w:ascii="Palatino Linotype" w:hAnsi="Palatino Linotype" w:cs="Arial"/>
          <w:i/>
          <w:iCs/>
          <w:color w:val="000000"/>
          <w:sz w:val="21"/>
          <w:szCs w:val="21"/>
          <w:shd w:val="clear" w:color="auto" w:fill="FFFFFF"/>
        </w:rPr>
        <w:t>1. Es un suelo rural con usos destinados a la conservación del patrimonio natural bajo un enfoque de gestión ecosistémica, que asegure la calidad ambiental, el equilibrio ecológico y el desarrollo sustentable.</w:t>
      </w:r>
      <w:r w:rsidR="00E64B45" w:rsidRPr="00E64B45">
        <w:rPr>
          <w:rFonts w:ascii="Palatino Linotype" w:hAnsi="Palatino Linotype" w:cs="Arial"/>
          <w:i/>
          <w:iCs/>
          <w:color w:val="000000"/>
          <w:sz w:val="21"/>
          <w:szCs w:val="21"/>
        </w:rPr>
        <w:t xml:space="preserve"> </w:t>
      </w:r>
      <w:r w:rsidR="00304293" w:rsidRPr="00E64B45">
        <w:rPr>
          <w:rFonts w:ascii="Palatino Linotype" w:hAnsi="Palatino Linotype" w:cs="Arial"/>
          <w:i/>
          <w:iCs/>
          <w:color w:val="000000"/>
          <w:sz w:val="21"/>
          <w:szCs w:val="21"/>
          <w:shd w:val="clear" w:color="auto" w:fill="FFFFFF"/>
        </w:rPr>
        <w:t>2. El uso protección ecológica corresponde a las áreas naturales protegidas del Distrito Metropolitano de Quito y las que forman parte del Sistema Nacional de Áreas Protegidas.</w:t>
      </w:r>
      <w:r w:rsidR="00E64B45" w:rsidRPr="00E64B45">
        <w:rPr>
          <w:rFonts w:ascii="Palatino Linotype" w:hAnsi="Palatino Linotype" w:cs="Arial"/>
          <w:i/>
          <w:iCs/>
          <w:color w:val="000000"/>
          <w:sz w:val="21"/>
          <w:szCs w:val="21"/>
        </w:rPr>
        <w:t xml:space="preserve"> </w:t>
      </w:r>
      <w:r w:rsidR="00304293" w:rsidRPr="00E64B45">
        <w:rPr>
          <w:rFonts w:ascii="Palatino Linotype" w:hAnsi="Palatino Linotype" w:cs="Arial"/>
          <w:i/>
          <w:iCs/>
          <w:color w:val="000000"/>
          <w:sz w:val="21"/>
          <w:szCs w:val="21"/>
          <w:shd w:val="clear" w:color="auto" w:fill="FFFFFF"/>
        </w:rPr>
        <w:t>3. Para su gestión se considerarán las categorías de manejo establecidas en el ordenamiento jurídico ambiental, en materia de prevención y control del Medio Ambiente.</w:t>
      </w:r>
      <w:r w:rsidR="00E64B45" w:rsidRPr="00E64B45">
        <w:rPr>
          <w:rFonts w:ascii="Palatino Linotype" w:hAnsi="Palatino Linotype" w:cs="Arial"/>
          <w:i/>
          <w:iCs/>
          <w:color w:val="000000"/>
          <w:sz w:val="21"/>
          <w:szCs w:val="21"/>
        </w:rPr>
        <w:t xml:space="preserve"> </w:t>
      </w:r>
      <w:r w:rsidR="00304293" w:rsidRPr="00E64B45">
        <w:rPr>
          <w:rFonts w:ascii="Palatino Linotype" w:hAnsi="Palatino Linotype" w:cs="Arial"/>
          <w:i/>
          <w:iCs/>
          <w:color w:val="000000"/>
          <w:sz w:val="21"/>
          <w:szCs w:val="21"/>
          <w:shd w:val="clear" w:color="auto" w:fill="FFFFFF"/>
        </w:rPr>
        <w:t>4. En suelos con clasificación rural, con usos o proyectos destinados a vivienda, turismo, recreación y alojamiento, que siendo concordantes con los objetivos de conservación y uso sustentable del patrimonio natural, permitan un aprovechamiento del suelo en sus áreas útiles, observando los coeficientes de uso de suelo asignados en las respectivas zonificaciones o en aquellas previstas en el Plan de Uso y Ocupación de Suelo. Las áreas útiles se obtendrán descontando de la superficie del lote, las áreas de afectación, áreas de protección de quebradas, taludes, ríos, áreas especiales de protección y las áreas que superan los 20 grados de inclinación.</w:t>
      </w:r>
      <w:r w:rsidR="00E64B45" w:rsidRPr="00E64B45">
        <w:rPr>
          <w:rFonts w:ascii="Palatino Linotype" w:hAnsi="Palatino Linotype" w:cs="Arial"/>
          <w:i/>
          <w:iCs/>
          <w:color w:val="000000"/>
          <w:sz w:val="21"/>
          <w:szCs w:val="21"/>
          <w:shd w:val="clear" w:color="auto" w:fill="FFFFFF"/>
        </w:rPr>
        <w:t>”</w:t>
      </w:r>
      <w:r w:rsidR="007527E7">
        <w:rPr>
          <w:rFonts w:ascii="Palatino Linotype" w:hAnsi="Palatino Linotype" w:cs="Arial"/>
          <w:i/>
          <w:iCs/>
          <w:color w:val="000000"/>
          <w:sz w:val="21"/>
          <w:szCs w:val="21"/>
          <w:shd w:val="clear" w:color="auto" w:fill="FFFFFF"/>
        </w:rPr>
        <w:t>;</w:t>
      </w:r>
    </w:p>
    <w:p w14:paraId="0F84C65C" w14:textId="225D1F05" w:rsidR="007A7BD6" w:rsidRPr="00E64B45" w:rsidRDefault="004F0326" w:rsidP="00905B9C">
      <w:pPr>
        <w:pStyle w:val="NormalWeb"/>
        <w:jc w:val="both"/>
        <w:rPr>
          <w:rFonts w:ascii="Palatino Linotype" w:hAnsi="Palatino Linotype"/>
          <w:sz w:val="21"/>
          <w:szCs w:val="21"/>
        </w:rPr>
      </w:pPr>
      <w:r w:rsidRPr="00E64B45">
        <w:rPr>
          <w:rFonts w:ascii="Palatino Linotype" w:hAnsi="Palatino Linotype"/>
          <w:b/>
          <w:bCs/>
          <w:sz w:val="21"/>
          <w:szCs w:val="21"/>
        </w:rPr>
        <w:t xml:space="preserve">Que, </w:t>
      </w:r>
      <w:r w:rsidRPr="00E64B45">
        <w:rPr>
          <w:rFonts w:ascii="Palatino Linotype" w:hAnsi="Palatino Linotype"/>
          <w:sz w:val="21"/>
          <w:szCs w:val="21"/>
        </w:rPr>
        <w:t>mediante Ordenanza Metropolitana Nro. 127 sancionada el 25 de julio de 2016, fue aprobado el Plan de Uso y Ocupación del Suelo (PUOS)</w:t>
      </w:r>
      <w:r w:rsidR="007527E7">
        <w:rPr>
          <w:rFonts w:ascii="Palatino Linotype" w:hAnsi="Palatino Linotype"/>
          <w:sz w:val="21"/>
          <w:szCs w:val="21"/>
        </w:rPr>
        <w:t>;</w:t>
      </w:r>
    </w:p>
    <w:p w14:paraId="1D37A0C3" w14:textId="639FDCE0" w:rsidR="00B25F0F" w:rsidRPr="00E64B45" w:rsidRDefault="00B25F0F" w:rsidP="00905B9C">
      <w:pPr>
        <w:pStyle w:val="NormalWeb"/>
        <w:jc w:val="both"/>
        <w:rPr>
          <w:rFonts w:ascii="Palatino Linotype" w:hAnsi="Palatino Linotype"/>
          <w:sz w:val="21"/>
          <w:szCs w:val="21"/>
        </w:rPr>
      </w:pPr>
      <w:r w:rsidRPr="00E64B45">
        <w:rPr>
          <w:rFonts w:ascii="Palatino Linotype" w:hAnsi="Palatino Linotype"/>
          <w:b/>
          <w:bCs/>
          <w:sz w:val="21"/>
          <w:szCs w:val="21"/>
        </w:rPr>
        <w:t>Que,</w:t>
      </w:r>
      <w:r w:rsidR="00DC5800" w:rsidRPr="00E64B45">
        <w:rPr>
          <w:rFonts w:ascii="Palatino Linotype" w:hAnsi="Palatino Linotype"/>
          <w:sz w:val="21"/>
          <w:szCs w:val="21"/>
        </w:rPr>
        <w:t xml:space="preserve"> en la sesión ordinaria Nro. 032</w:t>
      </w:r>
      <w:r w:rsidR="00B65FEE">
        <w:rPr>
          <w:rFonts w:ascii="Palatino Linotype" w:hAnsi="Palatino Linotype"/>
          <w:sz w:val="21"/>
          <w:szCs w:val="21"/>
        </w:rPr>
        <w:t>,</w:t>
      </w:r>
      <w:r w:rsidRPr="00E64B45">
        <w:rPr>
          <w:rFonts w:ascii="Palatino Linotype" w:hAnsi="Palatino Linotype"/>
          <w:sz w:val="21"/>
          <w:szCs w:val="21"/>
        </w:rPr>
        <w:t xml:space="preserve"> de 29 de octubre de 2019, el Concejo Metropolitano aprobó la</w:t>
      </w:r>
      <w:r w:rsidR="00676B66">
        <w:rPr>
          <w:rFonts w:ascii="Palatino Linotype" w:hAnsi="Palatino Linotype"/>
          <w:sz w:val="21"/>
          <w:szCs w:val="21"/>
        </w:rPr>
        <w:t xml:space="preserve"> </w:t>
      </w:r>
      <w:r w:rsidR="00676B66" w:rsidRPr="00E64B45">
        <w:rPr>
          <w:rFonts w:ascii="Palatino Linotype" w:hAnsi="Palatino Linotype"/>
          <w:sz w:val="21"/>
          <w:szCs w:val="21"/>
        </w:rPr>
        <w:t>Ordenanza Nro. OT-001-2019-PUOS</w:t>
      </w:r>
      <w:r w:rsidR="00676B66">
        <w:rPr>
          <w:rFonts w:ascii="Palatino Linotype" w:hAnsi="Palatino Linotype"/>
          <w:sz w:val="21"/>
          <w:szCs w:val="21"/>
        </w:rPr>
        <w:t>, denominada</w:t>
      </w:r>
      <w:r w:rsidR="000B7E6D">
        <w:rPr>
          <w:rFonts w:ascii="Palatino Linotype" w:hAnsi="Palatino Linotype"/>
          <w:sz w:val="21"/>
          <w:szCs w:val="21"/>
        </w:rPr>
        <w:t>:</w:t>
      </w:r>
      <w:r w:rsidRPr="00E64B45">
        <w:rPr>
          <w:rFonts w:ascii="Palatino Linotype" w:hAnsi="Palatino Linotype"/>
          <w:sz w:val="21"/>
          <w:szCs w:val="21"/>
        </w:rPr>
        <w:t xml:space="preserve"> </w:t>
      </w:r>
      <w:r w:rsidR="000B7E6D" w:rsidRPr="000B7E6D">
        <w:rPr>
          <w:rFonts w:ascii="Palatino Linotype" w:hAnsi="Palatino Linotype"/>
          <w:i/>
          <w:iCs/>
          <w:sz w:val="21"/>
          <w:szCs w:val="21"/>
        </w:rPr>
        <w:t>“</w:t>
      </w:r>
      <w:r w:rsidR="00257DD1" w:rsidRPr="000B7E6D">
        <w:rPr>
          <w:rFonts w:ascii="Palatino Linotype" w:hAnsi="Palatino Linotype"/>
          <w:i/>
          <w:iCs/>
          <w:sz w:val="21"/>
          <w:szCs w:val="21"/>
        </w:rPr>
        <w:t xml:space="preserve">Ordenanza Modificatoria </w:t>
      </w:r>
      <w:r w:rsidRPr="000B7E6D">
        <w:rPr>
          <w:rFonts w:ascii="Palatino Linotype" w:hAnsi="Palatino Linotype"/>
          <w:i/>
          <w:iCs/>
          <w:sz w:val="21"/>
          <w:szCs w:val="21"/>
        </w:rPr>
        <w:t xml:space="preserve">de la </w:t>
      </w:r>
      <w:r w:rsidR="00257DD1" w:rsidRPr="000B7E6D">
        <w:rPr>
          <w:rFonts w:ascii="Palatino Linotype" w:hAnsi="Palatino Linotype"/>
          <w:i/>
          <w:iCs/>
          <w:sz w:val="21"/>
          <w:szCs w:val="21"/>
        </w:rPr>
        <w:t>Ordenanza Metropolitana Nr</w:t>
      </w:r>
      <w:r w:rsidRPr="000B7E6D">
        <w:rPr>
          <w:rFonts w:ascii="Palatino Linotype" w:hAnsi="Palatino Linotype"/>
          <w:i/>
          <w:iCs/>
          <w:sz w:val="21"/>
          <w:szCs w:val="21"/>
        </w:rPr>
        <w:t xml:space="preserve">o. 0127, de 25 de julio de 2016, que contiene el </w:t>
      </w:r>
      <w:r w:rsidR="00257DD1" w:rsidRPr="000B7E6D">
        <w:rPr>
          <w:rFonts w:ascii="Palatino Linotype" w:hAnsi="Palatino Linotype"/>
          <w:i/>
          <w:iCs/>
          <w:sz w:val="21"/>
          <w:szCs w:val="21"/>
        </w:rPr>
        <w:t>Plan de Uso y Ocupación de Suelo (P</w:t>
      </w:r>
      <w:r w:rsidR="00912038" w:rsidRPr="000B7E6D">
        <w:rPr>
          <w:rFonts w:ascii="Palatino Linotype" w:hAnsi="Palatino Linotype"/>
          <w:i/>
          <w:iCs/>
          <w:sz w:val="21"/>
          <w:szCs w:val="21"/>
        </w:rPr>
        <w:t>UOS</w:t>
      </w:r>
      <w:r w:rsidRPr="000B7E6D">
        <w:rPr>
          <w:rFonts w:ascii="Palatino Linotype" w:hAnsi="Palatino Linotype"/>
          <w:i/>
          <w:iCs/>
          <w:sz w:val="21"/>
          <w:szCs w:val="21"/>
        </w:rPr>
        <w:t xml:space="preserve">), modificada por las </w:t>
      </w:r>
      <w:r w:rsidR="00912038" w:rsidRPr="000B7E6D">
        <w:rPr>
          <w:rFonts w:ascii="Palatino Linotype" w:hAnsi="Palatino Linotype"/>
          <w:i/>
          <w:iCs/>
          <w:sz w:val="21"/>
          <w:szCs w:val="21"/>
        </w:rPr>
        <w:t>Ordenanzas Metropolitanas Nr</w:t>
      </w:r>
      <w:r w:rsidRPr="000B7E6D">
        <w:rPr>
          <w:rFonts w:ascii="Palatino Linotype" w:hAnsi="Palatino Linotype"/>
          <w:i/>
          <w:iCs/>
          <w:sz w:val="21"/>
          <w:szCs w:val="21"/>
        </w:rPr>
        <w:t xml:space="preserve">o. 0192 de 20 de diciembre de 2017 y </w:t>
      </w:r>
      <w:r w:rsidR="00912038" w:rsidRPr="000B7E6D">
        <w:rPr>
          <w:rFonts w:ascii="Palatino Linotype" w:hAnsi="Palatino Linotype"/>
          <w:i/>
          <w:iCs/>
          <w:sz w:val="21"/>
          <w:szCs w:val="21"/>
        </w:rPr>
        <w:t>Nr</w:t>
      </w:r>
      <w:r w:rsidRPr="000B7E6D">
        <w:rPr>
          <w:rFonts w:ascii="Palatino Linotype" w:hAnsi="Palatino Linotype"/>
          <w:i/>
          <w:iCs/>
          <w:sz w:val="21"/>
          <w:szCs w:val="21"/>
        </w:rPr>
        <w:t xml:space="preserve">o. 210 de 12 de abril de 2018 </w:t>
      </w:r>
      <w:r w:rsidRPr="00E64B45">
        <w:rPr>
          <w:rFonts w:ascii="Palatino Linotype" w:hAnsi="Palatino Linotype"/>
          <w:sz w:val="21"/>
          <w:szCs w:val="21"/>
        </w:rPr>
        <w:t>, la cual</w:t>
      </w:r>
      <w:r w:rsidRPr="00E64B45">
        <w:rPr>
          <w:rFonts w:ascii="Palatino Linotype" w:hAnsi="Palatino Linotype"/>
          <w:b/>
          <w:bCs/>
          <w:sz w:val="21"/>
          <w:szCs w:val="21"/>
        </w:rPr>
        <w:t xml:space="preserve"> </w:t>
      </w:r>
      <w:r w:rsidRPr="00E64B45">
        <w:rPr>
          <w:rFonts w:ascii="Palatino Linotype" w:hAnsi="Palatino Linotype"/>
          <w:sz w:val="21"/>
          <w:szCs w:val="21"/>
        </w:rPr>
        <w:t>reforma los mapas PUOS U2-2, Mapa de Uso de Suelo Principal y Mapa PUOS Z2-2, de Ocupación y Edificabilidad, anexos de la ordenanza metropolitana No. 0127, de 25 de julio de 2016</w:t>
      </w:r>
      <w:r w:rsidR="007527E7">
        <w:rPr>
          <w:rFonts w:ascii="Palatino Linotype" w:hAnsi="Palatino Linotype"/>
          <w:sz w:val="21"/>
          <w:szCs w:val="21"/>
        </w:rPr>
        <w:t>;</w:t>
      </w:r>
      <w:r w:rsidR="004E7E29">
        <w:rPr>
          <w:rFonts w:ascii="Palatino Linotype" w:hAnsi="Palatino Linotype"/>
          <w:sz w:val="21"/>
          <w:szCs w:val="21"/>
        </w:rPr>
        <w:t xml:space="preserve"> sancionada el 05 de noviembre de 2019;</w:t>
      </w:r>
    </w:p>
    <w:p w14:paraId="569C6F46" w14:textId="619C20B1" w:rsidR="00294639" w:rsidRPr="00E64B45" w:rsidRDefault="00294639" w:rsidP="00905B9C">
      <w:pPr>
        <w:pStyle w:val="NormalWeb"/>
        <w:jc w:val="both"/>
        <w:rPr>
          <w:rFonts w:ascii="Palatino Linotype" w:hAnsi="Palatino Linotype"/>
          <w:sz w:val="21"/>
          <w:szCs w:val="21"/>
        </w:rPr>
      </w:pPr>
      <w:r w:rsidRPr="00E64B45">
        <w:rPr>
          <w:rFonts w:ascii="Palatino Linotype" w:hAnsi="Palatino Linotype"/>
          <w:b/>
          <w:bCs/>
          <w:sz w:val="21"/>
          <w:szCs w:val="21"/>
        </w:rPr>
        <w:t>Que</w:t>
      </w:r>
      <w:r w:rsidRPr="00E64B45">
        <w:rPr>
          <w:rFonts w:ascii="Palatino Linotype" w:hAnsi="Palatino Linotype"/>
          <w:sz w:val="21"/>
          <w:szCs w:val="21"/>
        </w:rPr>
        <w:t>,  en el artículo único de la Ordenanza N</w:t>
      </w:r>
      <w:r w:rsidR="00912038" w:rsidRPr="00E64B45">
        <w:rPr>
          <w:rFonts w:ascii="Palatino Linotype" w:hAnsi="Palatino Linotype"/>
          <w:sz w:val="21"/>
          <w:szCs w:val="21"/>
        </w:rPr>
        <w:t>r</w:t>
      </w:r>
      <w:r w:rsidRPr="00E64B45">
        <w:rPr>
          <w:rFonts w:ascii="Palatino Linotype" w:hAnsi="Palatino Linotype"/>
          <w:sz w:val="21"/>
          <w:szCs w:val="21"/>
        </w:rPr>
        <w:t>o. OT-</w:t>
      </w:r>
      <w:r w:rsidR="00DC5800" w:rsidRPr="00E64B45">
        <w:rPr>
          <w:rFonts w:ascii="Palatino Linotype" w:hAnsi="Palatino Linotype"/>
          <w:sz w:val="21"/>
          <w:szCs w:val="21"/>
        </w:rPr>
        <w:t>001-</w:t>
      </w:r>
      <w:r w:rsidRPr="00E64B45">
        <w:rPr>
          <w:rFonts w:ascii="Palatino Linotype" w:hAnsi="Palatino Linotype"/>
          <w:sz w:val="21"/>
          <w:szCs w:val="21"/>
        </w:rPr>
        <w:t>2019-PUOS se cambi</w:t>
      </w:r>
      <w:r w:rsidR="00583A6C">
        <w:rPr>
          <w:rFonts w:ascii="Palatino Linotype" w:hAnsi="Palatino Linotype"/>
          <w:sz w:val="21"/>
          <w:szCs w:val="21"/>
        </w:rPr>
        <w:t>ó</w:t>
      </w:r>
      <w:r w:rsidRPr="00E64B45">
        <w:rPr>
          <w:rFonts w:ascii="Palatino Linotype" w:hAnsi="Palatino Linotype"/>
          <w:sz w:val="21"/>
          <w:szCs w:val="21"/>
        </w:rPr>
        <w:t xml:space="preserve"> el uso de suelo y zonificación </w:t>
      </w:r>
      <w:r w:rsidR="00590F6C">
        <w:rPr>
          <w:rFonts w:ascii="Palatino Linotype" w:hAnsi="Palatino Linotype"/>
          <w:sz w:val="21"/>
          <w:szCs w:val="21"/>
        </w:rPr>
        <w:t>de</w:t>
      </w:r>
      <w:r w:rsidRPr="00E64B45">
        <w:rPr>
          <w:rFonts w:ascii="Palatino Linotype" w:hAnsi="Palatino Linotype"/>
          <w:sz w:val="21"/>
          <w:szCs w:val="21"/>
        </w:rPr>
        <w:t>l predio N</w:t>
      </w:r>
      <w:r w:rsidR="00ED7BD7">
        <w:rPr>
          <w:rFonts w:ascii="Palatino Linotype" w:hAnsi="Palatino Linotype"/>
          <w:sz w:val="21"/>
          <w:szCs w:val="21"/>
        </w:rPr>
        <w:t>r</w:t>
      </w:r>
      <w:r w:rsidRPr="00E64B45">
        <w:rPr>
          <w:rFonts w:ascii="Palatino Linotype" w:hAnsi="Palatino Linotype"/>
          <w:sz w:val="21"/>
          <w:szCs w:val="21"/>
        </w:rPr>
        <w:t xml:space="preserve">o. 3697579, de propiedad </w:t>
      </w:r>
      <w:r w:rsidR="00C66284">
        <w:rPr>
          <w:rFonts w:ascii="Palatino Linotype" w:hAnsi="Palatino Linotype"/>
          <w:sz w:val="21"/>
          <w:szCs w:val="21"/>
        </w:rPr>
        <w:t>del Municipio de Quito</w:t>
      </w:r>
      <w:r w:rsidR="00266DF3">
        <w:rPr>
          <w:rFonts w:ascii="Palatino Linotype" w:hAnsi="Palatino Linotype"/>
          <w:sz w:val="21"/>
          <w:szCs w:val="21"/>
        </w:rPr>
        <w:t>,</w:t>
      </w:r>
      <w:r w:rsidR="00C66284">
        <w:rPr>
          <w:rFonts w:ascii="Palatino Linotype" w:hAnsi="Palatino Linotype"/>
          <w:sz w:val="21"/>
          <w:szCs w:val="21"/>
        </w:rPr>
        <w:t xml:space="preserve"> </w:t>
      </w:r>
      <w:r w:rsidRPr="00E64B45">
        <w:rPr>
          <w:rFonts w:ascii="Palatino Linotype" w:hAnsi="Palatino Linotype"/>
          <w:sz w:val="21"/>
          <w:szCs w:val="21"/>
        </w:rPr>
        <w:t>a equipamiento con zonificación A10 (A604-50)</w:t>
      </w:r>
      <w:r w:rsidR="007527E7">
        <w:rPr>
          <w:rFonts w:ascii="Palatino Linotype" w:hAnsi="Palatino Linotype"/>
          <w:sz w:val="21"/>
          <w:szCs w:val="21"/>
        </w:rPr>
        <w:t>;</w:t>
      </w:r>
    </w:p>
    <w:p w14:paraId="61E0E1CB" w14:textId="6233D276" w:rsidR="00294639" w:rsidRPr="00E64B45" w:rsidRDefault="00294639" w:rsidP="00905B9C">
      <w:pPr>
        <w:pStyle w:val="NormalWeb"/>
        <w:jc w:val="both"/>
        <w:rPr>
          <w:rFonts w:ascii="Palatino Linotype" w:hAnsi="Palatino Linotype"/>
          <w:sz w:val="21"/>
          <w:szCs w:val="21"/>
        </w:rPr>
      </w:pPr>
      <w:r w:rsidRPr="00E64B45">
        <w:rPr>
          <w:rFonts w:ascii="Palatino Linotype" w:hAnsi="Palatino Linotype"/>
          <w:b/>
          <w:bCs/>
          <w:sz w:val="21"/>
          <w:szCs w:val="21"/>
        </w:rPr>
        <w:t>Que</w:t>
      </w:r>
      <w:r w:rsidRPr="00E64B45">
        <w:rPr>
          <w:rFonts w:ascii="Palatino Linotype" w:hAnsi="Palatino Linotype"/>
          <w:sz w:val="21"/>
          <w:szCs w:val="21"/>
        </w:rPr>
        <w:t xml:space="preserve">, </w:t>
      </w:r>
      <w:r w:rsidR="00DB3EDC">
        <w:rPr>
          <w:rFonts w:ascii="Palatino Linotype" w:hAnsi="Palatino Linotype"/>
          <w:sz w:val="21"/>
          <w:szCs w:val="21"/>
        </w:rPr>
        <w:t>a</w:t>
      </w:r>
      <w:r w:rsidRPr="00E64B45">
        <w:rPr>
          <w:rFonts w:ascii="Palatino Linotype" w:hAnsi="Palatino Linotype"/>
          <w:sz w:val="21"/>
          <w:szCs w:val="21"/>
        </w:rPr>
        <w:t>l pre</w:t>
      </w:r>
      <w:r w:rsidR="00F07CF6" w:rsidRPr="00E64B45">
        <w:rPr>
          <w:rFonts w:ascii="Palatino Linotype" w:hAnsi="Palatino Linotype"/>
          <w:sz w:val="21"/>
          <w:szCs w:val="21"/>
        </w:rPr>
        <w:t>dio</w:t>
      </w:r>
      <w:r w:rsidR="00C57BD0">
        <w:rPr>
          <w:rFonts w:ascii="Palatino Linotype" w:hAnsi="Palatino Linotype"/>
          <w:sz w:val="21"/>
          <w:szCs w:val="21"/>
        </w:rPr>
        <w:t xml:space="preserve"> </w:t>
      </w:r>
      <w:r w:rsidR="00C57BD0" w:rsidRPr="00E64B45">
        <w:rPr>
          <w:rFonts w:ascii="Palatino Linotype" w:hAnsi="Palatino Linotype"/>
          <w:sz w:val="21"/>
          <w:szCs w:val="21"/>
        </w:rPr>
        <w:t>N</w:t>
      </w:r>
      <w:r w:rsidR="00C57BD0">
        <w:rPr>
          <w:rFonts w:ascii="Palatino Linotype" w:hAnsi="Palatino Linotype"/>
          <w:sz w:val="21"/>
          <w:szCs w:val="21"/>
        </w:rPr>
        <w:t>r</w:t>
      </w:r>
      <w:r w:rsidR="00C57BD0" w:rsidRPr="00E64B45">
        <w:rPr>
          <w:rFonts w:ascii="Palatino Linotype" w:hAnsi="Palatino Linotype"/>
          <w:sz w:val="21"/>
          <w:szCs w:val="21"/>
        </w:rPr>
        <w:t>o. 3697579</w:t>
      </w:r>
      <w:r w:rsidR="00F07CF6" w:rsidRPr="00E64B45">
        <w:rPr>
          <w:rFonts w:ascii="Palatino Linotype" w:hAnsi="Palatino Linotype"/>
          <w:sz w:val="21"/>
          <w:szCs w:val="21"/>
        </w:rPr>
        <w:t xml:space="preserve"> se </w:t>
      </w:r>
      <w:r w:rsidR="00DB3EDC">
        <w:rPr>
          <w:rFonts w:ascii="Palatino Linotype" w:hAnsi="Palatino Linotype"/>
          <w:sz w:val="21"/>
          <w:szCs w:val="21"/>
        </w:rPr>
        <w:t xml:space="preserve">le </w:t>
      </w:r>
      <w:r w:rsidR="009157BB">
        <w:rPr>
          <w:rFonts w:ascii="Palatino Linotype" w:hAnsi="Palatino Linotype"/>
          <w:sz w:val="21"/>
          <w:szCs w:val="21"/>
        </w:rPr>
        <w:t xml:space="preserve">realizó el cambio </w:t>
      </w:r>
      <w:r w:rsidR="00DB3EDC">
        <w:rPr>
          <w:rFonts w:ascii="Palatino Linotype" w:hAnsi="Palatino Linotype"/>
          <w:sz w:val="21"/>
          <w:szCs w:val="21"/>
        </w:rPr>
        <w:t>de</w:t>
      </w:r>
      <w:r w:rsidR="00DB3EDC" w:rsidRPr="00E64B45">
        <w:rPr>
          <w:rFonts w:ascii="Palatino Linotype" w:hAnsi="Palatino Linotype"/>
          <w:sz w:val="21"/>
          <w:szCs w:val="21"/>
        </w:rPr>
        <w:t xml:space="preserve"> uso de suelo y zonificación </w:t>
      </w:r>
      <w:r w:rsidR="004D63DA">
        <w:rPr>
          <w:rFonts w:ascii="Palatino Linotype" w:hAnsi="Palatino Linotype"/>
          <w:sz w:val="21"/>
          <w:szCs w:val="21"/>
        </w:rPr>
        <w:t>con la finalidad de</w:t>
      </w:r>
      <w:r w:rsidR="00071B38">
        <w:rPr>
          <w:rFonts w:ascii="Palatino Linotype" w:hAnsi="Palatino Linotype"/>
          <w:sz w:val="21"/>
          <w:szCs w:val="21"/>
        </w:rPr>
        <w:t xml:space="preserve"> </w:t>
      </w:r>
      <w:r w:rsidR="00F07CF6" w:rsidRPr="00E64B45">
        <w:rPr>
          <w:rFonts w:ascii="Palatino Linotype" w:hAnsi="Palatino Linotype"/>
          <w:sz w:val="21"/>
          <w:szCs w:val="21"/>
        </w:rPr>
        <w:t xml:space="preserve">construir la </w:t>
      </w:r>
      <w:r w:rsidR="00DE5776">
        <w:rPr>
          <w:rFonts w:ascii="Palatino Linotype" w:hAnsi="Palatino Linotype"/>
          <w:sz w:val="21"/>
          <w:szCs w:val="21"/>
        </w:rPr>
        <w:t>E</w:t>
      </w:r>
      <w:r w:rsidR="00F07CF6" w:rsidRPr="00E64B45">
        <w:rPr>
          <w:rFonts w:ascii="Palatino Linotype" w:hAnsi="Palatino Linotype"/>
          <w:sz w:val="21"/>
          <w:szCs w:val="21"/>
        </w:rPr>
        <w:t xml:space="preserve">stación de </w:t>
      </w:r>
      <w:r w:rsidR="00DE5776">
        <w:rPr>
          <w:rFonts w:ascii="Palatino Linotype" w:hAnsi="Palatino Linotype"/>
          <w:sz w:val="21"/>
          <w:szCs w:val="21"/>
        </w:rPr>
        <w:t>T</w:t>
      </w:r>
      <w:r w:rsidR="00F07CF6" w:rsidRPr="00E64B45">
        <w:rPr>
          <w:rFonts w:ascii="Palatino Linotype" w:hAnsi="Palatino Linotype"/>
          <w:sz w:val="21"/>
          <w:szCs w:val="21"/>
        </w:rPr>
        <w:t>rans</w:t>
      </w:r>
      <w:r w:rsidR="00DE5776">
        <w:rPr>
          <w:rFonts w:ascii="Palatino Linotype" w:hAnsi="Palatino Linotype"/>
          <w:sz w:val="21"/>
          <w:szCs w:val="21"/>
        </w:rPr>
        <w:t xml:space="preserve">ferencia </w:t>
      </w:r>
      <w:r w:rsidR="00F07CF6" w:rsidRPr="00E64B45">
        <w:rPr>
          <w:rFonts w:ascii="Palatino Linotype" w:hAnsi="Palatino Linotype"/>
          <w:sz w:val="21"/>
          <w:szCs w:val="21"/>
        </w:rPr>
        <w:t>de Cumbay</w:t>
      </w:r>
      <w:r w:rsidR="004F6F4E">
        <w:rPr>
          <w:rFonts w:ascii="Palatino Linotype" w:hAnsi="Palatino Linotype"/>
          <w:sz w:val="21"/>
          <w:szCs w:val="21"/>
        </w:rPr>
        <w:t>á,</w:t>
      </w:r>
      <w:r w:rsidRPr="00E64B45">
        <w:rPr>
          <w:rFonts w:ascii="Palatino Linotype" w:hAnsi="Palatino Linotype"/>
          <w:sz w:val="21"/>
          <w:szCs w:val="21"/>
        </w:rPr>
        <w:t xml:space="preserve"> </w:t>
      </w:r>
      <w:r w:rsidR="004F6F4E">
        <w:rPr>
          <w:rFonts w:ascii="Palatino Linotype" w:hAnsi="Palatino Linotype"/>
          <w:sz w:val="21"/>
          <w:szCs w:val="21"/>
        </w:rPr>
        <w:t>la misma que era</w:t>
      </w:r>
      <w:r w:rsidRPr="00E64B45">
        <w:rPr>
          <w:rFonts w:ascii="Palatino Linotype" w:hAnsi="Palatino Linotype"/>
          <w:sz w:val="21"/>
          <w:szCs w:val="21"/>
        </w:rPr>
        <w:t xml:space="preserve"> un equipamiento necesario para el funcionamiento eficiente del sistema de movilidad y transporte público de la parroquia de Cumbayá</w:t>
      </w:r>
      <w:r w:rsidR="007527E7">
        <w:rPr>
          <w:rFonts w:ascii="Palatino Linotype" w:hAnsi="Palatino Linotype"/>
          <w:sz w:val="21"/>
          <w:szCs w:val="21"/>
        </w:rPr>
        <w:t>;</w:t>
      </w:r>
    </w:p>
    <w:p w14:paraId="4D030EA0" w14:textId="3F66BB81" w:rsidR="00870691" w:rsidRPr="00375993" w:rsidRDefault="007C4C58" w:rsidP="00F94FF2">
      <w:pPr>
        <w:pStyle w:val="NormalWeb"/>
        <w:jc w:val="both"/>
        <w:rPr>
          <w:rFonts w:ascii="Palatino Linotype" w:hAnsi="Palatino Linotype"/>
          <w:i/>
          <w:iCs/>
          <w:sz w:val="21"/>
          <w:szCs w:val="21"/>
        </w:rPr>
      </w:pPr>
      <w:r w:rsidRPr="00E64B45">
        <w:rPr>
          <w:rFonts w:ascii="Palatino Linotype" w:hAnsi="Palatino Linotype"/>
          <w:b/>
          <w:bCs/>
          <w:sz w:val="21"/>
          <w:szCs w:val="21"/>
        </w:rPr>
        <w:t xml:space="preserve">Que, </w:t>
      </w:r>
      <w:r w:rsidRPr="00E64B45">
        <w:rPr>
          <w:rFonts w:ascii="Palatino Linotype" w:hAnsi="Palatino Linotype"/>
          <w:sz w:val="21"/>
          <w:szCs w:val="21"/>
        </w:rPr>
        <w:t>en la Resolución N</w:t>
      </w:r>
      <w:r w:rsidR="00970586" w:rsidRPr="00E64B45">
        <w:rPr>
          <w:rFonts w:ascii="Palatino Linotype" w:hAnsi="Palatino Linotype"/>
          <w:sz w:val="21"/>
          <w:szCs w:val="21"/>
        </w:rPr>
        <w:t>r</w:t>
      </w:r>
      <w:r w:rsidRPr="00E64B45">
        <w:rPr>
          <w:rFonts w:ascii="Palatino Linotype" w:hAnsi="Palatino Linotype"/>
          <w:sz w:val="21"/>
          <w:szCs w:val="21"/>
        </w:rPr>
        <w:t>o. C</w:t>
      </w:r>
      <w:r w:rsidR="005F0E3D" w:rsidRPr="00E64B45">
        <w:rPr>
          <w:rFonts w:ascii="Palatino Linotype" w:hAnsi="Palatino Linotype"/>
          <w:sz w:val="21"/>
          <w:szCs w:val="21"/>
        </w:rPr>
        <w:t xml:space="preserve"> 021-2021 de 14 de marzo de 2021</w:t>
      </w:r>
      <w:r w:rsidRPr="00E64B45">
        <w:rPr>
          <w:rFonts w:ascii="Palatino Linotype" w:hAnsi="Palatino Linotype"/>
          <w:sz w:val="21"/>
          <w:szCs w:val="21"/>
        </w:rPr>
        <w:t xml:space="preserve"> </w:t>
      </w:r>
      <w:r w:rsidR="005F0E3D" w:rsidRPr="00E64B45">
        <w:rPr>
          <w:rFonts w:ascii="Palatino Linotype" w:hAnsi="Palatino Linotype"/>
          <w:sz w:val="21"/>
          <w:szCs w:val="21"/>
        </w:rPr>
        <w:t>el Concejo Metropolitano aprobó</w:t>
      </w:r>
      <w:r w:rsidRPr="00E64B45">
        <w:rPr>
          <w:rFonts w:ascii="Palatino Linotype" w:hAnsi="Palatino Linotype"/>
          <w:sz w:val="21"/>
          <w:szCs w:val="21"/>
        </w:rPr>
        <w:t xml:space="preserve"> las asignaciones de uso de suelo, forma de </w:t>
      </w:r>
      <w:r w:rsidR="0054681B" w:rsidRPr="00E64B45">
        <w:rPr>
          <w:rFonts w:ascii="Palatino Linotype" w:hAnsi="Palatino Linotype"/>
          <w:sz w:val="21"/>
          <w:szCs w:val="21"/>
        </w:rPr>
        <w:t>ocupación</w:t>
      </w:r>
      <w:r w:rsidRPr="00E64B45">
        <w:rPr>
          <w:rFonts w:ascii="Palatino Linotype" w:hAnsi="Palatino Linotype"/>
          <w:sz w:val="21"/>
          <w:szCs w:val="21"/>
        </w:rPr>
        <w:t xml:space="preserve"> y edificabilidad </w:t>
      </w:r>
      <w:r w:rsidR="0054681B" w:rsidRPr="00E64B45">
        <w:rPr>
          <w:rFonts w:ascii="Palatino Linotype" w:hAnsi="Palatino Linotype"/>
          <w:sz w:val="21"/>
          <w:szCs w:val="21"/>
        </w:rPr>
        <w:t xml:space="preserve">al predio Nro. 279520, </w:t>
      </w:r>
      <w:r w:rsidRPr="00E64B45">
        <w:rPr>
          <w:rFonts w:ascii="Palatino Linotype" w:hAnsi="Palatino Linotype"/>
          <w:sz w:val="21"/>
          <w:szCs w:val="21"/>
        </w:rPr>
        <w:t>ya que tenía una asignación de uso de suelo equipamiento y zonificación ZC</w:t>
      </w:r>
      <w:r w:rsidR="00680FC4" w:rsidRPr="00E64B45">
        <w:rPr>
          <w:rFonts w:ascii="Palatino Linotype" w:hAnsi="Palatino Linotype"/>
          <w:i/>
          <w:iCs/>
          <w:sz w:val="21"/>
          <w:szCs w:val="21"/>
        </w:rPr>
        <w:t>;</w:t>
      </w:r>
    </w:p>
    <w:p w14:paraId="4339A761" w14:textId="2B81C272" w:rsidR="00F94FF2" w:rsidRPr="00404EF2" w:rsidRDefault="00870691" w:rsidP="00905B9C">
      <w:pPr>
        <w:pStyle w:val="NormalWeb"/>
        <w:jc w:val="both"/>
        <w:rPr>
          <w:rFonts w:ascii="Palatino Linotype" w:hAnsi="Palatino Linotype"/>
          <w:sz w:val="21"/>
          <w:szCs w:val="21"/>
        </w:rPr>
      </w:pPr>
      <w:r w:rsidRPr="00D90E85">
        <w:rPr>
          <w:rFonts w:ascii="Palatino Linotype" w:hAnsi="Palatino Linotype"/>
          <w:b/>
          <w:bCs/>
          <w:sz w:val="21"/>
          <w:szCs w:val="21"/>
        </w:rPr>
        <w:t xml:space="preserve">Que, </w:t>
      </w:r>
      <w:r w:rsidR="007B4144" w:rsidRPr="00D90E85">
        <w:rPr>
          <w:rFonts w:ascii="Palatino Linotype" w:hAnsi="Palatino Linotype"/>
          <w:sz w:val="21"/>
          <w:szCs w:val="21"/>
        </w:rPr>
        <w:t>mediante</w:t>
      </w:r>
      <w:r w:rsidR="007B4144" w:rsidRPr="00D90E85">
        <w:rPr>
          <w:rFonts w:ascii="Palatino Linotype" w:hAnsi="Palatino Linotype"/>
          <w:b/>
          <w:bCs/>
          <w:sz w:val="21"/>
          <w:szCs w:val="21"/>
        </w:rPr>
        <w:t xml:space="preserve"> </w:t>
      </w:r>
      <w:r w:rsidR="007B4144" w:rsidRPr="00D90E85">
        <w:rPr>
          <w:rFonts w:ascii="Palatino Linotype" w:hAnsi="Palatino Linotype"/>
          <w:sz w:val="22"/>
          <w:szCs w:val="22"/>
        </w:rPr>
        <w:t>oficio Nro.</w:t>
      </w:r>
      <w:r w:rsidR="005C2202" w:rsidRPr="00D90E85">
        <w:rPr>
          <w:rFonts w:ascii="Palatino Linotype" w:hAnsi="Palatino Linotype"/>
          <w:sz w:val="22"/>
          <w:szCs w:val="22"/>
        </w:rPr>
        <w:t xml:space="preserve"> </w:t>
      </w:r>
      <w:r w:rsidR="007C695C" w:rsidRPr="00D90E85">
        <w:rPr>
          <w:rFonts w:ascii="Palatino Linotype" w:hAnsi="Palatino Linotype"/>
          <w:sz w:val="22"/>
          <w:szCs w:val="22"/>
        </w:rPr>
        <w:t>SM-2020-245</w:t>
      </w:r>
      <w:r w:rsidR="00175901" w:rsidRPr="00D90E85">
        <w:rPr>
          <w:rFonts w:ascii="Palatino Linotype" w:hAnsi="Palatino Linotype"/>
          <w:sz w:val="22"/>
          <w:szCs w:val="22"/>
        </w:rPr>
        <w:t>,</w:t>
      </w:r>
      <w:r w:rsidR="00FA7ADF" w:rsidRPr="00D90E85">
        <w:rPr>
          <w:rFonts w:ascii="Palatino Linotype" w:hAnsi="Palatino Linotype"/>
          <w:sz w:val="22"/>
          <w:szCs w:val="22"/>
        </w:rPr>
        <w:t xml:space="preserve"> </w:t>
      </w:r>
      <w:r w:rsidR="005C2202" w:rsidRPr="00D90E85">
        <w:rPr>
          <w:rFonts w:ascii="Palatino Linotype" w:hAnsi="Palatino Linotype"/>
          <w:sz w:val="22"/>
          <w:szCs w:val="22"/>
        </w:rPr>
        <w:t>d</w:t>
      </w:r>
      <w:r w:rsidR="00FA7ADF" w:rsidRPr="00D90E85">
        <w:rPr>
          <w:rFonts w:ascii="Palatino Linotype" w:hAnsi="Palatino Linotype"/>
          <w:sz w:val="22"/>
          <w:szCs w:val="22"/>
        </w:rPr>
        <w:t>e noviembre 10 de 202</w:t>
      </w:r>
      <w:r w:rsidR="005C2202" w:rsidRPr="00D90E85">
        <w:rPr>
          <w:rFonts w:ascii="Palatino Linotype" w:hAnsi="Palatino Linotype"/>
          <w:sz w:val="22"/>
          <w:szCs w:val="22"/>
        </w:rPr>
        <w:t>0</w:t>
      </w:r>
      <w:r w:rsidR="00175901" w:rsidRPr="00D90E85">
        <w:rPr>
          <w:rFonts w:ascii="Palatino Linotype" w:hAnsi="Palatino Linotype"/>
          <w:sz w:val="22"/>
          <w:szCs w:val="22"/>
        </w:rPr>
        <w:t>,</w:t>
      </w:r>
      <w:r w:rsidR="0083460E" w:rsidRPr="00D90E85">
        <w:rPr>
          <w:rFonts w:ascii="Palatino Linotype" w:hAnsi="Palatino Linotype"/>
          <w:sz w:val="22"/>
          <w:szCs w:val="22"/>
        </w:rPr>
        <w:t xml:space="preserve"> la Secretaría de Movilidad remite el</w:t>
      </w:r>
      <w:r w:rsidR="007B4144" w:rsidRPr="00D90E85">
        <w:rPr>
          <w:rFonts w:ascii="Palatino Linotype" w:hAnsi="Palatino Linotype"/>
          <w:sz w:val="22"/>
          <w:szCs w:val="22"/>
        </w:rPr>
        <w:t xml:space="preserve"> informe técnico </w:t>
      </w:r>
      <w:r w:rsidR="00FA7ADF" w:rsidRPr="00D90E85">
        <w:rPr>
          <w:rFonts w:ascii="Palatino Linotype" w:hAnsi="Palatino Linotype"/>
          <w:sz w:val="22"/>
          <w:szCs w:val="22"/>
        </w:rPr>
        <w:t xml:space="preserve">Nro. </w:t>
      </w:r>
      <w:r w:rsidR="007B4144" w:rsidRPr="00D90E85">
        <w:rPr>
          <w:rFonts w:ascii="Palatino Linotype" w:hAnsi="Palatino Linotype"/>
          <w:sz w:val="22"/>
          <w:szCs w:val="22"/>
        </w:rPr>
        <w:t>SM-DMPPS-153-2020</w:t>
      </w:r>
      <w:r w:rsidR="001912A6" w:rsidRPr="00D90E85">
        <w:rPr>
          <w:rFonts w:ascii="Palatino Linotype" w:hAnsi="Palatino Linotype"/>
          <w:sz w:val="22"/>
          <w:szCs w:val="22"/>
        </w:rPr>
        <w:t>,</w:t>
      </w:r>
      <w:r w:rsidR="007B4144" w:rsidRPr="00D90E85">
        <w:rPr>
          <w:rFonts w:ascii="Palatino Linotype" w:hAnsi="Palatino Linotype"/>
          <w:sz w:val="22"/>
          <w:szCs w:val="22"/>
        </w:rPr>
        <w:t xml:space="preserve"> de noviembre</w:t>
      </w:r>
      <w:r w:rsidR="00E65CA8" w:rsidRPr="00D90E85">
        <w:rPr>
          <w:rFonts w:ascii="Palatino Linotype" w:hAnsi="Palatino Linotype"/>
          <w:sz w:val="22"/>
          <w:szCs w:val="22"/>
        </w:rPr>
        <w:t xml:space="preserve"> 6</w:t>
      </w:r>
      <w:r w:rsidR="007B4144" w:rsidRPr="00D90E85">
        <w:rPr>
          <w:rFonts w:ascii="Palatino Linotype" w:hAnsi="Palatino Linotype"/>
          <w:sz w:val="22"/>
          <w:szCs w:val="22"/>
        </w:rPr>
        <w:t xml:space="preserve"> de 2020</w:t>
      </w:r>
      <w:r w:rsidR="00E65CA8" w:rsidRPr="00D90E85">
        <w:rPr>
          <w:rFonts w:ascii="Palatino Linotype" w:hAnsi="Palatino Linotype"/>
          <w:sz w:val="22"/>
          <w:szCs w:val="22"/>
        </w:rPr>
        <w:t>,</w:t>
      </w:r>
      <w:r w:rsidR="0083460E" w:rsidRPr="00D90E85">
        <w:rPr>
          <w:rFonts w:ascii="Palatino Linotype" w:hAnsi="Palatino Linotype"/>
          <w:sz w:val="22"/>
          <w:szCs w:val="22"/>
        </w:rPr>
        <w:t xml:space="preserve"> </w:t>
      </w:r>
      <w:r w:rsidR="00DC425F" w:rsidRPr="00D90E85">
        <w:rPr>
          <w:rFonts w:ascii="Palatino Linotype" w:hAnsi="Palatino Linotype"/>
          <w:sz w:val="22"/>
          <w:szCs w:val="22"/>
        </w:rPr>
        <w:t xml:space="preserve">en el que manifiesta que </w:t>
      </w:r>
      <w:r w:rsidRPr="00D90E85">
        <w:rPr>
          <w:rFonts w:ascii="Palatino Linotype" w:hAnsi="Palatino Linotype"/>
          <w:sz w:val="21"/>
          <w:szCs w:val="21"/>
        </w:rPr>
        <w:t xml:space="preserve">la </w:t>
      </w:r>
      <w:r w:rsidR="00381EA6" w:rsidRPr="00D90E85">
        <w:rPr>
          <w:rFonts w:ascii="Palatino Linotype" w:hAnsi="Palatino Linotype"/>
          <w:sz w:val="21"/>
          <w:szCs w:val="21"/>
        </w:rPr>
        <w:t>E</w:t>
      </w:r>
      <w:r w:rsidRPr="00D90E85">
        <w:rPr>
          <w:rFonts w:ascii="Palatino Linotype" w:hAnsi="Palatino Linotype"/>
          <w:sz w:val="21"/>
          <w:szCs w:val="21"/>
        </w:rPr>
        <w:t xml:space="preserve">stación </w:t>
      </w:r>
      <w:r w:rsidR="001912A6" w:rsidRPr="00D90E85">
        <w:rPr>
          <w:rFonts w:ascii="Palatino Linotype" w:hAnsi="Palatino Linotype"/>
          <w:sz w:val="21"/>
          <w:szCs w:val="21"/>
        </w:rPr>
        <w:t xml:space="preserve">de </w:t>
      </w:r>
      <w:r w:rsidR="00397FC5" w:rsidRPr="00D90E85">
        <w:rPr>
          <w:rFonts w:ascii="Palatino Linotype" w:hAnsi="Palatino Linotype"/>
          <w:sz w:val="22"/>
          <w:szCs w:val="22"/>
        </w:rPr>
        <w:t>Transferencia de</w:t>
      </w:r>
      <w:r w:rsidRPr="00D90E85">
        <w:rPr>
          <w:rFonts w:ascii="Palatino Linotype" w:hAnsi="Palatino Linotype"/>
          <w:sz w:val="22"/>
          <w:szCs w:val="22"/>
        </w:rPr>
        <w:t xml:space="preserve"> Cumbayá definitiva,</w:t>
      </w:r>
      <w:r w:rsidRPr="00D90E85">
        <w:rPr>
          <w:rFonts w:ascii="Palatino Linotype" w:hAnsi="Palatino Linotype"/>
          <w:sz w:val="21"/>
          <w:szCs w:val="21"/>
        </w:rPr>
        <w:t xml:space="preserve"> será construida en el predio Nro. 279520, </w:t>
      </w:r>
      <w:r w:rsidR="00DA5048" w:rsidRPr="00D90E85">
        <w:rPr>
          <w:rFonts w:ascii="Palatino Linotype" w:hAnsi="Palatino Linotype"/>
          <w:sz w:val="22"/>
          <w:szCs w:val="22"/>
        </w:rPr>
        <w:t xml:space="preserve">por lo que </w:t>
      </w:r>
      <w:r w:rsidRPr="00D90E85">
        <w:rPr>
          <w:rFonts w:ascii="Palatino Linotype" w:hAnsi="Palatino Linotype"/>
          <w:sz w:val="21"/>
          <w:szCs w:val="21"/>
        </w:rPr>
        <w:t xml:space="preserve">ya no es indispensable que el predio Nro. 3697579, mantenga el uso de suelo y zonificación otorgada en la Ordenanza Nro. OT-001-2019-PUOS; </w:t>
      </w:r>
      <w:r w:rsidR="002D005A" w:rsidRPr="00D90E85">
        <w:rPr>
          <w:rFonts w:ascii="Palatino Linotype" w:hAnsi="Palatino Linotype"/>
          <w:sz w:val="21"/>
          <w:szCs w:val="21"/>
        </w:rPr>
        <w:t>estableciéndose así</w:t>
      </w:r>
      <w:r w:rsidRPr="00D90E85">
        <w:rPr>
          <w:rFonts w:ascii="Palatino Linotype" w:hAnsi="Palatino Linotype"/>
          <w:sz w:val="21"/>
          <w:szCs w:val="21"/>
        </w:rPr>
        <w:t xml:space="preserve"> la necesidad de revertir e</w:t>
      </w:r>
      <w:r w:rsidR="002D005A" w:rsidRPr="00D90E85">
        <w:rPr>
          <w:rFonts w:ascii="Palatino Linotype" w:hAnsi="Palatino Linotype"/>
          <w:sz w:val="21"/>
          <w:szCs w:val="21"/>
        </w:rPr>
        <w:t>ste</w:t>
      </w:r>
      <w:r w:rsidRPr="00D90E85">
        <w:rPr>
          <w:rFonts w:ascii="Palatino Linotype" w:hAnsi="Palatino Linotype"/>
          <w:sz w:val="21"/>
          <w:szCs w:val="21"/>
        </w:rPr>
        <w:t xml:space="preserve"> cambio; y,</w:t>
      </w:r>
    </w:p>
    <w:p w14:paraId="3BBC7E31" w14:textId="6B24A46C" w:rsidR="003E7193" w:rsidRPr="00E64B45" w:rsidRDefault="003E7193" w:rsidP="00905B9C">
      <w:pPr>
        <w:pStyle w:val="NormalWeb"/>
        <w:jc w:val="both"/>
        <w:rPr>
          <w:rFonts w:ascii="Palatino Linotype" w:hAnsi="Palatino Linotype"/>
          <w:sz w:val="21"/>
          <w:szCs w:val="21"/>
        </w:rPr>
      </w:pPr>
      <w:r w:rsidRPr="00E64B45">
        <w:rPr>
          <w:rFonts w:ascii="Palatino Linotype" w:hAnsi="Palatino Linotype"/>
          <w:b/>
          <w:bCs/>
          <w:sz w:val="21"/>
          <w:szCs w:val="21"/>
        </w:rPr>
        <w:t xml:space="preserve">En ejercicio de la atribución que le confiere los numerales 1 y 2 del artículo 264 de la Constitución de la República; el artículo 2 y 8, numeral 1 respectivamente de la Ley </w:t>
      </w:r>
      <w:r w:rsidRPr="00E64B45">
        <w:rPr>
          <w:rFonts w:ascii="Palatino Linotype" w:hAnsi="Palatino Linotype"/>
          <w:b/>
          <w:bCs/>
          <w:sz w:val="21"/>
          <w:szCs w:val="21"/>
        </w:rPr>
        <w:lastRenderedPageBreak/>
        <w:t>Orgánica</w:t>
      </w:r>
      <w:r w:rsidR="00B25F0F" w:rsidRPr="00E64B45">
        <w:rPr>
          <w:rFonts w:ascii="Palatino Linotype" w:hAnsi="Palatino Linotype"/>
          <w:b/>
          <w:bCs/>
          <w:sz w:val="21"/>
          <w:szCs w:val="21"/>
        </w:rPr>
        <w:t xml:space="preserve"> </w:t>
      </w:r>
      <w:r w:rsidRPr="00E64B45">
        <w:rPr>
          <w:rFonts w:ascii="Palatino Linotype" w:hAnsi="Palatino Linotype"/>
          <w:b/>
          <w:bCs/>
          <w:sz w:val="21"/>
          <w:szCs w:val="21"/>
        </w:rPr>
        <w:t>de Régimen para el Distrito Metropolitano de Q</w:t>
      </w:r>
      <w:r w:rsidR="0054681B" w:rsidRPr="00E64B45">
        <w:rPr>
          <w:rFonts w:ascii="Palatino Linotype" w:hAnsi="Palatino Linotype"/>
          <w:b/>
          <w:bCs/>
          <w:sz w:val="21"/>
          <w:szCs w:val="21"/>
        </w:rPr>
        <w:t xml:space="preserve">uito y artículo 87, literal a, </w:t>
      </w:r>
      <w:r w:rsidRPr="00E64B45">
        <w:rPr>
          <w:rFonts w:ascii="Palatino Linotype" w:hAnsi="Palatino Linotype"/>
          <w:b/>
          <w:bCs/>
          <w:sz w:val="21"/>
          <w:szCs w:val="21"/>
        </w:rPr>
        <w:t xml:space="preserve"> y v, del Código Orgánico de Organización Territorial, Autonomía y Descentralizac</w:t>
      </w:r>
      <w:r w:rsidR="0054681B" w:rsidRPr="00E64B45">
        <w:rPr>
          <w:rFonts w:ascii="Palatino Linotype" w:hAnsi="Palatino Linotype"/>
          <w:b/>
          <w:bCs/>
          <w:sz w:val="21"/>
          <w:szCs w:val="21"/>
        </w:rPr>
        <w:t xml:space="preserve">ión; </w:t>
      </w:r>
    </w:p>
    <w:p w14:paraId="4941E2CF" w14:textId="37A1EBD5" w:rsidR="003E7193" w:rsidRDefault="003E7193" w:rsidP="00115483">
      <w:pPr>
        <w:pStyle w:val="NormalWeb"/>
        <w:jc w:val="center"/>
        <w:rPr>
          <w:rFonts w:ascii="Palatino Linotype" w:hAnsi="Palatino Linotype"/>
          <w:b/>
          <w:bCs/>
          <w:sz w:val="21"/>
          <w:szCs w:val="21"/>
        </w:rPr>
      </w:pPr>
      <w:r w:rsidRPr="00E64B45">
        <w:rPr>
          <w:rFonts w:ascii="Palatino Linotype" w:hAnsi="Palatino Linotype"/>
          <w:b/>
          <w:bCs/>
          <w:sz w:val="21"/>
          <w:szCs w:val="21"/>
        </w:rPr>
        <w:t>EXPIDE LA SIGUIENTE:</w:t>
      </w:r>
    </w:p>
    <w:p w14:paraId="04FC1DD1" w14:textId="4E9785E4" w:rsidR="00C0073D" w:rsidRPr="006C7831" w:rsidRDefault="00C0073D" w:rsidP="007D328B">
      <w:pPr>
        <w:pStyle w:val="NormalWeb"/>
        <w:rPr>
          <w:rFonts w:ascii="Palatino Linotype" w:hAnsi="Palatino Linotype"/>
          <w:b/>
          <w:bCs/>
          <w:position w:val="2"/>
          <w:sz w:val="22"/>
          <w:szCs w:val="22"/>
        </w:rPr>
      </w:pPr>
      <w:r w:rsidRPr="006C7831">
        <w:rPr>
          <w:rFonts w:ascii="Palatino Linotype" w:hAnsi="Palatino Linotype"/>
          <w:b/>
          <w:bCs/>
          <w:sz w:val="22"/>
          <w:szCs w:val="22"/>
        </w:rPr>
        <w:t xml:space="preserve">ORDENANZA METROPOLITANA MODIFICATORIA DE LA </w:t>
      </w:r>
      <w:r w:rsidRPr="006C7831">
        <w:rPr>
          <w:rFonts w:ascii="Palatino Linotype" w:hAnsi="Palatino Linotype"/>
          <w:b/>
          <w:bCs/>
          <w:position w:val="2"/>
          <w:sz w:val="22"/>
          <w:szCs w:val="22"/>
        </w:rPr>
        <w:t>ORDENANZA No. OT- 001- 2019- PUOS SANCIONADA EL 05 DE NOVIEMBRE DE 2019</w:t>
      </w:r>
    </w:p>
    <w:p w14:paraId="57107B72" w14:textId="77777777" w:rsidR="00C0073D" w:rsidRPr="006C7831" w:rsidRDefault="00C0073D" w:rsidP="00C0073D">
      <w:pPr>
        <w:pStyle w:val="NormalWeb"/>
        <w:jc w:val="both"/>
        <w:rPr>
          <w:rFonts w:ascii="Palatino Linotype" w:hAnsi="Palatino Linotype"/>
          <w:b/>
          <w:bCs/>
          <w:position w:val="2"/>
          <w:sz w:val="22"/>
          <w:szCs w:val="22"/>
        </w:rPr>
      </w:pPr>
      <w:r w:rsidRPr="006C7831">
        <w:rPr>
          <w:rFonts w:ascii="Palatino Linotype" w:hAnsi="Palatino Linotype"/>
          <w:b/>
          <w:bCs/>
          <w:position w:val="2"/>
          <w:sz w:val="22"/>
          <w:szCs w:val="22"/>
        </w:rPr>
        <w:t xml:space="preserve">Artículo Único.- </w:t>
      </w:r>
      <w:r w:rsidRPr="006C7831">
        <w:rPr>
          <w:rFonts w:ascii="Palatino Linotype" w:hAnsi="Palatino Linotype"/>
          <w:position w:val="2"/>
          <w:sz w:val="22"/>
          <w:szCs w:val="22"/>
        </w:rPr>
        <w:t>En el cuadro del artículo único de la Ordenanza Nro. OT- 001- 2019- PUOS, sancionada el 05 de noviembre de 2019, respecto a las asignaciones de uso de suelo equipamiento y zonificación A10 (A 604-50) del predio Nro. 3697579, de propiedad del Municipio de Quito, modifíquese dichas asignaciones según el siguiente detalle: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9"/>
        <w:gridCol w:w="1769"/>
        <w:gridCol w:w="1554"/>
        <w:gridCol w:w="1891"/>
        <w:gridCol w:w="2001"/>
      </w:tblGrid>
      <w:tr w:rsidR="00C0073D" w:rsidRPr="006C7831" w14:paraId="0C25B94E" w14:textId="77777777" w:rsidTr="0086463E">
        <w:tc>
          <w:tcPr>
            <w:tcW w:w="1697" w:type="dxa"/>
          </w:tcPr>
          <w:p w14:paraId="2E5C97D0" w14:textId="77777777" w:rsidR="00C0073D" w:rsidRPr="006C7831" w:rsidRDefault="00C0073D" w:rsidP="0086463E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6C7831">
              <w:rPr>
                <w:b/>
                <w:bCs/>
                <w:sz w:val="22"/>
                <w:szCs w:val="22"/>
              </w:rPr>
              <w:t>PREDIO</w:t>
            </w:r>
          </w:p>
        </w:tc>
        <w:tc>
          <w:tcPr>
            <w:tcW w:w="1697" w:type="dxa"/>
          </w:tcPr>
          <w:p w14:paraId="3138C069" w14:textId="77777777" w:rsidR="00C0073D" w:rsidRPr="006C7831" w:rsidRDefault="00C0073D" w:rsidP="0086463E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6C7831">
              <w:rPr>
                <w:b/>
                <w:bCs/>
                <w:sz w:val="22"/>
                <w:szCs w:val="22"/>
              </w:rPr>
              <w:t>PROPIETARIO</w:t>
            </w:r>
          </w:p>
        </w:tc>
        <w:tc>
          <w:tcPr>
            <w:tcW w:w="1698" w:type="dxa"/>
          </w:tcPr>
          <w:p w14:paraId="693A384F" w14:textId="77777777" w:rsidR="00C0073D" w:rsidRPr="006C7831" w:rsidRDefault="00C0073D" w:rsidP="0086463E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6C7831">
              <w:rPr>
                <w:b/>
                <w:bCs/>
                <w:sz w:val="22"/>
                <w:szCs w:val="22"/>
              </w:rPr>
              <w:t>USO DE SUELO</w:t>
            </w:r>
          </w:p>
        </w:tc>
        <w:tc>
          <w:tcPr>
            <w:tcW w:w="1698" w:type="dxa"/>
          </w:tcPr>
          <w:p w14:paraId="798F296E" w14:textId="77777777" w:rsidR="00C0073D" w:rsidRPr="006C7831" w:rsidRDefault="00C0073D" w:rsidP="0086463E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6C7831">
              <w:rPr>
                <w:b/>
                <w:bCs/>
                <w:sz w:val="22"/>
                <w:szCs w:val="22"/>
              </w:rPr>
              <w:t>ZONIFICACIÓN</w:t>
            </w:r>
          </w:p>
        </w:tc>
        <w:tc>
          <w:tcPr>
            <w:tcW w:w="1698" w:type="dxa"/>
          </w:tcPr>
          <w:p w14:paraId="04354F09" w14:textId="77777777" w:rsidR="00C0073D" w:rsidRPr="006C7831" w:rsidRDefault="00C0073D" w:rsidP="0086463E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6C7831">
              <w:rPr>
                <w:b/>
                <w:bCs/>
                <w:sz w:val="22"/>
                <w:szCs w:val="22"/>
              </w:rPr>
              <w:t>CLASIFICACIÓN DEL SUELO</w:t>
            </w:r>
          </w:p>
        </w:tc>
      </w:tr>
      <w:tr w:rsidR="00C0073D" w:rsidRPr="006C7831" w14:paraId="5D201844" w14:textId="77777777" w:rsidTr="0086463E">
        <w:tc>
          <w:tcPr>
            <w:tcW w:w="1697" w:type="dxa"/>
          </w:tcPr>
          <w:p w14:paraId="1E429F2F" w14:textId="77777777" w:rsidR="00C0073D" w:rsidRPr="006C7831" w:rsidRDefault="00C0073D" w:rsidP="0086463E">
            <w:pPr>
              <w:spacing w:before="100" w:beforeAutospacing="1" w:after="100" w:afterAutospacing="1"/>
              <w:jc w:val="both"/>
            </w:pPr>
            <w:r w:rsidRPr="006C7831">
              <w:t>3697579</w:t>
            </w:r>
          </w:p>
        </w:tc>
        <w:tc>
          <w:tcPr>
            <w:tcW w:w="1697" w:type="dxa"/>
          </w:tcPr>
          <w:p w14:paraId="7CE18A3D" w14:textId="77777777" w:rsidR="00C0073D" w:rsidRPr="006C7831" w:rsidRDefault="00C0073D" w:rsidP="0086463E">
            <w:pPr>
              <w:spacing w:before="100" w:beforeAutospacing="1" w:after="100" w:afterAutospacing="1"/>
              <w:jc w:val="both"/>
            </w:pPr>
            <w:r w:rsidRPr="006C7831">
              <w:t>Municipio de Quito</w:t>
            </w:r>
          </w:p>
        </w:tc>
        <w:tc>
          <w:tcPr>
            <w:tcW w:w="1698" w:type="dxa"/>
          </w:tcPr>
          <w:p w14:paraId="738140E4" w14:textId="77777777" w:rsidR="00C0073D" w:rsidRPr="006C7831" w:rsidRDefault="00C0073D" w:rsidP="0086463E">
            <w:pPr>
              <w:spacing w:before="100" w:beforeAutospacing="1" w:after="100" w:afterAutospacing="1"/>
              <w:jc w:val="both"/>
            </w:pPr>
            <w:r w:rsidRPr="006C7831">
              <w:t>Protección Ecológica</w:t>
            </w:r>
          </w:p>
        </w:tc>
        <w:tc>
          <w:tcPr>
            <w:tcW w:w="1698" w:type="dxa"/>
          </w:tcPr>
          <w:p w14:paraId="40A3590C" w14:textId="77777777" w:rsidR="00C0073D" w:rsidRPr="006C7831" w:rsidRDefault="00C0073D" w:rsidP="0086463E">
            <w:pPr>
              <w:spacing w:before="100" w:beforeAutospacing="1" w:after="100" w:afterAutospacing="1"/>
              <w:jc w:val="both"/>
            </w:pPr>
            <w:r w:rsidRPr="006C7831">
              <w:t>A31 (PQ)</w:t>
            </w:r>
          </w:p>
        </w:tc>
        <w:tc>
          <w:tcPr>
            <w:tcW w:w="1698" w:type="dxa"/>
          </w:tcPr>
          <w:p w14:paraId="559C02B1" w14:textId="77777777" w:rsidR="00C0073D" w:rsidRPr="006C7831" w:rsidRDefault="00C0073D" w:rsidP="0086463E">
            <w:pPr>
              <w:spacing w:before="100" w:beforeAutospacing="1" w:after="100" w:afterAutospacing="1"/>
              <w:jc w:val="both"/>
            </w:pPr>
            <w:r w:rsidRPr="006C7831">
              <w:t>Urbano</w:t>
            </w:r>
          </w:p>
        </w:tc>
      </w:tr>
    </w:tbl>
    <w:p w14:paraId="69588299" w14:textId="428087A4" w:rsidR="00F61E72" w:rsidRPr="00E64B45" w:rsidRDefault="00A45E56" w:rsidP="00115483">
      <w:pPr>
        <w:spacing w:before="100" w:beforeAutospacing="1" w:after="100" w:afterAutospacing="1"/>
        <w:rPr>
          <w:rFonts w:ascii="Palatino Linotype" w:hAnsi="Palatino Linotype"/>
          <w:b/>
          <w:bCs/>
          <w:sz w:val="21"/>
          <w:szCs w:val="21"/>
        </w:rPr>
      </w:pPr>
      <w:r w:rsidRPr="006C7831">
        <w:rPr>
          <w:rFonts w:ascii="Palatino Linotype" w:hAnsi="Palatino Linotype"/>
          <w:b/>
          <w:bCs/>
          <w:sz w:val="21"/>
          <w:szCs w:val="21"/>
        </w:rPr>
        <w:t>Disposición</w:t>
      </w:r>
      <w:r w:rsidR="00115483" w:rsidRPr="006C7831">
        <w:rPr>
          <w:rFonts w:ascii="Palatino Linotype" w:hAnsi="Palatino Linotype"/>
          <w:b/>
          <w:bCs/>
          <w:sz w:val="21"/>
          <w:szCs w:val="21"/>
        </w:rPr>
        <w:t xml:space="preserve"> </w:t>
      </w:r>
      <w:r w:rsidRPr="006C7831">
        <w:rPr>
          <w:rFonts w:ascii="Palatino Linotype" w:hAnsi="Palatino Linotype"/>
          <w:b/>
          <w:bCs/>
          <w:sz w:val="21"/>
          <w:szCs w:val="21"/>
        </w:rPr>
        <w:t>General.-</w:t>
      </w:r>
    </w:p>
    <w:p w14:paraId="1440E56B" w14:textId="097E42E7" w:rsidR="00F61E72" w:rsidRPr="00E64B45" w:rsidRDefault="00A45E56" w:rsidP="00905B9C">
      <w:pPr>
        <w:spacing w:before="100" w:beforeAutospacing="1" w:after="100" w:afterAutospacing="1"/>
        <w:jc w:val="both"/>
        <w:rPr>
          <w:rFonts w:ascii="Palatino Linotype" w:hAnsi="Palatino Linotype"/>
          <w:sz w:val="21"/>
          <w:szCs w:val="21"/>
        </w:rPr>
      </w:pPr>
      <w:r w:rsidRPr="00E64B45">
        <w:rPr>
          <w:rFonts w:ascii="Palatino Linotype" w:hAnsi="Palatino Linotype"/>
          <w:b/>
          <w:bCs/>
          <w:sz w:val="21"/>
          <w:szCs w:val="21"/>
        </w:rPr>
        <w:t>Única</w:t>
      </w:r>
      <w:r w:rsidR="003E7193" w:rsidRPr="00E64B45">
        <w:rPr>
          <w:rFonts w:ascii="Palatino Linotype" w:hAnsi="Palatino Linotype"/>
          <w:b/>
          <w:bCs/>
          <w:sz w:val="21"/>
          <w:szCs w:val="21"/>
        </w:rPr>
        <w:t xml:space="preserve">. - </w:t>
      </w:r>
      <w:r w:rsidR="003E7193" w:rsidRPr="00E64B45">
        <w:rPr>
          <w:rFonts w:ascii="Palatino Linotype" w:hAnsi="Palatino Linotype"/>
          <w:sz w:val="21"/>
          <w:szCs w:val="21"/>
        </w:rPr>
        <w:t xml:space="preserve">Actualícese el Plan de Uso y Ocupación del Suelo </w:t>
      </w:r>
      <w:r w:rsidR="00F61E72" w:rsidRPr="00E64B45">
        <w:rPr>
          <w:rFonts w:ascii="Palatino Linotype" w:hAnsi="Palatino Linotype"/>
          <w:sz w:val="21"/>
          <w:szCs w:val="21"/>
        </w:rPr>
        <w:t xml:space="preserve">de conformidad </w:t>
      </w:r>
      <w:r w:rsidR="003E7193" w:rsidRPr="00E64B45">
        <w:rPr>
          <w:rFonts w:ascii="Palatino Linotype" w:hAnsi="Palatino Linotype"/>
          <w:sz w:val="21"/>
          <w:szCs w:val="21"/>
        </w:rPr>
        <w:t>con l</w:t>
      </w:r>
      <w:r w:rsidR="00F61E72" w:rsidRPr="00E64B45">
        <w:rPr>
          <w:rFonts w:ascii="Palatino Linotype" w:hAnsi="Palatino Linotype"/>
          <w:sz w:val="21"/>
          <w:szCs w:val="21"/>
        </w:rPr>
        <w:t>o establecido en el artículo único.</w:t>
      </w:r>
    </w:p>
    <w:p w14:paraId="33A7DDC9" w14:textId="77777777" w:rsidR="00A45E56" w:rsidRPr="00E64B45" w:rsidRDefault="00A45E56" w:rsidP="00905B9C">
      <w:pPr>
        <w:spacing w:before="100" w:beforeAutospacing="1" w:after="100" w:afterAutospacing="1"/>
        <w:jc w:val="both"/>
        <w:rPr>
          <w:rFonts w:ascii="Palatino Linotype" w:hAnsi="Palatino Linotype"/>
          <w:b/>
          <w:bCs/>
          <w:sz w:val="21"/>
          <w:szCs w:val="21"/>
        </w:rPr>
      </w:pPr>
      <w:r w:rsidRPr="00E64B45">
        <w:rPr>
          <w:rFonts w:ascii="Palatino Linotype" w:hAnsi="Palatino Linotype"/>
          <w:b/>
          <w:bCs/>
          <w:sz w:val="21"/>
          <w:szCs w:val="21"/>
        </w:rPr>
        <w:t>Disposición</w:t>
      </w:r>
      <w:r w:rsidR="003E7193" w:rsidRPr="00E64B45">
        <w:rPr>
          <w:rFonts w:ascii="Palatino Linotype" w:hAnsi="Palatino Linotype"/>
          <w:b/>
          <w:bCs/>
          <w:sz w:val="21"/>
          <w:szCs w:val="21"/>
        </w:rPr>
        <w:t xml:space="preserve"> Transitoria</w:t>
      </w:r>
      <w:r w:rsidRPr="00E64B45">
        <w:rPr>
          <w:rFonts w:ascii="Palatino Linotype" w:hAnsi="Palatino Linotype"/>
          <w:b/>
          <w:bCs/>
          <w:sz w:val="21"/>
          <w:szCs w:val="21"/>
        </w:rPr>
        <w:t xml:space="preserve"> </w:t>
      </w:r>
    </w:p>
    <w:p w14:paraId="0AD4ACFC" w14:textId="77777777" w:rsidR="00C17E4F" w:rsidRDefault="00C17E4F" w:rsidP="00C17E4F">
      <w:pPr>
        <w:spacing w:before="100" w:beforeAutospacing="1" w:after="100" w:afterAutospacing="1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Primera</w:t>
      </w:r>
      <w:r w:rsidRPr="003E7193">
        <w:rPr>
          <w:rFonts w:ascii="Palatino Linotype" w:hAnsi="Palatino Linotype"/>
          <w:b/>
          <w:bCs/>
          <w:sz w:val="22"/>
          <w:szCs w:val="22"/>
        </w:rPr>
        <w:t>.</w:t>
      </w:r>
      <w:r>
        <w:rPr>
          <w:rFonts w:ascii="Palatino Linotype" w:hAnsi="Palatino Linotype"/>
          <w:b/>
          <w:bCs/>
          <w:sz w:val="22"/>
          <w:szCs w:val="22"/>
        </w:rPr>
        <w:t>-</w:t>
      </w:r>
      <w:r w:rsidRPr="00776024">
        <w:rPr>
          <w:rFonts w:ascii="Palatino Linotype" w:hAnsi="Palatino Linotype"/>
          <w:sz w:val="22"/>
          <w:szCs w:val="22"/>
        </w:rPr>
        <w:t xml:space="preserve"> La Dirección Metropolitana de Catastro, en el término</w:t>
      </w:r>
      <w:r>
        <w:rPr>
          <w:rFonts w:ascii="Palatino Linotype" w:hAnsi="Palatino Linotype"/>
          <w:sz w:val="22"/>
          <w:szCs w:val="22"/>
        </w:rPr>
        <w:t xml:space="preserve"> de 15 días </w:t>
      </w:r>
      <w:r w:rsidRPr="003E7193">
        <w:rPr>
          <w:rFonts w:ascii="Palatino Linotype" w:hAnsi="Palatino Linotype"/>
          <w:sz w:val="22"/>
          <w:szCs w:val="22"/>
        </w:rPr>
        <w:t xml:space="preserve">contados a partir de la fecha </w:t>
      </w:r>
      <w:r>
        <w:rPr>
          <w:rFonts w:ascii="Palatino Linotype" w:hAnsi="Palatino Linotype"/>
          <w:sz w:val="22"/>
          <w:szCs w:val="22"/>
        </w:rPr>
        <w:t>de sanción de la p</w:t>
      </w:r>
      <w:r w:rsidRPr="003E7193">
        <w:rPr>
          <w:rFonts w:ascii="Palatino Linotype" w:hAnsi="Palatino Linotype"/>
          <w:sz w:val="22"/>
          <w:szCs w:val="22"/>
        </w:rPr>
        <w:t>resente ordenanza</w:t>
      </w:r>
      <w:r>
        <w:rPr>
          <w:rFonts w:ascii="Palatino Linotype" w:hAnsi="Palatino Linotype"/>
          <w:sz w:val="22"/>
          <w:szCs w:val="22"/>
        </w:rPr>
        <w:t xml:space="preserve"> actualizará el accidente geográfico del relleno quebrada del catastro del predio </w:t>
      </w:r>
      <w:r w:rsidRPr="00491235">
        <w:rPr>
          <w:rFonts w:ascii="Palatino Linotype" w:hAnsi="Palatino Linotype"/>
          <w:sz w:val="22"/>
          <w:szCs w:val="22"/>
        </w:rPr>
        <w:t xml:space="preserve">Nro. </w:t>
      </w:r>
      <w:r w:rsidRPr="003E7193">
        <w:rPr>
          <w:rFonts w:ascii="Palatino Linotype" w:hAnsi="Palatino Linotype"/>
          <w:sz w:val="22"/>
          <w:szCs w:val="22"/>
        </w:rPr>
        <w:t xml:space="preserve"> </w:t>
      </w:r>
      <w:r w:rsidRPr="00491235">
        <w:rPr>
          <w:rFonts w:ascii="Palatino Linotype" w:hAnsi="Palatino Linotype"/>
          <w:position w:val="2"/>
          <w:sz w:val="22"/>
          <w:szCs w:val="22"/>
        </w:rPr>
        <w:t>3697579</w:t>
      </w:r>
      <w:r>
        <w:rPr>
          <w:rFonts w:ascii="Palatino Linotype" w:hAnsi="Palatino Linotype"/>
          <w:position w:val="2"/>
          <w:sz w:val="22"/>
          <w:szCs w:val="22"/>
        </w:rPr>
        <w:t>.</w:t>
      </w:r>
    </w:p>
    <w:p w14:paraId="1BFCF220" w14:textId="77777777" w:rsidR="00C17E4F" w:rsidRPr="00491235" w:rsidRDefault="00C17E4F" w:rsidP="00C17E4F">
      <w:pPr>
        <w:spacing w:before="100" w:beforeAutospacing="1" w:after="100" w:afterAutospacing="1"/>
        <w:jc w:val="both"/>
        <w:rPr>
          <w:rFonts w:ascii="Palatino Linotype" w:hAnsi="Palatino Linotype"/>
          <w:b/>
          <w:bCs/>
          <w:sz w:val="22"/>
          <w:szCs w:val="22"/>
        </w:rPr>
      </w:pPr>
      <w:r w:rsidRPr="002E5ED3">
        <w:rPr>
          <w:rFonts w:ascii="Palatino Linotype" w:hAnsi="Palatino Linotype"/>
          <w:b/>
          <w:bCs/>
          <w:sz w:val="22"/>
          <w:szCs w:val="22"/>
        </w:rPr>
        <w:t>Segunda.-</w:t>
      </w:r>
      <w:r>
        <w:rPr>
          <w:rFonts w:ascii="Palatino Linotype" w:hAnsi="Palatino Linotype"/>
          <w:sz w:val="22"/>
          <w:szCs w:val="22"/>
        </w:rPr>
        <w:t xml:space="preserve"> La secretaría responsable de </w:t>
      </w:r>
      <w:r w:rsidRPr="003E7193">
        <w:rPr>
          <w:rFonts w:ascii="Palatino Linotype" w:hAnsi="Palatino Linotype"/>
          <w:sz w:val="22"/>
          <w:szCs w:val="22"/>
        </w:rPr>
        <w:t>territorio, hábitat y vivienda</w:t>
      </w:r>
      <w:r>
        <w:rPr>
          <w:rFonts w:ascii="Palatino Linotype" w:hAnsi="Palatino Linotype"/>
          <w:sz w:val="22"/>
          <w:szCs w:val="22"/>
        </w:rPr>
        <w:t>, en el término de 15 días contados a partir de la sanción de la presente ordenanza,</w:t>
      </w:r>
      <w:r w:rsidRPr="003E7193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actualizará la base cartográfica de PUOS y el Informe de Regulación Metropolitana según lo establecido en el presente instrumento normativo</w:t>
      </w:r>
      <w:r w:rsidRPr="00491235">
        <w:rPr>
          <w:rFonts w:ascii="Palatino Linotype" w:hAnsi="Palatino Linotype"/>
          <w:position w:val="2"/>
          <w:sz w:val="22"/>
          <w:szCs w:val="22"/>
        </w:rPr>
        <w:t xml:space="preserve"> </w:t>
      </w:r>
    </w:p>
    <w:p w14:paraId="4EF51E50" w14:textId="233C1DCC" w:rsidR="00BA6EFE" w:rsidRPr="00E64B45" w:rsidRDefault="00F61E72" w:rsidP="00BA6EFE">
      <w:pPr>
        <w:jc w:val="both"/>
        <w:rPr>
          <w:rFonts w:ascii="Palatino Linotype" w:hAnsi="Palatino Linotype"/>
          <w:sz w:val="21"/>
          <w:szCs w:val="21"/>
        </w:rPr>
      </w:pPr>
      <w:r w:rsidRPr="00E64B45">
        <w:rPr>
          <w:rFonts w:ascii="Palatino Linotype" w:hAnsi="Palatino Linotype"/>
          <w:b/>
          <w:bCs/>
          <w:sz w:val="21"/>
          <w:szCs w:val="21"/>
        </w:rPr>
        <w:t>Disp</w:t>
      </w:r>
      <w:r w:rsidR="003E7193" w:rsidRPr="00E64B45">
        <w:rPr>
          <w:rFonts w:ascii="Palatino Linotype" w:hAnsi="Palatino Linotype"/>
          <w:b/>
          <w:bCs/>
          <w:sz w:val="21"/>
          <w:szCs w:val="21"/>
        </w:rPr>
        <w:t xml:space="preserve">osición </w:t>
      </w:r>
      <w:r w:rsidRPr="00E64B45">
        <w:rPr>
          <w:rFonts w:ascii="Palatino Linotype" w:hAnsi="Palatino Linotype"/>
          <w:b/>
          <w:bCs/>
          <w:sz w:val="21"/>
          <w:szCs w:val="21"/>
        </w:rPr>
        <w:t>F</w:t>
      </w:r>
      <w:r w:rsidR="003E7193" w:rsidRPr="00E64B45">
        <w:rPr>
          <w:rFonts w:ascii="Palatino Linotype" w:hAnsi="Palatino Linotype"/>
          <w:b/>
          <w:bCs/>
          <w:sz w:val="21"/>
          <w:szCs w:val="21"/>
        </w:rPr>
        <w:t xml:space="preserve">inal. - </w:t>
      </w:r>
      <w:r w:rsidR="00BA6EFE" w:rsidRPr="00E64B45">
        <w:rPr>
          <w:rFonts w:ascii="Palatino Linotype" w:hAnsi="Palatino Linotype"/>
          <w:sz w:val="21"/>
          <w:szCs w:val="21"/>
        </w:rPr>
        <w:t>La presente Ordenanza entrará en vigencia a partir de la fecha de su sanción, sin perjuicio de su publicación en la gaceta oficial, en el dominio web del Municipio del Distrito Metropolitano de Quito y en el Registro Oficial, tal como lo dispone el artículo 324 del COOTAD.</w:t>
      </w:r>
    </w:p>
    <w:p w14:paraId="2C98D302" w14:textId="77777777" w:rsidR="00BA6EFE" w:rsidRPr="00E64B45" w:rsidRDefault="00BA6EFE" w:rsidP="00BA6EFE">
      <w:pPr>
        <w:jc w:val="both"/>
        <w:rPr>
          <w:rFonts w:ascii="Palatino Linotype" w:hAnsi="Palatino Linotype"/>
          <w:sz w:val="21"/>
          <w:szCs w:val="21"/>
        </w:rPr>
      </w:pPr>
    </w:p>
    <w:p w14:paraId="7DE3B56F" w14:textId="799FC121" w:rsidR="00BA6EFE" w:rsidRPr="00E64B45" w:rsidRDefault="00BA6EFE" w:rsidP="00BA6EFE">
      <w:pPr>
        <w:jc w:val="both"/>
        <w:rPr>
          <w:rFonts w:ascii="Palatino Linotype" w:hAnsi="Palatino Linotype"/>
          <w:sz w:val="21"/>
          <w:szCs w:val="21"/>
        </w:rPr>
      </w:pPr>
      <w:r w:rsidRPr="00E64B45">
        <w:rPr>
          <w:rFonts w:ascii="Palatino Linotype" w:hAnsi="Palatino Linotype"/>
          <w:sz w:val="21"/>
          <w:szCs w:val="21"/>
        </w:rPr>
        <w:t xml:space="preserve">Dada y firmada en la </w:t>
      </w:r>
      <w:r w:rsidR="00493223">
        <w:rPr>
          <w:rFonts w:ascii="Palatino Linotype" w:hAnsi="Palatino Linotype"/>
          <w:sz w:val="21"/>
          <w:szCs w:val="21"/>
        </w:rPr>
        <w:t>s</w:t>
      </w:r>
      <w:r w:rsidRPr="00E64B45">
        <w:rPr>
          <w:rFonts w:ascii="Palatino Linotype" w:hAnsi="Palatino Linotype"/>
          <w:sz w:val="21"/>
          <w:szCs w:val="21"/>
        </w:rPr>
        <w:t xml:space="preserve">ala de </w:t>
      </w:r>
      <w:r w:rsidR="00493223">
        <w:rPr>
          <w:rFonts w:ascii="Palatino Linotype" w:hAnsi="Palatino Linotype"/>
          <w:sz w:val="21"/>
          <w:szCs w:val="21"/>
        </w:rPr>
        <w:t>s</w:t>
      </w:r>
      <w:r w:rsidRPr="00E64B45">
        <w:rPr>
          <w:rFonts w:ascii="Palatino Linotype" w:hAnsi="Palatino Linotype"/>
          <w:sz w:val="21"/>
          <w:szCs w:val="21"/>
        </w:rPr>
        <w:t>esiones del Concejo Metropolitano del Distrito Metropolitano de Quito,  a xxxx días del mes de xxxx de dos mil veinte.</w:t>
      </w:r>
    </w:p>
    <w:p w14:paraId="23B46EFE" w14:textId="77777777" w:rsidR="00BA6EFE" w:rsidRPr="00E64B45" w:rsidRDefault="00BA6EFE" w:rsidP="00BA6EFE">
      <w:pPr>
        <w:jc w:val="center"/>
        <w:rPr>
          <w:rFonts w:ascii="Palatino Linotype" w:hAnsi="Palatino Linotype"/>
          <w:sz w:val="21"/>
          <w:szCs w:val="21"/>
        </w:rPr>
      </w:pPr>
    </w:p>
    <w:p w14:paraId="5C12CFED" w14:textId="77777777" w:rsidR="00BA6EFE" w:rsidRPr="00E64B45" w:rsidRDefault="00BA6EFE" w:rsidP="00BA6EFE">
      <w:pPr>
        <w:jc w:val="center"/>
        <w:rPr>
          <w:rFonts w:ascii="Palatino Linotype" w:hAnsi="Palatino Linotype"/>
          <w:sz w:val="21"/>
          <w:szCs w:val="21"/>
        </w:rPr>
      </w:pPr>
    </w:p>
    <w:p w14:paraId="42F17426" w14:textId="51EBD8FD" w:rsidR="00BA6EFE" w:rsidRDefault="00BA6EFE" w:rsidP="00BA6EFE">
      <w:pPr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5FF055AC" w14:textId="77777777" w:rsidR="00AC4310" w:rsidRDefault="00AC4310" w:rsidP="00BA6EFE">
      <w:pPr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221399AD" w14:textId="77777777" w:rsidR="00AC4310" w:rsidRDefault="00AC4310" w:rsidP="00BA6EFE">
      <w:pPr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64FB54CB" w14:textId="77777777" w:rsidR="00AC4310" w:rsidRDefault="00AC4310" w:rsidP="00BA6EFE">
      <w:pPr>
        <w:jc w:val="center"/>
        <w:rPr>
          <w:rFonts w:ascii="Palatino Linotype" w:hAnsi="Palatino Linotype"/>
          <w:b/>
          <w:bCs/>
          <w:sz w:val="21"/>
          <w:szCs w:val="21"/>
        </w:rPr>
      </w:pPr>
    </w:p>
    <w:sectPr w:rsidR="00AC4310" w:rsidSect="00F83EA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0C10"/>
    <w:multiLevelType w:val="multilevel"/>
    <w:tmpl w:val="D832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BC63EF"/>
    <w:multiLevelType w:val="hybridMultilevel"/>
    <w:tmpl w:val="FC5607A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93"/>
    <w:rsid w:val="0001031A"/>
    <w:rsid w:val="000134DA"/>
    <w:rsid w:val="0002262D"/>
    <w:rsid w:val="00032DCF"/>
    <w:rsid w:val="0005016D"/>
    <w:rsid w:val="00053021"/>
    <w:rsid w:val="00071B38"/>
    <w:rsid w:val="000764DD"/>
    <w:rsid w:val="00085344"/>
    <w:rsid w:val="00087CC2"/>
    <w:rsid w:val="000907B1"/>
    <w:rsid w:val="000A1C33"/>
    <w:rsid w:val="000A37CC"/>
    <w:rsid w:val="000B37E9"/>
    <w:rsid w:val="000B70E1"/>
    <w:rsid w:val="000B7E6D"/>
    <w:rsid w:val="000E1186"/>
    <w:rsid w:val="0011419F"/>
    <w:rsid w:val="00115483"/>
    <w:rsid w:val="0013529D"/>
    <w:rsid w:val="00144F45"/>
    <w:rsid w:val="001477BF"/>
    <w:rsid w:val="00163FE8"/>
    <w:rsid w:val="00175901"/>
    <w:rsid w:val="00176F53"/>
    <w:rsid w:val="001912A6"/>
    <w:rsid w:val="00191C11"/>
    <w:rsid w:val="001936E2"/>
    <w:rsid w:val="001942DF"/>
    <w:rsid w:val="001A26BA"/>
    <w:rsid w:val="001D3BE0"/>
    <w:rsid w:val="001E44E8"/>
    <w:rsid w:val="001E4D8C"/>
    <w:rsid w:val="001F3236"/>
    <w:rsid w:val="00217080"/>
    <w:rsid w:val="0024297B"/>
    <w:rsid w:val="00254058"/>
    <w:rsid w:val="00257DD1"/>
    <w:rsid w:val="00266DF3"/>
    <w:rsid w:val="00287278"/>
    <w:rsid w:val="00294639"/>
    <w:rsid w:val="002A7863"/>
    <w:rsid w:val="002C4967"/>
    <w:rsid w:val="002C7440"/>
    <w:rsid w:val="002D005A"/>
    <w:rsid w:val="002D3CB2"/>
    <w:rsid w:val="002E19B1"/>
    <w:rsid w:val="003035E8"/>
    <w:rsid w:val="00304293"/>
    <w:rsid w:val="00333A14"/>
    <w:rsid w:val="00335253"/>
    <w:rsid w:val="0035311F"/>
    <w:rsid w:val="00354F60"/>
    <w:rsid w:val="00375993"/>
    <w:rsid w:val="003815D7"/>
    <w:rsid w:val="00381EA6"/>
    <w:rsid w:val="00392120"/>
    <w:rsid w:val="00397A94"/>
    <w:rsid w:val="00397FC5"/>
    <w:rsid w:val="003A5674"/>
    <w:rsid w:val="003E7193"/>
    <w:rsid w:val="003F3FD0"/>
    <w:rsid w:val="004011DF"/>
    <w:rsid w:val="00401BED"/>
    <w:rsid w:val="00404EF2"/>
    <w:rsid w:val="00411211"/>
    <w:rsid w:val="00426466"/>
    <w:rsid w:val="00452BAB"/>
    <w:rsid w:val="004822CE"/>
    <w:rsid w:val="00491235"/>
    <w:rsid w:val="00493223"/>
    <w:rsid w:val="004A5C95"/>
    <w:rsid w:val="004C59E2"/>
    <w:rsid w:val="004D26BE"/>
    <w:rsid w:val="004D63DA"/>
    <w:rsid w:val="004E4F54"/>
    <w:rsid w:val="004E7E29"/>
    <w:rsid w:val="004F0326"/>
    <w:rsid w:val="004F2340"/>
    <w:rsid w:val="004F492D"/>
    <w:rsid w:val="004F6F4E"/>
    <w:rsid w:val="00511CE0"/>
    <w:rsid w:val="00515FAA"/>
    <w:rsid w:val="00516187"/>
    <w:rsid w:val="00516262"/>
    <w:rsid w:val="0052071F"/>
    <w:rsid w:val="005311BB"/>
    <w:rsid w:val="00533139"/>
    <w:rsid w:val="0054050C"/>
    <w:rsid w:val="0054681B"/>
    <w:rsid w:val="005716CF"/>
    <w:rsid w:val="00583A6C"/>
    <w:rsid w:val="00590F6C"/>
    <w:rsid w:val="005B603E"/>
    <w:rsid w:val="005B7962"/>
    <w:rsid w:val="005C2202"/>
    <w:rsid w:val="005C5374"/>
    <w:rsid w:val="005D2989"/>
    <w:rsid w:val="005D32AC"/>
    <w:rsid w:val="005E69DE"/>
    <w:rsid w:val="005E7853"/>
    <w:rsid w:val="005F0E3D"/>
    <w:rsid w:val="006034F0"/>
    <w:rsid w:val="0061325A"/>
    <w:rsid w:val="006204DF"/>
    <w:rsid w:val="0066503B"/>
    <w:rsid w:val="0067451D"/>
    <w:rsid w:val="00676B66"/>
    <w:rsid w:val="00677F8E"/>
    <w:rsid w:val="006808EA"/>
    <w:rsid w:val="00680FC4"/>
    <w:rsid w:val="00686FA1"/>
    <w:rsid w:val="006C7831"/>
    <w:rsid w:val="006D0BA1"/>
    <w:rsid w:val="006F5369"/>
    <w:rsid w:val="00703B7B"/>
    <w:rsid w:val="0071675F"/>
    <w:rsid w:val="00731AC2"/>
    <w:rsid w:val="007430D2"/>
    <w:rsid w:val="007448AD"/>
    <w:rsid w:val="007527E7"/>
    <w:rsid w:val="007532F8"/>
    <w:rsid w:val="00764BA0"/>
    <w:rsid w:val="007676EB"/>
    <w:rsid w:val="007A23EC"/>
    <w:rsid w:val="007A7BD6"/>
    <w:rsid w:val="007B4144"/>
    <w:rsid w:val="007C4C58"/>
    <w:rsid w:val="007C695C"/>
    <w:rsid w:val="007D328B"/>
    <w:rsid w:val="007E10EC"/>
    <w:rsid w:val="007F3843"/>
    <w:rsid w:val="007F39E2"/>
    <w:rsid w:val="00813CB6"/>
    <w:rsid w:val="00824524"/>
    <w:rsid w:val="0083460E"/>
    <w:rsid w:val="00846B8C"/>
    <w:rsid w:val="00867FC4"/>
    <w:rsid w:val="00870691"/>
    <w:rsid w:val="00881C30"/>
    <w:rsid w:val="008B09BD"/>
    <w:rsid w:val="008B22D9"/>
    <w:rsid w:val="008B31E2"/>
    <w:rsid w:val="008C533E"/>
    <w:rsid w:val="008D547F"/>
    <w:rsid w:val="008F540E"/>
    <w:rsid w:val="00905B9C"/>
    <w:rsid w:val="00911970"/>
    <w:rsid w:val="00912038"/>
    <w:rsid w:val="00914905"/>
    <w:rsid w:val="009157BB"/>
    <w:rsid w:val="009469D0"/>
    <w:rsid w:val="00951B84"/>
    <w:rsid w:val="00963827"/>
    <w:rsid w:val="00970586"/>
    <w:rsid w:val="009830EB"/>
    <w:rsid w:val="009A1C7A"/>
    <w:rsid w:val="009A6AD1"/>
    <w:rsid w:val="009A70A4"/>
    <w:rsid w:val="009C0F15"/>
    <w:rsid w:val="009C5AE1"/>
    <w:rsid w:val="009C7DAA"/>
    <w:rsid w:val="009E3192"/>
    <w:rsid w:val="00A03B70"/>
    <w:rsid w:val="00A143D9"/>
    <w:rsid w:val="00A21FE8"/>
    <w:rsid w:val="00A2571A"/>
    <w:rsid w:val="00A3523E"/>
    <w:rsid w:val="00A45E56"/>
    <w:rsid w:val="00A72F3C"/>
    <w:rsid w:val="00A754CC"/>
    <w:rsid w:val="00A809BE"/>
    <w:rsid w:val="00A82BFC"/>
    <w:rsid w:val="00AA3F35"/>
    <w:rsid w:val="00AB6562"/>
    <w:rsid w:val="00AC4310"/>
    <w:rsid w:val="00AD0BBE"/>
    <w:rsid w:val="00AE0C0A"/>
    <w:rsid w:val="00B15004"/>
    <w:rsid w:val="00B25F0F"/>
    <w:rsid w:val="00B31A5A"/>
    <w:rsid w:val="00B3792D"/>
    <w:rsid w:val="00B41485"/>
    <w:rsid w:val="00B44DDB"/>
    <w:rsid w:val="00B51720"/>
    <w:rsid w:val="00B64FB0"/>
    <w:rsid w:val="00B65FEE"/>
    <w:rsid w:val="00B86B29"/>
    <w:rsid w:val="00BA1426"/>
    <w:rsid w:val="00BA6EFE"/>
    <w:rsid w:val="00BA7789"/>
    <w:rsid w:val="00BB02E1"/>
    <w:rsid w:val="00BD29C3"/>
    <w:rsid w:val="00C0073D"/>
    <w:rsid w:val="00C06FE2"/>
    <w:rsid w:val="00C14438"/>
    <w:rsid w:val="00C17E4F"/>
    <w:rsid w:val="00C22F47"/>
    <w:rsid w:val="00C305E7"/>
    <w:rsid w:val="00C51619"/>
    <w:rsid w:val="00C57BD0"/>
    <w:rsid w:val="00C66284"/>
    <w:rsid w:val="00C97449"/>
    <w:rsid w:val="00CB71CB"/>
    <w:rsid w:val="00CD2D08"/>
    <w:rsid w:val="00CE1657"/>
    <w:rsid w:val="00D14B36"/>
    <w:rsid w:val="00D154D9"/>
    <w:rsid w:val="00D40A39"/>
    <w:rsid w:val="00D46C56"/>
    <w:rsid w:val="00D6291D"/>
    <w:rsid w:val="00D646DE"/>
    <w:rsid w:val="00D82F1A"/>
    <w:rsid w:val="00D850D9"/>
    <w:rsid w:val="00D90E85"/>
    <w:rsid w:val="00DA5048"/>
    <w:rsid w:val="00DB3EDC"/>
    <w:rsid w:val="00DB7DB9"/>
    <w:rsid w:val="00DC425F"/>
    <w:rsid w:val="00DC5800"/>
    <w:rsid w:val="00DD2457"/>
    <w:rsid w:val="00DE1BE5"/>
    <w:rsid w:val="00DE5776"/>
    <w:rsid w:val="00DF6050"/>
    <w:rsid w:val="00DF662A"/>
    <w:rsid w:val="00E06FC6"/>
    <w:rsid w:val="00E1733A"/>
    <w:rsid w:val="00E2253F"/>
    <w:rsid w:val="00E279AB"/>
    <w:rsid w:val="00E56E2A"/>
    <w:rsid w:val="00E64B45"/>
    <w:rsid w:val="00E65CA8"/>
    <w:rsid w:val="00E802FA"/>
    <w:rsid w:val="00E80858"/>
    <w:rsid w:val="00EB7B39"/>
    <w:rsid w:val="00ED197A"/>
    <w:rsid w:val="00ED2DEE"/>
    <w:rsid w:val="00ED725E"/>
    <w:rsid w:val="00ED7BD7"/>
    <w:rsid w:val="00EF12C7"/>
    <w:rsid w:val="00EF7DCC"/>
    <w:rsid w:val="00F02D67"/>
    <w:rsid w:val="00F07B8D"/>
    <w:rsid w:val="00F07CF6"/>
    <w:rsid w:val="00F1035B"/>
    <w:rsid w:val="00F24F29"/>
    <w:rsid w:val="00F3128F"/>
    <w:rsid w:val="00F335F8"/>
    <w:rsid w:val="00F61E72"/>
    <w:rsid w:val="00F62930"/>
    <w:rsid w:val="00F83EAB"/>
    <w:rsid w:val="00F92C7B"/>
    <w:rsid w:val="00F94FF2"/>
    <w:rsid w:val="00FA6BC3"/>
    <w:rsid w:val="00FA7ADF"/>
    <w:rsid w:val="00FC2745"/>
    <w:rsid w:val="00FD2FDB"/>
    <w:rsid w:val="00FE13F2"/>
    <w:rsid w:val="00FE5AD9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C1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93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7193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7C4C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703B7B"/>
  </w:style>
  <w:style w:type="character" w:customStyle="1" w:styleId="nrmar">
    <w:name w:val="nrmar"/>
    <w:basedOn w:val="Fuentedeprrafopredeter"/>
    <w:rsid w:val="00304293"/>
  </w:style>
  <w:style w:type="character" w:customStyle="1" w:styleId="hit">
    <w:name w:val="hit"/>
    <w:basedOn w:val="Fuentedeprrafopredeter"/>
    <w:rsid w:val="00304293"/>
  </w:style>
  <w:style w:type="table" w:styleId="Tablaconcuadrcula">
    <w:name w:val="Table Grid"/>
    <w:basedOn w:val="Tablanormal"/>
    <w:uiPriority w:val="39"/>
    <w:rsid w:val="00C00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93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7193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7C4C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703B7B"/>
  </w:style>
  <w:style w:type="character" w:customStyle="1" w:styleId="nrmar">
    <w:name w:val="nrmar"/>
    <w:basedOn w:val="Fuentedeprrafopredeter"/>
    <w:rsid w:val="00304293"/>
  </w:style>
  <w:style w:type="character" w:customStyle="1" w:styleId="hit">
    <w:name w:val="hit"/>
    <w:basedOn w:val="Fuentedeprrafopredeter"/>
    <w:rsid w:val="00304293"/>
  </w:style>
  <w:style w:type="table" w:styleId="Tablaconcuadrcula">
    <w:name w:val="Table Grid"/>
    <w:basedOn w:val="Tablanormal"/>
    <w:uiPriority w:val="39"/>
    <w:rsid w:val="00C00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0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3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0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7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5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0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2966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Crisita Martinez</dc:creator>
  <cp:lastModifiedBy>Secretaria de Concejo</cp:lastModifiedBy>
  <cp:revision>2</cp:revision>
  <dcterms:created xsi:type="dcterms:W3CDTF">2021-07-08T20:48:00Z</dcterms:created>
  <dcterms:modified xsi:type="dcterms:W3CDTF">2021-07-08T20:48:00Z</dcterms:modified>
</cp:coreProperties>
</file>