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6D46" w14:textId="77777777" w:rsidR="00CE594F" w:rsidRPr="00075FBE" w:rsidRDefault="00CE594F" w:rsidP="00381408">
      <w:pPr>
        <w:jc w:val="center"/>
        <w:rPr>
          <w:rFonts w:ascii="Palatino Linotype" w:hAnsi="Palatino Linotype"/>
          <w:b/>
          <w:sz w:val="24"/>
          <w:szCs w:val="24"/>
        </w:rPr>
      </w:pPr>
      <w:r w:rsidRPr="00075FBE">
        <w:rPr>
          <w:rFonts w:ascii="Palatino Linotype" w:hAnsi="Palatino Linotype"/>
          <w:b/>
          <w:sz w:val="24"/>
          <w:szCs w:val="24"/>
        </w:rPr>
        <w:t xml:space="preserve">RESOLUCIÓN No. C </w:t>
      </w:r>
      <w:r w:rsidR="00AB5244" w:rsidRPr="00075FBE">
        <w:rPr>
          <w:rFonts w:ascii="Palatino Linotype" w:hAnsi="Palatino Linotype"/>
          <w:b/>
          <w:sz w:val="24"/>
          <w:szCs w:val="24"/>
        </w:rPr>
        <w:t>---</w:t>
      </w:r>
      <w:r w:rsidRPr="00075FBE">
        <w:rPr>
          <w:rFonts w:ascii="Palatino Linotype" w:hAnsi="Palatino Linotype"/>
          <w:b/>
          <w:sz w:val="24"/>
          <w:szCs w:val="24"/>
        </w:rPr>
        <w:t>2021</w:t>
      </w:r>
    </w:p>
    <w:p w14:paraId="0F6B0FAB" w14:textId="77777777" w:rsidR="00381408" w:rsidRPr="00075FBE" w:rsidRDefault="00CE594F" w:rsidP="00381408">
      <w:pPr>
        <w:jc w:val="center"/>
        <w:rPr>
          <w:rFonts w:ascii="Palatino Linotype" w:hAnsi="Palatino Linotype"/>
          <w:b/>
          <w:sz w:val="24"/>
          <w:szCs w:val="24"/>
        </w:rPr>
      </w:pPr>
      <w:r w:rsidRPr="00075FBE">
        <w:rPr>
          <w:rFonts w:ascii="Palatino Linotype" w:hAnsi="Palatino Linotype"/>
          <w:b/>
          <w:sz w:val="24"/>
          <w:szCs w:val="24"/>
        </w:rPr>
        <w:t>EL CONCEJO METROPOLITANO DE QUITO</w:t>
      </w:r>
    </w:p>
    <w:p w14:paraId="1944C2B4" w14:textId="77777777" w:rsidR="00CE594F" w:rsidRPr="00075FBE" w:rsidRDefault="00CE594F" w:rsidP="00381408">
      <w:pPr>
        <w:jc w:val="center"/>
        <w:rPr>
          <w:rFonts w:ascii="Palatino Linotype" w:hAnsi="Palatino Linotype"/>
          <w:b/>
          <w:sz w:val="24"/>
          <w:szCs w:val="24"/>
        </w:rPr>
      </w:pPr>
      <w:r w:rsidRPr="00075FBE">
        <w:rPr>
          <w:rFonts w:ascii="Palatino Linotype" w:hAnsi="Palatino Linotype"/>
          <w:b/>
          <w:sz w:val="24"/>
          <w:szCs w:val="24"/>
        </w:rPr>
        <w:t>CONSIDERANDO:</w:t>
      </w:r>
    </w:p>
    <w:p w14:paraId="7DEE33FA" w14:textId="77777777" w:rsidR="00CE594F" w:rsidRPr="00535AD4" w:rsidRDefault="00CE594F" w:rsidP="00CE594F">
      <w:pPr>
        <w:jc w:val="both"/>
        <w:rPr>
          <w:rFonts w:ascii="Palatino Linotype" w:hAnsi="Palatino Linotype"/>
          <w:sz w:val="20"/>
          <w:szCs w:val="20"/>
        </w:rPr>
      </w:pPr>
    </w:p>
    <w:p w14:paraId="364CEDB0" w14:textId="77777777" w:rsidR="00CE594F" w:rsidRPr="00A55BAF" w:rsidRDefault="00CE594F"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t xml:space="preserve">el artículo 30 de la Constitución de la República del Ecuador, en adelante “Constitución”, reconoce el derecho de las personas a tener un hábitat seguro y saludable y a una vivienda adecuada y digna con independencia de su situación social y económica; </w:t>
      </w:r>
    </w:p>
    <w:p w14:paraId="40475A1F" w14:textId="77777777" w:rsidR="00CE594F" w:rsidRPr="00A55BAF" w:rsidRDefault="00CE594F"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t>el artículo 31 de la Constitución dice: “</w:t>
      </w:r>
      <w:r w:rsidR="00237BE6" w:rsidRPr="00237BE6">
        <w:rPr>
          <w:rFonts w:ascii="Palatino Linotype" w:hAnsi="Palatino Linotype"/>
          <w:i/>
          <w:sz w:val="20"/>
          <w:szCs w:val="20"/>
        </w:rPr>
        <w:t xml:space="preserve">(…) </w:t>
      </w:r>
      <w:r w:rsidRPr="00237BE6">
        <w:rPr>
          <w:rFonts w:ascii="Palatino Linotype" w:hAnsi="Palatino Linotype"/>
          <w:i/>
          <w:sz w:val="20"/>
          <w:szCs w:val="20"/>
        </w:rPr>
        <w:t>las personas tienen derecho al disfrute pleno de la ciudad y de sus espacios públicos, bajo los principios de sustentabilidad, justicia social, respeto a la diferentes culturas urbanas y equilibrio entre lo urbano y lo rural. El ejercicio del derecho a la ciudad se basa en la gestión democrática de esta, en la función social y ambiental de la propiedad y de la ciudad, y en el e</w:t>
      </w:r>
      <w:r w:rsidR="00237BE6" w:rsidRPr="00237BE6">
        <w:rPr>
          <w:rFonts w:ascii="Palatino Linotype" w:hAnsi="Palatino Linotype"/>
          <w:i/>
          <w:sz w:val="20"/>
          <w:szCs w:val="20"/>
        </w:rPr>
        <w:t>jercicio pleno de la ciudadanía</w:t>
      </w:r>
      <w:r w:rsidRPr="00A55BAF">
        <w:rPr>
          <w:rFonts w:ascii="Palatino Linotype" w:hAnsi="Palatino Linotype"/>
          <w:sz w:val="20"/>
          <w:szCs w:val="20"/>
        </w:rPr>
        <w:t xml:space="preserve">”; </w:t>
      </w:r>
    </w:p>
    <w:p w14:paraId="0C59214B" w14:textId="77777777" w:rsidR="00CE594F" w:rsidRPr="00A55BAF" w:rsidRDefault="00CE594F"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t>el artículo 264 de la Constitución dispone: “</w:t>
      </w:r>
      <w:r w:rsidRPr="00237BE6">
        <w:rPr>
          <w:rFonts w:ascii="Palatino Linotype" w:hAnsi="Palatino Linotype"/>
          <w:i/>
          <w:sz w:val="20"/>
          <w:szCs w:val="20"/>
        </w:rPr>
        <w:t xml:space="preserve">los gobiernos municipales tendrán las siguientes competencias exclusivas sin perjuicio de otras que determine la ley: </w:t>
      </w:r>
      <w:r w:rsidR="00237BE6" w:rsidRPr="00237BE6">
        <w:rPr>
          <w:rFonts w:ascii="Palatino Linotype" w:hAnsi="Palatino Linotype"/>
          <w:i/>
          <w:sz w:val="20"/>
          <w:szCs w:val="20"/>
        </w:rPr>
        <w:t>“</w:t>
      </w:r>
      <w:r w:rsidRPr="00237BE6">
        <w:rPr>
          <w:rFonts w:ascii="Palatino Linotype" w:hAnsi="Palatino Linotype"/>
          <w:i/>
          <w:sz w:val="20"/>
          <w:szCs w:val="20"/>
        </w:rPr>
        <w:t>1. Planificar el desarrollo cantonal y formular los correspondientes planes de ordenamiento territorial, de manera articulada con la planificación nacional, regional, provincial y parroquial, con el fin de regular el uso y la ocupación del suelo urbano y rural...”;</w:t>
      </w:r>
      <w:r w:rsidRPr="00A55BAF">
        <w:rPr>
          <w:rFonts w:ascii="Palatino Linotype" w:hAnsi="Palatino Linotype"/>
          <w:sz w:val="20"/>
          <w:szCs w:val="20"/>
        </w:rPr>
        <w:t xml:space="preserve"> </w:t>
      </w:r>
    </w:p>
    <w:p w14:paraId="525EFF67" w14:textId="77777777" w:rsidR="00CE594F" w:rsidRPr="00A55BAF" w:rsidRDefault="00CE594F"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t>el artículo 323</w:t>
      </w:r>
      <w:r w:rsidR="00237BE6">
        <w:rPr>
          <w:rFonts w:ascii="Palatino Linotype" w:hAnsi="Palatino Linotype"/>
          <w:sz w:val="20"/>
          <w:szCs w:val="20"/>
        </w:rPr>
        <w:t xml:space="preserve"> de la Constitución establece: “</w:t>
      </w:r>
      <w:r w:rsidRPr="00237BE6">
        <w:rPr>
          <w:rFonts w:ascii="Palatino Linotype" w:hAnsi="Palatino Linotype"/>
          <w:i/>
          <w:sz w:val="20"/>
          <w:szCs w:val="20"/>
        </w:rPr>
        <w:t>Con el objeto de ejecutar planes de desarrollo social, manejo sustentable del ambiente y de bienestar colectivo, las instituciones del Estado, por razones de utilidad pública o interés social y nacional, podrán declarar la expropiación de bienes, previa justa valoración, indemnización y pago de conformidad con la ley. Se prohíbe to</w:t>
      </w:r>
      <w:r w:rsidR="00237BE6">
        <w:rPr>
          <w:rFonts w:ascii="Palatino Linotype" w:hAnsi="Palatino Linotype"/>
          <w:i/>
          <w:sz w:val="20"/>
          <w:szCs w:val="20"/>
        </w:rPr>
        <w:t>da forma de confiscación</w:t>
      </w:r>
      <w:r w:rsidRPr="00237BE6">
        <w:rPr>
          <w:rFonts w:ascii="Palatino Linotype" w:hAnsi="Palatino Linotype"/>
          <w:i/>
          <w:sz w:val="20"/>
          <w:szCs w:val="20"/>
        </w:rPr>
        <w:t>”</w:t>
      </w:r>
      <w:r w:rsidRPr="00A55BAF">
        <w:rPr>
          <w:rFonts w:ascii="Palatino Linotype" w:hAnsi="Palatino Linotype"/>
          <w:sz w:val="20"/>
          <w:szCs w:val="20"/>
        </w:rPr>
        <w:t xml:space="preserve">; </w:t>
      </w:r>
    </w:p>
    <w:p w14:paraId="2179055C" w14:textId="77777777" w:rsidR="00CE594F" w:rsidRPr="00A55BAF" w:rsidRDefault="00CE594F"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00237BE6" w:rsidRPr="00237BE6">
        <w:rPr>
          <w:rFonts w:ascii="Palatino Linotype" w:hAnsi="Palatino Linotype"/>
          <w:b/>
          <w:sz w:val="20"/>
          <w:szCs w:val="20"/>
        </w:rPr>
        <w:t>,</w:t>
      </w:r>
      <w:r w:rsidRPr="00A55BAF">
        <w:rPr>
          <w:rFonts w:ascii="Palatino Linotype" w:hAnsi="Palatino Linotype"/>
          <w:sz w:val="20"/>
          <w:szCs w:val="20"/>
        </w:rPr>
        <w:tab/>
        <w:t xml:space="preserve">el artículo 375 de la Constitución dice: “El Estado, en todos sus niveles de gobierno, garantizará el derecho al hábitat y a la vivienda digna, para lo cual: </w:t>
      </w:r>
      <w:r w:rsidR="00237BE6" w:rsidRPr="00237BE6">
        <w:rPr>
          <w:rFonts w:ascii="Palatino Linotype" w:hAnsi="Palatino Linotype"/>
          <w:i/>
          <w:sz w:val="20"/>
          <w:szCs w:val="20"/>
        </w:rPr>
        <w:t>“</w:t>
      </w:r>
      <w:r w:rsidRPr="00237BE6">
        <w:rPr>
          <w:rFonts w:ascii="Palatino Linotype" w:hAnsi="Palatino Linotype"/>
          <w:i/>
          <w:sz w:val="20"/>
          <w:szCs w:val="20"/>
        </w:rPr>
        <w:t>(…) 1. Generará la información necesaria para el diseño de estrategias y programas que comprendan las relaciones entre vivienda, servicios, espacio y transporte públicos, equipami</w:t>
      </w:r>
      <w:r w:rsidR="00237BE6" w:rsidRPr="00237BE6">
        <w:rPr>
          <w:rFonts w:ascii="Palatino Linotype" w:hAnsi="Palatino Linotype"/>
          <w:i/>
          <w:sz w:val="20"/>
          <w:szCs w:val="20"/>
        </w:rPr>
        <w:t>ento y gestión del suelo urbano</w:t>
      </w:r>
      <w:r w:rsidRPr="00A55BAF">
        <w:rPr>
          <w:rFonts w:ascii="Palatino Linotype" w:hAnsi="Palatino Linotype"/>
          <w:sz w:val="20"/>
          <w:szCs w:val="20"/>
        </w:rPr>
        <w:t xml:space="preserve">”; </w:t>
      </w:r>
    </w:p>
    <w:p w14:paraId="3ACF6653" w14:textId="77777777" w:rsidR="00CE594F" w:rsidRPr="00A55BAF" w:rsidRDefault="00381408"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r>
      <w:r w:rsidR="00CE594F" w:rsidRPr="00A55BAF">
        <w:rPr>
          <w:rFonts w:ascii="Palatino Linotype" w:hAnsi="Palatino Linotype"/>
          <w:sz w:val="20"/>
          <w:szCs w:val="20"/>
        </w:rPr>
        <w:t xml:space="preserve">el artículo 376 de la Constitución de la República dispone lo siguiente: </w:t>
      </w:r>
      <w:r w:rsidR="00CE594F" w:rsidRPr="00237BE6">
        <w:rPr>
          <w:rFonts w:ascii="Palatino Linotype" w:hAnsi="Palatino Linotype"/>
          <w:i/>
          <w:sz w:val="20"/>
          <w:szCs w:val="20"/>
        </w:rPr>
        <w:t>“Para hacer efectivo el derecho a la vivienda, al hábitat y a la conservación del ambiente, las municipalidades podrán expropiar, reservar y controlar áreas para el desarrollo futuro, de acuerdo con la ley. Se prohíbe la obtención de beneficios a partir de prácticas especulativas sobre el uso del suelo, en particular por el cambio de uso, de rústico a urbano o de público a privado</w:t>
      </w:r>
      <w:r w:rsidR="001B00B9" w:rsidRPr="00237BE6">
        <w:rPr>
          <w:rFonts w:ascii="Palatino Linotype" w:hAnsi="Palatino Linotype"/>
          <w:i/>
          <w:sz w:val="20"/>
          <w:szCs w:val="20"/>
        </w:rPr>
        <w:t>”</w:t>
      </w:r>
      <w:r w:rsidR="00CE594F" w:rsidRPr="00A55BAF">
        <w:rPr>
          <w:rFonts w:ascii="Palatino Linotype" w:hAnsi="Palatino Linotype"/>
          <w:sz w:val="20"/>
          <w:szCs w:val="20"/>
        </w:rPr>
        <w:t xml:space="preserve">; </w:t>
      </w:r>
    </w:p>
    <w:p w14:paraId="41955811" w14:textId="77777777" w:rsidR="002D04F8" w:rsidRPr="00A55BAF" w:rsidRDefault="002D04F8" w:rsidP="002D04F8">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r>
      <w:r w:rsidR="000C5E7E">
        <w:rPr>
          <w:rFonts w:ascii="Palatino Linotype" w:hAnsi="Palatino Linotype"/>
          <w:sz w:val="20"/>
          <w:szCs w:val="20"/>
        </w:rPr>
        <w:t>el a</w:t>
      </w:r>
      <w:r w:rsidRPr="00A55BAF">
        <w:rPr>
          <w:rFonts w:ascii="Palatino Linotype" w:hAnsi="Palatino Linotype"/>
          <w:sz w:val="20"/>
          <w:szCs w:val="20"/>
        </w:rPr>
        <w:t>rtículo 58.5 de la Ley Orgánica del Sistema Nacional de Contratación Pública establece: “</w:t>
      </w:r>
      <w:r w:rsidRPr="00237BE6">
        <w:rPr>
          <w:rFonts w:ascii="Palatino Linotype" w:hAnsi="Palatino Linotype"/>
          <w:i/>
          <w:sz w:val="20"/>
          <w:szCs w:val="20"/>
        </w:rPr>
        <w:t>Ocupación temporal.</w:t>
      </w:r>
      <w:r w:rsidR="00237BE6" w:rsidRPr="00237BE6">
        <w:rPr>
          <w:rFonts w:ascii="Palatino Linotype" w:hAnsi="Palatino Linotype"/>
          <w:i/>
          <w:sz w:val="20"/>
          <w:szCs w:val="20"/>
        </w:rPr>
        <w:t>- (…)</w:t>
      </w:r>
      <w:r w:rsidRPr="00237BE6">
        <w:rPr>
          <w:rFonts w:ascii="Palatino Linotype" w:hAnsi="Palatino Linotype"/>
          <w:i/>
          <w:sz w:val="20"/>
          <w:szCs w:val="20"/>
        </w:rPr>
        <w:t xml:space="preserve"> La ocupación temporal consiste en el uso y goce de los terrenos o predios en áreas que no correspondan a la obra pública, pero necesarias para su desarrollo, mientras dure su construcción. </w:t>
      </w:r>
      <w:r w:rsidR="001B00B9" w:rsidRPr="00237BE6">
        <w:rPr>
          <w:rFonts w:ascii="Palatino Linotype" w:hAnsi="Palatino Linotype"/>
          <w:i/>
          <w:sz w:val="20"/>
          <w:szCs w:val="20"/>
        </w:rPr>
        <w:t>(…) Cuando</w:t>
      </w:r>
      <w:r w:rsidRPr="00237BE6">
        <w:rPr>
          <w:rFonts w:ascii="Palatino Linotype" w:hAnsi="Palatino Linotype"/>
          <w:i/>
          <w:sz w:val="20"/>
          <w:szCs w:val="20"/>
        </w:rPr>
        <w:t xml:space="preserve"> la entidad competente requiera la ocupación temporal, determinará el monto de la indemnización a pagar, aplicando los principios de equidad y justo precio</w:t>
      </w:r>
      <w:r w:rsidRPr="00A55BAF">
        <w:rPr>
          <w:rFonts w:ascii="Palatino Linotype" w:hAnsi="Palatino Linotype"/>
          <w:sz w:val="20"/>
          <w:szCs w:val="20"/>
        </w:rPr>
        <w:t>”</w:t>
      </w:r>
      <w:r w:rsidR="00237BE6">
        <w:rPr>
          <w:rFonts w:ascii="Palatino Linotype" w:hAnsi="Palatino Linotype"/>
          <w:sz w:val="20"/>
          <w:szCs w:val="20"/>
        </w:rPr>
        <w:t>.</w:t>
      </w:r>
    </w:p>
    <w:p w14:paraId="19605CD2" w14:textId="77777777" w:rsidR="002D04F8" w:rsidRPr="00A55BAF" w:rsidRDefault="002D04F8" w:rsidP="002D04F8">
      <w:pPr>
        <w:ind w:left="705" w:hanging="705"/>
        <w:jc w:val="both"/>
        <w:rPr>
          <w:rFonts w:ascii="Palatino Linotype" w:hAnsi="Palatino Linotype"/>
          <w:i/>
          <w:sz w:val="20"/>
          <w:szCs w:val="20"/>
        </w:rPr>
      </w:pPr>
      <w:r w:rsidRPr="00237BE6">
        <w:rPr>
          <w:rFonts w:ascii="Palatino Linotype" w:hAnsi="Palatino Linotype"/>
          <w:b/>
          <w:sz w:val="20"/>
          <w:szCs w:val="20"/>
        </w:rPr>
        <w:lastRenderedPageBreak/>
        <w:t>Que,</w:t>
      </w:r>
      <w:r w:rsidRPr="00A55BAF">
        <w:rPr>
          <w:rFonts w:ascii="Palatino Linotype" w:hAnsi="Palatino Linotype"/>
          <w:sz w:val="20"/>
          <w:szCs w:val="20"/>
        </w:rPr>
        <w:tab/>
      </w:r>
      <w:r w:rsidR="004A0CAC" w:rsidRPr="00A55BAF">
        <w:rPr>
          <w:rFonts w:ascii="Palatino Linotype" w:hAnsi="Palatino Linotype"/>
          <w:sz w:val="20"/>
          <w:szCs w:val="20"/>
        </w:rPr>
        <w:t xml:space="preserve">mediante oficio No. 02925 de 7 de marzo de 2019, el Dr. </w:t>
      </w:r>
      <w:r w:rsidR="00AD4453" w:rsidRPr="00A55BAF">
        <w:rPr>
          <w:rFonts w:ascii="Palatino Linotype" w:hAnsi="Palatino Linotype"/>
          <w:sz w:val="20"/>
          <w:szCs w:val="20"/>
        </w:rPr>
        <w:t>Íñigo</w:t>
      </w:r>
      <w:r w:rsidR="004A0CAC" w:rsidRPr="00A55BAF">
        <w:rPr>
          <w:rFonts w:ascii="Palatino Linotype" w:hAnsi="Palatino Linotype"/>
          <w:sz w:val="20"/>
          <w:szCs w:val="20"/>
        </w:rPr>
        <w:t xml:space="preserve"> Salvador Crespo, Procurador General del Estado, ante dos consultas realizadas por el Gerente General de la Empresa Pública Metropolitana Metro de Quito (EPMMQ), </w:t>
      </w:r>
      <w:r w:rsidR="00AD4453" w:rsidRPr="00A55BAF">
        <w:rPr>
          <w:rFonts w:ascii="Palatino Linotype" w:hAnsi="Palatino Linotype"/>
          <w:sz w:val="20"/>
          <w:szCs w:val="20"/>
        </w:rPr>
        <w:t>emite su</w:t>
      </w:r>
      <w:r w:rsidRPr="00A55BAF">
        <w:rPr>
          <w:rFonts w:ascii="Palatino Linotype" w:hAnsi="Palatino Linotype"/>
          <w:sz w:val="20"/>
          <w:szCs w:val="20"/>
        </w:rPr>
        <w:t xml:space="preserve"> Pronunciamiento</w:t>
      </w:r>
      <w:r w:rsidR="00AD4453" w:rsidRPr="00A55BAF">
        <w:rPr>
          <w:rFonts w:ascii="Palatino Linotype" w:hAnsi="Palatino Linotype"/>
          <w:sz w:val="20"/>
          <w:szCs w:val="20"/>
        </w:rPr>
        <w:t xml:space="preserve"> en el siguiente sentido</w:t>
      </w:r>
      <w:r w:rsidR="00237BE6">
        <w:rPr>
          <w:rFonts w:ascii="Palatino Linotype" w:hAnsi="Palatino Linotype"/>
          <w:sz w:val="20"/>
          <w:szCs w:val="20"/>
        </w:rPr>
        <w:t>,</w:t>
      </w:r>
      <w:r w:rsidR="00AD4453" w:rsidRPr="00A55BAF">
        <w:rPr>
          <w:rFonts w:ascii="Palatino Linotype" w:hAnsi="Palatino Linotype"/>
          <w:sz w:val="20"/>
          <w:szCs w:val="20"/>
        </w:rPr>
        <w:t xml:space="preserve"> respecto de la Ocupación Temporal indicando</w:t>
      </w:r>
      <w:r w:rsidRPr="00A55BAF">
        <w:rPr>
          <w:rFonts w:ascii="Palatino Linotype" w:hAnsi="Palatino Linotype"/>
          <w:sz w:val="20"/>
          <w:szCs w:val="20"/>
        </w:rPr>
        <w:t xml:space="preserve">: </w:t>
      </w:r>
      <w:r w:rsidR="00AD4453" w:rsidRPr="00A55BAF">
        <w:rPr>
          <w:rFonts w:ascii="Palatino Linotype" w:hAnsi="Palatino Linotype"/>
          <w:i/>
          <w:sz w:val="20"/>
          <w:szCs w:val="20"/>
        </w:rPr>
        <w:t>“</w:t>
      </w:r>
      <w:r w:rsidRPr="00A55BAF">
        <w:rPr>
          <w:rFonts w:ascii="Palatino Linotype" w:hAnsi="Palatino Linotype"/>
          <w:i/>
          <w:sz w:val="20"/>
          <w:szCs w:val="20"/>
        </w:rPr>
        <w:t xml:space="preserve">Del análisis jurídico efectuado se observa que, el </w:t>
      </w:r>
      <w:r w:rsidR="004A0CAC" w:rsidRPr="00A55BAF">
        <w:rPr>
          <w:rFonts w:ascii="Palatino Linotype" w:hAnsi="Palatino Linotype"/>
          <w:i/>
          <w:sz w:val="20"/>
          <w:szCs w:val="20"/>
        </w:rPr>
        <w:t>artículo</w:t>
      </w:r>
      <w:r w:rsidRPr="00A55BAF">
        <w:rPr>
          <w:rFonts w:ascii="Palatino Linotype" w:hAnsi="Palatino Linotype"/>
          <w:i/>
          <w:sz w:val="20"/>
          <w:szCs w:val="20"/>
        </w:rPr>
        <w:t xml:space="preserve"> 58.5 de la LOSNCP establece el régimen jurídico general para la ocupación temporal en las contrataciones sujetas a su ámbito; mientras que la </w:t>
      </w:r>
      <w:r w:rsidR="004A0CAC" w:rsidRPr="00A55BAF">
        <w:rPr>
          <w:rFonts w:ascii="Palatino Linotype" w:hAnsi="Palatino Linotype"/>
          <w:i/>
          <w:sz w:val="20"/>
          <w:szCs w:val="20"/>
        </w:rPr>
        <w:t>LOSNIV</w:t>
      </w:r>
      <w:r w:rsidR="00AD4453" w:rsidRPr="00A55BAF">
        <w:rPr>
          <w:rFonts w:ascii="Palatino Linotype" w:hAnsi="Palatino Linotype"/>
          <w:i/>
          <w:sz w:val="20"/>
          <w:szCs w:val="20"/>
        </w:rPr>
        <w:t>TT</w:t>
      </w:r>
      <w:r w:rsidRPr="00A55BAF">
        <w:rPr>
          <w:rFonts w:ascii="Palatino Linotype" w:hAnsi="Palatino Linotype"/>
          <w:i/>
          <w:sz w:val="20"/>
          <w:szCs w:val="20"/>
        </w:rPr>
        <w:t xml:space="preserve"> y su Reglamento, contienen el régimen jurídico particular aplicable por el Ministerio rector de la competencia de vialidad y los diferentes niveles de </w:t>
      </w:r>
      <w:proofErr w:type="spellStart"/>
      <w:r w:rsidRPr="00A55BAF">
        <w:rPr>
          <w:rFonts w:ascii="Palatino Linotype" w:hAnsi="Palatino Linotype"/>
          <w:i/>
          <w:sz w:val="20"/>
          <w:szCs w:val="20"/>
        </w:rPr>
        <w:t>GADs</w:t>
      </w:r>
      <w:proofErr w:type="spellEnd"/>
      <w:r w:rsidRPr="00A55BAF">
        <w:rPr>
          <w:rFonts w:ascii="Palatino Linotype" w:hAnsi="Palatino Linotype"/>
          <w:i/>
          <w:sz w:val="20"/>
          <w:szCs w:val="20"/>
        </w:rPr>
        <w:t xml:space="preserve">, normas que tienen el carácter de especiales para la materia de infraestructura vial. En consecuencia, en atención a los términos de su primera consulta, se concluye que el </w:t>
      </w:r>
      <w:r w:rsidR="004A0CAC" w:rsidRPr="00A55BAF">
        <w:rPr>
          <w:rFonts w:ascii="Palatino Linotype" w:hAnsi="Palatino Linotype"/>
          <w:i/>
          <w:sz w:val="20"/>
          <w:szCs w:val="20"/>
        </w:rPr>
        <w:t>artículo</w:t>
      </w:r>
      <w:r w:rsidRPr="00A55BAF">
        <w:rPr>
          <w:rFonts w:ascii="Palatino Linotype" w:hAnsi="Palatino Linotype"/>
          <w:i/>
          <w:sz w:val="20"/>
          <w:szCs w:val="20"/>
        </w:rPr>
        <w:t xml:space="preserve"> 58,5 de la LOSNCP es aplicable a los casos de ocupación temporal de terrenos o predios, que prive transitoriamente de su uso y goce al titular de dominio del inmueble, durante la ejecución de una obra pública. Por tant</w:t>
      </w:r>
      <w:r w:rsidR="00AD4453" w:rsidRPr="00A55BAF">
        <w:rPr>
          <w:rFonts w:ascii="Palatino Linotype" w:hAnsi="Palatino Linotype"/>
          <w:i/>
          <w:sz w:val="20"/>
          <w:szCs w:val="20"/>
        </w:rPr>
        <w:t>o</w:t>
      </w:r>
      <w:r w:rsidRPr="00A55BAF">
        <w:rPr>
          <w:rFonts w:ascii="Palatino Linotype" w:hAnsi="Palatino Linotype"/>
          <w:i/>
          <w:sz w:val="20"/>
          <w:szCs w:val="20"/>
        </w:rPr>
        <w:t>, respecto de su segunda consulta se concluye que, de acuerdo con el segundo inciso del artículo 58.5 de la LOSNCP, la entidad pública que ocupa temporalmente un predio de un tercero, por ser aquello necesario para ejecutar una obra, debe reglamentar el procedimiento e instrumentar la metodología de cálculo de la valoración que compense dicha ocupación temporal. En el caso de</w:t>
      </w:r>
      <w:r w:rsidR="004A0CAC" w:rsidRPr="00A55BAF">
        <w:rPr>
          <w:rFonts w:ascii="Palatino Linotype" w:hAnsi="Palatino Linotype"/>
          <w:i/>
          <w:sz w:val="20"/>
          <w:szCs w:val="20"/>
        </w:rPr>
        <w:t xml:space="preserve"> municipalidades, corresponde al respectivo Concejo establecer la metodología de cálculo, en ejercicio de su potestad normativa prevista en los artículos 5, 7, 55 y 322 del CO</w:t>
      </w:r>
      <w:r w:rsidR="00AD4453" w:rsidRPr="00A55BAF">
        <w:rPr>
          <w:rFonts w:ascii="Palatino Linotype" w:hAnsi="Palatino Linotype"/>
          <w:i/>
          <w:sz w:val="20"/>
          <w:szCs w:val="20"/>
        </w:rPr>
        <w:t>OTAD</w:t>
      </w:r>
      <w:r w:rsidR="004A0CAC" w:rsidRPr="00A55BAF">
        <w:rPr>
          <w:rFonts w:ascii="Palatino Linotype" w:hAnsi="Palatino Linotype"/>
          <w:i/>
          <w:sz w:val="20"/>
          <w:szCs w:val="20"/>
        </w:rPr>
        <w:t xml:space="preserve">, debiendo considerar lo dispuesto en el artículo 54 del Reglamento a la LOSNIVTT </w:t>
      </w:r>
      <w:r w:rsidR="00237BE6">
        <w:rPr>
          <w:rFonts w:ascii="Palatino Linotype" w:hAnsi="Palatino Linotype"/>
          <w:i/>
          <w:sz w:val="20"/>
          <w:szCs w:val="20"/>
        </w:rPr>
        <w:t>cuando se trate de obras viales</w:t>
      </w:r>
      <w:r w:rsidR="00AD4453" w:rsidRPr="00A55BAF">
        <w:rPr>
          <w:rFonts w:ascii="Palatino Linotype" w:hAnsi="Palatino Linotype"/>
          <w:i/>
          <w:sz w:val="20"/>
          <w:szCs w:val="20"/>
        </w:rPr>
        <w:t>”</w:t>
      </w:r>
      <w:r w:rsidR="00237BE6">
        <w:rPr>
          <w:rFonts w:ascii="Palatino Linotype" w:hAnsi="Palatino Linotype"/>
          <w:i/>
          <w:sz w:val="20"/>
          <w:szCs w:val="20"/>
        </w:rPr>
        <w:t>;</w:t>
      </w:r>
    </w:p>
    <w:p w14:paraId="20D59332" w14:textId="77777777" w:rsidR="00AE23E7" w:rsidRPr="00237BE6" w:rsidRDefault="00AE23E7" w:rsidP="002D04F8">
      <w:pPr>
        <w:ind w:left="705" w:hanging="705"/>
        <w:jc w:val="both"/>
        <w:rPr>
          <w:rFonts w:ascii="Palatino Linotype" w:hAnsi="Palatino Linotype"/>
          <w:i/>
          <w:sz w:val="20"/>
          <w:szCs w:val="20"/>
        </w:rPr>
      </w:pPr>
      <w:r w:rsidRPr="00237BE6">
        <w:rPr>
          <w:rFonts w:ascii="Palatino Linotype" w:hAnsi="Palatino Linotype"/>
          <w:b/>
          <w:sz w:val="20"/>
          <w:szCs w:val="20"/>
        </w:rPr>
        <w:t>Que,</w:t>
      </w:r>
      <w:r w:rsidRPr="00A55BAF">
        <w:rPr>
          <w:rFonts w:ascii="Palatino Linotype" w:hAnsi="Palatino Linotype"/>
          <w:sz w:val="20"/>
          <w:szCs w:val="20"/>
        </w:rPr>
        <w:tab/>
      </w:r>
      <w:r w:rsidRPr="00A801F7">
        <w:rPr>
          <w:rFonts w:ascii="Palatino Linotype" w:hAnsi="Palatino Linotype"/>
          <w:sz w:val="20"/>
          <w:szCs w:val="20"/>
        </w:rPr>
        <w:t>el artículo 13 de la Ley Orgánica de la Procuraduría General del Estado con relación de la Absolución de Consultas determina que:</w:t>
      </w:r>
      <w:r w:rsidRPr="00237BE6">
        <w:rPr>
          <w:rFonts w:ascii="Palatino Linotype" w:hAnsi="Palatino Linotype"/>
          <w:i/>
          <w:sz w:val="20"/>
          <w:szCs w:val="20"/>
        </w:rPr>
        <w:t xml:space="preserve"> </w:t>
      </w:r>
      <w:r w:rsidRPr="00A55BAF">
        <w:rPr>
          <w:rFonts w:ascii="Palatino Linotype" w:hAnsi="Palatino Linotype"/>
          <w:i/>
          <w:sz w:val="20"/>
          <w:szCs w:val="20"/>
        </w:rPr>
        <w:t>“</w:t>
      </w:r>
      <w:r w:rsidR="00237BE6" w:rsidRPr="00237BE6">
        <w:rPr>
          <w:rFonts w:ascii="Palatino Linotype" w:hAnsi="Palatino Linotype"/>
          <w:i/>
          <w:sz w:val="20"/>
          <w:szCs w:val="20"/>
        </w:rPr>
        <w:t>Sin perjuicio de las facultades de la Función Legislativa, del Tribunal Constitucional y de la Función Judicial, determinadas en la Constitución Política de la República y en la ley, el Procurador General del Estado asesorará y absolverá las consultas jurídicas con carácter de vinculantes, sobre la inteligencia o aplicación de las normas constitucionales, legales o de otro orden jurídico, a pedido de las máximas autoridades de los organismos y entidades del sector público y de los representantes legales o convencionales de las personas jurídicas de derecho privado con finalidad social o pública, excepto cuando se trate de asuntos que hayan sido resueltos por jueces o tribunales de la República o que estén en conocimiento de los mismos, hallándose trabada la litis, "incluyéndose acciones y recursos que se sustancien o deban sustanciarse en el Tribunal Constitucional"</w:t>
      </w:r>
      <w:r w:rsidR="00237BE6">
        <w:rPr>
          <w:rFonts w:ascii="Palatino Linotype" w:hAnsi="Palatino Linotype"/>
          <w:i/>
          <w:sz w:val="20"/>
          <w:szCs w:val="20"/>
        </w:rPr>
        <w:t>;</w:t>
      </w:r>
    </w:p>
    <w:p w14:paraId="3C7CB3C4" w14:textId="77777777" w:rsidR="001B00B9" w:rsidRPr="00A55BAF" w:rsidRDefault="001B00B9" w:rsidP="00A55BA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t>mediante oficio No. STHV-2020</w:t>
      </w:r>
      <w:r w:rsidR="004D2B1D">
        <w:rPr>
          <w:rFonts w:ascii="Palatino Linotype" w:hAnsi="Palatino Linotype"/>
          <w:sz w:val="20"/>
          <w:szCs w:val="20"/>
        </w:rPr>
        <w:t>-0916-O</w:t>
      </w:r>
      <w:r w:rsidRPr="00A55BAF">
        <w:rPr>
          <w:rFonts w:ascii="Palatino Linotype" w:hAnsi="Palatino Linotype"/>
          <w:sz w:val="20"/>
          <w:szCs w:val="20"/>
        </w:rPr>
        <w:t xml:space="preserve"> el Secretario de Territorio, Hábitat y Vivienda, en relación al criterio del señor Procurador General del Estado, respecto de la propuesta de reglamentación indica, que de conformidad con lo que dispone el artículo 8 y siguientes de la Ley de Inquilinato, es competencia del Jefe de Catastro Municipal, exped</w:t>
      </w:r>
      <w:r w:rsidR="00237BE6">
        <w:rPr>
          <w:rFonts w:ascii="Palatino Linotype" w:hAnsi="Palatino Linotype"/>
          <w:sz w:val="20"/>
          <w:szCs w:val="20"/>
        </w:rPr>
        <w:t>ir la reglamentación solicitada;</w:t>
      </w:r>
      <w:r w:rsidRPr="00A55BAF">
        <w:rPr>
          <w:rFonts w:ascii="Palatino Linotype" w:hAnsi="Palatino Linotype"/>
          <w:sz w:val="20"/>
          <w:szCs w:val="20"/>
        </w:rPr>
        <w:t xml:space="preserve"> </w:t>
      </w:r>
    </w:p>
    <w:p w14:paraId="5C843579" w14:textId="762FCFDF" w:rsidR="00936680" w:rsidRPr="00070F65" w:rsidRDefault="00232F80" w:rsidP="002D04F8">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r>
      <w:r w:rsidR="00936680" w:rsidRPr="00070F65">
        <w:rPr>
          <w:rFonts w:ascii="Palatino Linotype" w:hAnsi="Palatino Linotype"/>
          <w:sz w:val="20"/>
          <w:szCs w:val="20"/>
        </w:rPr>
        <w:t xml:space="preserve">mediante oficio No. </w:t>
      </w:r>
      <w:r w:rsidR="00936680" w:rsidRPr="00070F65">
        <w:rPr>
          <w:rFonts w:ascii="Palatino Linotype" w:hAnsi="Palatino Linotype"/>
          <w:sz w:val="20"/>
          <w:szCs w:val="20"/>
        </w:rPr>
        <w:t>GADDMQ-PM-2020-1773-O</w:t>
      </w:r>
      <w:r w:rsidR="00936680" w:rsidRPr="00070F65">
        <w:rPr>
          <w:rFonts w:ascii="Palatino Linotype" w:hAnsi="Palatino Linotype"/>
          <w:sz w:val="20"/>
          <w:szCs w:val="20"/>
        </w:rPr>
        <w:t xml:space="preserve"> de 30 de julio de 2020, Procuraduría Metropolitana, de conformidad con la letra e) del artículo 3 de la Ley Orgánica de la Procuraduría General del Estado, con oficio No. 02925 de 07 de maro de 2019, </w:t>
      </w:r>
      <w:r w:rsidR="00070F65" w:rsidRPr="00070F65">
        <w:rPr>
          <w:rFonts w:ascii="Palatino Linotype" w:hAnsi="Palatino Linotype"/>
          <w:sz w:val="20"/>
          <w:szCs w:val="20"/>
        </w:rPr>
        <w:t xml:space="preserve">en relación a la consulta efectuada por la EPMMQ, señaló: “… </w:t>
      </w:r>
      <w:r w:rsidR="00070F65" w:rsidRPr="00070F65">
        <w:rPr>
          <w:rFonts w:ascii="Palatino Linotype" w:hAnsi="Palatino Linotype"/>
          <w:i/>
          <w:iCs/>
          <w:sz w:val="20"/>
          <w:szCs w:val="20"/>
        </w:rPr>
        <w:t xml:space="preserve">se observa que, el artículo 58.5 de la LOSNCP establece que el régimen jurídico general para la ocupación temporal en las contrataciones sujetas a su ámbito; mientras que la LOSNIVTT y su Reglamento, contienen el régimen jurídico particular aplicable por el </w:t>
      </w:r>
      <w:r w:rsidR="00070F65" w:rsidRPr="00070F65">
        <w:rPr>
          <w:rFonts w:ascii="Palatino Linotype" w:hAnsi="Palatino Linotype"/>
          <w:i/>
          <w:iCs/>
          <w:sz w:val="20"/>
          <w:szCs w:val="20"/>
        </w:rPr>
        <w:lastRenderedPageBreak/>
        <w:t xml:space="preserve">Ministerio rectos de la competencia de vialidad y los diferentes nieles de </w:t>
      </w:r>
      <w:proofErr w:type="spellStart"/>
      <w:r w:rsidR="00070F65" w:rsidRPr="00070F65">
        <w:rPr>
          <w:rFonts w:ascii="Palatino Linotype" w:hAnsi="Palatino Linotype"/>
          <w:i/>
          <w:iCs/>
          <w:sz w:val="20"/>
          <w:szCs w:val="20"/>
        </w:rPr>
        <w:t>GADs</w:t>
      </w:r>
      <w:proofErr w:type="spellEnd"/>
      <w:r w:rsidR="00070F65" w:rsidRPr="00070F65">
        <w:rPr>
          <w:rFonts w:ascii="Palatino Linotype" w:hAnsi="Palatino Linotype"/>
          <w:i/>
          <w:iCs/>
          <w:sz w:val="20"/>
          <w:szCs w:val="20"/>
        </w:rPr>
        <w:t>, normas que tienen el carácter</w:t>
      </w:r>
      <w:r w:rsidR="00070F65" w:rsidRPr="00070F65">
        <w:rPr>
          <w:rFonts w:ascii="Palatino Linotype" w:hAnsi="Palatino Linotype"/>
          <w:i/>
          <w:iCs/>
          <w:sz w:val="20"/>
          <w:szCs w:val="20"/>
        </w:rPr>
        <w:t xml:space="preserve"> </w:t>
      </w:r>
      <w:r w:rsidR="00070F65" w:rsidRPr="00070F65">
        <w:rPr>
          <w:rFonts w:ascii="Palatino Linotype" w:hAnsi="Palatino Linotype"/>
          <w:i/>
          <w:iCs/>
          <w:sz w:val="20"/>
          <w:szCs w:val="20"/>
        </w:rPr>
        <w:t xml:space="preserve">de especiales para la materia de infraestructura vial. En consecuencia, en atención a los términos de su primera consulta, se concluye que el artículo 58.5 de la LOSNCP es aplicable a los casos de ocupación temporal de ocupación de terrenos o predios, que prive transitoriamente de su uso y goce al titular de dominio del inmueble, durante la ejecución de una obra pública. Por tanto, respecto de su segunda consulta se concluye que, de acuerdo con el segundo inciso del artículo 58.5 de la LOSNCP, la entidad pública que ocupa temporalmente un predio de un terreno, por </w:t>
      </w:r>
      <w:proofErr w:type="spellStart"/>
      <w:r w:rsidR="00070F65" w:rsidRPr="00070F65">
        <w:rPr>
          <w:rFonts w:ascii="Palatino Linotype" w:hAnsi="Palatino Linotype"/>
          <w:i/>
          <w:iCs/>
          <w:sz w:val="20"/>
          <w:szCs w:val="20"/>
        </w:rPr>
        <w:t>se</w:t>
      </w:r>
      <w:proofErr w:type="spellEnd"/>
      <w:r w:rsidR="00070F65" w:rsidRPr="00070F65">
        <w:rPr>
          <w:rFonts w:ascii="Palatino Linotype" w:hAnsi="Palatino Linotype"/>
          <w:i/>
          <w:iCs/>
          <w:sz w:val="20"/>
          <w:szCs w:val="20"/>
        </w:rPr>
        <w:t xml:space="preserve"> aquello necesario para ejecutar una obra, debe reglamentar el procedimiento e instrumentar la metodología de cálculo, en ejercicio de su potestad normativa prevista en los artículos 5, 7 55 y 322 del COOTAD, debiendo considerar lo dispuesto en el artículo 54 del Reglamento a la LOSNIVIT cuando se trate de obras civiles</w:t>
      </w:r>
      <w:r w:rsidR="00070F65" w:rsidRPr="00070F65">
        <w:rPr>
          <w:rFonts w:ascii="Palatino Linotype" w:hAnsi="Palatino Linotype"/>
          <w:i/>
          <w:iCs/>
          <w:sz w:val="20"/>
          <w:szCs w:val="20"/>
        </w:rPr>
        <w:t>”</w:t>
      </w:r>
      <w:r w:rsidR="00070F65" w:rsidRPr="00070F65">
        <w:rPr>
          <w:rFonts w:ascii="Palatino Linotype" w:hAnsi="Palatino Linotype"/>
          <w:sz w:val="20"/>
          <w:szCs w:val="20"/>
        </w:rPr>
        <w:t>.</w:t>
      </w:r>
    </w:p>
    <w:p w14:paraId="17092E70" w14:textId="2983C65F" w:rsidR="00232F80" w:rsidRPr="00A55BAF" w:rsidRDefault="00070F65" w:rsidP="002D04F8">
      <w:pPr>
        <w:ind w:left="705" w:hanging="705"/>
        <w:jc w:val="both"/>
        <w:rPr>
          <w:rFonts w:ascii="Palatino Linotype" w:hAnsi="Palatino Linotype"/>
          <w:i/>
          <w:sz w:val="20"/>
          <w:szCs w:val="20"/>
        </w:rPr>
      </w:pPr>
      <w:r>
        <w:rPr>
          <w:rFonts w:ascii="Palatino Linotype" w:hAnsi="Palatino Linotype"/>
          <w:sz w:val="20"/>
          <w:szCs w:val="20"/>
        </w:rPr>
        <w:t xml:space="preserve">Que, </w:t>
      </w:r>
      <w:r>
        <w:rPr>
          <w:rFonts w:ascii="Palatino Linotype" w:hAnsi="Palatino Linotype"/>
          <w:sz w:val="20"/>
          <w:szCs w:val="20"/>
        </w:rPr>
        <w:tab/>
      </w:r>
      <w:r w:rsidR="00232F80" w:rsidRPr="00A55BAF">
        <w:rPr>
          <w:rFonts w:ascii="Palatino Linotype" w:hAnsi="Palatino Linotype"/>
          <w:sz w:val="20"/>
          <w:szCs w:val="20"/>
        </w:rPr>
        <w:t>al no estar establecida una metodología que permita el cálculo del justo precio para el proceso de ocupación temporal, se ha verificado que la ley que más se ajusta para el cálculo del valor por ocupación temporal es la ley de inquilinato en su artículo 17</w:t>
      </w:r>
      <w:r w:rsidR="00237BE6">
        <w:rPr>
          <w:rFonts w:ascii="Palatino Linotype" w:hAnsi="Palatino Linotype"/>
          <w:sz w:val="20"/>
          <w:szCs w:val="20"/>
        </w:rPr>
        <w:t>,</w:t>
      </w:r>
      <w:r w:rsidR="00232F80" w:rsidRPr="00A55BAF">
        <w:rPr>
          <w:rFonts w:ascii="Palatino Linotype" w:hAnsi="Palatino Linotype"/>
          <w:sz w:val="20"/>
          <w:szCs w:val="20"/>
        </w:rPr>
        <w:t xml:space="preserve"> que establece: </w:t>
      </w:r>
      <w:r w:rsidR="00B537AC" w:rsidRPr="00A55BAF">
        <w:rPr>
          <w:rFonts w:ascii="Palatino Linotype" w:hAnsi="Palatino Linotype"/>
          <w:sz w:val="20"/>
          <w:szCs w:val="20"/>
        </w:rPr>
        <w:t>“</w:t>
      </w:r>
      <w:r w:rsidR="00232F80" w:rsidRPr="00A55BAF">
        <w:rPr>
          <w:rFonts w:ascii="Palatino Linotype" w:hAnsi="Palatino Linotype"/>
          <w:i/>
          <w:sz w:val="20"/>
          <w:szCs w:val="20"/>
        </w:rPr>
        <w:t>La pensión mensual de arrendamiento de un inmueble no podrá exceder de la doceava parte del diez por ciento del avalúo comercial con que dicho inmueble conste en el catastro municipal y de los impuestos municipales que</w:t>
      </w:r>
      <w:r w:rsidR="00237BE6">
        <w:rPr>
          <w:rFonts w:ascii="Palatino Linotype" w:hAnsi="Palatino Linotype"/>
          <w:i/>
          <w:sz w:val="20"/>
          <w:szCs w:val="20"/>
        </w:rPr>
        <w:t xml:space="preserve"> gravaren a la propiedad urbana</w:t>
      </w:r>
      <w:r w:rsidR="00B537AC" w:rsidRPr="00A55BAF">
        <w:rPr>
          <w:rFonts w:ascii="Palatino Linotype" w:hAnsi="Palatino Linotype"/>
          <w:i/>
          <w:sz w:val="20"/>
          <w:szCs w:val="20"/>
        </w:rPr>
        <w:t>”</w:t>
      </w:r>
      <w:r w:rsidR="00237BE6">
        <w:rPr>
          <w:rFonts w:ascii="Palatino Linotype" w:hAnsi="Palatino Linotype"/>
          <w:i/>
          <w:sz w:val="20"/>
          <w:szCs w:val="20"/>
        </w:rPr>
        <w:t>;</w:t>
      </w:r>
    </w:p>
    <w:p w14:paraId="5647360F" w14:textId="77777777" w:rsidR="00CE594F" w:rsidRPr="00A55BAF" w:rsidRDefault="00381408" w:rsidP="00CE594F">
      <w:pPr>
        <w:ind w:left="705" w:hanging="705"/>
        <w:jc w:val="both"/>
        <w:rPr>
          <w:rFonts w:ascii="Palatino Linotype" w:hAnsi="Palatino Linotype"/>
          <w:sz w:val="20"/>
          <w:szCs w:val="20"/>
        </w:rPr>
      </w:pPr>
      <w:r w:rsidRPr="00237BE6">
        <w:rPr>
          <w:rFonts w:ascii="Palatino Linotype" w:hAnsi="Palatino Linotype"/>
          <w:b/>
          <w:sz w:val="20"/>
          <w:szCs w:val="20"/>
        </w:rPr>
        <w:t>Que,</w:t>
      </w:r>
      <w:r w:rsidRPr="00A55BAF">
        <w:rPr>
          <w:rFonts w:ascii="Palatino Linotype" w:hAnsi="Palatino Linotype"/>
          <w:sz w:val="20"/>
          <w:szCs w:val="20"/>
        </w:rPr>
        <w:tab/>
      </w:r>
      <w:r w:rsidR="00CE594F" w:rsidRPr="00A55BAF">
        <w:rPr>
          <w:rFonts w:ascii="Palatino Linotype" w:hAnsi="Palatino Linotype"/>
          <w:sz w:val="20"/>
          <w:szCs w:val="20"/>
        </w:rPr>
        <w:t>los literales a) y v) del artículo 87 del COOTAD, que se refieren a las atribuciones del Concejo Metropolitano, disponen: “</w:t>
      </w:r>
      <w:r w:rsidR="00CE594F" w:rsidRPr="00237BE6">
        <w:rPr>
          <w:rFonts w:ascii="Palatino Linotype" w:hAnsi="Palatino Linotype"/>
          <w:i/>
          <w:sz w:val="20"/>
          <w:szCs w:val="20"/>
        </w:rPr>
        <w:t>Al Concejo Metropolitano le corresponde: (…) a) Ejercer la facultad normativa en las materias de competencia del gobierno autónomo descentralizado metropolitano, mediante la expedición de ordenanzas metropolitanas, acuerdos y resoluciones</w:t>
      </w:r>
      <w:r w:rsidR="00CE594F" w:rsidRPr="00A55BAF">
        <w:rPr>
          <w:rFonts w:ascii="Palatino Linotype" w:hAnsi="Palatino Linotype"/>
          <w:sz w:val="20"/>
          <w:szCs w:val="20"/>
        </w:rPr>
        <w:t xml:space="preserve">; </w:t>
      </w:r>
      <w:r w:rsidR="00CE594F" w:rsidRPr="00A801F7">
        <w:rPr>
          <w:rFonts w:ascii="Palatino Linotype" w:hAnsi="Palatino Linotype"/>
          <w:i/>
          <w:sz w:val="20"/>
          <w:szCs w:val="20"/>
        </w:rPr>
        <w:t>(…);</w:t>
      </w:r>
      <w:r w:rsidR="00CE594F" w:rsidRPr="00A55BAF">
        <w:rPr>
          <w:rFonts w:ascii="Palatino Linotype" w:hAnsi="Palatino Linotype"/>
          <w:sz w:val="20"/>
          <w:szCs w:val="20"/>
        </w:rPr>
        <w:t xml:space="preserve"> y </w:t>
      </w:r>
      <w:r w:rsidR="00CE594F" w:rsidRPr="00A801F7">
        <w:rPr>
          <w:rFonts w:ascii="Palatino Linotype" w:hAnsi="Palatino Linotype"/>
          <w:i/>
          <w:sz w:val="20"/>
          <w:szCs w:val="20"/>
        </w:rPr>
        <w:t>v)</w:t>
      </w:r>
      <w:r w:rsidR="00CE594F" w:rsidRPr="00A55BAF">
        <w:rPr>
          <w:rFonts w:ascii="Palatino Linotype" w:hAnsi="Palatino Linotype"/>
          <w:sz w:val="20"/>
          <w:szCs w:val="20"/>
        </w:rPr>
        <w:t xml:space="preserve"> </w:t>
      </w:r>
      <w:r w:rsidR="00CE594F" w:rsidRPr="00237BE6">
        <w:rPr>
          <w:rFonts w:ascii="Palatino Linotype" w:hAnsi="Palatino Linotype"/>
          <w:i/>
          <w:sz w:val="20"/>
          <w:szCs w:val="20"/>
        </w:rPr>
        <w:t>Regular y controlar el uso del suelo en el territorio del Distrito Metropolitano, de conformidad con las leyes sobre la materia y establecer el régimen urbanístico de la tierra. (…)”</w:t>
      </w:r>
      <w:r w:rsidR="00CE594F" w:rsidRPr="00A55BAF">
        <w:rPr>
          <w:rFonts w:ascii="Palatino Linotype" w:hAnsi="Palatino Linotype"/>
          <w:sz w:val="20"/>
          <w:szCs w:val="20"/>
        </w:rPr>
        <w:t xml:space="preserve">; </w:t>
      </w:r>
      <w:r w:rsidR="00B75E61" w:rsidRPr="00A55BAF">
        <w:rPr>
          <w:rFonts w:ascii="Palatino Linotype" w:hAnsi="Palatino Linotype"/>
          <w:sz w:val="20"/>
          <w:szCs w:val="20"/>
        </w:rPr>
        <w:t xml:space="preserve">y, en virtud del criterio </w:t>
      </w:r>
      <w:r w:rsidR="00075FBE" w:rsidRPr="00A55BAF">
        <w:rPr>
          <w:rFonts w:ascii="Palatino Linotype" w:hAnsi="Palatino Linotype"/>
          <w:sz w:val="20"/>
          <w:szCs w:val="20"/>
        </w:rPr>
        <w:t xml:space="preserve">vinculante </w:t>
      </w:r>
      <w:r w:rsidR="00B75E61" w:rsidRPr="00A55BAF">
        <w:rPr>
          <w:rFonts w:ascii="Palatino Linotype" w:hAnsi="Palatino Linotype"/>
          <w:sz w:val="20"/>
          <w:szCs w:val="20"/>
        </w:rPr>
        <w:t>emitido por el señor Procurador General del Estado</w:t>
      </w:r>
      <w:r w:rsidR="00075FBE" w:rsidRPr="00A55BAF">
        <w:rPr>
          <w:rFonts w:ascii="Palatino Linotype" w:hAnsi="Palatino Linotype"/>
          <w:sz w:val="20"/>
          <w:szCs w:val="20"/>
        </w:rPr>
        <w:t>, el Conejo Metropolitano de Quito</w:t>
      </w:r>
      <w:r w:rsidR="00B75E61" w:rsidRPr="00A55BAF">
        <w:rPr>
          <w:rFonts w:ascii="Palatino Linotype" w:hAnsi="Palatino Linotype"/>
          <w:sz w:val="20"/>
          <w:szCs w:val="20"/>
        </w:rPr>
        <w:t>:</w:t>
      </w:r>
    </w:p>
    <w:p w14:paraId="04F1C035" w14:textId="77777777" w:rsidR="00CE594F" w:rsidRPr="00A55BAF" w:rsidRDefault="00CE594F" w:rsidP="00381408">
      <w:pPr>
        <w:jc w:val="center"/>
        <w:rPr>
          <w:rFonts w:ascii="Palatino Linotype" w:hAnsi="Palatino Linotype"/>
          <w:b/>
          <w:sz w:val="20"/>
          <w:szCs w:val="20"/>
        </w:rPr>
      </w:pPr>
      <w:r w:rsidRPr="00A55BAF">
        <w:rPr>
          <w:rFonts w:ascii="Palatino Linotype" w:hAnsi="Palatino Linotype"/>
          <w:b/>
          <w:sz w:val="20"/>
          <w:szCs w:val="20"/>
        </w:rPr>
        <w:t>EXPIDE LA SIGUIENTE:</w:t>
      </w:r>
    </w:p>
    <w:p w14:paraId="4967742A" w14:textId="77777777" w:rsidR="00B75E61" w:rsidRPr="00A55BAF" w:rsidRDefault="00CE594F" w:rsidP="00381408">
      <w:pPr>
        <w:jc w:val="both"/>
        <w:rPr>
          <w:rFonts w:ascii="Palatino Linotype" w:hAnsi="Palatino Linotype"/>
          <w:b/>
          <w:sz w:val="20"/>
          <w:szCs w:val="20"/>
        </w:rPr>
      </w:pPr>
      <w:r w:rsidRPr="00A55BAF">
        <w:rPr>
          <w:rFonts w:ascii="Palatino Linotype" w:hAnsi="Palatino Linotype"/>
          <w:b/>
          <w:sz w:val="20"/>
          <w:szCs w:val="20"/>
        </w:rPr>
        <w:t xml:space="preserve">RESOLUCIÓN </w:t>
      </w:r>
      <w:r w:rsidR="00B75E61" w:rsidRPr="00A55BAF">
        <w:rPr>
          <w:rFonts w:ascii="Palatino Linotype" w:hAnsi="Palatino Linotype"/>
          <w:b/>
          <w:sz w:val="20"/>
          <w:szCs w:val="20"/>
        </w:rPr>
        <w:t>QUE APRUEBA LA METODOLOGÍA DE CÁLCULO PARA ESTABLECER EL JUSTO PRECIO DE LA OCUPACIÓN TEMPORAL DE LOS TERRENOS O PREDIOS EN ÁREAS QUE NO CORRESPONDAN A LA OBRA PÚBLICA, PERO NECESARIAS PARA SU DESARROLLO, MIENTRAS DURE SU CONSTRUCCIÓN.</w:t>
      </w:r>
    </w:p>
    <w:p w14:paraId="20E050F7" w14:textId="77777777" w:rsidR="00330B03" w:rsidRPr="00A55BAF" w:rsidRDefault="00CE594F" w:rsidP="00330B03">
      <w:pPr>
        <w:jc w:val="both"/>
        <w:rPr>
          <w:rFonts w:ascii="Palatino Linotype" w:hAnsi="Palatino Linotype"/>
          <w:sz w:val="20"/>
          <w:szCs w:val="20"/>
        </w:rPr>
      </w:pPr>
      <w:r w:rsidRPr="00A55BAF">
        <w:rPr>
          <w:rFonts w:ascii="Palatino Linotype" w:hAnsi="Palatino Linotype"/>
          <w:b/>
          <w:sz w:val="20"/>
          <w:szCs w:val="20"/>
        </w:rPr>
        <w:t xml:space="preserve">Artículo </w:t>
      </w:r>
      <w:r w:rsidR="000C61AB">
        <w:rPr>
          <w:rFonts w:ascii="Palatino Linotype" w:hAnsi="Palatino Linotype"/>
          <w:b/>
          <w:sz w:val="20"/>
          <w:szCs w:val="20"/>
        </w:rPr>
        <w:t>1</w:t>
      </w:r>
      <w:r w:rsidR="0047568D" w:rsidRPr="00A55BAF">
        <w:rPr>
          <w:rFonts w:ascii="Palatino Linotype" w:hAnsi="Palatino Linotype"/>
          <w:b/>
          <w:sz w:val="20"/>
          <w:szCs w:val="20"/>
        </w:rPr>
        <w:t>. -</w:t>
      </w:r>
      <w:r w:rsidRPr="00A55BAF">
        <w:rPr>
          <w:rFonts w:ascii="Palatino Linotype" w:hAnsi="Palatino Linotype"/>
          <w:sz w:val="20"/>
          <w:szCs w:val="20"/>
        </w:rPr>
        <w:t xml:space="preserve"> </w:t>
      </w:r>
      <w:r w:rsidR="00330B03" w:rsidRPr="00A55BAF">
        <w:rPr>
          <w:rFonts w:ascii="Palatino Linotype" w:hAnsi="Palatino Linotype"/>
          <w:sz w:val="20"/>
          <w:szCs w:val="20"/>
        </w:rPr>
        <w:t xml:space="preserve">Apruébase la metodología de </w:t>
      </w:r>
      <w:r w:rsidR="009B7D13" w:rsidRPr="00A55BAF">
        <w:rPr>
          <w:rFonts w:ascii="Palatino Linotype" w:hAnsi="Palatino Linotype"/>
          <w:sz w:val="20"/>
          <w:szCs w:val="20"/>
        </w:rPr>
        <w:t>c</w:t>
      </w:r>
      <w:r w:rsidR="00330B03" w:rsidRPr="00A55BAF">
        <w:rPr>
          <w:rFonts w:ascii="Palatino Linotype" w:hAnsi="Palatino Linotype"/>
          <w:sz w:val="20"/>
          <w:szCs w:val="20"/>
        </w:rPr>
        <w:t xml:space="preserve">álculo para </w:t>
      </w:r>
      <w:r w:rsidR="009B7D13" w:rsidRPr="00A55BAF">
        <w:rPr>
          <w:rFonts w:ascii="Palatino Linotype" w:hAnsi="Palatino Linotype"/>
          <w:sz w:val="20"/>
          <w:szCs w:val="20"/>
        </w:rPr>
        <w:t>e</w:t>
      </w:r>
      <w:r w:rsidR="00330B03" w:rsidRPr="00A55BAF">
        <w:rPr>
          <w:rFonts w:ascii="Palatino Linotype" w:hAnsi="Palatino Linotype"/>
          <w:sz w:val="20"/>
          <w:szCs w:val="20"/>
        </w:rPr>
        <w:t xml:space="preserve">stablecer el Justo Precio </w:t>
      </w:r>
      <w:r w:rsidR="009B7D13" w:rsidRPr="00A55BAF">
        <w:rPr>
          <w:rFonts w:ascii="Palatino Linotype" w:hAnsi="Palatino Linotype"/>
          <w:sz w:val="20"/>
          <w:szCs w:val="20"/>
        </w:rPr>
        <w:t>por la</w:t>
      </w:r>
      <w:r w:rsidR="00330B03" w:rsidRPr="00A55BAF">
        <w:rPr>
          <w:rFonts w:ascii="Palatino Linotype" w:hAnsi="Palatino Linotype"/>
          <w:sz w:val="20"/>
          <w:szCs w:val="20"/>
        </w:rPr>
        <w:t xml:space="preserve"> Ocupación Temporal de l</w:t>
      </w:r>
      <w:r w:rsidR="009B7D13" w:rsidRPr="00A55BAF">
        <w:rPr>
          <w:rFonts w:ascii="Palatino Linotype" w:hAnsi="Palatino Linotype"/>
          <w:sz w:val="20"/>
          <w:szCs w:val="20"/>
        </w:rPr>
        <w:t>os terrenos o lotes</w:t>
      </w:r>
      <w:r w:rsidR="00330B03" w:rsidRPr="00A55BAF">
        <w:rPr>
          <w:rFonts w:ascii="Palatino Linotype" w:hAnsi="Palatino Linotype"/>
          <w:sz w:val="20"/>
          <w:szCs w:val="20"/>
        </w:rPr>
        <w:t xml:space="preserve"> </w:t>
      </w:r>
      <w:r w:rsidR="009B7D13" w:rsidRPr="00A55BAF">
        <w:rPr>
          <w:rFonts w:ascii="Palatino Linotype" w:hAnsi="Palatino Linotype"/>
          <w:sz w:val="20"/>
          <w:szCs w:val="20"/>
        </w:rPr>
        <w:t>e</w:t>
      </w:r>
      <w:r w:rsidR="00330B03" w:rsidRPr="00A55BAF">
        <w:rPr>
          <w:rFonts w:ascii="Palatino Linotype" w:hAnsi="Palatino Linotype"/>
          <w:sz w:val="20"/>
          <w:szCs w:val="20"/>
        </w:rPr>
        <w:t xml:space="preserve">n </w:t>
      </w:r>
      <w:r w:rsidR="009B7D13" w:rsidRPr="00A55BAF">
        <w:rPr>
          <w:rFonts w:ascii="Palatino Linotype" w:hAnsi="Palatino Linotype"/>
          <w:sz w:val="20"/>
          <w:szCs w:val="20"/>
        </w:rPr>
        <w:t>á</w:t>
      </w:r>
      <w:r w:rsidR="00330B03" w:rsidRPr="00A55BAF">
        <w:rPr>
          <w:rFonts w:ascii="Palatino Linotype" w:hAnsi="Palatino Linotype"/>
          <w:sz w:val="20"/>
          <w:szCs w:val="20"/>
        </w:rPr>
        <w:t xml:space="preserve">reas </w:t>
      </w:r>
      <w:r w:rsidR="009B7D13" w:rsidRPr="00A55BAF">
        <w:rPr>
          <w:rFonts w:ascii="Palatino Linotype" w:hAnsi="Palatino Linotype"/>
          <w:sz w:val="20"/>
          <w:szCs w:val="20"/>
        </w:rPr>
        <w:t>q</w:t>
      </w:r>
      <w:r w:rsidR="00330B03" w:rsidRPr="00A55BAF">
        <w:rPr>
          <w:rFonts w:ascii="Palatino Linotype" w:hAnsi="Palatino Linotype"/>
          <w:sz w:val="20"/>
          <w:szCs w:val="20"/>
        </w:rPr>
        <w:t xml:space="preserve">ue </w:t>
      </w:r>
      <w:r w:rsidR="009B7D13" w:rsidRPr="00A55BAF">
        <w:rPr>
          <w:rFonts w:ascii="Palatino Linotype" w:hAnsi="Palatino Linotype"/>
          <w:sz w:val="20"/>
          <w:szCs w:val="20"/>
        </w:rPr>
        <w:t>n</w:t>
      </w:r>
      <w:r w:rsidR="00330B03" w:rsidRPr="00A55BAF">
        <w:rPr>
          <w:rFonts w:ascii="Palatino Linotype" w:hAnsi="Palatino Linotype"/>
          <w:sz w:val="20"/>
          <w:szCs w:val="20"/>
        </w:rPr>
        <w:t xml:space="preserve">o </w:t>
      </w:r>
      <w:r w:rsidR="009B7D13" w:rsidRPr="00A55BAF">
        <w:rPr>
          <w:rFonts w:ascii="Palatino Linotype" w:hAnsi="Palatino Linotype"/>
          <w:sz w:val="20"/>
          <w:szCs w:val="20"/>
        </w:rPr>
        <w:t>c</w:t>
      </w:r>
      <w:r w:rsidR="00330B03" w:rsidRPr="00A55BAF">
        <w:rPr>
          <w:rFonts w:ascii="Palatino Linotype" w:hAnsi="Palatino Linotype"/>
          <w:sz w:val="20"/>
          <w:szCs w:val="20"/>
        </w:rPr>
        <w:t xml:space="preserve">orrespondan </w:t>
      </w:r>
      <w:r w:rsidR="009B7D13" w:rsidRPr="00A55BAF">
        <w:rPr>
          <w:rFonts w:ascii="Palatino Linotype" w:hAnsi="Palatino Linotype"/>
          <w:sz w:val="20"/>
          <w:szCs w:val="20"/>
        </w:rPr>
        <w:t>a</w:t>
      </w:r>
      <w:r w:rsidR="00330B03" w:rsidRPr="00A55BAF">
        <w:rPr>
          <w:rFonts w:ascii="Palatino Linotype" w:hAnsi="Palatino Linotype"/>
          <w:sz w:val="20"/>
          <w:szCs w:val="20"/>
        </w:rPr>
        <w:t xml:space="preserve"> </w:t>
      </w:r>
      <w:r w:rsidR="009B7D13" w:rsidRPr="00A55BAF">
        <w:rPr>
          <w:rFonts w:ascii="Palatino Linotype" w:hAnsi="Palatino Linotype"/>
          <w:sz w:val="20"/>
          <w:szCs w:val="20"/>
        </w:rPr>
        <w:t>l</w:t>
      </w:r>
      <w:r w:rsidR="00330B03" w:rsidRPr="00A55BAF">
        <w:rPr>
          <w:rFonts w:ascii="Palatino Linotype" w:hAnsi="Palatino Linotype"/>
          <w:sz w:val="20"/>
          <w:szCs w:val="20"/>
        </w:rPr>
        <w:t xml:space="preserve">a </w:t>
      </w:r>
      <w:r w:rsidR="009B7D13" w:rsidRPr="00A55BAF">
        <w:rPr>
          <w:rFonts w:ascii="Palatino Linotype" w:hAnsi="Palatino Linotype"/>
          <w:sz w:val="20"/>
          <w:szCs w:val="20"/>
        </w:rPr>
        <w:t>o</w:t>
      </w:r>
      <w:r w:rsidR="00330B03" w:rsidRPr="00A55BAF">
        <w:rPr>
          <w:rFonts w:ascii="Palatino Linotype" w:hAnsi="Palatino Linotype"/>
          <w:sz w:val="20"/>
          <w:szCs w:val="20"/>
        </w:rPr>
        <w:t xml:space="preserve">bra </w:t>
      </w:r>
      <w:r w:rsidR="009B7D13" w:rsidRPr="00A55BAF">
        <w:rPr>
          <w:rFonts w:ascii="Palatino Linotype" w:hAnsi="Palatino Linotype"/>
          <w:sz w:val="20"/>
          <w:szCs w:val="20"/>
        </w:rPr>
        <w:t>p</w:t>
      </w:r>
      <w:r w:rsidR="00330B03" w:rsidRPr="00A55BAF">
        <w:rPr>
          <w:rFonts w:ascii="Palatino Linotype" w:hAnsi="Palatino Linotype"/>
          <w:sz w:val="20"/>
          <w:szCs w:val="20"/>
        </w:rPr>
        <w:t xml:space="preserve">ública, </w:t>
      </w:r>
      <w:r w:rsidR="009B7D13" w:rsidRPr="00A55BAF">
        <w:rPr>
          <w:rFonts w:ascii="Palatino Linotype" w:hAnsi="Palatino Linotype"/>
          <w:sz w:val="20"/>
          <w:szCs w:val="20"/>
        </w:rPr>
        <w:t>p</w:t>
      </w:r>
      <w:r w:rsidR="00330B03" w:rsidRPr="00A55BAF">
        <w:rPr>
          <w:rFonts w:ascii="Palatino Linotype" w:hAnsi="Palatino Linotype"/>
          <w:sz w:val="20"/>
          <w:szCs w:val="20"/>
        </w:rPr>
        <w:t xml:space="preserve">ero </w:t>
      </w:r>
      <w:r w:rsidR="009B7D13" w:rsidRPr="00A55BAF">
        <w:rPr>
          <w:rFonts w:ascii="Palatino Linotype" w:hAnsi="Palatino Linotype"/>
          <w:sz w:val="20"/>
          <w:szCs w:val="20"/>
        </w:rPr>
        <w:t>n</w:t>
      </w:r>
      <w:r w:rsidR="00330B03" w:rsidRPr="00A55BAF">
        <w:rPr>
          <w:rFonts w:ascii="Palatino Linotype" w:hAnsi="Palatino Linotype"/>
          <w:sz w:val="20"/>
          <w:szCs w:val="20"/>
        </w:rPr>
        <w:t>ecesari</w:t>
      </w:r>
      <w:r w:rsidR="009B7D13" w:rsidRPr="00A55BAF">
        <w:rPr>
          <w:rFonts w:ascii="Palatino Linotype" w:hAnsi="Palatino Linotype"/>
          <w:sz w:val="20"/>
          <w:szCs w:val="20"/>
        </w:rPr>
        <w:t>o</w:t>
      </w:r>
      <w:r w:rsidR="00330B03" w:rsidRPr="00A55BAF">
        <w:rPr>
          <w:rFonts w:ascii="Palatino Linotype" w:hAnsi="Palatino Linotype"/>
          <w:sz w:val="20"/>
          <w:szCs w:val="20"/>
        </w:rPr>
        <w:t xml:space="preserve">s </w:t>
      </w:r>
      <w:r w:rsidR="009B7D13" w:rsidRPr="00A55BAF">
        <w:rPr>
          <w:rFonts w:ascii="Palatino Linotype" w:hAnsi="Palatino Linotype"/>
          <w:sz w:val="20"/>
          <w:szCs w:val="20"/>
        </w:rPr>
        <w:t>p</w:t>
      </w:r>
      <w:r w:rsidR="00330B03" w:rsidRPr="00A55BAF">
        <w:rPr>
          <w:rFonts w:ascii="Palatino Linotype" w:hAnsi="Palatino Linotype"/>
          <w:sz w:val="20"/>
          <w:szCs w:val="20"/>
        </w:rPr>
        <w:t xml:space="preserve">ara </w:t>
      </w:r>
      <w:r w:rsidR="009B7D13" w:rsidRPr="00A55BAF">
        <w:rPr>
          <w:rFonts w:ascii="Palatino Linotype" w:hAnsi="Palatino Linotype"/>
          <w:sz w:val="20"/>
          <w:szCs w:val="20"/>
        </w:rPr>
        <w:t>s</w:t>
      </w:r>
      <w:r w:rsidR="00330B03" w:rsidRPr="00A55BAF">
        <w:rPr>
          <w:rFonts w:ascii="Palatino Linotype" w:hAnsi="Palatino Linotype"/>
          <w:sz w:val="20"/>
          <w:szCs w:val="20"/>
        </w:rPr>
        <w:t xml:space="preserve">u </w:t>
      </w:r>
      <w:r w:rsidR="009B7D13" w:rsidRPr="00A55BAF">
        <w:rPr>
          <w:rFonts w:ascii="Palatino Linotype" w:hAnsi="Palatino Linotype"/>
          <w:sz w:val="20"/>
          <w:szCs w:val="20"/>
        </w:rPr>
        <w:t>d</w:t>
      </w:r>
      <w:r w:rsidR="00330B03" w:rsidRPr="00A55BAF">
        <w:rPr>
          <w:rFonts w:ascii="Palatino Linotype" w:hAnsi="Palatino Linotype"/>
          <w:sz w:val="20"/>
          <w:szCs w:val="20"/>
        </w:rPr>
        <w:t xml:space="preserve">esarrollo, </w:t>
      </w:r>
      <w:r w:rsidR="009B7D13" w:rsidRPr="00A55BAF">
        <w:rPr>
          <w:rFonts w:ascii="Palatino Linotype" w:hAnsi="Palatino Linotype"/>
          <w:sz w:val="20"/>
          <w:szCs w:val="20"/>
        </w:rPr>
        <w:t>m</w:t>
      </w:r>
      <w:r w:rsidR="00330B03" w:rsidRPr="00A55BAF">
        <w:rPr>
          <w:rFonts w:ascii="Palatino Linotype" w:hAnsi="Palatino Linotype"/>
          <w:sz w:val="20"/>
          <w:szCs w:val="20"/>
        </w:rPr>
        <w:t xml:space="preserve">ientras </w:t>
      </w:r>
      <w:r w:rsidR="009B7D13" w:rsidRPr="00A55BAF">
        <w:rPr>
          <w:rFonts w:ascii="Palatino Linotype" w:hAnsi="Palatino Linotype"/>
          <w:sz w:val="20"/>
          <w:szCs w:val="20"/>
        </w:rPr>
        <w:t>d</w:t>
      </w:r>
      <w:r w:rsidR="00330B03" w:rsidRPr="00A55BAF">
        <w:rPr>
          <w:rFonts w:ascii="Palatino Linotype" w:hAnsi="Palatino Linotype"/>
          <w:sz w:val="20"/>
          <w:szCs w:val="20"/>
        </w:rPr>
        <w:t xml:space="preserve">ure </w:t>
      </w:r>
      <w:r w:rsidR="009B7D13" w:rsidRPr="00A55BAF">
        <w:rPr>
          <w:rFonts w:ascii="Palatino Linotype" w:hAnsi="Palatino Linotype"/>
          <w:sz w:val="20"/>
          <w:szCs w:val="20"/>
        </w:rPr>
        <w:t>s</w:t>
      </w:r>
      <w:r w:rsidR="00330B03" w:rsidRPr="00A55BAF">
        <w:rPr>
          <w:rFonts w:ascii="Palatino Linotype" w:hAnsi="Palatino Linotype"/>
          <w:sz w:val="20"/>
          <w:szCs w:val="20"/>
        </w:rPr>
        <w:t xml:space="preserve">u </w:t>
      </w:r>
      <w:r w:rsidR="009B7D13" w:rsidRPr="00A55BAF">
        <w:rPr>
          <w:rFonts w:ascii="Palatino Linotype" w:hAnsi="Palatino Linotype"/>
          <w:sz w:val="20"/>
          <w:szCs w:val="20"/>
        </w:rPr>
        <w:t>c</w:t>
      </w:r>
      <w:r w:rsidR="00E96447" w:rsidRPr="00A55BAF">
        <w:rPr>
          <w:rFonts w:ascii="Palatino Linotype" w:hAnsi="Palatino Linotype"/>
          <w:sz w:val="20"/>
          <w:szCs w:val="20"/>
        </w:rPr>
        <w:t>onstrucción, conforme al siguiente detalle:</w:t>
      </w:r>
    </w:p>
    <w:p w14:paraId="588EE82C" w14:textId="77777777" w:rsidR="006114B8" w:rsidRPr="00A55BAF" w:rsidRDefault="00496573" w:rsidP="00B537AC">
      <w:pPr>
        <w:ind w:left="705"/>
        <w:jc w:val="both"/>
        <w:rPr>
          <w:rFonts w:ascii="Palatino Linotype" w:hAnsi="Palatino Linotype"/>
          <w:i/>
          <w:sz w:val="20"/>
          <w:szCs w:val="20"/>
        </w:rPr>
      </w:pPr>
      <w:r w:rsidRPr="00A55BAF">
        <w:rPr>
          <w:rFonts w:ascii="Palatino Linotype" w:hAnsi="Palatino Linotype"/>
          <w:i/>
          <w:sz w:val="20"/>
          <w:szCs w:val="20"/>
        </w:rPr>
        <w:t>“</w:t>
      </w:r>
      <w:r w:rsidR="00B537AC" w:rsidRPr="00A55BAF">
        <w:rPr>
          <w:rFonts w:ascii="Palatino Linotype" w:hAnsi="Palatino Linotype"/>
          <w:i/>
          <w:sz w:val="20"/>
          <w:szCs w:val="20"/>
        </w:rPr>
        <w:t>Para la determinación del valor por ocupación temporal se tomará</w:t>
      </w:r>
      <w:r w:rsidR="00D04EA0">
        <w:rPr>
          <w:rFonts w:ascii="Palatino Linotype" w:hAnsi="Palatino Linotype"/>
          <w:i/>
          <w:sz w:val="20"/>
          <w:szCs w:val="20"/>
        </w:rPr>
        <w:t xml:space="preserve"> cuenta </w:t>
      </w:r>
      <w:r w:rsidR="00B537AC" w:rsidRPr="00A55BAF">
        <w:rPr>
          <w:rFonts w:ascii="Palatino Linotype" w:hAnsi="Palatino Linotype"/>
          <w:i/>
          <w:sz w:val="20"/>
          <w:szCs w:val="20"/>
        </w:rPr>
        <w:t>el avalúo que consta en el Catastro del Distrito Metropolitano de Quito, y con el cual se pagó el impuesto predial del año anterior a la ocupación del inmueble</w:t>
      </w:r>
      <w:r w:rsidR="006114B8" w:rsidRPr="00A55BAF">
        <w:rPr>
          <w:rFonts w:ascii="Palatino Linotype" w:hAnsi="Palatino Linotype"/>
          <w:i/>
          <w:sz w:val="20"/>
          <w:szCs w:val="20"/>
        </w:rPr>
        <w:t>,</w:t>
      </w:r>
      <w:r w:rsidR="00B537AC" w:rsidRPr="00A55BAF">
        <w:rPr>
          <w:rFonts w:ascii="Palatino Linotype" w:hAnsi="Palatino Linotype"/>
          <w:i/>
          <w:sz w:val="20"/>
          <w:szCs w:val="20"/>
        </w:rPr>
        <w:t xml:space="preserve"> </w:t>
      </w:r>
      <w:r w:rsidR="006114B8" w:rsidRPr="00A55BAF">
        <w:rPr>
          <w:rFonts w:ascii="Palatino Linotype" w:hAnsi="Palatino Linotype"/>
          <w:i/>
          <w:sz w:val="20"/>
          <w:szCs w:val="20"/>
        </w:rPr>
        <w:t>valor que no podrá exceder de la doceava parte del diez por ciento del avalúo</w:t>
      </w:r>
      <w:r w:rsidR="004B6C6D" w:rsidRPr="00A55BAF">
        <w:rPr>
          <w:rFonts w:ascii="Palatino Linotype" w:hAnsi="Palatino Linotype"/>
          <w:i/>
          <w:sz w:val="20"/>
          <w:szCs w:val="20"/>
        </w:rPr>
        <w:t>,</w:t>
      </w:r>
      <w:r w:rsidR="00B537AC" w:rsidRPr="00A55BAF">
        <w:rPr>
          <w:rFonts w:ascii="Palatino Linotype" w:hAnsi="Palatino Linotype"/>
          <w:i/>
          <w:sz w:val="20"/>
          <w:szCs w:val="20"/>
        </w:rPr>
        <w:t xml:space="preserve"> </w:t>
      </w:r>
      <w:r w:rsidR="006114B8" w:rsidRPr="00A55BAF">
        <w:rPr>
          <w:rFonts w:ascii="Palatino Linotype" w:hAnsi="Palatino Linotype"/>
          <w:i/>
          <w:sz w:val="20"/>
          <w:szCs w:val="20"/>
        </w:rPr>
        <w:t>dividiendo dicho valor para</w:t>
      </w:r>
      <w:r w:rsidR="00B537AC" w:rsidRPr="00A55BAF">
        <w:rPr>
          <w:rFonts w:ascii="Palatino Linotype" w:hAnsi="Palatino Linotype"/>
          <w:i/>
          <w:sz w:val="20"/>
          <w:szCs w:val="20"/>
        </w:rPr>
        <w:t xml:space="preserve"> 30 días, resultando un valor diario, el mismo que se multiplicará por el número de días de ocupación. </w:t>
      </w:r>
    </w:p>
    <w:p w14:paraId="7D6DD505" w14:textId="77777777" w:rsidR="006114B8" w:rsidRPr="00A55BAF" w:rsidRDefault="006114B8" w:rsidP="00B537AC">
      <w:pPr>
        <w:ind w:left="705"/>
        <w:jc w:val="both"/>
        <w:rPr>
          <w:rFonts w:ascii="Palatino Linotype" w:hAnsi="Palatino Linotype"/>
          <w:i/>
          <w:sz w:val="20"/>
          <w:szCs w:val="20"/>
        </w:rPr>
      </w:pPr>
      <w:r w:rsidRPr="00A55BAF">
        <w:rPr>
          <w:rFonts w:ascii="Palatino Linotype" w:hAnsi="Palatino Linotype"/>
          <w:i/>
          <w:sz w:val="20"/>
          <w:szCs w:val="20"/>
        </w:rPr>
        <w:t>Para el cálculo se aplicará la siguiente fórmula:</w:t>
      </w:r>
    </w:p>
    <w:p w14:paraId="79921660" w14:textId="77777777" w:rsidR="006114B8" w:rsidRPr="00A55BAF" w:rsidRDefault="00B537AC" w:rsidP="00496573">
      <w:pPr>
        <w:ind w:left="705"/>
        <w:jc w:val="center"/>
        <w:rPr>
          <w:rFonts w:ascii="Palatino Linotype" w:hAnsi="Palatino Linotype"/>
          <w:b/>
          <w:i/>
          <w:sz w:val="20"/>
          <w:szCs w:val="20"/>
        </w:rPr>
      </w:pPr>
      <w:r w:rsidRPr="00A55BAF">
        <w:rPr>
          <w:rFonts w:ascii="Palatino Linotype" w:hAnsi="Palatino Linotype"/>
          <w:b/>
          <w:i/>
          <w:sz w:val="20"/>
          <w:szCs w:val="20"/>
        </w:rPr>
        <w:lastRenderedPageBreak/>
        <w:t>P</w:t>
      </w:r>
      <w:r w:rsidR="00094669">
        <w:rPr>
          <w:rFonts w:ascii="Palatino Linotype" w:hAnsi="Palatino Linotype"/>
          <w:b/>
          <w:i/>
          <w:sz w:val="20"/>
          <w:szCs w:val="20"/>
        </w:rPr>
        <w:t>OT= (</w:t>
      </w:r>
      <w:proofErr w:type="gramStart"/>
      <w:r w:rsidR="00094669">
        <w:rPr>
          <w:rFonts w:ascii="Palatino Linotype" w:hAnsi="Palatino Linotype"/>
          <w:b/>
          <w:i/>
          <w:sz w:val="20"/>
          <w:szCs w:val="20"/>
        </w:rPr>
        <w:t>(( Av</w:t>
      </w:r>
      <w:proofErr w:type="gramEnd"/>
      <w:r w:rsidR="00094669">
        <w:rPr>
          <w:rFonts w:ascii="Palatino Linotype" w:hAnsi="Palatino Linotype"/>
          <w:b/>
          <w:i/>
          <w:sz w:val="20"/>
          <w:szCs w:val="20"/>
        </w:rPr>
        <w:t xml:space="preserve"> / 12 )0.1) / 30 *d)</w:t>
      </w:r>
    </w:p>
    <w:p w14:paraId="747160ED" w14:textId="77777777" w:rsidR="00496573" w:rsidRPr="00A55BAF" w:rsidRDefault="00B537AC" w:rsidP="00B537AC">
      <w:pPr>
        <w:ind w:left="705"/>
        <w:jc w:val="both"/>
        <w:rPr>
          <w:rFonts w:ascii="Palatino Linotype" w:hAnsi="Palatino Linotype"/>
          <w:i/>
          <w:sz w:val="20"/>
          <w:szCs w:val="20"/>
        </w:rPr>
      </w:pPr>
      <w:r w:rsidRPr="00A55BAF">
        <w:rPr>
          <w:rFonts w:ascii="Palatino Linotype" w:hAnsi="Palatino Linotype"/>
          <w:i/>
          <w:sz w:val="20"/>
          <w:szCs w:val="20"/>
        </w:rPr>
        <w:t>Siendo</w:t>
      </w:r>
      <w:r w:rsidR="00496573" w:rsidRPr="00A55BAF">
        <w:rPr>
          <w:rFonts w:ascii="Palatino Linotype" w:hAnsi="Palatino Linotype"/>
          <w:i/>
          <w:sz w:val="20"/>
          <w:szCs w:val="20"/>
        </w:rPr>
        <w:t>:</w:t>
      </w:r>
      <w:r w:rsidRPr="00A55BAF">
        <w:rPr>
          <w:rFonts w:ascii="Palatino Linotype" w:hAnsi="Palatino Linotype"/>
          <w:i/>
          <w:sz w:val="20"/>
          <w:szCs w:val="20"/>
        </w:rPr>
        <w:t xml:space="preserve"> </w:t>
      </w:r>
    </w:p>
    <w:p w14:paraId="3CA04E46" w14:textId="77777777" w:rsidR="006114B8" w:rsidRPr="00A55BAF" w:rsidRDefault="00B537AC" w:rsidP="00B537AC">
      <w:pPr>
        <w:ind w:left="705"/>
        <w:jc w:val="both"/>
        <w:rPr>
          <w:rFonts w:ascii="Palatino Linotype" w:hAnsi="Palatino Linotype"/>
          <w:i/>
          <w:sz w:val="20"/>
          <w:szCs w:val="20"/>
        </w:rPr>
      </w:pPr>
      <w:r w:rsidRPr="00A55BAF">
        <w:rPr>
          <w:rFonts w:ascii="Palatino Linotype" w:hAnsi="Palatino Linotype"/>
          <w:b/>
          <w:i/>
          <w:sz w:val="20"/>
          <w:szCs w:val="20"/>
        </w:rPr>
        <w:t>POT</w:t>
      </w:r>
      <w:r w:rsidRPr="00A55BAF">
        <w:rPr>
          <w:rFonts w:ascii="Palatino Linotype" w:hAnsi="Palatino Linotype"/>
          <w:i/>
          <w:sz w:val="20"/>
          <w:szCs w:val="20"/>
        </w:rPr>
        <w:t xml:space="preserve">: Pensión Ocupación temporal </w:t>
      </w:r>
    </w:p>
    <w:p w14:paraId="6CE795BD" w14:textId="77777777" w:rsidR="006114B8" w:rsidRPr="00A55BAF" w:rsidRDefault="00B537AC" w:rsidP="00B537AC">
      <w:pPr>
        <w:ind w:left="705"/>
        <w:jc w:val="both"/>
        <w:rPr>
          <w:rFonts w:ascii="Palatino Linotype" w:hAnsi="Palatino Linotype"/>
          <w:i/>
          <w:sz w:val="20"/>
          <w:szCs w:val="20"/>
        </w:rPr>
      </w:pPr>
      <w:r w:rsidRPr="00A55BAF">
        <w:rPr>
          <w:rFonts w:ascii="Palatino Linotype" w:hAnsi="Palatino Linotype"/>
          <w:b/>
          <w:i/>
          <w:sz w:val="20"/>
          <w:szCs w:val="20"/>
        </w:rPr>
        <w:t>Av:</w:t>
      </w:r>
      <w:r w:rsidRPr="00A55BAF">
        <w:rPr>
          <w:rFonts w:ascii="Palatino Linotype" w:hAnsi="Palatino Linotype"/>
          <w:i/>
          <w:sz w:val="20"/>
          <w:szCs w:val="20"/>
        </w:rPr>
        <w:t xml:space="preserve"> Avalúo catastral </w:t>
      </w:r>
    </w:p>
    <w:p w14:paraId="0B686A5A" w14:textId="77777777" w:rsidR="006114B8" w:rsidRDefault="00B537AC" w:rsidP="00B537AC">
      <w:pPr>
        <w:ind w:left="705"/>
        <w:jc w:val="both"/>
        <w:rPr>
          <w:rFonts w:ascii="Palatino Linotype" w:hAnsi="Palatino Linotype"/>
          <w:i/>
          <w:sz w:val="20"/>
          <w:szCs w:val="20"/>
        </w:rPr>
      </w:pPr>
      <w:r w:rsidRPr="00A55BAF">
        <w:rPr>
          <w:rFonts w:ascii="Palatino Linotype" w:hAnsi="Palatino Linotype"/>
          <w:b/>
          <w:i/>
          <w:sz w:val="20"/>
          <w:szCs w:val="20"/>
        </w:rPr>
        <w:t>d:</w:t>
      </w:r>
      <w:r w:rsidRPr="00A55BAF">
        <w:rPr>
          <w:rFonts w:ascii="Palatino Linotype" w:hAnsi="Palatino Linotype"/>
          <w:i/>
          <w:sz w:val="20"/>
          <w:szCs w:val="20"/>
        </w:rPr>
        <w:t xml:space="preserve"> Número de días ocupado </w:t>
      </w:r>
    </w:p>
    <w:p w14:paraId="3FC4A762" w14:textId="77777777" w:rsidR="00767F43" w:rsidRPr="00237BE6" w:rsidRDefault="00767F43" w:rsidP="00767F43">
      <w:pPr>
        <w:jc w:val="both"/>
        <w:rPr>
          <w:rFonts w:ascii="Palatino Linotype" w:hAnsi="Palatino Linotype"/>
          <w:sz w:val="20"/>
          <w:szCs w:val="20"/>
        </w:rPr>
      </w:pPr>
      <w:r w:rsidRPr="00237BE6">
        <w:rPr>
          <w:rFonts w:ascii="Palatino Linotype" w:hAnsi="Palatino Linotype"/>
          <w:sz w:val="20"/>
          <w:szCs w:val="20"/>
        </w:rPr>
        <w:t>Cuando la ocupación temporal no sea de la totalidad del predio se deberá realizar el cálculo de la parte equivalente del terreno y/o construcción, de acuerdo al avalúo establecido para los mismos, tomando de base los avalúos registrados en la cédula catastral informativa</w:t>
      </w:r>
      <w:r w:rsidR="00237BE6">
        <w:rPr>
          <w:rFonts w:ascii="Palatino Linotype" w:hAnsi="Palatino Linotype"/>
          <w:sz w:val="20"/>
          <w:szCs w:val="20"/>
        </w:rPr>
        <w:t>.</w:t>
      </w:r>
    </w:p>
    <w:p w14:paraId="76562647" w14:textId="77777777" w:rsidR="00D13ADE" w:rsidRDefault="000C61AB" w:rsidP="000C61AB">
      <w:pPr>
        <w:jc w:val="both"/>
        <w:rPr>
          <w:rFonts w:ascii="Palatino Linotype" w:hAnsi="Palatino Linotype"/>
          <w:b/>
          <w:sz w:val="20"/>
          <w:szCs w:val="20"/>
        </w:rPr>
      </w:pPr>
      <w:r w:rsidRPr="00E77BAC">
        <w:rPr>
          <w:rFonts w:ascii="Palatino Linotype" w:hAnsi="Palatino Linotype"/>
          <w:b/>
          <w:sz w:val="20"/>
          <w:szCs w:val="20"/>
        </w:rPr>
        <w:t>Artículo 2.-</w:t>
      </w:r>
      <w:r w:rsidRPr="00E77BAC">
        <w:rPr>
          <w:rFonts w:ascii="Palatino Linotype" w:hAnsi="Palatino Linotype"/>
          <w:i/>
          <w:sz w:val="20"/>
          <w:szCs w:val="20"/>
        </w:rPr>
        <w:t xml:space="preserve"> </w:t>
      </w:r>
      <w:r w:rsidRPr="00E77BAC">
        <w:rPr>
          <w:rFonts w:ascii="Palatino Linotype" w:hAnsi="Palatino Linotype"/>
          <w:sz w:val="20"/>
          <w:szCs w:val="20"/>
        </w:rPr>
        <w:t>Cuando las Empresas Públicas Metropolitanas, Administraciones Zonales u otra entidad competente del Distrito Metropolitano de Quito</w:t>
      </w:r>
      <w:r w:rsidR="0090121A">
        <w:rPr>
          <w:rFonts w:ascii="Palatino Linotype" w:hAnsi="Palatino Linotype"/>
          <w:sz w:val="20"/>
          <w:szCs w:val="20"/>
        </w:rPr>
        <w:t>,</w:t>
      </w:r>
      <w:r w:rsidRPr="00E77BAC">
        <w:rPr>
          <w:rFonts w:ascii="Palatino Linotype" w:hAnsi="Palatino Linotype"/>
          <w:sz w:val="20"/>
          <w:szCs w:val="20"/>
        </w:rPr>
        <w:t xml:space="preserve"> requiera</w:t>
      </w:r>
      <w:r w:rsidR="0090121A">
        <w:rPr>
          <w:rFonts w:ascii="Palatino Linotype" w:hAnsi="Palatino Linotype"/>
          <w:sz w:val="20"/>
          <w:szCs w:val="20"/>
        </w:rPr>
        <w:t>n</w:t>
      </w:r>
      <w:r w:rsidRPr="00E77BAC">
        <w:rPr>
          <w:rFonts w:ascii="Palatino Linotype" w:hAnsi="Palatino Linotype"/>
          <w:sz w:val="20"/>
          <w:szCs w:val="20"/>
        </w:rPr>
        <w:t xml:space="preserve"> ocupar </w:t>
      </w:r>
      <w:r w:rsidR="00E77BAC">
        <w:rPr>
          <w:rFonts w:ascii="Palatino Linotype" w:hAnsi="Palatino Linotype"/>
          <w:sz w:val="20"/>
          <w:szCs w:val="20"/>
        </w:rPr>
        <w:t xml:space="preserve">terrenos </w:t>
      </w:r>
      <w:r w:rsidRPr="00E77BAC">
        <w:rPr>
          <w:rFonts w:ascii="Palatino Linotype" w:hAnsi="Palatino Linotype"/>
          <w:sz w:val="20"/>
          <w:szCs w:val="20"/>
        </w:rPr>
        <w:t>en áreas que no correspondan a la obra pública, per</w:t>
      </w:r>
      <w:r w:rsidR="0090121A">
        <w:rPr>
          <w:rFonts w:ascii="Palatino Linotype" w:hAnsi="Palatino Linotype"/>
          <w:sz w:val="20"/>
          <w:szCs w:val="20"/>
        </w:rPr>
        <w:t>o necesarias para su desarrollo</w:t>
      </w:r>
      <w:r w:rsidRPr="00E77BAC">
        <w:rPr>
          <w:rFonts w:ascii="Palatino Linotype" w:hAnsi="Palatino Linotype"/>
          <w:sz w:val="20"/>
          <w:szCs w:val="20"/>
        </w:rPr>
        <w:t xml:space="preserve"> mientras dure su construcción, </w:t>
      </w:r>
      <w:r w:rsidR="009B71FF">
        <w:rPr>
          <w:rFonts w:ascii="Palatino Linotype" w:hAnsi="Palatino Linotype"/>
          <w:sz w:val="20"/>
          <w:szCs w:val="20"/>
        </w:rPr>
        <w:t>mediante informe técnico determinarán el inmueble y la superficie que requieren para la ocupación temporal.</w:t>
      </w:r>
      <w:r w:rsidR="002D608E" w:rsidRPr="0039185F">
        <w:rPr>
          <w:rFonts w:ascii="Palatino Linotype" w:hAnsi="Palatino Linotype"/>
          <w:b/>
          <w:sz w:val="20"/>
          <w:szCs w:val="20"/>
        </w:rPr>
        <w:t xml:space="preserve"> </w:t>
      </w:r>
    </w:p>
    <w:p w14:paraId="62075D2A" w14:textId="77777777" w:rsidR="00AC5FBD" w:rsidRDefault="00484401" w:rsidP="000C61AB">
      <w:pPr>
        <w:jc w:val="both"/>
        <w:rPr>
          <w:rFonts w:ascii="Palatino Linotype" w:hAnsi="Palatino Linotype"/>
          <w:sz w:val="20"/>
          <w:szCs w:val="20"/>
        </w:rPr>
      </w:pPr>
      <w:r w:rsidRPr="0039185F">
        <w:rPr>
          <w:rFonts w:ascii="Palatino Linotype" w:hAnsi="Palatino Linotype"/>
          <w:b/>
          <w:sz w:val="20"/>
          <w:szCs w:val="20"/>
        </w:rPr>
        <w:t xml:space="preserve">Artículo 3.- </w:t>
      </w:r>
      <w:r w:rsidRPr="0039185F">
        <w:rPr>
          <w:rFonts w:ascii="Palatino Linotype" w:hAnsi="Palatino Linotype"/>
          <w:sz w:val="20"/>
          <w:szCs w:val="20"/>
        </w:rPr>
        <w:t>La Secretaria de Territorio, Háb</w:t>
      </w:r>
      <w:r w:rsidR="0039185F" w:rsidRPr="0039185F">
        <w:rPr>
          <w:rFonts w:ascii="Palatino Linotype" w:hAnsi="Palatino Linotype"/>
          <w:sz w:val="20"/>
          <w:szCs w:val="20"/>
        </w:rPr>
        <w:t>i</w:t>
      </w:r>
      <w:r w:rsidRPr="0039185F">
        <w:rPr>
          <w:rFonts w:ascii="Palatino Linotype" w:hAnsi="Palatino Linotype"/>
          <w:sz w:val="20"/>
          <w:szCs w:val="20"/>
        </w:rPr>
        <w:t>tat y Vivienda</w:t>
      </w:r>
      <w:r w:rsidR="0039185F" w:rsidRPr="0039185F">
        <w:rPr>
          <w:rFonts w:ascii="Palatino Linotype" w:hAnsi="Palatino Linotype"/>
          <w:sz w:val="20"/>
          <w:szCs w:val="20"/>
        </w:rPr>
        <w:t xml:space="preserve"> a través de la Dirección Metropolitana de Catastro</w:t>
      </w:r>
      <w:r w:rsidR="00237BE6">
        <w:rPr>
          <w:rFonts w:ascii="Palatino Linotype" w:hAnsi="Palatino Linotype"/>
          <w:sz w:val="20"/>
          <w:szCs w:val="20"/>
        </w:rPr>
        <w:t>,</w:t>
      </w:r>
      <w:r w:rsidR="0039185F" w:rsidRPr="0039185F">
        <w:rPr>
          <w:rFonts w:ascii="Palatino Linotype" w:hAnsi="Palatino Linotype"/>
          <w:sz w:val="20"/>
          <w:szCs w:val="20"/>
        </w:rPr>
        <w:t xml:space="preserve"> emitirá la fi</w:t>
      </w:r>
      <w:r w:rsidR="00237BE6">
        <w:rPr>
          <w:rFonts w:ascii="Palatino Linotype" w:hAnsi="Palatino Linotype"/>
          <w:sz w:val="20"/>
          <w:szCs w:val="20"/>
        </w:rPr>
        <w:t>cha valorativa de los inmuebles</w:t>
      </w:r>
      <w:r w:rsidR="0039185F" w:rsidRPr="0039185F">
        <w:rPr>
          <w:rFonts w:ascii="Palatino Linotype" w:hAnsi="Palatino Linotype"/>
          <w:sz w:val="20"/>
          <w:szCs w:val="20"/>
        </w:rPr>
        <w:t xml:space="preserve"> </w:t>
      </w:r>
      <w:r w:rsidR="007F3DE2">
        <w:rPr>
          <w:rFonts w:ascii="Palatino Linotype" w:hAnsi="Palatino Linotype"/>
          <w:sz w:val="20"/>
          <w:szCs w:val="20"/>
        </w:rPr>
        <w:t xml:space="preserve">conforme a lo establecido en el artículo primero de esta resolución, </w:t>
      </w:r>
      <w:r w:rsidR="0039185F" w:rsidRPr="0039185F">
        <w:rPr>
          <w:rFonts w:ascii="Palatino Linotype" w:hAnsi="Palatino Linotype"/>
          <w:sz w:val="20"/>
          <w:szCs w:val="20"/>
        </w:rPr>
        <w:t>en base de la cual los órganos requirentes calcularán el valor de indemnización por la ocupación temporal del terreno.</w:t>
      </w:r>
    </w:p>
    <w:p w14:paraId="4F8DF956" w14:textId="77777777" w:rsidR="00484401" w:rsidRDefault="00AC5FBD" w:rsidP="000C61AB">
      <w:pPr>
        <w:jc w:val="both"/>
        <w:rPr>
          <w:rFonts w:ascii="Palatino Linotype" w:hAnsi="Palatino Linotype"/>
          <w:sz w:val="20"/>
          <w:szCs w:val="20"/>
        </w:rPr>
      </w:pPr>
      <w:r>
        <w:rPr>
          <w:rFonts w:ascii="Palatino Linotype" w:hAnsi="Palatino Linotype"/>
          <w:sz w:val="20"/>
          <w:szCs w:val="20"/>
        </w:rPr>
        <w:t xml:space="preserve">La Dirección Metropolitana de Catastro en el término de </w:t>
      </w:r>
      <w:r w:rsidR="00094669">
        <w:rPr>
          <w:rFonts w:ascii="Palatino Linotype" w:hAnsi="Palatino Linotype"/>
          <w:sz w:val="20"/>
          <w:szCs w:val="20"/>
        </w:rPr>
        <w:t>cinco</w:t>
      </w:r>
      <w:r>
        <w:rPr>
          <w:rFonts w:ascii="Palatino Linotype" w:hAnsi="Palatino Linotype"/>
          <w:sz w:val="20"/>
          <w:szCs w:val="20"/>
        </w:rPr>
        <w:t xml:space="preserve"> días de recibida la solicitud por parte del órgano </w:t>
      </w:r>
      <w:r w:rsidR="00D731D9">
        <w:rPr>
          <w:rFonts w:ascii="Palatino Linotype" w:hAnsi="Palatino Linotype"/>
          <w:sz w:val="20"/>
          <w:szCs w:val="20"/>
        </w:rPr>
        <w:t>requirente</w:t>
      </w:r>
      <w:r w:rsidR="00094669">
        <w:rPr>
          <w:rFonts w:ascii="Palatino Linotype" w:hAnsi="Palatino Linotype"/>
          <w:sz w:val="20"/>
          <w:szCs w:val="20"/>
        </w:rPr>
        <w:t>,</w:t>
      </w:r>
      <w:r w:rsidR="00D731D9">
        <w:rPr>
          <w:rFonts w:ascii="Palatino Linotype" w:hAnsi="Palatino Linotype"/>
          <w:sz w:val="20"/>
          <w:szCs w:val="20"/>
        </w:rPr>
        <w:t xml:space="preserve"> emitirá</w:t>
      </w:r>
      <w:r>
        <w:rPr>
          <w:rFonts w:ascii="Palatino Linotype" w:hAnsi="Palatino Linotype"/>
          <w:sz w:val="20"/>
          <w:szCs w:val="20"/>
        </w:rPr>
        <w:t xml:space="preserve"> la ficha valorativa correspondiente.</w:t>
      </w:r>
    </w:p>
    <w:p w14:paraId="14A3335C" w14:textId="77777777" w:rsidR="009B71FF" w:rsidRDefault="009B71FF" w:rsidP="009B71FF">
      <w:pPr>
        <w:jc w:val="both"/>
        <w:rPr>
          <w:rFonts w:ascii="Palatino Linotype" w:hAnsi="Palatino Linotype"/>
          <w:sz w:val="20"/>
          <w:szCs w:val="20"/>
        </w:rPr>
      </w:pPr>
      <w:r w:rsidRPr="00AE024F">
        <w:rPr>
          <w:rFonts w:ascii="Palatino Linotype" w:hAnsi="Palatino Linotype"/>
          <w:b/>
          <w:sz w:val="20"/>
          <w:szCs w:val="20"/>
        </w:rPr>
        <w:t>Artículo 4.-</w:t>
      </w:r>
      <w:r>
        <w:rPr>
          <w:rFonts w:ascii="Palatino Linotype" w:hAnsi="Palatino Linotype"/>
          <w:sz w:val="20"/>
          <w:szCs w:val="20"/>
        </w:rPr>
        <w:t xml:space="preserve"> Los órganos requirentes suscribirán un convenio con el propietario del inmueble</w:t>
      </w:r>
      <w:r w:rsidRPr="00E77BAC">
        <w:rPr>
          <w:rFonts w:ascii="Palatino Linotype" w:hAnsi="Palatino Linotype"/>
          <w:sz w:val="20"/>
          <w:szCs w:val="20"/>
        </w:rPr>
        <w:t>,</w:t>
      </w:r>
      <w:r>
        <w:rPr>
          <w:rFonts w:ascii="Palatino Linotype" w:hAnsi="Palatino Linotype"/>
          <w:sz w:val="20"/>
          <w:szCs w:val="20"/>
        </w:rPr>
        <w:t xml:space="preserve"> instrumento en el cual se hará constar </w:t>
      </w:r>
      <w:r w:rsidRPr="00E77BAC">
        <w:rPr>
          <w:rFonts w:ascii="Palatino Linotype" w:hAnsi="Palatino Linotype"/>
          <w:sz w:val="20"/>
          <w:szCs w:val="20"/>
        </w:rPr>
        <w:t>el monto de la</w:t>
      </w:r>
      <w:r w:rsidRPr="00A55BAF">
        <w:rPr>
          <w:rFonts w:ascii="Palatino Linotype" w:hAnsi="Palatino Linotype"/>
          <w:sz w:val="20"/>
          <w:szCs w:val="20"/>
        </w:rPr>
        <w:t xml:space="preserve"> indemnización a pagar</w:t>
      </w:r>
      <w:r>
        <w:rPr>
          <w:rFonts w:ascii="Palatino Linotype" w:hAnsi="Palatino Linotype"/>
          <w:sz w:val="20"/>
          <w:szCs w:val="20"/>
        </w:rPr>
        <w:t xml:space="preserve"> </w:t>
      </w:r>
      <w:r w:rsidR="002D608E">
        <w:rPr>
          <w:rFonts w:ascii="Palatino Linotype" w:hAnsi="Palatino Linotype"/>
          <w:sz w:val="20"/>
          <w:szCs w:val="20"/>
        </w:rPr>
        <w:t xml:space="preserve">por la ocupación temporal, </w:t>
      </w:r>
      <w:r>
        <w:rPr>
          <w:rFonts w:ascii="Palatino Linotype" w:hAnsi="Palatino Linotype"/>
          <w:sz w:val="20"/>
          <w:szCs w:val="20"/>
        </w:rPr>
        <w:t>conforme a la metodología que se aprueba en esta resolución.</w:t>
      </w:r>
    </w:p>
    <w:p w14:paraId="53F5FF1A" w14:textId="77777777" w:rsidR="000C61AB" w:rsidRDefault="00A55BAF" w:rsidP="000C61AB">
      <w:pPr>
        <w:jc w:val="both"/>
        <w:rPr>
          <w:rFonts w:ascii="Palatino Linotype" w:hAnsi="Palatino Linotype"/>
          <w:sz w:val="20"/>
          <w:szCs w:val="20"/>
        </w:rPr>
      </w:pPr>
      <w:r w:rsidRPr="0039185F">
        <w:rPr>
          <w:rFonts w:ascii="Palatino Linotype" w:hAnsi="Palatino Linotype"/>
          <w:b/>
          <w:sz w:val="20"/>
          <w:szCs w:val="20"/>
        </w:rPr>
        <w:t xml:space="preserve">Disposición </w:t>
      </w:r>
      <w:r w:rsidR="0039185F" w:rsidRPr="0039185F">
        <w:rPr>
          <w:rFonts w:ascii="Palatino Linotype" w:hAnsi="Palatino Linotype"/>
          <w:b/>
          <w:sz w:val="20"/>
          <w:szCs w:val="20"/>
        </w:rPr>
        <w:t>General.-</w:t>
      </w:r>
      <w:r w:rsidRPr="0039185F">
        <w:rPr>
          <w:rFonts w:ascii="Palatino Linotype" w:hAnsi="Palatino Linotype"/>
          <w:sz w:val="20"/>
          <w:szCs w:val="20"/>
        </w:rPr>
        <w:t xml:space="preserve"> </w:t>
      </w:r>
      <w:r w:rsidR="008C2A37" w:rsidRPr="0039185F">
        <w:rPr>
          <w:rFonts w:ascii="Palatino Linotype" w:hAnsi="Palatino Linotype"/>
          <w:sz w:val="20"/>
          <w:szCs w:val="20"/>
        </w:rPr>
        <w:t>De la aplicación de esta metodología encárguese a la Administración General, a las Empresas Públicas Metropolitanas</w:t>
      </w:r>
      <w:r w:rsidR="008E2B15">
        <w:rPr>
          <w:rFonts w:ascii="Palatino Linotype" w:hAnsi="Palatino Linotype"/>
          <w:sz w:val="20"/>
          <w:szCs w:val="20"/>
        </w:rPr>
        <w:t>, a la Secretaria de Territorio, Hábitat y Vivienda</w:t>
      </w:r>
      <w:r w:rsidR="008C2A37" w:rsidRPr="0039185F">
        <w:rPr>
          <w:rFonts w:ascii="Palatino Linotype" w:hAnsi="Palatino Linotype"/>
          <w:sz w:val="20"/>
          <w:szCs w:val="20"/>
        </w:rPr>
        <w:t>; y, a las Administraciones Zonales del Distrito Metropolitano de Quito.</w:t>
      </w:r>
    </w:p>
    <w:p w14:paraId="1F486881" w14:textId="77777777" w:rsidR="003F000F" w:rsidRPr="00237BE6" w:rsidRDefault="003F000F" w:rsidP="003F000F">
      <w:pPr>
        <w:jc w:val="both"/>
        <w:rPr>
          <w:rFonts w:ascii="Palatino Linotype" w:hAnsi="Palatino Linotype"/>
          <w:sz w:val="20"/>
          <w:szCs w:val="20"/>
        </w:rPr>
      </w:pPr>
      <w:r w:rsidRPr="00660134">
        <w:rPr>
          <w:rFonts w:ascii="Palatino Linotype" w:hAnsi="Palatino Linotype"/>
          <w:b/>
        </w:rPr>
        <w:t>Disposición Final</w:t>
      </w:r>
      <w:r>
        <w:rPr>
          <w:rFonts w:ascii="Palatino Linotype" w:hAnsi="Palatino Linotype"/>
          <w:b/>
        </w:rPr>
        <w:t>. -</w:t>
      </w:r>
      <w:r w:rsidRPr="00660134">
        <w:rPr>
          <w:rFonts w:ascii="Palatino Linotype" w:hAnsi="Palatino Linotype"/>
        </w:rPr>
        <w:t xml:space="preserve"> </w:t>
      </w:r>
      <w:r w:rsidRPr="00237BE6">
        <w:rPr>
          <w:rFonts w:ascii="Palatino Linotype" w:hAnsi="Palatino Linotype"/>
          <w:sz w:val="20"/>
          <w:szCs w:val="20"/>
        </w:rPr>
        <w:t xml:space="preserve">La presente resolución entrará en vigor a partir de la fecha de su aprobación, sin perjuicio de su publicación en el Registro Oficial, en la Gaceta Municipal y en la página web del Municipio del Distrito Metropolitano de Quito. </w:t>
      </w:r>
    </w:p>
    <w:p w14:paraId="37DDF175" w14:textId="77777777" w:rsidR="003F000F" w:rsidRPr="0039185F" w:rsidRDefault="003F000F" w:rsidP="000C61AB">
      <w:pPr>
        <w:jc w:val="both"/>
        <w:rPr>
          <w:rFonts w:ascii="Palatino Linotype" w:hAnsi="Palatino Linotype"/>
          <w:sz w:val="20"/>
          <w:szCs w:val="20"/>
        </w:rPr>
      </w:pPr>
    </w:p>
    <w:p w14:paraId="5884F21D" w14:textId="77777777" w:rsidR="00496573" w:rsidRPr="0039185F" w:rsidRDefault="00496573" w:rsidP="00B537AC">
      <w:pPr>
        <w:ind w:left="705"/>
        <w:jc w:val="both"/>
        <w:rPr>
          <w:rFonts w:ascii="Palatino Linotype" w:hAnsi="Palatino Linotype"/>
          <w:sz w:val="20"/>
          <w:szCs w:val="20"/>
        </w:rPr>
      </w:pPr>
    </w:p>
    <w:p w14:paraId="7F492FDA" w14:textId="77777777" w:rsidR="00496573" w:rsidRPr="00A55BAF" w:rsidRDefault="00496573" w:rsidP="00B537AC">
      <w:pPr>
        <w:ind w:left="705"/>
        <w:jc w:val="both"/>
        <w:rPr>
          <w:rFonts w:ascii="Palatino Linotype" w:hAnsi="Palatino Linotype"/>
          <w:sz w:val="20"/>
          <w:szCs w:val="20"/>
        </w:rPr>
      </w:pPr>
    </w:p>
    <w:p w14:paraId="35BDBEEC" w14:textId="77777777" w:rsidR="00496573" w:rsidRPr="00A55BAF" w:rsidRDefault="00496573" w:rsidP="00B537AC">
      <w:pPr>
        <w:ind w:left="705"/>
        <w:jc w:val="both"/>
        <w:rPr>
          <w:rFonts w:ascii="Palatino Linotype" w:hAnsi="Palatino Linotype"/>
          <w:sz w:val="20"/>
          <w:szCs w:val="20"/>
        </w:rPr>
      </w:pPr>
    </w:p>
    <w:p w14:paraId="4B523FF9" w14:textId="77777777" w:rsidR="00496573" w:rsidRPr="00A55BAF" w:rsidRDefault="00496573" w:rsidP="00B537AC">
      <w:pPr>
        <w:ind w:left="705"/>
        <w:jc w:val="both"/>
        <w:rPr>
          <w:rFonts w:ascii="Palatino Linotype" w:hAnsi="Palatino Linotype"/>
          <w:sz w:val="20"/>
          <w:szCs w:val="20"/>
        </w:rPr>
      </w:pPr>
    </w:p>
    <w:p w14:paraId="2D6CFDF0" w14:textId="77777777" w:rsidR="00496573" w:rsidRPr="00A55BAF" w:rsidRDefault="00496573" w:rsidP="00B537AC">
      <w:pPr>
        <w:ind w:left="705"/>
        <w:jc w:val="both"/>
        <w:rPr>
          <w:rFonts w:ascii="Palatino Linotype" w:hAnsi="Palatino Linotype"/>
          <w:sz w:val="20"/>
          <w:szCs w:val="20"/>
        </w:rPr>
      </w:pPr>
    </w:p>
    <w:p w14:paraId="4956A8CB" w14:textId="77777777" w:rsidR="00496573" w:rsidRPr="00A55BAF" w:rsidRDefault="00496573" w:rsidP="00B537AC">
      <w:pPr>
        <w:ind w:left="705"/>
        <w:jc w:val="both"/>
        <w:rPr>
          <w:rFonts w:ascii="Palatino Linotype" w:hAnsi="Palatino Linotype"/>
          <w:sz w:val="20"/>
          <w:szCs w:val="20"/>
        </w:rPr>
      </w:pPr>
    </w:p>
    <w:p w14:paraId="1C964DF6" w14:textId="77777777" w:rsidR="00496573" w:rsidRPr="00A55BAF" w:rsidRDefault="00496573" w:rsidP="00B537AC">
      <w:pPr>
        <w:ind w:left="705"/>
        <w:jc w:val="both"/>
        <w:rPr>
          <w:rFonts w:ascii="Palatino Linotype" w:hAnsi="Palatino Linotype"/>
          <w:sz w:val="20"/>
          <w:szCs w:val="20"/>
        </w:rPr>
      </w:pPr>
    </w:p>
    <w:p w14:paraId="4D39A484" w14:textId="77777777" w:rsidR="00496573" w:rsidRPr="00A55BAF" w:rsidRDefault="00496573" w:rsidP="00496573">
      <w:pPr>
        <w:ind w:firstLine="705"/>
        <w:jc w:val="both"/>
        <w:rPr>
          <w:rFonts w:ascii="Palatino Linotype" w:hAnsi="Palatino Linotype"/>
          <w:sz w:val="20"/>
          <w:szCs w:val="20"/>
        </w:rPr>
      </w:pPr>
    </w:p>
    <w:sectPr w:rsidR="00496573" w:rsidRPr="00A55BAF" w:rsidSect="00381408">
      <w:pgSz w:w="11906" w:h="16838"/>
      <w:pgMar w:top="1417" w:right="170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4F"/>
    <w:rsid w:val="00056E81"/>
    <w:rsid w:val="00070F65"/>
    <w:rsid w:val="00075FBE"/>
    <w:rsid w:val="00094669"/>
    <w:rsid w:val="000C5E7E"/>
    <w:rsid w:val="000C61AB"/>
    <w:rsid w:val="00160AB9"/>
    <w:rsid w:val="001B00B9"/>
    <w:rsid w:val="00223B70"/>
    <w:rsid w:val="00232F80"/>
    <w:rsid w:val="00237BE6"/>
    <w:rsid w:val="00245DF6"/>
    <w:rsid w:val="00253F64"/>
    <w:rsid w:val="002D04F8"/>
    <w:rsid w:val="002D608E"/>
    <w:rsid w:val="00330B03"/>
    <w:rsid w:val="00375141"/>
    <w:rsid w:val="00381408"/>
    <w:rsid w:val="0039185F"/>
    <w:rsid w:val="003F000F"/>
    <w:rsid w:val="0047568D"/>
    <w:rsid w:val="00484401"/>
    <w:rsid w:val="00496573"/>
    <w:rsid w:val="004A0CAC"/>
    <w:rsid w:val="004B6C6D"/>
    <w:rsid w:val="004D2B1D"/>
    <w:rsid w:val="004F3B47"/>
    <w:rsid w:val="00535AD4"/>
    <w:rsid w:val="006114B8"/>
    <w:rsid w:val="006D719B"/>
    <w:rsid w:val="00720EE6"/>
    <w:rsid w:val="00762978"/>
    <w:rsid w:val="00767F43"/>
    <w:rsid w:val="007F3DE2"/>
    <w:rsid w:val="008C2A37"/>
    <w:rsid w:val="008E2B15"/>
    <w:rsid w:val="0090121A"/>
    <w:rsid w:val="00936680"/>
    <w:rsid w:val="009B71FF"/>
    <w:rsid w:val="009B7D13"/>
    <w:rsid w:val="009C3301"/>
    <w:rsid w:val="00A5451D"/>
    <w:rsid w:val="00A55BAF"/>
    <w:rsid w:val="00A801F7"/>
    <w:rsid w:val="00AB5244"/>
    <w:rsid w:val="00AC5FBD"/>
    <w:rsid w:val="00AD4453"/>
    <w:rsid w:val="00AE024F"/>
    <w:rsid w:val="00AE23E7"/>
    <w:rsid w:val="00B537AC"/>
    <w:rsid w:val="00B75E61"/>
    <w:rsid w:val="00BA3652"/>
    <w:rsid w:val="00BB030B"/>
    <w:rsid w:val="00C34455"/>
    <w:rsid w:val="00CE594F"/>
    <w:rsid w:val="00CF5A49"/>
    <w:rsid w:val="00D04EA0"/>
    <w:rsid w:val="00D13ADE"/>
    <w:rsid w:val="00D4250A"/>
    <w:rsid w:val="00D731D9"/>
    <w:rsid w:val="00E77BAC"/>
    <w:rsid w:val="00E96447"/>
    <w:rsid w:val="00ED17AE"/>
    <w:rsid w:val="00F72F41"/>
    <w:rsid w:val="00F839EA"/>
    <w:rsid w:val="00FC65C1"/>
    <w:rsid w:val="00FD0B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808B"/>
  <w15:docId w15:val="{9111EB1A-31CB-43BD-BCEE-DD36EA75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6495-7C8E-45AC-BBCD-83E1AEC2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1854</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Anibal Munoz Barrezueta</dc:creator>
  <cp:lastModifiedBy>Monina</cp:lastModifiedBy>
  <cp:revision>6</cp:revision>
  <dcterms:created xsi:type="dcterms:W3CDTF">2021-12-22T20:06:00Z</dcterms:created>
  <dcterms:modified xsi:type="dcterms:W3CDTF">2022-02-03T16:26:00Z</dcterms:modified>
</cp:coreProperties>
</file>