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jc w:val="center"/>
        <w:rPr>
          <w:rFonts w:hint="default" w:ascii="Times New Roman" w:hAnsi="Times New Roman" w:cs="Times New Roman"/>
          <w:b/>
          <w:bCs/>
          <w:color w:val="auto"/>
          <w:sz w:val="24"/>
          <w:szCs w:val="24"/>
        </w:rPr>
      </w:pPr>
    </w:p>
    <w:p>
      <w:pPr>
        <w:spacing w:line="240" w:lineRule="auto"/>
        <w:jc w:val="center"/>
        <w:rPr>
          <w:rFonts w:hint="default" w:ascii="Times New Roman" w:hAnsi="Times New Roman" w:cs="Times New Roman"/>
          <w:b/>
          <w:bCs/>
          <w:color w:val="auto"/>
          <w:sz w:val="24"/>
          <w:szCs w:val="24"/>
        </w:rPr>
      </w:pPr>
      <w:r>
        <w:rPr>
          <w:rFonts w:hint="default" w:ascii="Times New Roman" w:hAnsi="Times New Roman" w:cs="Times New Roman"/>
          <w:b/>
          <w:bCs/>
          <w:color w:val="auto"/>
          <w:sz w:val="24"/>
          <w:szCs w:val="24"/>
        </w:rPr>
        <w:t>RESOLUCIÓN No.</w:t>
      </w:r>
      <w:r>
        <w:rPr>
          <w:rFonts w:hint="default" w:ascii="Times New Roman" w:hAnsi="Times New Roman" w:cs="Times New Roman"/>
          <w:b/>
          <w:bCs/>
          <w:color w:val="auto"/>
          <w:sz w:val="24"/>
          <w:szCs w:val="24"/>
          <w:lang w:val="es-EC"/>
        </w:rPr>
        <w:t xml:space="preserve"> C XXX-2022</w:t>
      </w:r>
    </w:p>
    <w:p>
      <w:pPr>
        <w:spacing w:line="240" w:lineRule="auto"/>
        <w:jc w:val="center"/>
        <w:rPr>
          <w:rFonts w:hint="default" w:ascii="Times New Roman" w:hAnsi="Times New Roman" w:cs="Times New Roman"/>
          <w:b/>
          <w:bCs/>
          <w:color w:val="auto"/>
          <w:sz w:val="24"/>
          <w:szCs w:val="24"/>
        </w:rPr>
      </w:pPr>
      <w:r>
        <w:rPr>
          <w:rFonts w:hint="default" w:ascii="Times New Roman" w:hAnsi="Times New Roman" w:cs="Times New Roman"/>
          <w:b/>
          <w:bCs/>
          <w:color w:val="auto"/>
          <w:sz w:val="24"/>
          <w:szCs w:val="24"/>
        </w:rPr>
        <w:t>EL CONCEJO METROPOLITANO DE QUITO</w:t>
      </w:r>
    </w:p>
    <w:p>
      <w:pPr>
        <w:spacing w:line="240" w:lineRule="auto"/>
        <w:jc w:val="center"/>
        <w:rPr>
          <w:rFonts w:hint="default" w:ascii="Times New Roman" w:hAnsi="Times New Roman" w:cs="Times New Roman"/>
          <w:b/>
          <w:bCs/>
          <w:color w:val="auto"/>
          <w:sz w:val="24"/>
          <w:szCs w:val="24"/>
        </w:rPr>
      </w:pPr>
      <w:r>
        <w:rPr>
          <w:rFonts w:hint="default" w:ascii="Times New Roman" w:hAnsi="Times New Roman" w:cs="Times New Roman"/>
          <w:b/>
          <w:bCs/>
          <w:color w:val="auto"/>
          <w:sz w:val="24"/>
          <w:szCs w:val="24"/>
        </w:rPr>
        <w:t>CONSIDERANDO</w:t>
      </w:r>
      <w:r>
        <w:rPr>
          <w:rFonts w:hint="default" w:ascii="Times New Roman" w:hAnsi="Times New Roman" w:cs="Times New Roman"/>
          <w:b/>
          <w:bCs/>
          <w:color w:val="auto"/>
          <w:sz w:val="24"/>
          <w:szCs w:val="24"/>
          <w:lang w:val="es-EC"/>
        </w:rPr>
        <w:t xml:space="preserve">: </w:t>
      </w:r>
    </w:p>
    <w:p>
      <w:pPr>
        <w:autoSpaceDE w:val="0"/>
        <w:autoSpaceDN w:val="0"/>
        <w:adjustRightInd w:val="0"/>
        <w:spacing w:line="240" w:lineRule="auto"/>
        <w:ind w:left="705" w:hanging="705"/>
        <w:jc w:val="both"/>
        <w:rPr>
          <w:rFonts w:hint="default" w:ascii="Times New Roman" w:hAnsi="Times New Roman" w:cs="Times New Roman"/>
          <w:color w:val="auto"/>
          <w:sz w:val="24"/>
          <w:szCs w:val="24"/>
          <w:lang w:val="es-EC" w:eastAsia="es-EC"/>
        </w:rPr>
      </w:pPr>
      <w:r>
        <w:rPr>
          <w:rFonts w:hint="default" w:ascii="Times New Roman" w:hAnsi="Times New Roman" w:cs="Times New Roman"/>
          <w:b/>
          <w:bCs/>
          <w:color w:val="auto"/>
          <w:sz w:val="24"/>
          <w:szCs w:val="24"/>
          <w:lang w:val="es-EC" w:eastAsia="es-EC"/>
        </w:rPr>
        <w:t xml:space="preserve">Que, </w:t>
      </w:r>
      <w:r>
        <w:rPr>
          <w:rFonts w:hint="default" w:ascii="Times New Roman" w:hAnsi="Times New Roman" w:cs="Times New Roman"/>
          <w:color w:val="auto"/>
          <w:sz w:val="24"/>
          <w:szCs w:val="24"/>
          <w:lang w:val="es-EC" w:eastAsia="es-EC"/>
        </w:rPr>
        <w:tab/>
      </w:r>
      <w:r>
        <w:rPr>
          <w:rFonts w:hint="default" w:ascii="Times New Roman" w:hAnsi="Times New Roman" w:cs="Times New Roman"/>
          <w:color w:val="auto"/>
          <w:sz w:val="24"/>
          <w:szCs w:val="24"/>
          <w:lang w:val="es-EC" w:eastAsia="es-EC"/>
        </w:rPr>
        <w:t xml:space="preserve">el </w:t>
      </w:r>
      <w:r>
        <w:rPr>
          <w:rFonts w:hint="default" w:ascii="Times New Roman" w:hAnsi="Times New Roman" w:cs="Times New Roman"/>
          <w:color w:val="auto"/>
          <w:sz w:val="24"/>
          <w:szCs w:val="24"/>
          <w:lang w:val="es-EC" w:eastAsia="es-EC"/>
        </w:rPr>
        <w:t>art</w:t>
      </w:r>
      <w:r>
        <w:rPr>
          <w:rFonts w:hint="default" w:ascii="Times New Roman" w:hAnsi="Times New Roman" w:cs="Times New Roman"/>
          <w:color w:val="auto"/>
          <w:sz w:val="24"/>
          <w:szCs w:val="24"/>
          <w:lang w:val="en-US" w:eastAsia="es-EC"/>
        </w:rPr>
        <w:t>ículo</w:t>
      </w:r>
      <w:r>
        <w:rPr>
          <w:rFonts w:hint="default" w:ascii="Times New Roman" w:hAnsi="Times New Roman" w:cs="Times New Roman"/>
          <w:color w:val="auto"/>
          <w:sz w:val="24"/>
          <w:szCs w:val="24"/>
          <w:lang w:val="es-EC" w:eastAsia="es-EC"/>
        </w:rPr>
        <w:t xml:space="preserve"> 190 de la </w:t>
      </w:r>
      <w:r>
        <w:rPr>
          <w:rFonts w:hint="default" w:ascii="Times New Roman" w:hAnsi="Times New Roman" w:cs="Times New Roman"/>
          <w:color w:val="auto"/>
          <w:sz w:val="24"/>
          <w:szCs w:val="24"/>
          <w:lang w:val="es-EC"/>
        </w:rPr>
        <w:t>Constitución de la República del Ecuador</w:t>
      </w:r>
      <w:r>
        <w:rPr>
          <w:rFonts w:hint="default" w:ascii="Times New Roman" w:hAnsi="Times New Roman" w:cs="Times New Roman"/>
          <w:color w:val="auto"/>
          <w:sz w:val="24"/>
          <w:szCs w:val="24"/>
          <w:lang w:val="es-EC"/>
        </w:rPr>
        <w:t xml:space="preserve">, en adelante “Constitución”, </w:t>
      </w:r>
      <w:r>
        <w:rPr>
          <w:rFonts w:hint="default" w:ascii="Times New Roman" w:hAnsi="Times New Roman" w:cs="Times New Roman"/>
          <w:bCs/>
          <w:color w:val="auto"/>
          <w:sz w:val="24"/>
          <w:szCs w:val="24"/>
        </w:rPr>
        <w:t>establece:</w:t>
      </w:r>
      <w:r>
        <w:rPr>
          <w:rFonts w:hint="default" w:ascii="Times New Roman" w:hAnsi="Times New Roman" w:cs="Times New Roman"/>
          <w:color w:val="auto"/>
          <w:sz w:val="24"/>
          <w:szCs w:val="24"/>
          <w:lang w:val="es-EC" w:eastAsia="es-EC"/>
        </w:rPr>
        <w:t xml:space="preserve"> </w:t>
      </w:r>
      <w:r>
        <w:rPr>
          <w:rFonts w:hint="default" w:ascii="Times New Roman" w:hAnsi="Times New Roman" w:cs="Times New Roman"/>
          <w:i/>
          <w:iCs/>
          <w:color w:val="auto"/>
          <w:sz w:val="24"/>
          <w:szCs w:val="24"/>
          <w:lang w:val="es-EC"/>
        </w:rPr>
        <w:t>“(…) Se reconoce el arbitraje, la mediación y otros procedimientos alternativos para la solución de conflictos. Estos procedimientos se aplicarán con sujeción a la ley, en materias en las que por su naturaleza se pueda transigir (…)”.</w:t>
      </w:r>
    </w:p>
    <w:p>
      <w:pPr>
        <w:autoSpaceDE w:val="0"/>
        <w:autoSpaceDN w:val="0"/>
        <w:adjustRightInd w:val="0"/>
        <w:spacing w:line="240" w:lineRule="auto"/>
        <w:ind w:left="705" w:hanging="705"/>
        <w:jc w:val="both"/>
        <w:rPr>
          <w:rFonts w:hint="default" w:ascii="Times New Roman" w:hAnsi="Times New Roman" w:cs="Times New Roman"/>
          <w:i/>
          <w:iCs/>
          <w:color w:val="auto"/>
          <w:sz w:val="24"/>
          <w:szCs w:val="24"/>
          <w:lang w:val="es-EC" w:eastAsia="es-EC"/>
        </w:rPr>
      </w:pPr>
      <w:r>
        <w:rPr>
          <w:rFonts w:hint="default" w:ascii="Times New Roman" w:hAnsi="Times New Roman" w:cs="Times New Roman"/>
          <w:b/>
          <w:bCs/>
          <w:color w:val="auto"/>
          <w:sz w:val="24"/>
          <w:szCs w:val="24"/>
          <w:lang w:val="es-EC" w:eastAsia="es-EC"/>
        </w:rPr>
        <w:t xml:space="preserve">Que, </w:t>
      </w:r>
      <w:r>
        <w:rPr>
          <w:rFonts w:hint="default" w:ascii="Times New Roman" w:hAnsi="Times New Roman" w:cs="Times New Roman"/>
          <w:color w:val="auto"/>
          <w:sz w:val="24"/>
          <w:szCs w:val="24"/>
          <w:lang w:val="es-EC" w:eastAsia="es-EC"/>
        </w:rPr>
        <w:tab/>
      </w:r>
      <w:r>
        <w:rPr>
          <w:rFonts w:hint="default" w:ascii="Times New Roman" w:hAnsi="Times New Roman" w:cs="Times New Roman"/>
          <w:color w:val="auto"/>
          <w:sz w:val="24"/>
          <w:szCs w:val="24"/>
          <w:lang w:val="es-EC" w:eastAsia="es-EC"/>
        </w:rPr>
        <w:t xml:space="preserve">el artículo 226 </w:t>
      </w:r>
      <w:r>
        <w:rPr>
          <w:rFonts w:hint="default" w:ascii="Times New Roman" w:hAnsi="Times New Roman" w:cs="Times New Roman"/>
          <w:color w:val="auto"/>
          <w:sz w:val="24"/>
          <w:szCs w:val="24"/>
          <w:lang w:val="es-EC"/>
        </w:rPr>
        <w:t xml:space="preserve">de la </w:t>
      </w:r>
      <w:r>
        <w:rPr>
          <w:rFonts w:hint="default" w:ascii="Times New Roman" w:hAnsi="Times New Roman" w:cs="Times New Roman"/>
          <w:color w:val="auto"/>
          <w:sz w:val="24"/>
          <w:szCs w:val="24"/>
          <w:lang w:val="es-EC"/>
        </w:rPr>
        <w:t>Constitución</w:t>
      </w:r>
      <w:r>
        <w:rPr>
          <w:rFonts w:hint="default" w:ascii="Times New Roman" w:hAnsi="Times New Roman" w:cs="Times New Roman"/>
          <w:color w:val="auto"/>
          <w:sz w:val="24"/>
          <w:szCs w:val="24"/>
          <w:lang w:val="es-EC"/>
        </w:rPr>
        <w:t xml:space="preserve">, determina que </w:t>
      </w:r>
      <w:r>
        <w:rPr>
          <w:rFonts w:hint="default" w:ascii="Times New Roman" w:hAnsi="Times New Roman" w:cs="Times New Roman"/>
          <w:i/>
          <w:iCs/>
          <w:color w:val="auto"/>
          <w:sz w:val="24"/>
          <w:szCs w:val="24"/>
          <w:lang w:val="es-EC"/>
        </w:rPr>
        <w:t>“(…) Las instituciones del Estado, sus organismos, dependencias, las servidoras o servidores públicos y las personas que actúen en virtud de una potestad estatal ejercerán solamente las competencias y facultades que les sean atribuidas en la Constitución y la ley. Tendrán el deber de coordinar acciones para el cumplimiento de sus fines y hacer efectivo el goce y ejercicio de los derechos reconocidos en la Constitución (…)”;</w:t>
      </w:r>
    </w:p>
    <w:p>
      <w:pPr>
        <w:autoSpaceDE w:val="0"/>
        <w:autoSpaceDN w:val="0"/>
        <w:adjustRightInd w:val="0"/>
        <w:spacing w:line="240" w:lineRule="auto"/>
        <w:ind w:left="705" w:hanging="705"/>
        <w:jc w:val="both"/>
        <w:rPr>
          <w:rFonts w:hint="default" w:ascii="Times New Roman" w:hAnsi="Times New Roman" w:cs="Times New Roman"/>
          <w:i/>
          <w:iCs/>
          <w:color w:val="auto"/>
          <w:sz w:val="24"/>
          <w:szCs w:val="24"/>
          <w:lang w:val="en-US" w:eastAsia="es-EC"/>
        </w:rPr>
      </w:pPr>
      <w:r>
        <w:rPr>
          <w:rFonts w:hint="default" w:ascii="Times New Roman" w:hAnsi="Times New Roman" w:cs="Times New Roman"/>
          <w:b/>
          <w:bCs/>
          <w:color w:val="auto"/>
          <w:sz w:val="24"/>
          <w:szCs w:val="24"/>
          <w:lang w:val="es-EC" w:eastAsia="es-EC"/>
        </w:rPr>
        <w:t>Que,</w:t>
      </w:r>
      <w:r>
        <w:rPr>
          <w:rFonts w:hint="default" w:ascii="Times New Roman" w:hAnsi="Times New Roman" w:cs="Times New Roman"/>
          <w:color w:val="auto"/>
          <w:sz w:val="24"/>
          <w:szCs w:val="24"/>
          <w:lang w:val="es-EC" w:eastAsia="es-EC"/>
        </w:rPr>
        <w:t xml:space="preserve"> </w:t>
      </w:r>
      <w:r>
        <w:rPr>
          <w:rFonts w:hint="default" w:ascii="Times New Roman" w:hAnsi="Times New Roman" w:cs="Times New Roman"/>
          <w:color w:val="auto"/>
          <w:sz w:val="24"/>
          <w:szCs w:val="24"/>
          <w:lang w:val="es-EC" w:eastAsia="es-EC"/>
        </w:rPr>
        <w:tab/>
      </w:r>
      <w:r>
        <w:rPr>
          <w:rFonts w:hint="default" w:ascii="Times New Roman" w:hAnsi="Times New Roman" w:cs="Times New Roman"/>
          <w:color w:val="auto"/>
          <w:sz w:val="24"/>
          <w:szCs w:val="24"/>
          <w:lang w:val="es-EC" w:eastAsia="es-EC"/>
        </w:rPr>
        <w:t xml:space="preserve">el </w:t>
      </w:r>
      <w:r>
        <w:rPr>
          <w:rFonts w:hint="default" w:ascii="Times New Roman" w:hAnsi="Times New Roman" w:cs="Times New Roman"/>
          <w:color w:val="auto"/>
          <w:sz w:val="24"/>
          <w:szCs w:val="24"/>
          <w:lang w:val="es-EC" w:eastAsia="es-EC"/>
        </w:rPr>
        <w:t>art</w:t>
      </w:r>
      <w:r>
        <w:rPr>
          <w:rFonts w:hint="default" w:ascii="Times New Roman" w:hAnsi="Times New Roman" w:cs="Times New Roman"/>
          <w:color w:val="auto"/>
          <w:sz w:val="24"/>
          <w:szCs w:val="24"/>
          <w:lang w:val="en-US" w:eastAsia="es-EC"/>
        </w:rPr>
        <w:t xml:space="preserve">ículo 238 de la Constitución, dispone que </w:t>
      </w:r>
      <w:r>
        <w:rPr>
          <w:rFonts w:hint="default" w:ascii="Times New Roman" w:hAnsi="Times New Roman" w:cs="Times New Roman"/>
          <w:i/>
          <w:iCs/>
          <w:color w:val="auto"/>
          <w:sz w:val="24"/>
          <w:szCs w:val="24"/>
          <w:lang w:val="en-US" w:eastAsia="es-EC"/>
        </w:rPr>
        <w:t xml:space="preserve">“Los gobiernos autónomos descentralizados gozarán de autonomía  política, administrativa y financiera, y se regirán por los principios de solidaridad, subsidiariedad, equidad territorial, integración y participación ciudadana. En ningún caso el ejercicio de la autonomía permitirá la secesión del territorio nacional. Constituyen gobiernos autónomos descentralizados las juntas parroquiales rurales, los concejos municipales, los concejos metropolitanos, los consejos provinciales y los consejos regionales.”; </w:t>
      </w:r>
    </w:p>
    <w:p>
      <w:pPr>
        <w:autoSpaceDE w:val="0"/>
        <w:autoSpaceDN w:val="0"/>
        <w:adjustRightInd w:val="0"/>
        <w:spacing w:line="240" w:lineRule="auto"/>
        <w:ind w:left="705" w:hanging="705"/>
        <w:jc w:val="both"/>
        <w:rPr>
          <w:rFonts w:hint="default" w:ascii="Times New Roman" w:hAnsi="Times New Roman" w:cs="Times New Roman"/>
          <w:i/>
          <w:iCs/>
          <w:color w:val="auto"/>
          <w:sz w:val="24"/>
          <w:szCs w:val="24"/>
          <w:lang w:val="en-US" w:eastAsia="es-EC"/>
        </w:rPr>
      </w:pPr>
      <w:r>
        <w:rPr>
          <w:rFonts w:hint="default" w:ascii="Times New Roman" w:hAnsi="Times New Roman" w:cs="Times New Roman"/>
          <w:b/>
          <w:bCs/>
          <w:i w:val="0"/>
          <w:iCs w:val="0"/>
          <w:color w:val="auto"/>
          <w:sz w:val="24"/>
          <w:szCs w:val="24"/>
          <w:lang w:val="en-US" w:eastAsia="es-EC"/>
        </w:rPr>
        <w:t xml:space="preserve">Que, </w:t>
      </w:r>
      <w:r>
        <w:rPr>
          <w:rFonts w:hint="default" w:ascii="Times New Roman" w:hAnsi="Times New Roman" w:cs="Times New Roman"/>
          <w:i/>
          <w:iCs/>
          <w:color w:val="auto"/>
          <w:sz w:val="24"/>
          <w:szCs w:val="24"/>
          <w:lang w:val="en-US" w:eastAsia="es-EC"/>
        </w:rPr>
        <w:tab/>
      </w:r>
      <w:r>
        <w:rPr>
          <w:rFonts w:hint="default" w:ascii="Times New Roman" w:hAnsi="Times New Roman" w:cs="Times New Roman"/>
          <w:i w:val="0"/>
          <w:iCs w:val="0"/>
          <w:color w:val="auto"/>
          <w:sz w:val="24"/>
          <w:szCs w:val="24"/>
          <w:lang w:val="en-US" w:eastAsia="es-EC"/>
        </w:rPr>
        <w:t xml:space="preserve">el artículo 240 de la Constitución establece que </w:t>
      </w:r>
      <w:r>
        <w:rPr>
          <w:rFonts w:hint="default" w:ascii="Times New Roman" w:hAnsi="Times New Roman" w:cs="Times New Roman"/>
          <w:i/>
          <w:iCs/>
          <w:color w:val="auto"/>
          <w:sz w:val="24"/>
          <w:szCs w:val="24"/>
          <w:lang w:val="en-US" w:eastAsia="es-EC"/>
        </w:rPr>
        <w:t xml:space="preserve">“Los gobiernos autónomos descentralizados de las regiones, distritos metropolitanos, provincias y cantones tendrán facultades legislativas en el ámbito de sus competencias y jurisdicciones territoriales. Las juntas parroquiales rurales tendrán facultades reglamentarias. Todos los gobiernos autónomos descentralizados ejercerán facultades ejecutivas en el ámbito de sus competencias y jurisdicciones territoriales.”; </w:t>
      </w:r>
    </w:p>
    <w:p>
      <w:pPr>
        <w:spacing w:before="168" w:line="240" w:lineRule="auto"/>
        <w:ind w:left="823" w:right="119" w:hanging="706"/>
        <w:jc w:val="both"/>
        <w:rPr>
          <w:rFonts w:hint="default" w:ascii="Times New Roman" w:hAnsi="Times New Roman" w:cs="Times New Roman"/>
          <w:color w:val="auto"/>
          <w:sz w:val="24"/>
          <w:szCs w:val="24"/>
        </w:rPr>
      </w:pPr>
      <w:r>
        <w:rPr>
          <w:rFonts w:hint="default" w:ascii="Times New Roman" w:hAnsi="Times New Roman" w:cs="Times New Roman"/>
          <w:b/>
          <w:bCs/>
          <w:color w:val="auto"/>
          <w:sz w:val="24"/>
          <w:szCs w:val="24"/>
          <w:lang w:val="es-EC" w:eastAsia="es-EC"/>
        </w:rPr>
        <w:t>Que,</w:t>
      </w:r>
      <w:r>
        <w:rPr>
          <w:rFonts w:hint="default" w:ascii="Times New Roman" w:hAnsi="Times New Roman" w:cs="Times New Roman"/>
          <w:color w:val="auto"/>
          <w:sz w:val="24"/>
          <w:szCs w:val="24"/>
          <w:lang w:val="es-EC" w:eastAsia="es-EC"/>
        </w:rPr>
        <w:t xml:space="preserve"> </w:t>
      </w:r>
      <w:bookmarkStart w:id="0" w:name="_Hlk94040469"/>
      <w:r>
        <w:rPr>
          <w:rFonts w:hint="default" w:ascii="Times New Roman" w:hAnsi="Times New Roman" w:cs="Times New Roman"/>
          <w:color w:val="auto"/>
          <w:sz w:val="24"/>
          <w:szCs w:val="24"/>
          <w:lang w:val="es-EC" w:eastAsia="es-EC"/>
        </w:rPr>
        <w:t>el art</w:t>
      </w:r>
      <w:r>
        <w:rPr>
          <w:rFonts w:hint="default" w:ascii="Times New Roman" w:hAnsi="Times New Roman" w:cs="Times New Roman"/>
          <w:color w:val="auto"/>
          <w:sz w:val="24"/>
          <w:szCs w:val="24"/>
          <w:lang w:val="en-US" w:eastAsia="es-EC"/>
        </w:rPr>
        <w:t>ículo</w:t>
      </w:r>
      <w:r>
        <w:rPr>
          <w:rFonts w:hint="default" w:ascii="Times New Roman" w:hAnsi="Times New Roman" w:cs="Times New Roman"/>
          <w:color w:val="auto"/>
          <w:sz w:val="24"/>
          <w:szCs w:val="24"/>
          <w:lang w:val="es-EC" w:eastAsia="es-EC"/>
        </w:rPr>
        <w:t xml:space="preserve"> 87</w:t>
      </w:r>
      <w:r>
        <w:rPr>
          <w:rFonts w:hint="default" w:ascii="Times New Roman" w:hAnsi="Times New Roman" w:cs="Times New Roman"/>
          <w:color w:val="auto"/>
          <w:sz w:val="24"/>
          <w:szCs w:val="24"/>
          <w:lang w:val="en-US" w:eastAsia="es-EC"/>
        </w:rPr>
        <w:t xml:space="preserve"> letras a) y d) </w:t>
      </w:r>
      <w:r>
        <w:rPr>
          <w:rFonts w:hint="default" w:ascii="Times New Roman" w:hAnsi="Times New Roman" w:cs="Times New Roman"/>
          <w:color w:val="auto"/>
          <w:sz w:val="24"/>
          <w:szCs w:val="24"/>
          <w:lang w:val="es-EC" w:eastAsia="es-EC"/>
        </w:rPr>
        <w:t xml:space="preserve">del </w:t>
      </w:r>
      <w:r>
        <w:rPr>
          <w:rFonts w:hint="default" w:ascii="Times New Roman" w:hAnsi="Times New Roman" w:cs="Times New Roman"/>
          <w:color w:val="auto"/>
          <w:sz w:val="24"/>
          <w:szCs w:val="24"/>
        </w:rPr>
        <w:t>Código Orgánico de Organización Territorial, Autonomía y Descentralización</w:t>
      </w:r>
      <w:r>
        <w:rPr>
          <w:rFonts w:hint="default" w:ascii="Times New Roman" w:hAnsi="Times New Roman" w:cs="Times New Roman"/>
          <w:color w:val="auto"/>
          <w:sz w:val="24"/>
          <w:szCs w:val="24"/>
          <w:lang w:val="es-EC"/>
        </w:rPr>
        <w:t xml:space="preserve">, </w:t>
      </w:r>
      <w:r>
        <w:rPr>
          <w:rFonts w:hint="default" w:ascii="Times New Roman" w:hAnsi="Times New Roman" w:cs="Times New Roman"/>
          <w:color w:val="auto"/>
          <w:sz w:val="24"/>
          <w:szCs w:val="24"/>
          <w:lang w:val="es-EC" w:eastAsia="es-EC"/>
        </w:rPr>
        <w:t xml:space="preserve">en adelante </w:t>
      </w:r>
      <w:r>
        <w:rPr>
          <w:rFonts w:hint="default" w:ascii="Times New Roman" w:hAnsi="Times New Roman" w:cs="Times New Roman"/>
          <w:color w:val="auto"/>
          <w:sz w:val="24"/>
          <w:szCs w:val="24"/>
          <w:lang w:val="en-US" w:eastAsia="es-EC"/>
        </w:rPr>
        <w:t>“</w:t>
      </w:r>
      <w:r>
        <w:rPr>
          <w:rFonts w:hint="default" w:ascii="Times New Roman" w:hAnsi="Times New Roman" w:cs="Times New Roman"/>
          <w:color w:val="auto"/>
          <w:sz w:val="24"/>
          <w:szCs w:val="24"/>
        </w:rPr>
        <w:t>COOTAD</w:t>
      </w:r>
      <w:r>
        <w:rPr>
          <w:rFonts w:hint="default" w:ascii="Times New Roman" w:hAnsi="Times New Roman" w:cs="Times New Roman"/>
          <w:color w:val="auto"/>
          <w:sz w:val="24"/>
          <w:szCs w:val="24"/>
          <w:lang w:val="es-EC"/>
        </w:rPr>
        <w:t>”, e</w:t>
      </w:r>
      <w:r>
        <w:rPr>
          <w:rFonts w:hint="default" w:ascii="Times New Roman" w:hAnsi="Times New Roman" w:cs="Times New Roman"/>
          <w:color w:val="auto"/>
          <w:sz w:val="24"/>
          <w:szCs w:val="24"/>
        </w:rPr>
        <w:t>stablece</w:t>
      </w:r>
      <w:r>
        <w:rPr>
          <w:rFonts w:hint="default" w:ascii="Times New Roman" w:hAnsi="Times New Roman" w:cs="Times New Roman"/>
          <w:color w:val="auto"/>
          <w:spacing w:val="-10"/>
          <w:sz w:val="24"/>
          <w:szCs w:val="24"/>
        </w:rPr>
        <w:t xml:space="preserve"> </w:t>
      </w:r>
      <w:r>
        <w:rPr>
          <w:rFonts w:hint="default" w:ascii="Times New Roman" w:hAnsi="Times New Roman" w:cs="Times New Roman"/>
          <w:color w:val="auto"/>
          <w:sz w:val="24"/>
          <w:szCs w:val="24"/>
        </w:rPr>
        <w:t>las</w:t>
      </w:r>
      <w:r>
        <w:rPr>
          <w:rFonts w:hint="default" w:ascii="Times New Roman" w:hAnsi="Times New Roman" w:cs="Times New Roman"/>
          <w:color w:val="auto"/>
          <w:spacing w:val="-13"/>
          <w:sz w:val="24"/>
          <w:szCs w:val="24"/>
        </w:rPr>
        <w:t xml:space="preserve"> </w:t>
      </w:r>
      <w:r>
        <w:rPr>
          <w:rFonts w:hint="default" w:ascii="Times New Roman" w:hAnsi="Times New Roman" w:cs="Times New Roman"/>
          <w:color w:val="auto"/>
          <w:sz w:val="24"/>
          <w:szCs w:val="24"/>
        </w:rPr>
        <w:t>atribuciones</w:t>
      </w:r>
      <w:r>
        <w:rPr>
          <w:rFonts w:hint="default" w:ascii="Times New Roman" w:hAnsi="Times New Roman" w:cs="Times New Roman"/>
          <w:color w:val="auto"/>
          <w:spacing w:val="-13"/>
          <w:sz w:val="24"/>
          <w:szCs w:val="24"/>
        </w:rPr>
        <w:t xml:space="preserve"> </w:t>
      </w:r>
      <w:r>
        <w:rPr>
          <w:rFonts w:hint="default" w:ascii="Times New Roman" w:hAnsi="Times New Roman" w:cs="Times New Roman"/>
          <w:color w:val="auto"/>
          <w:sz w:val="24"/>
          <w:szCs w:val="24"/>
        </w:rPr>
        <w:t>del</w:t>
      </w:r>
      <w:r>
        <w:rPr>
          <w:rFonts w:hint="default" w:ascii="Times New Roman" w:hAnsi="Times New Roman" w:cs="Times New Roman"/>
          <w:color w:val="auto"/>
          <w:spacing w:val="-13"/>
          <w:sz w:val="24"/>
          <w:szCs w:val="24"/>
        </w:rPr>
        <w:t xml:space="preserve"> </w:t>
      </w:r>
      <w:r>
        <w:rPr>
          <w:rFonts w:hint="default" w:ascii="Times New Roman" w:hAnsi="Times New Roman" w:cs="Times New Roman"/>
          <w:color w:val="auto"/>
          <w:sz w:val="24"/>
          <w:szCs w:val="24"/>
        </w:rPr>
        <w:t>Concejo</w:t>
      </w:r>
      <w:r>
        <w:rPr>
          <w:rFonts w:hint="default" w:ascii="Times New Roman" w:hAnsi="Times New Roman" w:cs="Times New Roman"/>
          <w:color w:val="auto"/>
          <w:spacing w:val="-10"/>
          <w:sz w:val="24"/>
          <w:szCs w:val="24"/>
        </w:rPr>
        <w:t xml:space="preserve"> </w:t>
      </w:r>
      <w:r>
        <w:rPr>
          <w:rFonts w:hint="default" w:ascii="Times New Roman" w:hAnsi="Times New Roman" w:cs="Times New Roman"/>
          <w:color w:val="auto"/>
          <w:sz w:val="24"/>
          <w:szCs w:val="24"/>
        </w:rPr>
        <w:t>Metropolitano</w:t>
      </w:r>
      <w:r>
        <w:rPr>
          <w:rFonts w:hint="default" w:ascii="Times New Roman" w:hAnsi="Times New Roman" w:cs="Times New Roman"/>
          <w:color w:val="auto"/>
          <w:sz w:val="24"/>
          <w:szCs w:val="24"/>
          <w:lang w:val="es-EC"/>
        </w:rPr>
        <w:t xml:space="preserve">: “a) </w:t>
      </w:r>
      <w:r>
        <w:rPr>
          <w:rFonts w:hint="default" w:ascii="Times New Roman" w:hAnsi="Times New Roman" w:cs="Times New Roman"/>
          <w:i/>
          <w:color w:val="auto"/>
          <w:sz w:val="24"/>
          <w:szCs w:val="24"/>
        </w:rPr>
        <w:t xml:space="preserve">Ejercer la facultad normativa en </w:t>
      </w:r>
      <w:r>
        <w:rPr>
          <w:rFonts w:hint="default" w:ascii="Times New Roman" w:hAnsi="Times New Roman" w:cs="Times New Roman"/>
          <w:i/>
          <w:color w:val="auto"/>
          <w:spacing w:val="10"/>
          <w:sz w:val="24"/>
          <w:szCs w:val="24"/>
        </w:rPr>
        <w:t xml:space="preserve">las </w:t>
      </w:r>
      <w:r>
        <w:rPr>
          <w:rFonts w:hint="default" w:ascii="Times New Roman" w:hAnsi="Times New Roman" w:cs="Times New Roman"/>
          <w:i/>
          <w:color w:val="auto"/>
          <w:sz w:val="24"/>
          <w:szCs w:val="24"/>
        </w:rPr>
        <w:t>materias de competencia del</w:t>
      </w:r>
      <w:r>
        <w:rPr>
          <w:rFonts w:hint="default" w:ascii="Times New Roman" w:hAnsi="Times New Roman" w:cs="Times New Roman"/>
          <w:i/>
          <w:color w:val="auto"/>
          <w:spacing w:val="1"/>
          <w:sz w:val="24"/>
          <w:szCs w:val="24"/>
        </w:rPr>
        <w:t xml:space="preserve"> </w:t>
      </w:r>
      <w:r>
        <w:rPr>
          <w:rFonts w:hint="default" w:ascii="Times New Roman" w:hAnsi="Times New Roman" w:cs="Times New Roman"/>
          <w:i/>
          <w:color w:val="auto"/>
          <w:sz w:val="24"/>
          <w:szCs w:val="24"/>
        </w:rPr>
        <w:t>gobierno</w:t>
      </w:r>
      <w:r>
        <w:rPr>
          <w:rFonts w:hint="default" w:ascii="Times New Roman" w:hAnsi="Times New Roman" w:cs="Times New Roman"/>
          <w:i/>
          <w:color w:val="auto"/>
          <w:spacing w:val="-5"/>
          <w:sz w:val="24"/>
          <w:szCs w:val="24"/>
        </w:rPr>
        <w:t xml:space="preserve"> </w:t>
      </w:r>
      <w:r>
        <w:rPr>
          <w:rFonts w:hint="default" w:ascii="Times New Roman" w:hAnsi="Times New Roman" w:cs="Times New Roman"/>
          <w:i/>
          <w:color w:val="auto"/>
          <w:sz w:val="24"/>
          <w:szCs w:val="24"/>
        </w:rPr>
        <w:t>autónomo</w:t>
      </w:r>
      <w:r>
        <w:rPr>
          <w:rFonts w:hint="default" w:ascii="Times New Roman" w:hAnsi="Times New Roman" w:cs="Times New Roman"/>
          <w:i/>
          <w:color w:val="auto"/>
          <w:spacing w:val="-4"/>
          <w:sz w:val="24"/>
          <w:szCs w:val="24"/>
        </w:rPr>
        <w:t xml:space="preserve"> </w:t>
      </w:r>
      <w:r>
        <w:rPr>
          <w:rFonts w:hint="default" w:ascii="Times New Roman" w:hAnsi="Times New Roman" w:cs="Times New Roman"/>
          <w:i/>
          <w:color w:val="auto"/>
          <w:sz w:val="24"/>
          <w:szCs w:val="24"/>
        </w:rPr>
        <w:t>descentralizado</w:t>
      </w:r>
      <w:r>
        <w:rPr>
          <w:rFonts w:hint="default" w:ascii="Times New Roman" w:hAnsi="Times New Roman" w:cs="Times New Roman"/>
          <w:i/>
          <w:color w:val="auto"/>
          <w:spacing w:val="-19"/>
          <w:sz w:val="24"/>
          <w:szCs w:val="24"/>
        </w:rPr>
        <w:t xml:space="preserve"> </w:t>
      </w:r>
      <w:r>
        <w:rPr>
          <w:rFonts w:hint="default" w:ascii="Times New Roman" w:hAnsi="Times New Roman" w:cs="Times New Roman"/>
          <w:i/>
          <w:color w:val="auto"/>
          <w:sz w:val="24"/>
          <w:szCs w:val="24"/>
        </w:rPr>
        <w:t>metropolitano,</w:t>
      </w:r>
      <w:r>
        <w:rPr>
          <w:rFonts w:hint="default" w:ascii="Times New Roman" w:hAnsi="Times New Roman" w:cs="Times New Roman"/>
          <w:i/>
          <w:color w:val="auto"/>
          <w:spacing w:val="-5"/>
          <w:sz w:val="24"/>
          <w:szCs w:val="24"/>
        </w:rPr>
        <w:t xml:space="preserve"> </w:t>
      </w:r>
      <w:r>
        <w:rPr>
          <w:rFonts w:hint="default" w:ascii="Times New Roman" w:hAnsi="Times New Roman" w:cs="Times New Roman"/>
          <w:i/>
          <w:color w:val="auto"/>
          <w:sz w:val="24"/>
          <w:szCs w:val="24"/>
        </w:rPr>
        <w:t>mediante</w:t>
      </w:r>
      <w:r>
        <w:rPr>
          <w:rFonts w:hint="default" w:ascii="Times New Roman" w:hAnsi="Times New Roman" w:cs="Times New Roman"/>
          <w:i/>
          <w:color w:val="auto"/>
          <w:spacing w:val="-7"/>
          <w:sz w:val="24"/>
          <w:szCs w:val="24"/>
        </w:rPr>
        <w:t xml:space="preserve"> </w:t>
      </w:r>
      <w:r>
        <w:rPr>
          <w:rFonts w:hint="default" w:ascii="Times New Roman" w:hAnsi="Times New Roman" w:cs="Times New Roman"/>
          <w:i/>
          <w:color w:val="auto"/>
          <w:sz w:val="24"/>
          <w:szCs w:val="24"/>
        </w:rPr>
        <w:t>la</w:t>
      </w:r>
      <w:r>
        <w:rPr>
          <w:rFonts w:hint="default" w:ascii="Times New Roman" w:hAnsi="Times New Roman" w:cs="Times New Roman"/>
          <w:i/>
          <w:color w:val="auto"/>
          <w:spacing w:val="-4"/>
          <w:sz w:val="24"/>
          <w:szCs w:val="24"/>
        </w:rPr>
        <w:t xml:space="preserve"> </w:t>
      </w:r>
      <w:r>
        <w:rPr>
          <w:rFonts w:hint="default" w:ascii="Times New Roman" w:hAnsi="Times New Roman" w:cs="Times New Roman"/>
          <w:i/>
          <w:color w:val="auto"/>
          <w:sz w:val="24"/>
          <w:szCs w:val="24"/>
        </w:rPr>
        <w:t>expedición</w:t>
      </w:r>
      <w:r>
        <w:rPr>
          <w:rFonts w:hint="default" w:ascii="Times New Roman" w:hAnsi="Times New Roman" w:cs="Times New Roman"/>
          <w:i/>
          <w:color w:val="auto"/>
          <w:spacing w:val="-15"/>
          <w:sz w:val="24"/>
          <w:szCs w:val="24"/>
        </w:rPr>
        <w:t xml:space="preserve"> </w:t>
      </w:r>
      <w:r>
        <w:rPr>
          <w:rFonts w:hint="default" w:ascii="Times New Roman" w:hAnsi="Times New Roman" w:cs="Times New Roman"/>
          <w:i/>
          <w:color w:val="auto"/>
          <w:sz w:val="24"/>
          <w:szCs w:val="24"/>
        </w:rPr>
        <w:t>de</w:t>
      </w:r>
      <w:r>
        <w:rPr>
          <w:rFonts w:hint="default" w:ascii="Times New Roman" w:hAnsi="Times New Roman" w:cs="Times New Roman"/>
          <w:i/>
          <w:color w:val="auto"/>
          <w:spacing w:val="-6"/>
          <w:sz w:val="24"/>
          <w:szCs w:val="24"/>
        </w:rPr>
        <w:t xml:space="preserve"> </w:t>
      </w:r>
      <w:r>
        <w:rPr>
          <w:rFonts w:hint="default" w:ascii="Times New Roman" w:hAnsi="Times New Roman" w:cs="Times New Roman"/>
          <w:i/>
          <w:color w:val="auto"/>
          <w:sz w:val="24"/>
          <w:szCs w:val="24"/>
        </w:rPr>
        <w:t>ordenanzas</w:t>
      </w:r>
      <w:r>
        <w:rPr>
          <w:rFonts w:hint="default" w:ascii="Times New Roman" w:hAnsi="Times New Roman" w:cs="Times New Roman"/>
          <w:i/>
          <w:color w:val="auto"/>
          <w:spacing w:val="-53"/>
          <w:sz w:val="24"/>
          <w:szCs w:val="24"/>
        </w:rPr>
        <w:t xml:space="preserve"> </w:t>
      </w:r>
      <w:r>
        <w:rPr>
          <w:rFonts w:hint="default" w:ascii="Times New Roman" w:hAnsi="Times New Roman" w:cs="Times New Roman"/>
          <w:i/>
          <w:color w:val="auto"/>
          <w:sz w:val="24"/>
          <w:szCs w:val="24"/>
        </w:rPr>
        <w:t xml:space="preserve">metropolitanas, acuerdos y resoluciones”; </w:t>
      </w:r>
      <w:r>
        <w:rPr>
          <w:rFonts w:hint="default" w:ascii="Times New Roman" w:hAnsi="Times New Roman" w:cs="Times New Roman"/>
          <w:i/>
          <w:color w:val="auto"/>
          <w:sz w:val="24"/>
          <w:szCs w:val="24"/>
          <w:lang w:val="es-EC"/>
        </w:rPr>
        <w:t xml:space="preserve">(...) d) </w:t>
      </w:r>
      <w:r>
        <w:rPr>
          <w:rFonts w:hint="default" w:ascii="Times New Roman" w:hAnsi="Times New Roman" w:cs="Times New Roman"/>
          <w:i/>
          <w:color w:val="auto"/>
          <w:sz w:val="24"/>
          <w:szCs w:val="24"/>
        </w:rPr>
        <w:t>El expedir acuerdos o</w:t>
      </w:r>
      <w:r>
        <w:rPr>
          <w:rFonts w:hint="default" w:ascii="Times New Roman" w:hAnsi="Times New Roman" w:cs="Times New Roman"/>
          <w:i/>
          <w:color w:val="auto"/>
          <w:spacing w:val="1"/>
          <w:sz w:val="24"/>
          <w:szCs w:val="24"/>
        </w:rPr>
        <w:t xml:space="preserve"> </w:t>
      </w:r>
      <w:r>
        <w:rPr>
          <w:rFonts w:hint="default" w:ascii="Times New Roman" w:hAnsi="Times New Roman" w:cs="Times New Roman"/>
          <w:i/>
          <w:color w:val="auto"/>
          <w:sz w:val="24"/>
          <w:szCs w:val="24"/>
        </w:rPr>
        <w:t>resoluciones</w:t>
      </w:r>
      <w:r>
        <w:rPr>
          <w:rFonts w:hint="default" w:ascii="Times New Roman" w:hAnsi="Times New Roman" w:cs="Times New Roman"/>
          <w:i/>
          <w:color w:val="auto"/>
          <w:spacing w:val="1"/>
          <w:sz w:val="24"/>
          <w:szCs w:val="24"/>
        </w:rPr>
        <w:t xml:space="preserve"> </w:t>
      </w:r>
      <w:r>
        <w:rPr>
          <w:rFonts w:hint="default" w:ascii="Times New Roman" w:hAnsi="Times New Roman" w:cs="Times New Roman"/>
          <w:i/>
          <w:color w:val="auto"/>
          <w:sz w:val="24"/>
          <w:szCs w:val="24"/>
        </w:rPr>
        <w:t>en</w:t>
      </w:r>
      <w:r>
        <w:rPr>
          <w:rFonts w:hint="default" w:ascii="Times New Roman" w:hAnsi="Times New Roman" w:cs="Times New Roman"/>
          <w:i/>
          <w:color w:val="auto"/>
          <w:spacing w:val="1"/>
          <w:sz w:val="24"/>
          <w:szCs w:val="24"/>
        </w:rPr>
        <w:t xml:space="preserve"> </w:t>
      </w:r>
      <w:r>
        <w:rPr>
          <w:rFonts w:hint="default" w:ascii="Times New Roman" w:hAnsi="Times New Roman" w:cs="Times New Roman"/>
          <w:i/>
          <w:color w:val="auto"/>
          <w:sz w:val="24"/>
          <w:szCs w:val="24"/>
        </w:rPr>
        <w:t>el</w:t>
      </w:r>
      <w:r>
        <w:rPr>
          <w:rFonts w:hint="default" w:ascii="Times New Roman" w:hAnsi="Times New Roman" w:cs="Times New Roman"/>
          <w:i/>
          <w:color w:val="auto"/>
          <w:spacing w:val="1"/>
          <w:sz w:val="24"/>
          <w:szCs w:val="24"/>
        </w:rPr>
        <w:t xml:space="preserve"> </w:t>
      </w:r>
      <w:r>
        <w:rPr>
          <w:rFonts w:hint="default" w:ascii="Times New Roman" w:hAnsi="Times New Roman" w:cs="Times New Roman"/>
          <w:i/>
          <w:color w:val="auto"/>
          <w:sz w:val="24"/>
          <w:szCs w:val="24"/>
        </w:rPr>
        <w:t>ámbito de</w:t>
      </w:r>
      <w:r>
        <w:rPr>
          <w:rFonts w:hint="default" w:ascii="Times New Roman" w:hAnsi="Times New Roman" w:cs="Times New Roman"/>
          <w:i/>
          <w:color w:val="auto"/>
          <w:spacing w:val="1"/>
          <w:sz w:val="24"/>
          <w:szCs w:val="24"/>
        </w:rPr>
        <w:t xml:space="preserve"> </w:t>
      </w:r>
      <w:r>
        <w:rPr>
          <w:rFonts w:hint="default" w:ascii="Times New Roman" w:hAnsi="Times New Roman" w:cs="Times New Roman"/>
          <w:i/>
          <w:color w:val="auto"/>
          <w:sz w:val="24"/>
          <w:szCs w:val="24"/>
        </w:rPr>
        <w:t>sus</w:t>
      </w:r>
      <w:r>
        <w:rPr>
          <w:rFonts w:hint="default" w:ascii="Times New Roman" w:hAnsi="Times New Roman" w:cs="Times New Roman"/>
          <w:i/>
          <w:color w:val="auto"/>
          <w:spacing w:val="1"/>
          <w:sz w:val="24"/>
          <w:szCs w:val="24"/>
        </w:rPr>
        <w:t xml:space="preserve"> </w:t>
      </w:r>
      <w:r>
        <w:rPr>
          <w:rFonts w:hint="default" w:ascii="Times New Roman" w:hAnsi="Times New Roman" w:cs="Times New Roman"/>
          <w:i/>
          <w:color w:val="auto"/>
          <w:sz w:val="24"/>
          <w:szCs w:val="24"/>
        </w:rPr>
        <w:t>competencias para regular temas institucionales</w:t>
      </w:r>
      <w:r>
        <w:rPr>
          <w:rFonts w:hint="default" w:ascii="Times New Roman" w:hAnsi="Times New Roman" w:cs="Times New Roman"/>
          <w:i/>
          <w:color w:val="auto"/>
          <w:spacing w:val="1"/>
          <w:sz w:val="24"/>
          <w:szCs w:val="24"/>
        </w:rPr>
        <w:t xml:space="preserve"> </w:t>
      </w:r>
      <w:r>
        <w:rPr>
          <w:rFonts w:hint="default" w:ascii="Times New Roman" w:hAnsi="Times New Roman" w:cs="Times New Roman"/>
          <w:i/>
          <w:color w:val="auto"/>
          <w:sz w:val="24"/>
          <w:szCs w:val="24"/>
        </w:rPr>
        <w:t>específicos</w:t>
      </w:r>
      <w:r>
        <w:rPr>
          <w:rFonts w:hint="default" w:ascii="Times New Roman" w:hAnsi="Times New Roman" w:cs="Times New Roman"/>
          <w:i/>
          <w:color w:val="auto"/>
          <w:spacing w:val="-23"/>
          <w:sz w:val="24"/>
          <w:szCs w:val="24"/>
        </w:rPr>
        <w:t xml:space="preserve"> </w:t>
      </w:r>
      <w:r>
        <w:rPr>
          <w:rFonts w:hint="default" w:ascii="Times New Roman" w:hAnsi="Times New Roman" w:cs="Times New Roman"/>
          <w:i/>
          <w:color w:val="auto"/>
          <w:sz w:val="24"/>
          <w:szCs w:val="24"/>
        </w:rPr>
        <w:t>o</w:t>
      </w:r>
      <w:r>
        <w:rPr>
          <w:rFonts w:hint="default" w:ascii="Times New Roman" w:hAnsi="Times New Roman" w:cs="Times New Roman"/>
          <w:i/>
          <w:color w:val="auto"/>
          <w:spacing w:val="-5"/>
          <w:sz w:val="24"/>
          <w:szCs w:val="24"/>
        </w:rPr>
        <w:t xml:space="preserve"> </w:t>
      </w:r>
      <w:r>
        <w:rPr>
          <w:rFonts w:hint="default" w:ascii="Times New Roman" w:hAnsi="Times New Roman" w:cs="Times New Roman"/>
          <w:i/>
          <w:color w:val="auto"/>
          <w:sz w:val="24"/>
          <w:szCs w:val="24"/>
        </w:rPr>
        <w:t>reconocer</w:t>
      </w:r>
      <w:r>
        <w:rPr>
          <w:rFonts w:hint="default" w:ascii="Times New Roman" w:hAnsi="Times New Roman" w:cs="Times New Roman"/>
          <w:i/>
          <w:color w:val="auto"/>
          <w:spacing w:val="-7"/>
          <w:sz w:val="24"/>
          <w:szCs w:val="24"/>
        </w:rPr>
        <w:t xml:space="preserve"> </w:t>
      </w:r>
      <w:r>
        <w:rPr>
          <w:rFonts w:hint="default" w:ascii="Times New Roman" w:hAnsi="Times New Roman" w:cs="Times New Roman"/>
          <w:i/>
          <w:color w:val="auto"/>
          <w:sz w:val="24"/>
          <w:szCs w:val="24"/>
        </w:rPr>
        <w:t>derechos</w:t>
      </w:r>
      <w:r>
        <w:rPr>
          <w:rFonts w:hint="default" w:ascii="Times New Roman" w:hAnsi="Times New Roman" w:cs="Times New Roman"/>
          <w:i/>
          <w:color w:val="auto"/>
          <w:spacing w:val="-22"/>
          <w:sz w:val="24"/>
          <w:szCs w:val="24"/>
        </w:rPr>
        <w:t xml:space="preserve"> </w:t>
      </w:r>
      <w:r>
        <w:rPr>
          <w:rFonts w:hint="default" w:ascii="Times New Roman" w:hAnsi="Times New Roman" w:cs="Times New Roman"/>
          <w:i/>
          <w:color w:val="auto"/>
          <w:sz w:val="24"/>
          <w:szCs w:val="24"/>
        </w:rPr>
        <w:t>particulares</w:t>
      </w:r>
      <w:r>
        <w:rPr>
          <w:rFonts w:hint="default" w:ascii="Times New Roman" w:hAnsi="Times New Roman" w:cs="Times New Roman"/>
          <w:color w:val="auto"/>
          <w:sz w:val="24"/>
          <w:szCs w:val="24"/>
        </w:rPr>
        <w:t>”;</w:t>
      </w:r>
    </w:p>
    <w:bookmarkEnd w:id="0"/>
    <w:p>
      <w:pPr>
        <w:spacing w:before="34" w:line="240" w:lineRule="auto"/>
        <w:ind w:left="851" w:right="108" w:hanging="709"/>
        <w:jc w:val="both"/>
        <w:rPr>
          <w:rFonts w:hint="default" w:ascii="Times New Roman" w:hAnsi="Times New Roman" w:cs="Times New Roman"/>
          <w:color w:val="auto"/>
          <w:sz w:val="24"/>
          <w:szCs w:val="24"/>
        </w:rPr>
      </w:pPr>
      <w:r>
        <w:rPr>
          <w:rFonts w:hint="default" w:ascii="Times New Roman" w:hAnsi="Times New Roman" w:cs="Times New Roman"/>
          <w:b/>
          <w:bCs/>
          <w:color w:val="auto"/>
          <w:sz w:val="24"/>
          <w:szCs w:val="24"/>
        </w:rPr>
        <w:t>Que</w:t>
      </w:r>
      <w:r>
        <w:rPr>
          <w:rFonts w:hint="default" w:ascii="Times New Roman" w:hAnsi="Times New Roman" w:cs="Times New Roman"/>
          <w:b/>
          <w:bCs/>
          <w:color w:val="auto"/>
          <w:sz w:val="24"/>
          <w:szCs w:val="24"/>
          <w:lang w:val="es-EC"/>
        </w:rPr>
        <w:t>,</w:t>
      </w:r>
      <w:r>
        <w:rPr>
          <w:rFonts w:hint="default" w:ascii="Times New Roman" w:hAnsi="Times New Roman" w:cs="Times New Roman"/>
          <w:color w:val="auto"/>
          <w:sz w:val="24"/>
          <w:szCs w:val="24"/>
        </w:rPr>
        <w:t xml:space="preserve"> </w:t>
      </w:r>
      <w:r>
        <w:rPr>
          <w:rFonts w:hint="default" w:ascii="Times New Roman" w:hAnsi="Times New Roman" w:cs="Times New Roman"/>
          <w:color w:val="auto"/>
          <w:sz w:val="24"/>
          <w:szCs w:val="24"/>
        </w:rPr>
        <w:tab/>
      </w:r>
      <w:bookmarkStart w:id="1" w:name="_Hlk94040532"/>
      <w:r>
        <w:rPr>
          <w:rFonts w:hint="default" w:ascii="Times New Roman" w:hAnsi="Times New Roman" w:cs="Times New Roman"/>
          <w:color w:val="auto"/>
          <w:sz w:val="24"/>
          <w:szCs w:val="24"/>
        </w:rPr>
        <w:t>el art</w:t>
      </w:r>
      <w:r>
        <w:rPr>
          <w:rFonts w:hint="default" w:ascii="Times New Roman" w:hAnsi="Times New Roman" w:cs="Times New Roman"/>
          <w:color w:val="auto"/>
          <w:sz w:val="24"/>
          <w:szCs w:val="24"/>
          <w:lang w:val="es-EC"/>
        </w:rPr>
        <w:t>ículo</w:t>
      </w:r>
      <w:r>
        <w:rPr>
          <w:rFonts w:hint="default" w:ascii="Times New Roman" w:hAnsi="Times New Roman" w:cs="Times New Roman"/>
          <w:color w:val="auto"/>
          <w:sz w:val="24"/>
          <w:szCs w:val="24"/>
        </w:rPr>
        <w:t xml:space="preserve"> 323 del </w:t>
      </w:r>
      <w:r>
        <w:rPr>
          <w:rFonts w:hint="default" w:ascii="Times New Roman" w:hAnsi="Times New Roman" w:cs="Times New Roman"/>
          <w:color w:val="auto"/>
          <w:sz w:val="24"/>
          <w:szCs w:val="24"/>
        </w:rPr>
        <w:t>COOTAD</w:t>
      </w:r>
      <w:r>
        <w:rPr>
          <w:rFonts w:hint="default" w:ascii="Times New Roman" w:hAnsi="Times New Roman" w:cs="Times New Roman"/>
          <w:color w:val="auto"/>
          <w:sz w:val="24"/>
          <w:szCs w:val="24"/>
        </w:rPr>
        <w:t>, dispone: “</w:t>
      </w:r>
      <w:r>
        <w:rPr>
          <w:rFonts w:hint="default" w:ascii="Times New Roman" w:hAnsi="Times New Roman" w:cs="Times New Roman"/>
          <w:i/>
          <w:color w:val="auto"/>
          <w:sz w:val="24"/>
          <w:szCs w:val="24"/>
        </w:rPr>
        <w:t>El órgano normativo del respectivo gobierno autónomo</w:t>
      </w:r>
      <w:r>
        <w:rPr>
          <w:rFonts w:hint="default" w:ascii="Times New Roman" w:hAnsi="Times New Roman" w:cs="Times New Roman"/>
          <w:i/>
          <w:color w:val="auto"/>
          <w:spacing w:val="1"/>
          <w:sz w:val="24"/>
          <w:szCs w:val="24"/>
        </w:rPr>
        <w:t xml:space="preserve"> </w:t>
      </w:r>
      <w:r>
        <w:rPr>
          <w:rFonts w:hint="default" w:ascii="Times New Roman" w:hAnsi="Times New Roman" w:cs="Times New Roman"/>
          <w:i/>
          <w:color w:val="auto"/>
          <w:sz w:val="24"/>
          <w:szCs w:val="24"/>
        </w:rPr>
        <w:t>descentralizado podrá expedir, además, acuerdos y resoluciones sobre temas que tengan</w:t>
      </w:r>
      <w:r>
        <w:rPr>
          <w:rFonts w:hint="default" w:ascii="Times New Roman" w:hAnsi="Times New Roman" w:cs="Times New Roman"/>
          <w:i/>
          <w:color w:val="auto"/>
          <w:spacing w:val="1"/>
          <w:sz w:val="24"/>
          <w:szCs w:val="24"/>
        </w:rPr>
        <w:t xml:space="preserve"> </w:t>
      </w:r>
      <w:r>
        <w:rPr>
          <w:rFonts w:hint="default" w:ascii="Times New Roman" w:hAnsi="Times New Roman" w:cs="Times New Roman"/>
          <w:i/>
          <w:color w:val="auto"/>
          <w:sz w:val="24"/>
          <w:szCs w:val="24"/>
        </w:rPr>
        <w:t>carácter especial o específico, los que serán aprobados por el órgano legislativo del gobierno</w:t>
      </w:r>
      <w:r>
        <w:rPr>
          <w:rFonts w:hint="default" w:ascii="Times New Roman" w:hAnsi="Times New Roman" w:cs="Times New Roman"/>
          <w:i/>
          <w:color w:val="auto"/>
          <w:spacing w:val="-52"/>
          <w:sz w:val="24"/>
          <w:szCs w:val="24"/>
        </w:rPr>
        <w:t xml:space="preserve">                </w:t>
      </w:r>
      <w:r>
        <w:rPr>
          <w:rFonts w:hint="default" w:ascii="Times New Roman" w:hAnsi="Times New Roman" w:cs="Times New Roman"/>
          <w:i/>
          <w:color w:val="auto"/>
          <w:sz w:val="24"/>
          <w:szCs w:val="24"/>
        </w:rPr>
        <w:t>autónomo,</w:t>
      </w:r>
      <w:r>
        <w:rPr>
          <w:rFonts w:hint="default" w:ascii="Times New Roman" w:hAnsi="Times New Roman" w:cs="Times New Roman"/>
          <w:i/>
          <w:color w:val="auto"/>
          <w:spacing w:val="-21"/>
          <w:sz w:val="24"/>
          <w:szCs w:val="24"/>
        </w:rPr>
        <w:t xml:space="preserve"> </w:t>
      </w:r>
      <w:r>
        <w:rPr>
          <w:rFonts w:hint="default" w:ascii="Times New Roman" w:hAnsi="Times New Roman" w:cs="Times New Roman"/>
          <w:i/>
          <w:color w:val="auto"/>
          <w:sz w:val="24"/>
          <w:szCs w:val="24"/>
        </w:rPr>
        <w:t>por</w:t>
      </w:r>
      <w:r>
        <w:rPr>
          <w:rFonts w:hint="default" w:ascii="Times New Roman" w:hAnsi="Times New Roman" w:cs="Times New Roman"/>
          <w:i/>
          <w:color w:val="auto"/>
          <w:spacing w:val="-7"/>
          <w:sz w:val="24"/>
          <w:szCs w:val="24"/>
        </w:rPr>
        <w:t xml:space="preserve"> </w:t>
      </w:r>
      <w:r>
        <w:rPr>
          <w:rFonts w:hint="default" w:ascii="Times New Roman" w:hAnsi="Times New Roman" w:cs="Times New Roman"/>
          <w:i/>
          <w:color w:val="auto"/>
          <w:sz w:val="24"/>
          <w:szCs w:val="24"/>
        </w:rPr>
        <w:t>simple</w:t>
      </w:r>
      <w:r>
        <w:rPr>
          <w:rFonts w:hint="default" w:ascii="Times New Roman" w:hAnsi="Times New Roman" w:cs="Times New Roman"/>
          <w:i/>
          <w:color w:val="auto"/>
          <w:spacing w:val="-6"/>
          <w:sz w:val="24"/>
          <w:szCs w:val="24"/>
        </w:rPr>
        <w:t xml:space="preserve"> </w:t>
      </w:r>
      <w:r>
        <w:rPr>
          <w:rFonts w:hint="default" w:ascii="Times New Roman" w:hAnsi="Times New Roman" w:cs="Times New Roman"/>
          <w:i/>
          <w:color w:val="auto"/>
          <w:sz w:val="24"/>
          <w:szCs w:val="24"/>
        </w:rPr>
        <w:t>mayoría,</w:t>
      </w:r>
      <w:r>
        <w:rPr>
          <w:rFonts w:hint="default" w:ascii="Times New Roman" w:hAnsi="Times New Roman" w:cs="Times New Roman"/>
          <w:i/>
          <w:color w:val="auto"/>
          <w:spacing w:val="-6"/>
          <w:sz w:val="24"/>
          <w:szCs w:val="24"/>
        </w:rPr>
        <w:t xml:space="preserve"> </w:t>
      </w:r>
      <w:r>
        <w:rPr>
          <w:rFonts w:hint="default" w:ascii="Times New Roman" w:hAnsi="Times New Roman" w:cs="Times New Roman"/>
          <w:i/>
          <w:color w:val="auto"/>
          <w:sz w:val="24"/>
          <w:szCs w:val="24"/>
        </w:rPr>
        <w:t>en</w:t>
      </w:r>
      <w:r>
        <w:rPr>
          <w:rFonts w:hint="default" w:ascii="Times New Roman" w:hAnsi="Times New Roman" w:cs="Times New Roman"/>
          <w:i/>
          <w:color w:val="auto"/>
          <w:spacing w:val="-14"/>
          <w:sz w:val="24"/>
          <w:szCs w:val="24"/>
        </w:rPr>
        <w:t xml:space="preserve"> </w:t>
      </w:r>
      <w:r>
        <w:rPr>
          <w:rFonts w:hint="default" w:ascii="Times New Roman" w:hAnsi="Times New Roman" w:cs="Times New Roman"/>
          <w:i/>
          <w:color w:val="auto"/>
          <w:sz w:val="24"/>
          <w:szCs w:val="24"/>
        </w:rPr>
        <w:t>un</w:t>
      </w:r>
      <w:r>
        <w:rPr>
          <w:rFonts w:hint="default" w:ascii="Times New Roman" w:hAnsi="Times New Roman" w:cs="Times New Roman"/>
          <w:i/>
          <w:color w:val="auto"/>
          <w:spacing w:val="-15"/>
          <w:sz w:val="24"/>
          <w:szCs w:val="24"/>
        </w:rPr>
        <w:t xml:space="preserve"> </w:t>
      </w:r>
      <w:r>
        <w:rPr>
          <w:rFonts w:hint="default" w:ascii="Times New Roman" w:hAnsi="Times New Roman" w:cs="Times New Roman"/>
          <w:i/>
          <w:color w:val="auto"/>
          <w:sz w:val="24"/>
          <w:szCs w:val="24"/>
        </w:rPr>
        <w:t>solo</w:t>
      </w:r>
      <w:r>
        <w:rPr>
          <w:rFonts w:hint="default" w:ascii="Times New Roman" w:hAnsi="Times New Roman" w:cs="Times New Roman"/>
          <w:i/>
          <w:color w:val="auto"/>
          <w:spacing w:val="-4"/>
          <w:sz w:val="24"/>
          <w:szCs w:val="24"/>
        </w:rPr>
        <w:t xml:space="preserve"> </w:t>
      </w:r>
      <w:r>
        <w:rPr>
          <w:rFonts w:hint="default" w:ascii="Times New Roman" w:hAnsi="Times New Roman" w:cs="Times New Roman"/>
          <w:i/>
          <w:color w:val="auto"/>
          <w:sz w:val="24"/>
          <w:szCs w:val="24"/>
        </w:rPr>
        <w:t>debate</w:t>
      </w:r>
      <w:r>
        <w:rPr>
          <w:rFonts w:hint="default" w:ascii="Times New Roman" w:hAnsi="Times New Roman" w:cs="Times New Roman"/>
          <w:i/>
          <w:color w:val="auto"/>
          <w:spacing w:val="5"/>
          <w:sz w:val="24"/>
          <w:szCs w:val="24"/>
        </w:rPr>
        <w:t xml:space="preserve"> </w:t>
      </w:r>
      <w:r>
        <w:rPr>
          <w:rFonts w:hint="default" w:ascii="Times New Roman" w:hAnsi="Times New Roman" w:cs="Times New Roman"/>
          <w:color w:val="auto"/>
          <w:sz w:val="24"/>
          <w:szCs w:val="24"/>
        </w:rPr>
        <w:t>(…)”</w:t>
      </w:r>
      <w:r>
        <w:rPr>
          <w:rFonts w:hint="default" w:ascii="Times New Roman" w:hAnsi="Times New Roman" w:cs="Times New Roman"/>
          <w:color w:val="auto"/>
          <w:sz w:val="24"/>
          <w:szCs w:val="24"/>
          <w:lang w:val="es-EC"/>
        </w:rPr>
        <w:t>;</w:t>
      </w:r>
      <w:bookmarkEnd w:id="1"/>
    </w:p>
    <w:p>
      <w:pPr>
        <w:spacing w:before="34" w:line="240" w:lineRule="auto"/>
        <w:ind w:right="108"/>
        <w:jc w:val="both"/>
        <w:rPr>
          <w:rFonts w:hint="default" w:ascii="Times New Roman" w:hAnsi="Times New Roman" w:cs="Times New Roman"/>
          <w:color w:val="auto"/>
          <w:sz w:val="24"/>
          <w:szCs w:val="24"/>
        </w:rPr>
      </w:pPr>
      <w:r>
        <w:rPr>
          <w:rFonts w:hint="default" w:ascii="Times New Roman" w:hAnsi="Times New Roman" w:cs="Times New Roman"/>
          <w:b/>
          <w:bCs/>
          <w:color w:val="auto"/>
          <w:sz w:val="24"/>
          <w:szCs w:val="24"/>
        </w:rPr>
        <w:t>Que,</w:t>
      </w:r>
      <w:r>
        <w:rPr>
          <w:rFonts w:hint="default" w:ascii="Times New Roman" w:hAnsi="Times New Roman" w:cs="Times New Roman"/>
          <w:color w:val="auto"/>
          <w:sz w:val="24"/>
          <w:szCs w:val="24"/>
        </w:rPr>
        <w:t xml:space="preserve"> </w:t>
      </w:r>
      <w:r>
        <w:rPr>
          <w:rFonts w:hint="default" w:ascii="Times New Roman" w:hAnsi="Times New Roman" w:cs="Times New Roman"/>
          <w:color w:val="auto"/>
          <w:sz w:val="24"/>
          <w:szCs w:val="24"/>
        </w:rPr>
        <w:tab/>
      </w:r>
      <w:r>
        <w:rPr>
          <w:rFonts w:hint="default" w:ascii="Times New Roman" w:hAnsi="Times New Roman" w:cs="Times New Roman"/>
          <w:color w:val="auto"/>
          <w:sz w:val="24"/>
          <w:szCs w:val="24"/>
        </w:rPr>
        <w:t xml:space="preserve">el artículo 331 </w:t>
      </w:r>
      <w:r>
        <w:rPr>
          <w:rFonts w:hint="default" w:ascii="Times New Roman" w:hAnsi="Times New Roman" w:cs="Times New Roman"/>
          <w:color w:val="auto"/>
          <w:sz w:val="24"/>
          <w:szCs w:val="24"/>
          <w:lang w:val="es-EC"/>
        </w:rPr>
        <w:t xml:space="preserve">letra j) </w:t>
      </w:r>
      <w:r>
        <w:rPr>
          <w:rFonts w:hint="default" w:ascii="Times New Roman" w:hAnsi="Times New Roman" w:cs="Times New Roman"/>
          <w:color w:val="auto"/>
          <w:sz w:val="24"/>
          <w:szCs w:val="24"/>
        </w:rPr>
        <w:t xml:space="preserve">del </w:t>
      </w:r>
      <w:r>
        <w:rPr>
          <w:rFonts w:hint="default" w:ascii="Times New Roman" w:hAnsi="Times New Roman" w:cs="Times New Roman"/>
          <w:color w:val="auto"/>
          <w:sz w:val="24"/>
          <w:szCs w:val="24"/>
        </w:rPr>
        <w:t>(«COOTAD»)</w:t>
      </w:r>
      <w:r>
        <w:rPr>
          <w:rFonts w:hint="default" w:ascii="Times New Roman" w:hAnsi="Times New Roman" w:cs="Times New Roman"/>
          <w:color w:val="auto"/>
          <w:sz w:val="24"/>
          <w:szCs w:val="24"/>
          <w:lang w:val="es-EC"/>
        </w:rPr>
        <w:t xml:space="preserve"> dispone: “</w:t>
      </w:r>
      <w:r>
        <w:rPr>
          <w:rFonts w:hint="default" w:ascii="Times New Roman" w:hAnsi="Times New Roman" w:cs="Times New Roman"/>
          <w:i/>
          <w:iCs/>
          <w:color w:val="auto"/>
          <w:sz w:val="24"/>
          <w:szCs w:val="24"/>
        </w:rPr>
        <w:t xml:space="preserve">Está prohibido al ejecutivo de </w:t>
      </w:r>
      <w:r>
        <w:rPr>
          <w:rFonts w:hint="default" w:ascii="Times New Roman" w:hAnsi="Times New Roman" w:cs="Times New Roman"/>
          <w:i/>
          <w:iCs/>
          <w:color w:val="auto"/>
          <w:sz w:val="24"/>
          <w:szCs w:val="24"/>
          <w:lang w:val="es-EC"/>
        </w:rPr>
        <w:tab/>
      </w:r>
      <w:r>
        <w:rPr>
          <w:rFonts w:hint="default" w:ascii="Times New Roman" w:hAnsi="Times New Roman" w:cs="Times New Roman"/>
          <w:i/>
          <w:iCs/>
          <w:color w:val="auto"/>
          <w:sz w:val="24"/>
          <w:szCs w:val="24"/>
        </w:rPr>
        <w:t xml:space="preserve">los gobiernos autónomos descentralizados: </w:t>
      </w:r>
      <w:r>
        <w:rPr>
          <w:rFonts w:hint="default" w:ascii="Times New Roman" w:hAnsi="Times New Roman" w:cs="Times New Roman"/>
          <w:i/>
          <w:iCs/>
          <w:color w:val="auto"/>
          <w:sz w:val="24"/>
          <w:szCs w:val="24"/>
          <w:lang w:val="es-EC"/>
        </w:rPr>
        <w:t xml:space="preserve">(...) </w:t>
      </w:r>
      <w:r>
        <w:rPr>
          <w:rFonts w:hint="default" w:ascii="Times New Roman" w:hAnsi="Times New Roman" w:cs="Times New Roman"/>
          <w:i/>
          <w:iCs/>
          <w:color w:val="auto"/>
          <w:sz w:val="24"/>
          <w:szCs w:val="24"/>
        </w:rPr>
        <w:t xml:space="preserve"> </w:t>
      </w:r>
      <w:r>
        <w:rPr>
          <w:rFonts w:hint="default" w:ascii="Times New Roman" w:hAnsi="Times New Roman" w:cs="Times New Roman"/>
          <w:b/>
          <w:bCs/>
          <w:i/>
          <w:iCs/>
          <w:color w:val="auto"/>
          <w:sz w:val="24"/>
          <w:szCs w:val="24"/>
        </w:rPr>
        <w:t>j)</w:t>
      </w:r>
      <w:r>
        <w:rPr>
          <w:rFonts w:hint="default" w:ascii="Times New Roman" w:hAnsi="Times New Roman" w:cs="Times New Roman"/>
          <w:i/>
          <w:iCs/>
          <w:color w:val="auto"/>
          <w:sz w:val="24"/>
          <w:szCs w:val="24"/>
        </w:rPr>
        <w:t xml:space="preserve"> </w:t>
      </w:r>
      <w:r>
        <w:rPr>
          <w:rFonts w:hint="default" w:ascii="Times New Roman" w:hAnsi="Times New Roman" w:cs="Times New Roman"/>
          <w:i/>
          <w:color w:val="auto"/>
          <w:sz w:val="24"/>
          <w:szCs w:val="24"/>
        </w:rPr>
        <w:t xml:space="preserve">Absolver posiciones, deferir el </w:t>
      </w:r>
      <w:r>
        <w:rPr>
          <w:rFonts w:hint="default" w:ascii="Times New Roman" w:hAnsi="Times New Roman" w:cs="Times New Roman"/>
          <w:i/>
          <w:color w:val="auto"/>
          <w:sz w:val="24"/>
          <w:szCs w:val="24"/>
          <w:lang w:val="es-EC"/>
        </w:rPr>
        <w:tab/>
      </w:r>
      <w:r>
        <w:rPr>
          <w:rFonts w:hint="default" w:ascii="Times New Roman" w:hAnsi="Times New Roman" w:cs="Times New Roman"/>
          <w:i/>
          <w:color w:val="auto"/>
          <w:sz w:val="24"/>
          <w:szCs w:val="24"/>
        </w:rPr>
        <w:t>juramento decisorio,</w:t>
      </w:r>
      <w:r>
        <w:rPr>
          <w:rFonts w:hint="default" w:ascii="Times New Roman" w:hAnsi="Times New Roman" w:cs="Times New Roman"/>
          <w:i/>
          <w:color w:val="auto"/>
          <w:spacing w:val="1"/>
          <w:sz w:val="24"/>
          <w:szCs w:val="24"/>
        </w:rPr>
        <w:t xml:space="preserve"> </w:t>
      </w:r>
      <w:r>
        <w:rPr>
          <w:rFonts w:hint="default" w:ascii="Times New Roman" w:hAnsi="Times New Roman" w:cs="Times New Roman"/>
          <w:i/>
          <w:color w:val="auto"/>
          <w:spacing w:val="-1"/>
          <w:sz w:val="24"/>
          <w:szCs w:val="24"/>
        </w:rPr>
        <w:t>allanarse</w:t>
      </w:r>
      <w:r>
        <w:rPr>
          <w:rFonts w:hint="default" w:ascii="Times New Roman" w:hAnsi="Times New Roman" w:cs="Times New Roman"/>
          <w:i/>
          <w:color w:val="auto"/>
          <w:spacing w:val="-8"/>
          <w:sz w:val="24"/>
          <w:szCs w:val="24"/>
        </w:rPr>
        <w:t xml:space="preserve"> </w:t>
      </w:r>
      <w:r>
        <w:rPr>
          <w:rFonts w:hint="default" w:ascii="Times New Roman" w:hAnsi="Times New Roman" w:cs="Times New Roman"/>
          <w:i/>
          <w:color w:val="auto"/>
          <w:sz w:val="24"/>
          <w:szCs w:val="24"/>
        </w:rPr>
        <w:t>a</w:t>
      </w:r>
      <w:r>
        <w:rPr>
          <w:rFonts w:hint="default" w:ascii="Times New Roman" w:hAnsi="Times New Roman" w:cs="Times New Roman"/>
          <w:i/>
          <w:color w:val="auto"/>
          <w:spacing w:val="-6"/>
          <w:sz w:val="24"/>
          <w:szCs w:val="24"/>
        </w:rPr>
        <w:t xml:space="preserve"> </w:t>
      </w:r>
      <w:r>
        <w:rPr>
          <w:rFonts w:hint="default" w:ascii="Times New Roman" w:hAnsi="Times New Roman" w:cs="Times New Roman"/>
          <w:i/>
          <w:color w:val="auto"/>
          <w:sz w:val="24"/>
          <w:szCs w:val="24"/>
        </w:rPr>
        <w:t>la</w:t>
      </w:r>
      <w:r>
        <w:rPr>
          <w:rFonts w:hint="default" w:ascii="Times New Roman" w:hAnsi="Times New Roman" w:cs="Times New Roman"/>
          <w:i/>
          <w:color w:val="auto"/>
          <w:spacing w:val="-6"/>
          <w:sz w:val="24"/>
          <w:szCs w:val="24"/>
        </w:rPr>
        <w:t xml:space="preserve"> </w:t>
      </w:r>
      <w:r>
        <w:rPr>
          <w:rFonts w:hint="default" w:ascii="Times New Roman" w:hAnsi="Times New Roman" w:cs="Times New Roman"/>
          <w:i/>
          <w:color w:val="auto"/>
          <w:sz w:val="24"/>
          <w:szCs w:val="24"/>
        </w:rPr>
        <w:t>demanda</w:t>
      </w:r>
      <w:r>
        <w:rPr>
          <w:rFonts w:hint="default" w:ascii="Times New Roman" w:hAnsi="Times New Roman" w:cs="Times New Roman"/>
          <w:i/>
          <w:color w:val="auto"/>
          <w:spacing w:val="-6"/>
          <w:sz w:val="24"/>
          <w:szCs w:val="24"/>
        </w:rPr>
        <w:t xml:space="preserve"> </w:t>
      </w:r>
      <w:r>
        <w:rPr>
          <w:rFonts w:hint="default" w:ascii="Times New Roman" w:hAnsi="Times New Roman" w:cs="Times New Roman"/>
          <w:i/>
          <w:color w:val="auto"/>
          <w:sz w:val="24"/>
          <w:szCs w:val="24"/>
        </w:rPr>
        <w:t>o</w:t>
      </w:r>
      <w:r>
        <w:rPr>
          <w:rFonts w:hint="default" w:ascii="Times New Roman" w:hAnsi="Times New Roman" w:cs="Times New Roman"/>
          <w:i/>
          <w:color w:val="auto"/>
          <w:spacing w:val="-6"/>
          <w:sz w:val="24"/>
          <w:szCs w:val="24"/>
        </w:rPr>
        <w:t xml:space="preserve"> </w:t>
      </w:r>
      <w:r>
        <w:rPr>
          <w:rFonts w:hint="default" w:ascii="Times New Roman" w:hAnsi="Times New Roman" w:cs="Times New Roman"/>
          <w:i/>
          <w:color w:val="auto"/>
          <w:sz w:val="24"/>
          <w:szCs w:val="24"/>
        </w:rPr>
        <w:t>desistir</w:t>
      </w:r>
      <w:r>
        <w:rPr>
          <w:rFonts w:hint="default" w:ascii="Times New Roman" w:hAnsi="Times New Roman" w:cs="Times New Roman"/>
          <w:i/>
          <w:color w:val="auto"/>
          <w:spacing w:val="-8"/>
          <w:sz w:val="24"/>
          <w:szCs w:val="24"/>
        </w:rPr>
        <w:t xml:space="preserve"> </w:t>
      </w:r>
      <w:r>
        <w:rPr>
          <w:rFonts w:hint="default" w:ascii="Times New Roman" w:hAnsi="Times New Roman" w:cs="Times New Roman"/>
          <w:i/>
          <w:color w:val="auto"/>
          <w:sz w:val="24"/>
          <w:szCs w:val="24"/>
        </w:rPr>
        <w:t>de</w:t>
      </w:r>
      <w:r>
        <w:rPr>
          <w:rFonts w:hint="default" w:ascii="Times New Roman" w:hAnsi="Times New Roman" w:cs="Times New Roman"/>
          <w:i/>
          <w:color w:val="auto"/>
          <w:spacing w:val="-8"/>
          <w:sz w:val="24"/>
          <w:szCs w:val="24"/>
        </w:rPr>
        <w:t xml:space="preserve"> </w:t>
      </w:r>
      <w:r>
        <w:rPr>
          <w:rFonts w:hint="default" w:ascii="Times New Roman" w:hAnsi="Times New Roman" w:cs="Times New Roman"/>
          <w:i/>
          <w:color w:val="auto"/>
          <w:sz w:val="24"/>
          <w:szCs w:val="24"/>
        </w:rPr>
        <w:t>una</w:t>
      </w:r>
      <w:r>
        <w:rPr>
          <w:rFonts w:hint="default" w:ascii="Times New Roman" w:hAnsi="Times New Roman" w:cs="Times New Roman"/>
          <w:i/>
          <w:color w:val="auto"/>
          <w:spacing w:val="9"/>
          <w:sz w:val="24"/>
          <w:szCs w:val="24"/>
        </w:rPr>
        <w:t xml:space="preserve"> </w:t>
      </w:r>
      <w:r>
        <w:rPr>
          <w:rFonts w:hint="default" w:ascii="Times New Roman" w:hAnsi="Times New Roman" w:cs="Times New Roman"/>
          <w:i/>
          <w:color w:val="auto"/>
          <w:sz w:val="24"/>
          <w:szCs w:val="24"/>
        </w:rPr>
        <w:t>planteada,</w:t>
      </w:r>
      <w:r>
        <w:rPr>
          <w:rFonts w:hint="default" w:ascii="Times New Roman" w:hAnsi="Times New Roman" w:cs="Times New Roman"/>
          <w:i/>
          <w:color w:val="auto"/>
          <w:spacing w:val="-7"/>
          <w:sz w:val="24"/>
          <w:szCs w:val="24"/>
        </w:rPr>
        <w:t xml:space="preserve"> </w:t>
      </w:r>
      <w:r>
        <w:rPr>
          <w:rFonts w:hint="default" w:ascii="Times New Roman" w:hAnsi="Times New Roman" w:cs="Times New Roman"/>
          <w:i/>
          <w:color w:val="auto"/>
          <w:sz w:val="24"/>
          <w:szCs w:val="24"/>
        </w:rPr>
        <w:t>y</w:t>
      </w:r>
      <w:r>
        <w:rPr>
          <w:rFonts w:hint="default" w:ascii="Times New Roman" w:hAnsi="Times New Roman" w:cs="Times New Roman"/>
          <w:i/>
          <w:color w:val="auto"/>
          <w:spacing w:val="-3"/>
          <w:sz w:val="24"/>
          <w:szCs w:val="24"/>
        </w:rPr>
        <w:t xml:space="preserve"> </w:t>
      </w:r>
      <w:r>
        <w:rPr>
          <w:rFonts w:hint="default" w:ascii="Times New Roman" w:hAnsi="Times New Roman" w:cs="Times New Roman"/>
          <w:i/>
          <w:color w:val="auto"/>
          <w:sz w:val="24"/>
          <w:szCs w:val="24"/>
        </w:rPr>
        <w:t>aceptar</w:t>
      </w:r>
      <w:r>
        <w:rPr>
          <w:rFonts w:hint="default" w:ascii="Times New Roman" w:hAnsi="Times New Roman" w:cs="Times New Roman"/>
          <w:i/>
          <w:color w:val="auto"/>
          <w:spacing w:val="-8"/>
          <w:sz w:val="24"/>
          <w:szCs w:val="24"/>
        </w:rPr>
        <w:t xml:space="preserve"> </w:t>
      </w:r>
      <w:r>
        <w:rPr>
          <w:rFonts w:hint="default" w:ascii="Times New Roman" w:hAnsi="Times New Roman" w:cs="Times New Roman"/>
          <w:i/>
          <w:color w:val="auto"/>
          <w:spacing w:val="-8"/>
          <w:sz w:val="24"/>
          <w:szCs w:val="24"/>
          <w:lang w:val="es-EC"/>
        </w:rPr>
        <w:tab/>
      </w:r>
      <w:r>
        <w:rPr>
          <w:rFonts w:hint="default" w:ascii="Times New Roman" w:hAnsi="Times New Roman" w:cs="Times New Roman"/>
          <w:i/>
          <w:color w:val="auto"/>
          <w:sz w:val="24"/>
          <w:szCs w:val="24"/>
        </w:rPr>
        <w:t>conciliaciones</w:t>
      </w:r>
      <w:r>
        <w:rPr>
          <w:rFonts w:hint="default" w:ascii="Times New Roman" w:hAnsi="Times New Roman" w:cs="Times New Roman"/>
          <w:i/>
          <w:color w:val="auto"/>
          <w:spacing w:val="-23"/>
          <w:sz w:val="24"/>
          <w:szCs w:val="24"/>
        </w:rPr>
        <w:t xml:space="preserve"> </w:t>
      </w:r>
      <w:r>
        <w:rPr>
          <w:rFonts w:hint="default" w:ascii="Times New Roman" w:hAnsi="Times New Roman" w:cs="Times New Roman"/>
          <w:i/>
          <w:color w:val="auto"/>
          <w:sz w:val="24"/>
          <w:szCs w:val="24"/>
        </w:rPr>
        <w:t>conforme</w:t>
      </w:r>
      <w:r>
        <w:rPr>
          <w:rFonts w:hint="default" w:ascii="Times New Roman" w:hAnsi="Times New Roman" w:cs="Times New Roman"/>
          <w:i/>
          <w:color w:val="auto"/>
          <w:spacing w:val="-8"/>
          <w:sz w:val="24"/>
          <w:szCs w:val="24"/>
        </w:rPr>
        <w:t xml:space="preserve"> </w:t>
      </w:r>
      <w:r>
        <w:rPr>
          <w:rFonts w:hint="default" w:ascii="Times New Roman" w:hAnsi="Times New Roman" w:cs="Times New Roman"/>
          <w:i/>
          <w:color w:val="auto"/>
          <w:sz w:val="24"/>
          <w:szCs w:val="24"/>
        </w:rPr>
        <w:t>a</w:t>
      </w:r>
      <w:r>
        <w:rPr>
          <w:rFonts w:hint="default" w:ascii="Times New Roman" w:hAnsi="Times New Roman" w:cs="Times New Roman"/>
          <w:i/>
          <w:color w:val="auto"/>
          <w:spacing w:val="-6"/>
          <w:sz w:val="24"/>
          <w:szCs w:val="24"/>
        </w:rPr>
        <w:t xml:space="preserve"> </w:t>
      </w:r>
      <w:r>
        <w:rPr>
          <w:rFonts w:hint="default" w:ascii="Times New Roman" w:hAnsi="Times New Roman" w:cs="Times New Roman"/>
          <w:i/>
          <w:color w:val="auto"/>
          <w:sz w:val="24"/>
          <w:szCs w:val="24"/>
        </w:rPr>
        <w:t>la</w:t>
      </w:r>
      <w:r>
        <w:rPr>
          <w:rFonts w:hint="default" w:ascii="Times New Roman" w:hAnsi="Times New Roman" w:cs="Times New Roman"/>
          <w:i/>
          <w:color w:val="auto"/>
          <w:spacing w:val="1"/>
          <w:sz w:val="24"/>
          <w:szCs w:val="24"/>
        </w:rPr>
        <w:t xml:space="preserve"> </w:t>
      </w:r>
      <w:r>
        <w:rPr>
          <w:rFonts w:hint="default" w:ascii="Times New Roman" w:hAnsi="Times New Roman" w:cs="Times New Roman"/>
          <w:i/>
          <w:color w:val="auto"/>
          <w:sz w:val="24"/>
          <w:szCs w:val="24"/>
        </w:rPr>
        <w:t>ley</w:t>
      </w:r>
      <w:r>
        <w:rPr>
          <w:rFonts w:hint="default" w:ascii="Times New Roman" w:hAnsi="Times New Roman" w:cs="Times New Roman"/>
          <w:i/>
          <w:color w:val="auto"/>
          <w:spacing w:val="-2"/>
          <w:sz w:val="24"/>
          <w:szCs w:val="24"/>
        </w:rPr>
        <w:t xml:space="preserve"> </w:t>
      </w:r>
      <w:r>
        <w:rPr>
          <w:rFonts w:hint="default" w:ascii="Times New Roman" w:hAnsi="Times New Roman" w:cs="Times New Roman"/>
          <w:i/>
          <w:color w:val="auto"/>
          <w:sz w:val="24"/>
          <w:szCs w:val="24"/>
        </w:rPr>
        <w:t>sin</w:t>
      </w:r>
      <w:r>
        <w:rPr>
          <w:rFonts w:hint="default" w:ascii="Times New Roman" w:hAnsi="Times New Roman" w:cs="Times New Roman"/>
          <w:i/>
          <w:color w:val="auto"/>
          <w:spacing w:val="-15"/>
          <w:sz w:val="24"/>
          <w:szCs w:val="24"/>
        </w:rPr>
        <w:t xml:space="preserve"> </w:t>
      </w:r>
      <w:r>
        <w:rPr>
          <w:rFonts w:hint="default" w:ascii="Times New Roman" w:hAnsi="Times New Roman" w:cs="Times New Roman"/>
          <w:i/>
          <w:color w:val="auto"/>
          <w:sz w:val="24"/>
          <w:szCs w:val="24"/>
        </w:rPr>
        <w:t>previa</w:t>
      </w:r>
      <w:r>
        <w:rPr>
          <w:rFonts w:hint="default" w:ascii="Times New Roman" w:hAnsi="Times New Roman" w:cs="Times New Roman"/>
          <w:i/>
          <w:color w:val="auto"/>
          <w:spacing w:val="10"/>
          <w:sz w:val="24"/>
          <w:szCs w:val="24"/>
        </w:rPr>
        <w:t xml:space="preserve"> </w:t>
      </w:r>
      <w:r>
        <w:rPr>
          <w:rFonts w:hint="default" w:ascii="Times New Roman" w:hAnsi="Times New Roman" w:cs="Times New Roman"/>
          <w:i/>
          <w:color w:val="auto"/>
          <w:sz w:val="24"/>
          <w:szCs w:val="24"/>
        </w:rPr>
        <w:t>autorización</w:t>
      </w:r>
      <w:r>
        <w:rPr>
          <w:rFonts w:hint="default" w:ascii="Times New Roman" w:hAnsi="Times New Roman" w:cs="Times New Roman"/>
          <w:i/>
          <w:color w:val="auto"/>
          <w:spacing w:val="-15"/>
          <w:sz w:val="24"/>
          <w:szCs w:val="24"/>
        </w:rPr>
        <w:t xml:space="preserve"> </w:t>
      </w:r>
      <w:r>
        <w:rPr>
          <w:rFonts w:hint="default" w:ascii="Times New Roman" w:hAnsi="Times New Roman" w:cs="Times New Roman"/>
          <w:i/>
          <w:color w:val="auto"/>
          <w:sz w:val="24"/>
          <w:szCs w:val="24"/>
        </w:rPr>
        <w:t>del</w:t>
      </w:r>
      <w:r>
        <w:rPr>
          <w:rFonts w:hint="default" w:ascii="Times New Roman" w:hAnsi="Times New Roman" w:cs="Times New Roman"/>
          <w:i/>
          <w:color w:val="auto"/>
          <w:spacing w:val="-12"/>
          <w:sz w:val="24"/>
          <w:szCs w:val="24"/>
        </w:rPr>
        <w:t xml:space="preserve"> </w:t>
      </w:r>
      <w:r>
        <w:rPr>
          <w:rFonts w:hint="default" w:ascii="Times New Roman" w:hAnsi="Times New Roman" w:cs="Times New Roman"/>
          <w:i/>
          <w:color w:val="auto"/>
          <w:sz w:val="24"/>
          <w:szCs w:val="24"/>
        </w:rPr>
        <w:t>órgano</w:t>
      </w:r>
      <w:r>
        <w:rPr>
          <w:rFonts w:hint="default" w:ascii="Times New Roman" w:hAnsi="Times New Roman" w:cs="Times New Roman"/>
          <w:i/>
          <w:color w:val="auto"/>
          <w:spacing w:val="-5"/>
          <w:sz w:val="24"/>
          <w:szCs w:val="24"/>
        </w:rPr>
        <w:t xml:space="preserve"> </w:t>
      </w:r>
      <w:r>
        <w:rPr>
          <w:rFonts w:hint="default" w:ascii="Times New Roman" w:hAnsi="Times New Roman" w:cs="Times New Roman"/>
          <w:i/>
          <w:color w:val="auto"/>
          <w:sz w:val="24"/>
          <w:szCs w:val="24"/>
        </w:rPr>
        <w:t>de</w:t>
      </w:r>
      <w:r>
        <w:rPr>
          <w:rFonts w:hint="default" w:ascii="Times New Roman" w:hAnsi="Times New Roman" w:cs="Times New Roman"/>
          <w:i/>
          <w:color w:val="auto"/>
          <w:spacing w:val="-22"/>
          <w:sz w:val="24"/>
          <w:szCs w:val="24"/>
        </w:rPr>
        <w:t xml:space="preserve"> </w:t>
      </w:r>
      <w:r>
        <w:rPr>
          <w:rFonts w:hint="default" w:ascii="Times New Roman" w:hAnsi="Times New Roman" w:cs="Times New Roman"/>
          <w:i/>
          <w:color w:val="auto"/>
          <w:sz w:val="24"/>
          <w:szCs w:val="24"/>
        </w:rPr>
        <w:t>legislación</w:t>
      </w:r>
      <w:r>
        <w:rPr>
          <w:rFonts w:hint="default" w:ascii="Times New Roman" w:hAnsi="Times New Roman" w:cs="Times New Roman"/>
          <w:color w:val="auto"/>
          <w:sz w:val="24"/>
          <w:szCs w:val="24"/>
        </w:rPr>
        <w:t>”</w:t>
      </w:r>
      <w:r>
        <w:rPr>
          <w:rFonts w:hint="default" w:ascii="Times New Roman" w:hAnsi="Times New Roman" w:cs="Times New Roman"/>
          <w:color w:val="auto"/>
          <w:sz w:val="24"/>
          <w:szCs w:val="24"/>
          <w:lang w:val="es-EC"/>
        </w:rPr>
        <w:t>;</w:t>
      </w:r>
    </w:p>
    <w:p>
      <w:pPr>
        <w:autoSpaceDE w:val="0"/>
        <w:autoSpaceDN w:val="0"/>
        <w:adjustRightInd w:val="0"/>
        <w:spacing w:line="240" w:lineRule="auto"/>
        <w:ind w:left="705" w:hanging="705"/>
        <w:jc w:val="both"/>
        <w:rPr>
          <w:rFonts w:hint="default" w:ascii="Times New Roman" w:hAnsi="Times New Roman" w:cs="Times New Roman"/>
          <w:i/>
          <w:iCs/>
          <w:color w:val="auto"/>
          <w:sz w:val="24"/>
          <w:szCs w:val="24"/>
        </w:rPr>
      </w:pPr>
      <w:r>
        <w:rPr>
          <w:rFonts w:hint="default" w:ascii="Times New Roman" w:hAnsi="Times New Roman" w:cs="Times New Roman"/>
          <w:b/>
          <w:bCs/>
          <w:color w:val="auto"/>
          <w:sz w:val="24"/>
          <w:szCs w:val="24"/>
        </w:rPr>
        <w:t>Que,</w:t>
      </w:r>
      <w:r>
        <w:rPr>
          <w:rFonts w:hint="default" w:ascii="Times New Roman" w:hAnsi="Times New Roman" w:cs="Times New Roman"/>
          <w:color w:val="auto"/>
          <w:sz w:val="24"/>
          <w:szCs w:val="24"/>
        </w:rPr>
        <w:tab/>
      </w:r>
      <w:r>
        <w:rPr>
          <w:rFonts w:hint="default" w:ascii="Times New Roman" w:hAnsi="Times New Roman" w:cs="Times New Roman"/>
          <w:color w:val="auto"/>
          <w:sz w:val="24"/>
          <w:szCs w:val="24"/>
        </w:rPr>
        <w:t xml:space="preserve">el artículo 43 de la Ley de Arbitraje y Mediación, establece que </w:t>
      </w:r>
      <w:r>
        <w:rPr>
          <w:rFonts w:hint="default" w:ascii="Times New Roman" w:hAnsi="Times New Roman" w:cs="Times New Roman"/>
          <w:i/>
          <w:iCs/>
          <w:color w:val="auto"/>
          <w:sz w:val="24"/>
          <w:szCs w:val="24"/>
        </w:rPr>
        <w:t>“(…) La mediación es un procedimiento de solución de conflictos por el cual las partes, asistidas por un tercero neutral llamado mediador, procuran un acuerdo voluntario, que verse sobre materia transigible, de carácter extrajudicial y definitivo, que ponga fin al conflicto (…)”;</w:t>
      </w:r>
    </w:p>
    <w:p>
      <w:pPr>
        <w:spacing w:line="240" w:lineRule="auto"/>
        <w:ind w:left="0"/>
        <w:jc w:val="both"/>
        <w:rPr>
          <w:rFonts w:hint="default" w:ascii="Times New Roman" w:hAnsi="Times New Roman" w:cs="Times New Roman"/>
          <w:i/>
          <w:iCs/>
          <w:color w:val="auto"/>
          <w:sz w:val="24"/>
          <w:szCs w:val="24"/>
          <w:lang w:eastAsia="es-EC"/>
        </w:rPr>
      </w:pPr>
      <w:r>
        <w:rPr>
          <w:rFonts w:hint="default" w:ascii="Times New Roman" w:hAnsi="Times New Roman" w:cs="Times New Roman"/>
          <w:color w:val="auto"/>
          <w:sz w:val="24"/>
          <w:szCs w:val="24"/>
        </w:rPr>
        <w:t xml:space="preserve">Que,   </w:t>
      </w:r>
      <w:r>
        <w:rPr>
          <w:rFonts w:hint="default" w:ascii="Times New Roman" w:hAnsi="Times New Roman" w:cs="Times New Roman"/>
          <w:color w:val="auto"/>
          <w:sz w:val="24"/>
          <w:szCs w:val="24"/>
          <w:lang w:val="es-EC" w:eastAsia="es-EC"/>
        </w:rPr>
        <w:t xml:space="preserve">mediante </w:t>
      </w:r>
      <w:bookmarkStart w:id="2" w:name="_Hlk94041084"/>
      <w:r>
        <w:rPr>
          <w:rFonts w:hint="default" w:ascii="Times New Roman" w:hAnsi="Times New Roman" w:cs="Times New Roman"/>
          <w:color w:val="auto"/>
          <w:sz w:val="24"/>
          <w:szCs w:val="24"/>
          <w:lang w:val="es-EC" w:eastAsia="es-EC"/>
        </w:rPr>
        <w:t>Resolución No. A-024, de 23 de marzo de 2020</w:t>
      </w:r>
      <w:bookmarkEnd w:id="2"/>
      <w:r>
        <w:rPr>
          <w:rFonts w:hint="default" w:ascii="Times New Roman" w:hAnsi="Times New Roman" w:cs="Times New Roman"/>
          <w:color w:val="auto"/>
          <w:sz w:val="24"/>
          <w:szCs w:val="24"/>
          <w:lang w:val="es-EC" w:eastAsia="es-EC"/>
        </w:rPr>
        <w:t xml:space="preserve">, el Alcalde del Distrito </w:t>
      </w:r>
      <w:r>
        <w:rPr>
          <w:rFonts w:hint="default" w:ascii="Times New Roman" w:hAnsi="Times New Roman" w:cs="Times New Roman"/>
          <w:color w:val="auto"/>
          <w:sz w:val="24"/>
          <w:szCs w:val="24"/>
          <w:lang w:val="en-US" w:eastAsia="es-EC"/>
        </w:rPr>
        <w:tab/>
      </w:r>
      <w:r>
        <w:rPr>
          <w:rFonts w:hint="default" w:ascii="Times New Roman" w:hAnsi="Times New Roman" w:cs="Times New Roman"/>
          <w:color w:val="auto"/>
          <w:sz w:val="24"/>
          <w:szCs w:val="24"/>
          <w:lang w:val="es-EC" w:eastAsia="es-EC"/>
        </w:rPr>
        <w:t xml:space="preserve">Metropolitano de Quito, resolvió: </w:t>
      </w:r>
      <w:bookmarkStart w:id="3" w:name="_Hlk94041141"/>
      <w:r>
        <w:rPr>
          <w:rFonts w:hint="default" w:ascii="Times New Roman" w:hAnsi="Times New Roman" w:cs="Times New Roman"/>
          <w:i/>
          <w:iCs/>
          <w:color w:val="auto"/>
          <w:sz w:val="24"/>
          <w:szCs w:val="24"/>
          <w:lang w:val="es-EC" w:eastAsia="es-EC"/>
        </w:rPr>
        <w:t>“(</w:t>
      </w:r>
      <w:r>
        <w:rPr>
          <w:rFonts w:hint="default" w:ascii="Times New Roman" w:hAnsi="Times New Roman" w:cs="Times New Roman"/>
          <w:color w:val="auto"/>
          <w:sz w:val="24"/>
          <w:szCs w:val="24"/>
          <w:lang w:val="es-EC" w:eastAsia="es-EC"/>
        </w:rPr>
        <w:t>…</w:t>
      </w:r>
      <w:r>
        <w:rPr>
          <w:rFonts w:hint="default" w:ascii="Times New Roman" w:hAnsi="Times New Roman" w:cs="Times New Roman"/>
          <w:i/>
          <w:iCs/>
          <w:color w:val="auto"/>
          <w:sz w:val="24"/>
          <w:szCs w:val="24"/>
          <w:lang w:val="es-EC" w:eastAsia="es-EC"/>
        </w:rPr>
        <w:t xml:space="preserve">) Art. 1.- Delegar a la Empresa Pública </w:t>
      </w:r>
      <w:r>
        <w:rPr>
          <w:rFonts w:hint="default" w:ascii="Times New Roman" w:hAnsi="Times New Roman" w:cs="Times New Roman"/>
          <w:i/>
          <w:iCs/>
          <w:color w:val="auto"/>
          <w:sz w:val="24"/>
          <w:szCs w:val="24"/>
          <w:lang w:val="en-US" w:eastAsia="es-EC"/>
        </w:rPr>
        <w:tab/>
      </w:r>
      <w:r>
        <w:rPr>
          <w:rFonts w:hint="default" w:ascii="Times New Roman" w:hAnsi="Times New Roman" w:cs="Times New Roman"/>
          <w:i/>
          <w:iCs/>
          <w:color w:val="auto"/>
          <w:sz w:val="24"/>
          <w:szCs w:val="24"/>
          <w:lang w:val="es-EC" w:eastAsia="es-EC"/>
        </w:rPr>
        <w:t xml:space="preserve">Metropolitana Metro de Quito (EPMMQ) por medio de su Gerente General, la </w:t>
      </w:r>
      <w:r>
        <w:rPr>
          <w:rFonts w:hint="default" w:ascii="Times New Roman" w:hAnsi="Times New Roman" w:cs="Times New Roman"/>
          <w:i/>
          <w:iCs/>
          <w:color w:val="auto"/>
          <w:sz w:val="24"/>
          <w:szCs w:val="24"/>
          <w:lang w:val="en-US" w:eastAsia="es-EC"/>
        </w:rPr>
        <w:tab/>
      </w:r>
      <w:r>
        <w:rPr>
          <w:rFonts w:hint="default" w:ascii="Times New Roman" w:hAnsi="Times New Roman" w:cs="Times New Roman"/>
          <w:i/>
          <w:iCs/>
          <w:color w:val="auto"/>
          <w:sz w:val="24"/>
          <w:szCs w:val="24"/>
          <w:lang w:val="es-EC" w:eastAsia="es-EC"/>
        </w:rPr>
        <w:t xml:space="preserve">implementación de las compensaciones a las que hubiere lugar, de acuerdo con </w:t>
      </w:r>
      <w:r>
        <w:rPr>
          <w:rFonts w:hint="default" w:ascii="Times New Roman" w:hAnsi="Times New Roman" w:cs="Times New Roman"/>
          <w:i/>
          <w:iCs/>
          <w:color w:val="auto"/>
          <w:sz w:val="24"/>
          <w:szCs w:val="24"/>
          <w:lang w:val="en-US" w:eastAsia="es-EC"/>
        </w:rPr>
        <w:tab/>
      </w:r>
      <w:r>
        <w:rPr>
          <w:rFonts w:hint="default" w:ascii="Times New Roman" w:hAnsi="Times New Roman" w:cs="Times New Roman"/>
          <w:i/>
          <w:iCs/>
          <w:color w:val="auto"/>
          <w:sz w:val="24"/>
          <w:szCs w:val="24"/>
          <w:lang w:val="es-EC" w:eastAsia="es-EC"/>
        </w:rPr>
        <w:t xml:space="preserve">el </w:t>
      </w:r>
      <w:r>
        <w:rPr>
          <w:rFonts w:hint="default" w:ascii="Times New Roman" w:hAnsi="Times New Roman" w:cs="Times New Roman"/>
          <w:i/>
          <w:iCs/>
          <w:color w:val="auto"/>
          <w:sz w:val="24"/>
          <w:szCs w:val="24"/>
          <w:lang w:val="en-US" w:eastAsia="es-EC"/>
        </w:rPr>
        <w:tab/>
      </w:r>
      <w:r>
        <w:rPr>
          <w:rFonts w:hint="default" w:ascii="Times New Roman" w:hAnsi="Times New Roman" w:cs="Times New Roman"/>
          <w:i/>
          <w:iCs/>
          <w:color w:val="auto"/>
          <w:sz w:val="24"/>
          <w:szCs w:val="24"/>
          <w:lang w:val="es-EC" w:eastAsia="es-EC"/>
        </w:rPr>
        <w:t xml:space="preserve">régimen jurídico aplicable, en el área de influencia directa de las estaciones de la </w:t>
      </w:r>
      <w:r>
        <w:rPr>
          <w:rFonts w:hint="default" w:ascii="Times New Roman" w:hAnsi="Times New Roman" w:cs="Times New Roman"/>
          <w:i/>
          <w:iCs/>
          <w:color w:val="auto"/>
          <w:sz w:val="24"/>
          <w:szCs w:val="24"/>
          <w:lang w:val="en-US" w:eastAsia="es-EC"/>
        </w:rPr>
        <w:tab/>
      </w:r>
      <w:r>
        <w:rPr>
          <w:rFonts w:hint="default" w:ascii="Times New Roman" w:hAnsi="Times New Roman" w:cs="Times New Roman"/>
          <w:i/>
          <w:iCs/>
          <w:color w:val="auto"/>
          <w:sz w:val="24"/>
          <w:szCs w:val="24"/>
          <w:lang w:val="es-EC" w:eastAsia="es-EC"/>
        </w:rPr>
        <w:t>Primera Línea del Metro de Quito. Con motivo de delegación, se considerará:</w:t>
      </w:r>
    </w:p>
    <w:p>
      <w:pPr>
        <w:pStyle w:val="13"/>
        <w:numPr>
          <w:ilvl w:val="0"/>
          <w:numId w:val="1"/>
        </w:numPr>
        <w:spacing w:line="240" w:lineRule="auto"/>
        <w:jc w:val="both"/>
        <w:rPr>
          <w:rFonts w:hint="default" w:ascii="Times New Roman" w:hAnsi="Times New Roman" w:cs="Times New Roman"/>
          <w:i/>
          <w:iCs/>
          <w:color w:val="auto"/>
          <w:sz w:val="24"/>
          <w:szCs w:val="24"/>
          <w:lang w:eastAsia="es-EC"/>
        </w:rPr>
      </w:pPr>
      <w:r>
        <w:rPr>
          <w:rFonts w:hint="default" w:ascii="Times New Roman" w:hAnsi="Times New Roman" w:cs="Times New Roman"/>
          <w:i/>
          <w:iCs/>
          <w:color w:val="auto"/>
          <w:sz w:val="24"/>
          <w:szCs w:val="24"/>
          <w:lang w:eastAsia="es-EC"/>
        </w:rPr>
        <w:t>Para todos los efectos previstos en el régimen jurídico aplicable, la EPMMQ actuará con todas las competencias atribuidas del Gobierno Autónomo Descentralizado del Distrito Metropolitano de Quito (GAD DMQ), en relación con la planificación, instrumentación, implementación, pago y cualquier otra actividad vinculada con las compensaciones a cargo de la Municipalidad. Asumirá, para este propósito de forma integral la responsabilidad de determinar los beneficiarios, cuantificar, aprobar y satisfacer efectivamente las compensaciones a las que hubiere lugar para lo cual contará con la asesoría técnica, jurídica y financiera de sus órganos internos;</w:t>
      </w:r>
    </w:p>
    <w:p>
      <w:pPr>
        <w:pStyle w:val="13"/>
        <w:numPr>
          <w:ilvl w:val="0"/>
          <w:numId w:val="1"/>
        </w:numPr>
        <w:autoSpaceDE w:val="0"/>
        <w:autoSpaceDN w:val="0"/>
        <w:adjustRightInd w:val="0"/>
        <w:spacing w:line="240" w:lineRule="auto"/>
        <w:jc w:val="both"/>
        <w:rPr>
          <w:rFonts w:hint="default" w:ascii="Times New Roman" w:hAnsi="Times New Roman" w:cs="Times New Roman"/>
          <w:i/>
          <w:iCs/>
          <w:color w:val="auto"/>
          <w:sz w:val="24"/>
          <w:szCs w:val="24"/>
          <w:lang w:eastAsia="es-EC"/>
        </w:rPr>
      </w:pPr>
      <w:r>
        <w:rPr>
          <w:rFonts w:hint="default" w:ascii="Times New Roman" w:hAnsi="Times New Roman" w:cs="Times New Roman"/>
          <w:i/>
          <w:iCs/>
          <w:color w:val="auto"/>
          <w:sz w:val="24"/>
          <w:szCs w:val="24"/>
          <w:lang w:eastAsia="es-EC"/>
        </w:rPr>
        <w:t>La EPMMQ está habilitada para conducir cualquier proceso de negociación directa con los beneficiarios;</w:t>
      </w:r>
    </w:p>
    <w:p>
      <w:pPr>
        <w:pStyle w:val="13"/>
        <w:numPr>
          <w:ilvl w:val="0"/>
          <w:numId w:val="1"/>
        </w:numPr>
        <w:autoSpaceDE w:val="0"/>
        <w:autoSpaceDN w:val="0"/>
        <w:adjustRightInd w:val="0"/>
        <w:spacing w:line="240" w:lineRule="auto"/>
        <w:jc w:val="both"/>
        <w:rPr>
          <w:rFonts w:hint="default" w:ascii="Times New Roman" w:hAnsi="Times New Roman" w:cs="Times New Roman"/>
          <w:i/>
          <w:iCs/>
          <w:color w:val="auto"/>
          <w:sz w:val="24"/>
          <w:szCs w:val="24"/>
          <w:lang w:eastAsia="es-EC"/>
        </w:rPr>
      </w:pPr>
      <w:r>
        <w:rPr>
          <w:rFonts w:hint="default" w:ascii="Times New Roman" w:hAnsi="Times New Roman" w:cs="Times New Roman"/>
          <w:i/>
          <w:iCs/>
          <w:color w:val="auto"/>
          <w:sz w:val="24"/>
          <w:szCs w:val="24"/>
          <w:lang w:eastAsia="es-EC"/>
        </w:rPr>
        <w:t>La EPMMQ formulará y suscribirá todos los actos, negocios, contratos y demás documentos que se requieren para la efectiva implementación de las compensaciones a las que se refiere esta delegación;</w:t>
      </w:r>
    </w:p>
    <w:p>
      <w:pPr>
        <w:pStyle w:val="13"/>
        <w:numPr>
          <w:ilvl w:val="0"/>
          <w:numId w:val="1"/>
        </w:numPr>
        <w:autoSpaceDE w:val="0"/>
        <w:autoSpaceDN w:val="0"/>
        <w:adjustRightInd w:val="0"/>
        <w:spacing w:line="240" w:lineRule="auto"/>
        <w:jc w:val="both"/>
        <w:rPr>
          <w:rFonts w:hint="default" w:ascii="Times New Roman" w:hAnsi="Times New Roman" w:cs="Times New Roman"/>
          <w:i/>
          <w:iCs/>
          <w:color w:val="auto"/>
          <w:sz w:val="24"/>
          <w:szCs w:val="24"/>
          <w:lang w:eastAsia="es-EC"/>
        </w:rPr>
      </w:pPr>
      <w:r>
        <w:rPr>
          <w:rFonts w:hint="default" w:ascii="Times New Roman" w:hAnsi="Times New Roman" w:cs="Times New Roman"/>
          <w:i/>
          <w:iCs/>
          <w:color w:val="auto"/>
          <w:sz w:val="24"/>
          <w:szCs w:val="24"/>
          <w:lang w:eastAsia="es-EC"/>
        </w:rPr>
        <w:t>Para a la suscripción de los instrumentos la EPMMQ, a nombre del GAD DMQ, está facultada y obligada a obtener las autorizaciones o dictámenes exigidos por el régimen jurídico aplicable, con la oportunidad correspondiente;</w:t>
      </w:r>
    </w:p>
    <w:p>
      <w:pPr>
        <w:pStyle w:val="13"/>
        <w:numPr>
          <w:ilvl w:val="0"/>
          <w:numId w:val="1"/>
        </w:numPr>
        <w:autoSpaceDE w:val="0"/>
        <w:autoSpaceDN w:val="0"/>
        <w:adjustRightInd w:val="0"/>
        <w:spacing w:line="240" w:lineRule="auto"/>
        <w:jc w:val="both"/>
        <w:rPr>
          <w:rFonts w:hint="default" w:ascii="Times New Roman" w:hAnsi="Times New Roman" w:cs="Times New Roman"/>
          <w:i/>
          <w:iCs/>
          <w:color w:val="auto"/>
          <w:sz w:val="24"/>
          <w:szCs w:val="24"/>
          <w:lang w:val="es-EC" w:eastAsia="es-EC"/>
        </w:rPr>
      </w:pPr>
      <w:r>
        <w:rPr>
          <w:rFonts w:hint="default" w:ascii="Times New Roman" w:hAnsi="Times New Roman" w:cs="Times New Roman"/>
          <w:i/>
          <w:iCs/>
          <w:color w:val="auto"/>
          <w:sz w:val="24"/>
          <w:szCs w:val="24"/>
          <w:lang w:eastAsia="es-EC"/>
        </w:rPr>
        <w:t xml:space="preserve">Los análisis respecto a la oportunidad, mérito y conveniencia del pago y la cuantía de las compensaciones le corresponden exclusivamente a la Gerencia General de la EPMMQ, a cuyo efecto contará con los informes y demás actos de simple administración para la formación de la voluntad de la administración; </w:t>
      </w:r>
    </w:p>
    <w:p>
      <w:pPr>
        <w:pStyle w:val="13"/>
        <w:numPr>
          <w:ilvl w:val="0"/>
          <w:numId w:val="1"/>
        </w:numPr>
        <w:autoSpaceDE w:val="0"/>
        <w:autoSpaceDN w:val="0"/>
        <w:adjustRightInd w:val="0"/>
        <w:spacing w:line="240" w:lineRule="auto"/>
        <w:jc w:val="both"/>
        <w:rPr>
          <w:rFonts w:hint="default" w:ascii="Times New Roman" w:hAnsi="Times New Roman" w:cs="Times New Roman"/>
          <w:i/>
          <w:iCs/>
          <w:color w:val="auto"/>
          <w:sz w:val="24"/>
          <w:szCs w:val="24"/>
        </w:rPr>
      </w:pPr>
      <w:r>
        <w:rPr>
          <w:rFonts w:hint="default" w:ascii="Times New Roman" w:hAnsi="Times New Roman" w:cs="Times New Roman"/>
          <w:i/>
          <w:iCs/>
          <w:color w:val="auto"/>
          <w:sz w:val="24"/>
          <w:szCs w:val="24"/>
          <w:lang w:val="es-EC" w:eastAsia="es-EC"/>
        </w:rPr>
        <w:t xml:space="preserve">La EPMMQ está facultada para intervenir, en cualquier calidad, dentro de cualquier proceso judicial, constitucional, mecanismo de resolución alternativo de conflictos o de cualquier otra naturaleza relacionada a esta delegación. Cuando proceda, requerirá la delegación que corresponda de parte de la Procuraduría Metropolitana. </w:t>
      </w:r>
      <w:r>
        <w:rPr>
          <w:rFonts w:hint="default" w:ascii="Times New Roman" w:hAnsi="Times New Roman" w:cs="Times New Roman"/>
          <w:i/>
          <w:iCs/>
          <w:color w:val="auto"/>
          <w:sz w:val="24"/>
          <w:szCs w:val="24"/>
          <w:lang w:val="en-US" w:eastAsia="es-EC"/>
        </w:rPr>
        <w:t>(...)</w:t>
      </w:r>
      <w:r>
        <w:rPr>
          <w:rFonts w:hint="default" w:ascii="Times New Roman" w:hAnsi="Times New Roman" w:cs="Times New Roman"/>
          <w:i/>
          <w:iCs/>
          <w:color w:val="auto"/>
          <w:sz w:val="24"/>
          <w:szCs w:val="24"/>
        </w:rPr>
        <w:t>”;</w:t>
      </w:r>
    </w:p>
    <w:bookmarkEnd w:id="3"/>
    <w:p>
      <w:pPr>
        <w:spacing w:line="240" w:lineRule="auto"/>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Que, </w:t>
      </w:r>
      <w:r>
        <w:rPr>
          <w:rFonts w:hint="default" w:ascii="Times New Roman" w:hAnsi="Times New Roman" w:cs="Times New Roman"/>
          <w:color w:val="auto"/>
          <w:sz w:val="24"/>
          <w:szCs w:val="24"/>
        </w:rPr>
        <w:tab/>
      </w:r>
      <w:r>
        <w:rPr>
          <w:rFonts w:hint="default" w:ascii="Times New Roman" w:hAnsi="Times New Roman" w:cs="Times New Roman"/>
          <w:color w:val="auto"/>
          <w:sz w:val="24"/>
          <w:szCs w:val="24"/>
          <w:lang w:val="es-EC"/>
        </w:rPr>
        <w:t xml:space="preserve">mediante oficios No. EPMMQ-GG-2021-0391-M, de 23 de junio de 2021,  EPMMQ-GG-2021-1079-O, de 24 de agosto de 2021, EPMMQ-GG-2021-1169-O, de 13 de septiembre de 2021, y EPMMQ-GG-2021-1381-O, de 9 de noviembre de 2021, el Gerente General de la Empresa Pública Metropolitana Metro de Quito, señaló y solicitó lo siguiente: </w:t>
      </w:r>
    </w:p>
    <w:p>
      <w:pPr>
        <w:spacing w:line="240" w:lineRule="auto"/>
        <w:ind w:left="705" w:firstLine="0" w:firstLineChars="0"/>
        <w:jc w:val="both"/>
        <w:rPr>
          <w:rFonts w:hint="default" w:ascii="Times New Roman" w:hAnsi="Times New Roman" w:cs="Times New Roman"/>
          <w:i/>
          <w:iCs/>
          <w:color w:val="auto"/>
          <w:sz w:val="24"/>
          <w:szCs w:val="24"/>
          <w:lang w:val="es-EC"/>
        </w:rPr>
      </w:pPr>
      <w:r>
        <w:rPr>
          <w:rFonts w:hint="default" w:ascii="Times New Roman" w:hAnsi="Times New Roman" w:cs="Times New Roman"/>
          <w:i/>
          <w:iCs/>
          <w:color w:val="auto"/>
          <w:sz w:val="24"/>
          <w:szCs w:val="24"/>
          <w:lang w:val="es-EC"/>
        </w:rPr>
        <w:t xml:space="preserve">“(...) mediante </w:t>
      </w:r>
      <w:bookmarkStart w:id="4" w:name="_Hlk66974952"/>
      <w:r>
        <w:rPr>
          <w:rFonts w:hint="default" w:ascii="Times New Roman" w:hAnsi="Times New Roman" w:cs="Times New Roman"/>
          <w:i/>
          <w:iCs/>
          <w:color w:val="auto"/>
          <w:sz w:val="24"/>
          <w:szCs w:val="24"/>
          <w:lang w:val="es-EC"/>
        </w:rPr>
        <w:t>Informe Técnico de 10 de marzo de 2021 (Memorando Nro. EPMMQ-GRSA-2021-0069-M de 10 de marzo de 2021</w:t>
      </w:r>
      <w:bookmarkEnd w:id="4"/>
      <w:r>
        <w:rPr>
          <w:rFonts w:hint="default" w:ascii="Times New Roman" w:hAnsi="Times New Roman" w:cs="Times New Roman"/>
          <w:i/>
          <w:iCs/>
          <w:color w:val="auto"/>
          <w:sz w:val="24"/>
          <w:szCs w:val="24"/>
          <w:lang w:val="es-EC"/>
        </w:rPr>
        <w:t xml:space="preserve">), remitido por la Dirección Social y Patrimonial expone que: </w:t>
      </w:r>
      <w:r>
        <w:rPr>
          <w:rFonts w:hint="default" w:ascii="Times New Roman" w:hAnsi="Times New Roman" w:cs="Times New Roman"/>
          <w:i/>
          <w:iCs/>
          <w:color w:val="auto"/>
          <w:sz w:val="24"/>
          <w:szCs w:val="24"/>
          <w:lang w:val="es-EC"/>
        </w:rPr>
        <w:t xml:space="preserve">“(…) Con el objetivo de cumplir con las políticas operacionales, salvaguardas sociales y ambientales, de los Organismos Multilaterales de Financiamiento de la PLMQ, específicamente las compensaciones a negocios afectados por la construcción de la PLMQ, y de conformidad con la Resolución No. No. A-024, de 23 de marzo de 2020 de delegación del Alcalde del Distrito Metropolitano de Quito, las directrices de Gerencia General contenidas en memorandos No. EPMMQ-GG-2020-0069 de 16 de junio de 2020 y No. EPMMQ-GG-2020-0141-M de 30 de octubre de 2020, la EPMMQ está llevando a cabo la implementación del Plan de Restitución de Medios de Vida de conformidad a lo determinado por el “Estudio para el Levantamiento de Información Económica de los negocios ubicados en el área de influencia directa de las estaciones de la Primera Línea del Metro de Quito, como complemento al Plan de Restitución de Medios de Vida”, por lo que, se ha considerado compensar monetariamente a los siguientes negocios: </w:t>
      </w:r>
    </w:p>
    <w:tbl>
      <w:tblPr>
        <w:tblStyle w:val="10"/>
        <w:tblW w:w="0" w:type="auto"/>
        <w:tblInd w:w="112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245"/>
        <w:gridCol w:w="21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45" w:type="dxa"/>
          </w:tcPr>
          <w:p>
            <w:pPr>
              <w:spacing w:after="0" w:line="240" w:lineRule="auto"/>
              <w:jc w:val="both"/>
              <w:rPr>
                <w:rFonts w:hint="default" w:ascii="Times New Roman" w:hAnsi="Times New Roman" w:eastAsia="Calibri" w:cs="Times New Roman"/>
                <w:b/>
                <w:bCs/>
                <w:i/>
                <w:iCs/>
                <w:color w:val="auto"/>
                <w:sz w:val="24"/>
                <w:szCs w:val="24"/>
                <w:lang w:val="es-EC"/>
              </w:rPr>
            </w:pPr>
            <w:r>
              <w:rPr>
                <w:rFonts w:hint="default" w:ascii="Times New Roman" w:hAnsi="Times New Roman" w:eastAsia="Calibri" w:cs="Times New Roman"/>
                <w:b/>
                <w:bCs/>
                <w:i/>
                <w:iCs/>
                <w:color w:val="auto"/>
                <w:sz w:val="24"/>
                <w:szCs w:val="24"/>
                <w:lang w:val="es-EC"/>
              </w:rPr>
              <w:t>NEGOCIO</w:t>
            </w:r>
          </w:p>
        </w:tc>
        <w:tc>
          <w:tcPr>
            <w:tcW w:w="2114" w:type="dxa"/>
          </w:tcPr>
          <w:p>
            <w:pPr>
              <w:spacing w:after="0" w:line="240" w:lineRule="auto"/>
              <w:jc w:val="both"/>
              <w:rPr>
                <w:rFonts w:hint="default" w:ascii="Times New Roman" w:hAnsi="Times New Roman" w:eastAsia="Calibri" w:cs="Times New Roman"/>
                <w:b/>
                <w:bCs/>
                <w:i/>
                <w:iCs/>
                <w:color w:val="auto"/>
                <w:sz w:val="24"/>
                <w:szCs w:val="24"/>
                <w:lang w:val="es-EC"/>
              </w:rPr>
            </w:pPr>
            <w:r>
              <w:rPr>
                <w:rFonts w:hint="default" w:ascii="Times New Roman" w:hAnsi="Times New Roman" w:eastAsia="Calibri" w:cs="Times New Roman"/>
                <w:b/>
                <w:bCs/>
                <w:i/>
                <w:iCs/>
                <w:color w:val="auto"/>
                <w:sz w:val="24"/>
                <w:szCs w:val="24"/>
                <w:lang w:val="es-EC"/>
              </w:rPr>
              <w:t>MONTO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45" w:type="dxa"/>
          </w:tcPr>
          <w:p>
            <w:pPr>
              <w:spacing w:after="0" w:line="240" w:lineRule="auto"/>
              <w:jc w:val="both"/>
              <w:rPr>
                <w:rFonts w:hint="default" w:ascii="Times New Roman" w:hAnsi="Times New Roman" w:eastAsia="Calibri" w:cs="Times New Roman"/>
                <w:i/>
                <w:iCs/>
                <w:color w:val="auto"/>
                <w:sz w:val="24"/>
                <w:szCs w:val="24"/>
                <w:lang w:val="es-EC"/>
              </w:rPr>
            </w:pPr>
            <w:r>
              <w:rPr>
                <w:rFonts w:hint="default" w:ascii="Times New Roman" w:hAnsi="Times New Roman" w:eastAsia="Calibri" w:cs="Times New Roman"/>
                <w:i/>
                <w:iCs/>
                <w:color w:val="auto"/>
                <w:sz w:val="24"/>
                <w:szCs w:val="24"/>
                <w:lang w:val="es-EC"/>
              </w:rPr>
              <w:t>Edison Cepeda: Lavadora Express</w:t>
            </w:r>
          </w:p>
        </w:tc>
        <w:tc>
          <w:tcPr>
            <w:tcW w:w="2114" w:type="dxa"/>
          </w:tcPr>
          <w:p>
            <w:pPr>
              <w:spacing w:after="0" w:line="240" w:lineRule="auto"/>
              <w:jc w:val="both"/>
              <w:rPr>
                <w:rFonts w:hint="default" w:ascii="Times New Roman" w:hAnsi="Times New Roman" w:eastAsia="Calibri" w:cs="Times New Roman"/>
                <w:i/>
                <w:iCs/>
                <w:color w:val="auto"/>
                <w:sz w:val="24"/>
                <w:szCs w:val="24"/>
                <w:lang w:val="es-EC"/>
              </w:rPr>
            </w:pPr>
            <w:r>
              <w:rPr>
                <w:rFonts w:hint="default" w:ascii="Times New Roman" w:hAnsi="Times New Roman" w:eastAsia="Calibri" w:cs="Times New Roman"/>
                <w:i/>
                <w:iCs/>
                <w:color w:val="auto"/>
                <w:sz w:val="24"/>
                <w:szCs w:val="24"/>
                <w:lang w:val="es-EC"/>
              </w:rPr>
              <w:t>$920,00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45" w:type="dxa"/>
          </w:tcPr>
          <w:p>
            <w:pPr>
              <w:spacing w:after="0" w:line="240" w:lineRule="auto"/>
              <w:jc w:val="both"/>
              <w:rPr>
                <w:rFonts w:hint="default" w:ascii="Times New Roman" w:hAnsi="Times New Roman" w:eastAsia="Calibri" w:cs="Times New Roman"/>
                <w:i/>
                <w:iCs/>
                <w:color w:val="auto"/>
                <w:sz w:val="24"/>
                <w:szCs w:val="24"/>
                <w:lang w:val="es-EC"/>
              </w:rPr>
            </w:pPr>
            <w:r>
              <w:rPr>
                <w:rFonts w:hint="default" w:ascii="Times New Roman" w:hAnsi="Times New Roman" w:eastAsia="Calibri" w:cs="Times New Roman"/>
                <w:i/>
                <w:iCs/>
                <w:color w:val="auto"/>
                <w:sz w:val="24"/>
                <w:szCs w:val="24"/>
                <w:lang w:val="es-EC"/>
              </w:rPr>
              <w:t xml:space="preserve">Marta Guamán: Kiosco 4 </w:t>
            </w:r>
          </w:p>
        </w:tc>
        <w:tc>
          <w:tcPr>
            <w:tcW w:w="2114" w:type="dxa"/>
          </w:tcPr>
          <w:p>
            <w:pPr>
              <w:spacing w:after="0" w:line="240" w:lineRule="auto"/>
              <w:jc w:val="both"/>
              <w:rPr>
                <w:rFonts w:hint="default" w:ascii="Times New Roman" w:hAnsi="Times New Roman" w:eastAsia="Calibri" w:cs="Times New Roman"/>
                <w:i/>
                <w:iCs/>
                <w:color w:val="auto"/>
                <w:sz w:val="24"/>
                <w:szCs w:val="24"/>
                <w:lang w:val="es-EC"/>
              </w:rPr>
            </w:pPr>
            <w:r>
              <w:rPr>
                <w:rFonts w:hint="default" w:ascii="Times New Roman" w:hAnsi="Times New Roman" w:eastAsia="Calibri" w:cs="Times New Roman"/>
                <w:i/>
                <w:iCs/>
                <w:color w:val="auto"/>
                <w:sz w:val="24"/>
                <w:szCs w:val="24"/>
                <w:lang w:val="es-EC"/>
              </w:rPr>
              <w:t>$200,00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trPr>
        <w:tc>
          <w:tcPr>
            <w:tcW w:w="5245" w:type="dxa"/>
          </w:tcPr>
          <w:p>
            <w:pPr>
              <w:spacing w:after="0" w:line="240" w:lineRule="auto"/>
              <w:jc w:val="both"/>
              <w:rPr>
                <w:rFonts w:hint="default" w:ascii="Times New Roman" w:hAnsi="Times New Roman" w:eastAsia="Calibri" w:cs="Times New Roman"/>
                <w:i/>
                <w:iCs/>
                <w:color w:val="auto"/>
                <w:sz w:val="24"/>
                <w:szCs w:val="24"/>
                <w:lang w:val="es-EC"/>
              </w:rPr>
            </w:pPr>
            <w:r>
              <w:rPr>
                <w:rFonts w:hint="default" w:ascii="Times New Roman" w:hAnsi="Times New Roman" w:eastAsia="Calibri" w:cs="Times New Roman"/>
                <w:i/>
                <w:iCs/>
                <w:color w:val="auto"/>
                <w:sz w:val="24"/>
                <w:szCs w:val="24"/>
                <w:lang w:val="es-EC"/>
              </w:rPr>
              <w:t>Jenny Fiallos: Kiosco</w:t>
            </w:r>
          </w:p>
        </w:tc>
        <w:tc>
          <w:tcPr>
            <w:tcW w:w="2114" w:type="dxa"/>
          </w:tcPr>
          <w:p>
            <w:pPr>
              <w:spacing w:after="0" w:line="240" w:lineRule="auto"/>
              <w:jc w:val="both"/>
              <w:rPr>
                <w:rFonts w:hint="default" w:ascii="Times New Roman" w:hAnsi="Times New Roman" w:eastAsia="Calibri" w:cs="Times New Roman"/>
                <w:i/>
                <w:iCs/>
                <w:color w:val="auto"/>
                <w:sz w:val="24"/>
                <w:szCs w:val="24"/>
                <w:lang w:val="es-EC"/>
              </w:rPr>
            </w:pPr>
            <w:r>
              <w:rPr>
                <w:rFonts w:hint="default" w:ascii="Times New Roman" w:hAnsi="Times New Roman" w:eastAsia="Calibri" w:cs="Times New Roman"/>
                <w:i/>
                <w:iCs/>
                <w:color w:val="auto"/>
                <w:sz w:val="24"/>
                <w:szCs w:val="24"/>
                <w:lang w:val="es-EC"/>
              </w:rPr>
              <w:t>$300,00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45" w:type="dxa"/>
          </w:tcPr>
          <w:p>
            <w:pPr>
              <w:spacing w:after="0" w:line="240" w:lineRule="auto"/>
              <w:jc w:val="both"/>
              <w:rPr>
                <w:rFonts w:hint="default" w:ascii="Times New Roman" w:hAnsi="Times New Roman" w:eastAsia="Calibri" w:cs="Times New Roman"/>
                <w:i/>
                <w:iCs/>
                <w:color w:val="auto"/>
                <w:sz w:val="24"/>
                <w:szCs w:val="24"/>
                <w:lang w:val="es-EC"/>
              </w:rPr>
            </w:pPr>
            <w:r>
              <w:rPr>
                <w:rFonts w:hint="default" w:ascii="Times New Roman" w:hAnsi="Times New Roman" w:eastAsia="Calibri" w:cs="Times New Roman"/>
                <w:i/>
                <w:iCs/>
                <w:color w:val="auto"/>
                <w:sz w:val="24"/>
                <w:szCs w:val="24"/>
                <w:lang w:val="es-EC"/>
              </w:rPr>
              <w:t>Evelyn Molineros: Importadora América</w:t>
            </w:r>
          </w:p>
        </w:tc>
        <w:tc>
          <w:tcPr>
            <w:tcW w:w="2114" w:type="dxa"/>
          </w:tcPr>
          <w:p>
            <w:pPr>
              <w:spacing w:after="0" w:line="240" w:lineRule="auto"/>
              <w:jc w:val="both"/>
              <w:rPr>
                <w:rFonts w:hint="default" w:ascii="Times New Roman" w:hAnsi="Times New Roman" w:eastAsia="Calibri" w:cs="Times New Roman"/>
                <w:i/>
                <w:iCs/>
                <w:color w:val="auto"/>
                <w:sz w:val="24"/>
                <w:szCs w:val="24"/>
                <w:lang w:val="es-EC"/>
              </w:rPr>
            </w:pPr>
            <w:r>
              <w:rPr>
                <w:rFonts w:hint="default" w:ascii="Times New Roman" w:hAnsi="Times New Roman" w:eastAsia="Calibri" w:cs="Times New Roman"/>
                <w:i/>
                <w:iCs/>
                <w:color w:val="auto"/>
                <w:sz w:val="24"/>
                <w:szCs w:val="24"/>
                <w:lang w:val="es-EC"/>
              </w:rPr>
              <w:t>$19.552,19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45" w:type="dxa"/>
          </w:tcPr>
          <w:p>
            <w:pPr>
              <w:spacing w:after="0" w:line="240" w:lineRule="auto"/>
              <w:jc w:val="both"/>
              <w:rPr>
                <w:rFonts w:hint="default" w:ascii="Times New Roman" w:hAnsi="Times New Roman" w:eastAsia="Calibri" w:cs="Times New Roman"/>
                <w:i/>
                <w:iCs/>
                <w:color w:val="auto"/>
                <w:sz w:val="24"/>
                <w:szCs w:val="24"/>
                <w:lang w:val="es-EC"/>
              </w:rPr>
            </w:pPr>
            <w:r>
              <w:rPr>
                <w:rFonts w:hint="default" w:ascii="Times New Roman" w:hAnsi="Times New Roman" w:eastAsia="Calibri" w:cs="Times New Roman"/>
                <w:i/>
                <w:iCs/>
                <w:color w:val="auto"/>
                <w:sz w:val="24"/>
                <w:szCs w:val="24"/>
                <w:lang w:val="es-EC"/>
              </w:rPr>
              <w:t>Donde Enrique</w:t>
            </w:r>
          </w:p>
        </w:tc>
        <w:tc>
          <w:tcPr>
            <w:tcW w:w="2114" w:type="dxa"/>
          </w:tcPr>
          <w:p>
            <w:pPr>
              <w:spacing w:after="0" w:line="240" w:lineRule="auto"/>
              <w:jc w:val="both"/>
              <w:rPr>
                <w:rFonts w:hint="default" w:ascii="Times New Roman" w:hAnsi="Times New Roman" w:eastAsia="Calibri" w:cs="Times New Roman"/>
                <w:i/>
                <w:iCs/>
                <w:color w:val="auto"/>
                <w:sz w:val="24"/>
                <w:szCs w:val="24"/>
                <w:lang w:val="es-EC"/>
              </w:rPr>
            </w:pPr>
            <w:r>
              <w:rPr>
                <w:rFonts w:hint="default" w:ascii="Times New Roman" w:hAnsi="Times New Roman" w:eastAsia="Calibri" w:cs="Times New Roman"/>
                <w:i/>
                <w:iCs/>
                <w:color w:val="auto"/>
                <w:sz w:val="24"/>
                <w:szCs w:val="24"/>
                <w:lang w:val="es-EC"/>
              </w:rPr>
              <w:t>$12.097,93</w:t>
            </w:r>
          </w:p>
        </w:tc>
      </w:tr>
    </w:tbl>
    <w:p>
      <w:pPr>
        <w:spacing w:line="240" w:lineRule="auto"/>
        <w:ind w:firstLine="708" w:firstLineChars="0"/>
        <w:jc w:val="both"/>
        <w:rPr>
          <w:rFonts w:hint="default" w:ascii="Times New Roman" w:hAnsi="Times New Roman" w:cs="Times New Roman"/>
          <w:color w:val="auto"/>
          <w:sz w:val="24"/>
          <w:szCs w:val="24"/>
          <w:lang w:val="es-EC"/>
        </w:rPr>
      </w:pPr>
    </w:p>
    <w:p>
      <w:pPr>
        <w:spacing w:line="240" w:lineRule="auto"/>
        <w:ind w:firstLine="708" w:firstLineChars="0"/>
        <w:jc w:val="both"/>
        <w:rPr>
          <w:rFonts w:hint="default" w:ascii="Times New Roman" w:hAnsi="Times New Roman" w:cs="Times New Roman"/>
          <w:b/>
          <w:bCs/>
          <w:i/>
          <w:iCs/>
          <w:color w:val="auto"/>
          <w:sz w:val="24"/>
          <w:szCs w:val="24"/>
          <w:lang w:val="es-EC"/>
        </w:rPr>
      </w:pPr>
      <w:r>
        <w:rPr>
          <w:rFonts w:hint="default" w:ascii="Times New Roman" w:hAnsi="Times New Roman" w:cs="Times New Roman"/>
          <w:i/>
          <w:iCs/>
          <w:color w:val="auto"/>
          <w:sz w:val="24"/>
          <w:szCs w:val="24"/>
          <w:lang w:val="es-EC"/>
        </w:rPr>
        <w:t xml:space="preserve">TOTAL A COMPENSAR MONETARIAMENTE </w:t>
      </w:r>
      <w:r>
        <w:rPr>
          <w:rFonts w:hint="default" w:ascii="Times New Roman" w:hAnsi="Times New Roman" w:cs="Times New Roman"/>
          <w:b/>
          <w:bCs/>
          <w:i/>
          <w:iCs/>
          <w:color w:val="auto"/>
          <w:sz w:val="24"/>
          <w:szCs w:val="24"/>
          <w:lang w:val="es-EC"/>
        </w:rPr>
        <w:t>USD $33.070,12.</w:t>
      </w:r>
    </w:p>
    <w:p>
      <w:pPr>
        <w:spacing w:line="240" w:lineRule="auto"/>
        <w:ind w:left="705" w:firstLine="0" w:firstLineChars="0"/>
        <w:jc w:val="both"/>
        <w:rPr>
          <w:rFonts w:hint="default" w:ascii="Times New Roman" w:hAnsi="Times New Roman" w:cs="Times New Roman"/>
          <w:i/>
          <w:iCs/>
          <w:color w:val="auto"/>
          <w:sz w:val="24"/>
          <w:szCs w:val="24"/>
          <w:lang w:val="es-EC"/>
        </w:rPr>
      </w:pPr>
      <w:r>
        <w:rPr>
          <w:rFonts w:hint="default" w:ascii="Times New Roman" w:hAnsi="Times New Roman" w:cs="Times New Roman"/>
          <w:i/>
          <w:iCs/>
          <w:color w:val="auto"/>
          <w:sz w:val="24"/>
          <w:szCs w:val="24"/>
          <w:lang w:val="es-EC"/>
        </w:rPr>
        <w:t xml:space="preserve">Con </w:t>
      </w:r>
      <w:bookmarkStart w:id="5" w:name="_Hlk66974900"/>
      <w:r>
        <w:rPr>
          <w:rFonts w:hint="default" w:ascii="Times New Roman" w:hAnsi="Times New Roman" w:cs="Times New Roman"/>
          <w:i/>
          <w:iCs/>
          <w:color w:val="auto"/>
          <w:sz w:val="24"/>
          <w:szCs w:val="24"/>
          <w:lang w:val="es-EC"/>
        </w:rPr>
        <w:t xml:space="preserve">Informe Financiero adjunto </w:t>
      </w:r>
      <w:bookmarkEnd w:id="5"/>
      <w:r>
        <w:rPr>
          <w:rFonts w:hint="default" w:ascii="Times New Roman" w:hAnsi="Times New Roman" w:cs="Times New Roman"/>
          <w:i/>
          <w:iCs/>
          <w:color w:val="auto"/>
          <w:sz w:val="24"/>
          <w:szCs w:val="24"/>
          <w:lang w:val="es-EC"/>
        </w:rPr>
        <w:t xml:space="preserve">al Memorando No. EPMMQ-DF-2021-0051-M de 15 de marzo de 2021 emitido por la Dirección de Financiamiento, ratifica que: </w:t>
      </w:r>
      <w:r>
        <w:rPr>
          <w:rFonts w:hint="default" w:ascii="Times New Roman" w:hAnsi="Times New Roman" w:cs="Times New Roman"/>
          <w:i/>
          <w:iCs/>
          <w:color w:val="auto"/>
          <w:sz w:val="24"/>
          <w:szCs w:val="24"/>
          <w:lang w:val="es-EC"/>
        </w:rPr>
        <w:t>“(…) el monto solicitado para las compensaciones por el valor de USD 33.070,12 está contemplado en el contrato de crédito No. BID 2882/OC-EC-2 con el Banco Interamericano de Desarrollo - BID. Estos fondos se encuentran disponibles en la Cuenta No. 1221359 (MDMQ)/ 2882/OC-EC-2-L1111, del Banco Central del Ecuador</w:t>
      </w:r>
      <w:r>
        <w:rPr>
          <w:rFonts w:hint="default" w:ascii="Times New Roman" w:hAnsi="Times New Roman" w:cs="Times New Roman"/>
          <w:i/>
          <w:iCs/>
          <w:color w:val="auto"/>
          <w:sz w:val="24"/>
          <w:szCs w:val="24"/>
          <w:lang w:val="es-EC"/>
        </w:rPr>
        <w:t xml:space="preserve">. (...). </w:t>
      </w:r>
    </w:p>
    <w:p>
      <w:pPr>
        <w:spacing w:line="240" w:lineRule="auto"/>
        <w:ind w:left="705" w:firstLine="0" w:firstLineChars="0"/>
        <w:jc w:val="both"/>
        <w:rPr>
          <w:rFonts w:hint="default" w:ascii="Times New Roman" w:hAnsi="Times New Roman" w:cs="Times New Roman"/>
          <w:i/>
          <w:iCs/>
          <w:color w:val="auto"/>
          <w:sz w:val="24"/>
          <w:szCs w:val="24"/>
          <w:lang w:val="es-EC"/>
        </w:rPr>
      </w:pPr>
      <w:r>
        <w:rPr>
          <w:rFonts w:hint="default" w:ascii="Times New Roman" w:hAnsi="Times New Roman" w:cs="Times New Roman"/>
          <w:i/>
          <w:iCs/>
          <w:color w:val="auto"/>
          <w:sz w:val="24"/>
          <w:szCs w:val="24"/>
          <w:lang w:val="es-EC"/>
        </w:rPr>
        <w:t>Con Memorando No. EPMMQ-GJ-0191-M de 18 de marzo de 2021, la Gerencia Jurídica manifiesta que, para concluir los procesos de compensaciones que se encuentra en mediaciones en la Procuraduría General del Estado, se requiere contar con la autorización del Concejo Metropolitano de conformidad artículo 331, letra j) del COOTAD. Solo una vez que se cuente con esta autorización, será posible concurrir al Centro de Mediación de la Procuraduría General del Estado a fin de que elabore el Acta de Acuerdo Total, con el cual se concluirían dichos procesos de compensaciones con rango de cosa juzgada acorde al artículo 15 del Código Orgánico de la Función Judicial (...)”</w:t>
      </w:r>
    </w:p>
    <w:p>
      <w:pPr>
        <w:spacing w:line="240" w:lineRule="auto"/>
        <w:ind w:left="705" w:firstLine="0" w:firstLineChars="0"/>
        <w:jc w:val="both"/>
        <w:rPr>
          <w:rFonts w:hint="default" w:ascii="Times New Roman" w:hAnsi="Times New Roman" w:cs="Times New Roman"/>
          <w:i/>
          <w:iCs/>
          <w:color w:val="auto"/>
          <w:sz w:val="24"/>
          <w:szCs w:val="24"/>
          <w:lang w:val="es-EC"/>
        </w:rPr>
      </w:pPr>
      <w:r>
        <w:rPr>
          <w:rFonts w:hint="default" w:ascii="Times New Roman" w:hAnsi="Times New Roman" w:cs="Times New Roman"/>
          <w:i/>
          <w:iCs/>
          <w:color w:val="auto"/>
          <w:sz w:val="24"/>
          <w:szCs w:val="24"/>
          <w:lang w:val="es-EC"/>
        </w:rPr>
        <w:t>(...)</w:t>
      </w:r>
    </w:p>
    <w:p>
      <w:pPr>
        <w:spacing w:line="240" w:lineRule="auto"/>
        <w:ind w:left="705" w:firstLine="0" w:firstLineChars="0"/>
        <w:jc w:val="both"/>
        <w:rPr>
          <w:rFonts w:hint="default" w:ascii="Times New Roman" w:hAnsi="Times New Roman" w:cs="Times New Roman"/>
          <w:i/>
          <w:iCs/>
          <w:color w:val="auto"/>
          <w:sz w:val="24"/>
          <w:szCs w:val="24"/>
          <w:lang w:val="es-EC"/>
        </w:rPr>
      </w:pPr>
      <w:r>
        <w:rPr>
          <w:rFonts w:hint="default" w:ascii="Times New Roman" w:hAnsi="Times New Roman" w:cs="Times New Roman"/>
          <w:i/>
          <w:iCs/>
          <w:color w:val="auto"/>
          <w:sz w:val="24"/>
          <w:szCs w:val="24"/>
          <w:lang w:val="es-EC"/>
        </w:rPr>
        <w:t>V. SOLICITUD</w:t>
      </w:r>
    </w:p>
    <w:p>
      <w:pPr>
        <w:spacing w:line="240" w:lineRule="auto"/>
        <w:ind w:left="705" w:firstLine="0" w:firstLineChars="0"/>
        <w:jc w:val="both"/>
        <w:rPr>
          <w:rFonts w:hint="default" w:ascii="Times New Roman" w:hAnsi="Times New Roman" w:cs="Times New Roman"/>
          <w:i/>
          <w:iCs/>
          <w:color w:val="auto"/>
          <w:sz w:val="24"/>
          <w:szCs w:val="24"/>
          <w:lang w:val="es-EC"/>
        </w:rPr>
      </w:pPr>
      <w:r>
        <w:rPr>
          <w:rFonts w:hint="default" w:ascii="Times New Roman" w:hAnsi="Times New Roman" w:cs="Times New Roman"/>
          <w:i/>
          <w:iCs/>
          <w:color w:val="auto"/>
          <w:sz w:val="24"/>
          <w:szCs w:val="24"/>
          <w:lang w:val="es-EC"/>
        </w:rPr>
        <w:t>Por los antecedentes, base legal, análisis y conclusiones que se exponen en el presente, solicito señor Alcalde Metropolitano, disponer el trámite correspondiente a fin de que el Concejo Metropolitano de Quito conozca y autorice a la Empresa Pública Metropolitana Metro de Quito la suscripción de las Actas de Acuerdo Total con las personas beneficiarias de las compensaciones monetarias (Valor total a compensar USD $33.070,12), conforme a lo detallado en esta petición, en cumplimiento de lo que ordena el artículo 331, letra j) del Código Orgánico de Ordenamiento Territorial, Autonomía y Descentralización COOTAD. Para el efecto, me permito remitir los 5 expedientes de compensaciones monetarias para la revisión, aprobación y autorización para las audiencias de mediación con la Procuraduría General del Estado (Mediación No. 0704-DNCM-2020-QUI “Donde Enrique Cía. Ltda.”, Mediación No. 0708-DNCM-2020-QUI “Negocio Kiosco”, Mediación No. 0706-DNCM-2020-QUI “Importadora América”, Mediación No. 0705-DNCM-2020-QUI “Kiosco 4” y Mediación No. 0707-DNCM-2020-QUI “Lavadora Express”)”;</w:t>
      </w:r>
    </w:p>
    <w:p>
      <w:pPr>
        <w:spacing w:line="240" w:lineRule="auto"/>
        <w:ind w:left="705" w:hanging="705"/>
        <w:jc w:val="both"/>
        <w:rPr>
          <w:rFonts w:hint="default" w:ascii="Times New Roman" w:hAnsi="Times New Roman" w:cs="Times New Roman"/>
          <w:color w:val="auto"/>
          <w:sz w:val="24"/>
          <w:szCs w:val="24"/>
          <w:lang w:val="es-EC"/>
        </w:rPr>
      </w:pPr>
      <w:r>
        <w:rPr>
          <w:rFonts w:hint="default" w:ascii="Times New Roman" w:hAnsi="Times New Roman" w:cs="Times New Roman"/>
          <w:b/>
          <w:bCs/>
          <w:color w:val="auto"/>
          <w:sz w:val="24"/>
          <w:szCs w:val="24"/>
          <w:lang w:val="es-EC"/>
        </w:rPr>
        <w:t xml:space="preserve">Que, </w:t>
      </w:r>
      <w:r>
        <w:rPr>
          <w:rFonts w:hint="default" w:ascii="Times New Roman" w:hAnsi="Times New Roman" w:cs="Times New Roman"/>
          <w:color w:val="auto"/>
          <w:sz w:val="24"/>
          <w:szCs w:val="24"/>
          <w:lang w:val="es-EC"/>
        </w:rPr>
        <w:tab/>
      </w:r>
      <w:r>
        <w:rPr>
          <w:rFonts w:hint="default" w:ascii="Times New Roman" w:hAnsi="Times New Roman" w:cs="Times New Roman"/>
          <w:color w:val="auto"/>
          <w:sz w:val="24"/>
          <w:szCs w:val="24"/>
          <w:lang w:val="es-EC"/>
        </w:rPr>
        <w:t xml:space="preserve">mediante memorando No. GADDMQ-PM-2022-0298-M, de 15 de febrero de 2022, el Subprocurador de Asesoría General de la Procuraduría Metropolitana, recomienda lo siguiente: </w:t>
      </w:r>
    </w:p>
    <w:p>
      <w:pPr>
        <w:spacing w:line="240" w:lineRule="auto"/>
        <w:ind w:left="705" w:firstLine="0" w:firstLineChars="0"/>
        <w:jc w:val="both"/>
        <w:rPr>
          <w:rFonts w:hint="default" w:ascii="Times New Roman" w:hAnsi="Times New Roman" w:cs="Times New Roman"/>
          <w:i/>
          <w:iCs/>
          <w:color w:val="auto"/>
          <w:sz w:val="24"/>
          <w:szCs w:val="24"/>
          <w:lang w:val="es-EC"/>
        </w:rPr>
      </w:pPr>
      <w:r>
        <w:rPr>
          <w:rFonts w:hint="default" w:ascii="Times New Roman" w:hAnsi="Times New Roman" w:cs="Times New Roman"/>
          <w:i/>
          <w:iCs/>
          <w:color w:val="auto"/>
          <w:sz w:val="24"/>
          <w:szCs w:val="24"/>
          <w:lang w:val="es-EC"/>
        </w:rPr>
        <w:t xml:space="preserve">“Con base a los fundamentos expuestos, esta Procuraduría Metropolitana respecto al requerimiento que motiva el presente informe, recomienda lo siguiente: </w:t>
      </w:r>
    </w:p>
    <w:p>
      <w:pPr>
        <w:spacing w:line="240" w:lineRule="auto"/>
        <w:ind w:left="705" w:firstLine="0" w:firstLineChars="0"/>
        <w:jc w:val="both"/>
        <w:rPr>
          <w:rFonts w:hint="default" w:ascii="Times New Roman" w:hAnsi="Times New Roman" w:cs="Times New Roman"/>
          <w:i/>
          <w:iCs/>
          <w:color w:val="auto"/>
          <w:sz w:val="24"/>
          <w:szCs w:val="24"/>
          <w:lang w:val="es-EC"/>
        </w:rPr>
      </w:pPr>
      <w:r>
        <w:rPr>
          <w:rFonts w:hint="default" w:ascii="Times New Roman" w:hAnsi="Times New Roman" w:cs="Times New Roman"/>
          <w:i/>
          <w:iCs/>
          <w:color w:val="auto"/>
          <w:sz w:val="24"/>
          <w:szCs w:val="24"/>
          <w:lang w:val="es-EC"/>
        </w:rPr>
        <w:t xml:space="preserve">En atención al oficio No. EPMMQ-GG-2021-0391, suscrito por el Gerente General de la Empresa Pública Metropolitana Metro de Quito, de fecha 23 de junio del 2021, y a los informes y estudios que constan como anexos al oficio antes referido; se sirva poner en conocimiento del Concejo Metropolitano, el proyecto de Resolución; a fin de obtener la autorización para la suscripción de las actas de acuerdo con las personas beneficiarias de las compensaciones monetarias, conforme lo dispone el artículo 331, literal j) del Código Orgánico de Organización Territorial, Autonomía y Descentralización. (...)”. </w:t>
      </w:r>
    </w:p>
    <w:p>
      <w:pPr>
        <w:spacing w:line="240" w:lineRule="auto"/>
        <w:jc w:val="both"/>
        <w:rPr>
          <w:rFonts w:hint="default" w:ascii="Times New Roman" w:hAnsi="Times New Roman" w:cs="Times New Roman"/>
          <w:b/>
          <w:bCs/>
          <w:color w:val="auto"/>
          <w:sz w:val="24"/>
          <w:szCs w:val="24"/>
        </w:rPr>
      </w:pPr>
      <w:r>
        <w:rPr>
          <w:rFonts w:hint="default" w:ascii="Times New Roman" w:hAnsi="Times New Roman" w:cs="Times New Roman"/>
          <w:b/>
          <w:bCs/>
          <w:color w:val="auto"/>
          <w:sz w:val="24"/>
          <w:szCs w:val="24"/>
        </w:rPr>
        <w:t>En ejercicio de las atribuciones establecidas en los artículos 226, 264, 289 de la Constitución del Ecuador, artículos 87 literales a) y d)</w:t>
      </w:r>
      <w:r>
        <w:rPr>
          <w:rFonts w:hint="default" w:ascii="Times New Roman" w:hAnsi="Times New Roman" w:cs="Times New Roman"/>
          <w:b/>
          <w:bCs/>
          <w:color w:val="auto"/>
          <w:sz w:val="24"/>
          <w:szCs w:val="24"/>
          <w:lang w:val="es-EC"/>
        </w:rPr>
        <w:t xml:space="preserve"> y 323 </w:t>
      </w:r>
      <w:r>
        <w:rPr>
          <w:rFonts w:hint="default" w:ascii="Times New Roman" w:hAnsi="Times New Roman" w:cs="Times New Roman"/>
          <w:b/>
          <w:bCs/>
          <w:color w:val="auto"/>
          <w:sz w:val="24"/>
          <w:szCs w:val="24"/>
        </w:rPr>
        <w:t xml:space="preserve">del Código Orgánico de Organización Territorial, Autonomía y Descentralización, </w:t>
      </w:r>
    </w:p>
    <w:p>
      <w:pPr>
        <w:spacing w:line="240" w:lineRule="auto"/>
        <w:jc w:val="center"/>
        <w:rPr>
          <w:rFonts w:hint="default" w:ascii="Times New Roman" w:hAnsi="Times New Roman" w:cs="Times New Roman"/>
          <w:b/>
          <w:bCs/>
          <w:color w:val="auto"/>
          <w:sz w:val="24"/>
          <w:szCs w:val="24"/>
        </w:rPr>
      </w:pPr>
      <w:r>
        <w:rPr>
          <w:rFonts w:hint="default" w:ascii="Times New Roman" w:hAnsi="Times New Roman" w:cs="Times New Roman"/>
          <w:b/>
          <w:bCs/>
          <w:color w:val="auto"/>
          <w:sz w:val="24"/>
          <w:szCs w:val="24"/>
        </w:rPr>
        <w:t>RESUELVE:</w:t>
      </w:r>
    </w:p>
    <w:p>
      <w:pPr>
        <w:spacing w:line="240" w:lineRule="auto"/>
        <w:jc w:val="both"/>
        <w:rPr>
          <w:rFonts w:hint="default" w:ascii="Times New Roman" w:hAnsi="Times New Roman" w:cs="Times New Roman"/>
          <w:i w:val="0"/>
          <w:iCs w:val="0"/>
          <w:color w:val="auto"/>
          <w:sz w:val="24"/>
          <w:szCs w:val="24"/>
          <w:lang w:val="es-EC"/>
        </w:rPr>
      </w:pPr>
      <w:r>
        <w:rPr>
          <w:rFonts w:hint="default" w:ascii="Times New Roman" w:hAnsi="Times New Roman" w:cs="Times New Roman"/>
          <w:b/>
          <w:bCs/>
          <w:color w:val="auto"/>
          <w:sz w:val="24"/>
          <w:szCs w:val="24"/>
        </w:rPr>
        <w:t>Artículo 1.-</w:t>
      </w:r>
      <w:r>
        <w:rPr>
          <w:rFonts w:hint="default" w:ascii="Times New Roman" w:hAnsi="Times New Roman" w:cs="Times New Roman"/>
          <w:color w:val="auto"/>
          <w:sz w:val="24"/>
          <w:szCs w:val="24"/>
        </w:rPr>
        <w:t xml:space="preserve"> Autorizar a</w:t>
      </w:r>
      <w:r>
        <w:rPr>
          <w:rFonts w:hint="default" w:ascii="Times New Roman" w:hAnsi="Times New Roman" w:cs="Times New Roman"/>
          <w:color w:val="auto"/>
          <w:sz w:val="24"/>
          <w:szCs w:val="24"/>
          <w:lang w:val="es-EC"/>
        </w:rPr>
        <w:t xml:space="preserve">l señor Alcalde del Distrito Metropolitano de Quito o su delegado, la suscripción de las </w:t>
      </w:r>
      <w:r>
        <w:rPr>
          <w:rFonts w:hint="default" w:ascii="Times New Roman" w:hAnsi="Times New Roman" w:cs="Times New Roman"/>
          <w:color w:val="auto"/>
          <w:sz w:val="24"/>
          <w:szCs w:val="24"/>
        </w:rPr>
        <w:t xml:space="preserve">actas de acuerdo </w:t>
      </w:r>
      <w:r>
        <w:rPr>
          <w:rFonts w:hint="default" w:ascii="Times New Roman" w:hAnsi="Times New Roman" w:cs="Times New Roman"/>
          <w:color w:val="auto"/>
          <w:sz w:val="24"/>
          <w:szCs w:val="24"/>
          <w:lang w:val="es-EC"/>
        </w:rPr>
        <w:t xml:space="preserve">total correspondiente a los procesos de </w:t>
      </w:r>
      <w:r>
        <w:rPr>
          <w:rFonts w:hint="default" w:ascii="Times New Roman" w:hAnsi="Times New Roman" w:cs="Times New Roman"/>
          <w:i w:val="0"/>
          <w:iCs w:val="0"/>
          <w:color w:val="auto"/>
          <w:sz w:val="24"/>
          <w:szCs w:val="24"/>
          <w:lang w:val="es-EC"/>
        </w:rPr>
        <w:t xml:space="preserve">Mediación No. 0704-DNCM-2020-QUI “Donde Enrique Cía. Ltda.”; Mediación No. 0708-DNCM-2020-QUI “Negocio Kiosco”; Mediación No. 0706-DNCM-2020-QUI “Importadora América”; Mediación No. 0705-DNCM-2020-QUI “Kiosco 4”; y, Mediación No. 0707-DNCM-2020-QUI “Lavadora Express”, llevados a cabo en el Centro de Mediación de la Procuraduría General del Estado, en cumplimiento de las políticas operacionales, salvaguardas sociales y ambientales, de los Organismos Multilaterales que financian la Primera Línea del Metro de Quito. </w:t>
      </w:r>
      <w:bookmarkStart w:id="6" w:name="_GoBack"/>
      <w:bookmarkEnd w:id="6"/>
      <w:r>
        <w:rPr>
          <w:rFonts w:hint="default" w:ascii="Times New Roman" w:hAnsi="Times New Roman" w:cs="Times New Roman"/>
          <w:i w:val="0"/>
          <w:iCs w:val="0"/>
          <w:color w:val="auto"/>
          <w:sz w:val="24"/>
          <w:szCs w:val="24"/>
          <w:lang w:val="es-EC"/>
        </w:rPr>
        <w:t xml:space="preserve"> </w:t>
      </w:r>
    </w:p>
    <w:p>
      <w:pPr>
        <w:spacing w:line="240" w:lineRule="auto"/>
        <w:jc w:val="both"/>
        <w:rPr>
          <w:rFonts w:hint="default" w:ascii="Times New Roman" w:hAnsi="Times New Roman" w:cs="Times New Roman"/>
          <w:color w:val="auto"/>
          <w:sz w:val="24"/>
          <w:szCs w:val="24"/>
          <w:lang w:val="es-EC"/>
        </w:rPr>
      </w:pPr>
      <w:r>
        <w:rPr>
          <w:rFonts w:hint="default" w:ascii="Times New Roman" w:hAnsi="Times New Roman" w:cs="Times New Roman"/>
          <w:b/>
          <w:bCs/>
          <w:color w:val="auto"/>
          <w:sz w:val="24"/>
          <w:szCs w:val="24"/>
        </w:rPr>
        <w:t xml:space="preserve">Disposición General Única.- </w:t>
      </w:r>
      <w:r>
        <w:rPr>
          <w:rFonts w:hint="default" w:ascii="Times New Roman" w:hAnsi="Times New Roman" w:cs="Times New Roman"/>
          <w:color w:val="auto"/>
          <w:sz w:val="24"/>
          <w:szCs w:val="24"/>
        </w:rPr>
        <w:t>La presente Resolución entrará en vigencia a partir de su s</w:t>
      </w:r>
      <w:r>
        <w:rPr>
          <w:rFonts w:hint="default" w:ascii="Times New Roman" w:hAnsi="Times New Roman" w:cs="Times New Roman"/>
          <w:color w:val="auto"/>
          <w:sz w:val="24"/>
          <w:szCs w:val="24"/>
          <w:lang w:val="es-EC"/>
        </w:rPr>
        <w:t xml:space="preserve">anción, sin perjuicio de su publicación. </w:t>
      </w:r>
    </w:p>
    <w:p>
      <w:pPr>
        <w:spacing w:line="240" w:lineRule="auto"/>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Dada, en la sala de Sesiones del Concejo Metropolitano de Quito, el </w:t>
      </w:r>
      <w:r>
        <w:rPr>
          <w:rFonts w:hint="default" w:ascii="Times New Roman" w:hAnsi="Times New Roman" w:cs="Times New Roman"/>
          <w:color w:val="auto"/>
          <w:sz w:val="24"/>
          <w:szCs w:val="24"/>
          <w:highlight w:val="yellow"/>
        </w:rPr>
        <w:t>xxxx</w:t>
      </w:r>
      <w:r>
        <w:rPr>
          <w:rFonts w:hint="default" w:ascii="Times New Roman" w:hAnsi="Times New Roman" w:cs="Times New Roman"/>
          <w:color w:val="auto"/>
          <w:sz w:val="24"/>
          <w:szCs w:val="24"/>
        </w:rPr>
        <w:t xml:space="preserve"> de </w:t>
      </w:r>
      <w:r>
        <w:rPr>
          <w:rFonts w:hint="default" w:ascii="Times New Roman" w:hAnsi="Times New Roman" w:cs="Times New Roman"/>
          <w:color w:val="auto"/>
          <w:sz w:val="24"/>
          <w:szCs w:val="24"/>
          <w:highlight w:val="yellow"/>
        </w:rPr>
        <w:t>xxxx</w:t>
      </w:r>
      <w:r>
        <w:rPr>
          <w:rFonts w:hint="default" w:ascii="Times New Roman" w:hAnsi="Times New Roman" w:cs="Times New Roman"/>
          <w:color w:val="auto"/>
          <w:sz w:val="24"/>
          <w:szCs w:val="24"/>
        </w:rPr>
        <w:t xml:space="preserve"> de 2022. </w:t>
      </w:r>
    </w:p>
    <w:p>
      <w:pPr>
        <w:spacing w:line="240" w:lineRule="auto"/>
        <w:jc w:val="both"/>
        <w:rPr>
          <w:rFonts w:hint="default" w:ascii="Times New Roman" w:hAnsi="Times New Roman" w:cs="Times New Roman"/>
          <w:color w:val="auto"/>
          <w:sz w:val="24"/>
          <w:szCs w:val="24"/>
        </w:rPr>
      </w:pPr>
      <w:r>
        <w:rPr>
          <w:rFonts w:hint="default" w:ascii="Times New Roman" w:hAnsi="Times New Roman" w:cs="Times New Roman"/>
          <w:b/>
          <w:color w:val="auto"/>
          <w:sz w:val="24"/>
          <w:szCs w:val="24"/>
        </w:rPr>
        <w:t>Alcaldía del Distrito Metropolitano.</w:t>
      </w:r>
      <w:r>
        <w:rPr>
          <w:rFonts w:hint="default" w:ascii="Times New Roman" w:hAnsi="Times New Roman" w:cs="Times New Roman"/>
          <w:color w:val="auto"/>
          <w:sz w:val="24"/>
          <w:szCs w:val="24"/>
        </w:rPr>
        <w:t xml:space="preserve"> - Distrito Metropolitano de Quito, </w:t>
      </w:r>
      <w:r>
        <w:rPr>
          <w:rFonts w:hint="default" w:ascii="Times New Roman" w:hAnsi="Times New Roman" w:cs="Times New Roman"/>
          <w:color w:val="auto"/>
          <w:sz w:val="24"/>
          <w:szCs w:val="24"/>
          <w:highlight w:val="yellow"/>
        </w:rPr>
        <w:t>XXXX</w:t>
      </w:r>
      <w:r>
        <w:rPr>
          <w:rFonts w:hint="default" w:ascii="Times New Roman" w:hAnsi="Times New Roman" w:cs="Times New Roman"/>
          <w:color w:val="auto"/>
          <w:sz w:val="24"/>
          <w:szCs w:val="24"/>
        </w:rPr>
        <w:t xml:space="preserve"> dede 2022. </w:t>
      </w:r>
    </w:p>
    <w:p>
      <w:pPr>
        <w:spacing w:line="240" w:lineRule="auto"/>
        <w:jc w:val="both"/>
        <w:rPr>
          <w:rFonts w:hint="default" w:ascii="Times New Roman" w:hAnsi="Times New Roman" w:cs="Times New Roman"/>
          <w:color w:val="auto"/>
          <w:sz w:val="24"/>
          <w:szCs w:val="24"/>
        </w:rPr>
      </w:pPr>
      <w:r>
        <w:rPr>
          <w:rFonts w:hint="default" w:ascii="Times New Roman" w:hAnsi="Times New Roman" w:cs="Times New Roman"/>
          <w:b/>
          <w:color w:val="auto"/>
          <w:sz w:val="24"/>
          <w:szCs w:val="24"/>
        </w:rPr>
        <w:t>EJECÚTESE:</w:t>
      </w:r>
      <w:r>
        <w:rPr>
          <w:rFonts w:hint="default" w:ascii="Times New Roman" w:hAnsi="Times New Roman" w:cs="Times New Roman"/>
          <w:color w:val="auto"/>
          <w:sz w:val="24"/>
          <w:szCs w:val="24"/>
        </w:rPr>
        <w:t xml:space="preserve"> </w:t>
      </w:r>
    </w:p>
    <w:p>
      <w:pPr>
        <w:spacing w:line="240" w:lineRule="auto"/>
        <w:jc w:val="both"/>
        <w:rPr>
          <w:rFonts w:hint="default" w:ascii="Times New Roman" w:hAnsi="Times New Roman" w:cs="Times New Roman"/>
          <w:color w:val="auto"/>
          <w:sz w:val="24"/>
          <w:szCs w:val="24"/>
        </w:rPr>
      </w:pPr>
    </w:p>
    <w:p>
      <w:pPr>
        <w:spacing w:line="240" w:lineRule="auto"/>
        <w:jc w:val="both"/>
        <w:rPr>
          <w:rFonts w:hint="default" w:ascii="Times New Roman" w:hAnsi="Times New Roman" w:cs="Times New Roman"/>
          <w:color w:val="auto"/>
          <w:sz w:val="24"/>
          <w:szCs w:val="24"/>
        </w:rPr>
      </w:pPr>
    </w:p>
    <w:p>
      <w:pPr>
        <w:spacing w:line="240" w:lineRule="auto"/>
        <w:jc w:val="both"/>
        <w:rPr>
          <w:rFonts w:hint="default" w:ascii="Times New Roman" w:hAnsi="Times New Roman" w:cs="Times New Roman"/>
          <w:color w:val="auto"/>
          <w:sz w:val="24"/>
          <w:szCs w:val="24"/>
        </w:rPr>
      </w:pPr>
    </w:p>
    <w:p>
      <w:pPr>
        <w:spacing w:after="0" w:line="240" w:lineRule="auto"/>
        <w:jc w:val="center"/>
        <w:rPr>
          <w:rFonts w:hint="default" w:ascii="Times New Roman" w:hAnsi="Times New Roman" w:cs="Times New Roman"/>
          <w:b/>
          <w:color w:val="auto"/>
          <w:sz w:val="24"/>
          <w:szCs w:val="24"/>
        </w:rPr>
      </w:pPr>
      <w:r>
        <w:rPr>
          <w:rFonts w:hint="default" w:ascii="Times New Roman" w:hAnsi="Times New Roman" w:cs="Times New Roman"/>
          <w:color w:val="auto"/>
          <w:sz w:val="24"/>
          <w:szCs w:val="24"/>
        </w:rPr>
        <w:t>Dr. Santiago Guarderas Izquierdo.</w:t>
      </w:r>
    </w:p>
    <w:p>
      <w:pPr>
        <w:spacing w:after="0" w:line="240" w:lineRule="auto"/>
        <w:jc w:val="center"/>
        <w:rPr>
          <w:rFonts w:hint="default" w:ascii="Times New Roman" w:hAnsi="Times New Roman" w:cs="Times New Roman"/>
          <w:b/>
          <w:color w:val="auto"/>
          <w:sz w:val="24"/>
          <w:szCs w:val="24"/>
        </w:rPr>
      </w:pPr>
      <w:r>
        <w:rPr>
          <w:rFonts w:hint="default" w:ascii="Times New Roman" w:hAnsi="Times New Roman" w:cs="Times New Roman"/>
          <w:b/>
          <w:color w:val="auto"/>
          <w:sz w:val="24"/>
          <w:szCs w:val="24"/>
        </w:rPr>
        <w:t>ALCALDE DEL DISTRITO METROPOLITANO DE QUITO</w:t>
      </w:r>
    </w:p>
    <w:p>
      <w:pPr>
        <w:spacing w:line="240" w:lineRule="auto"/>
        <w:jc w:val="both"/>
        <w:rPr>
          <w:rFonts w:hint="default" w:ascii="Times New Roman" w:hAnsi="Times New Roman" w:cs="Times New Roman"/>
          <w:color w:val="auto"/>
          <w:sz w:val="24"/>
          <w:szCs w:val="24"/>
        </w:rPr>
      </w:pPr>
    </w:p>
    <w:p>
      <w:pPr>
        <w:spacing w:line="240" w:lineRule="auto"/>
        <w:jc w:val="both"/>
        <w:rPr>
          <w:rFonts w:hint="default" w:ascii="Times New Roman" w:hAnsi="Times New Roman" w:cs="Times New Roman"/>
          <w:color w:val="auto"/>
          <w:sz w:val="24"/>
          <w:szCs w:val="24"/>
        </w:rPr>
      </w:pPr>
    </w:p>
    <w:sectPr>
      <w:headerReference r:id="rId5" w:type="default"/>
      <w:pgSz w:w="12240" w:h="15840"/>
      <w:pgMar w:top="1417" w:right="1701" w:bottom="1417" w:left="1701"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Segoe UI">
    <w:panose1 w:val="020B0502040204020203"/>
    <w:charset w:val="00"/>
    <w:family w:val="swiss"/>
    <w:pitch w:val="default"/>
    <w:sig w:usb0="E4002EFF" w:usb1="C000E47F" w:usb2="00000009" w:usb3="00000000" w:csb0="200001FF" w:csb1="00000000"/>
  </w:font>
  <w:font w:name="Microsoft YaHei">
    <w:panose1 w:val="020B0503020204020204"/>
    <w:charset w:val="86"/>
    <w:family w:val="auto"/>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w:pict>
        <v:shape id="PowerPlusWaterMarkObject39503" o:spid="_x0000_s2049" o:spt="136" type="#_x0000_t136" style="position:absolute;left:0pt;height:117.45pt;width:469.8pt;mso-position-horizontal:center;mso-position-horizontal-relative:margin;mso-position-vertical:center;mso-position-vertical-relative:margin;rotation:-2949120f;z-index:-251657216;mso-width-relative:page;mso-height-relative:page;" fillcolor="#C0C0C0" filled="t" stroked="f" coordsize="21600,21600" adj="10800">
          <v:path/>
          <v:fill on="t" opacity="32768f" focussize="0,0"/>
          <v:stroke on="f"/>
          <v:imagedata o:title=""/>
          <o:lock v:ext="edit" aspectratio="t"/>
          <v:textpath on="t" fitshape="t" fitpath="t" trim="t" xscale="f" string="BORRADOR" style="font-family:Segoe UI;font-size:36pt;v-same-letter-heights:f;v-text-align:center;"/>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E8000EF"/>
    <w:multiLevelType w:val="multilevel"/>
    <w:tmpl w:val="6E8000EF"/>
    <w:lvl w:ilvl="0" w:tentative="0">
      <w:start w:val="1"/>
      <w:numFmt w:val="lowerLetter"/>
      <w:lvlText w:val="(%1)"/>
      <w:lvlJc w:val="left"/>
      <w:pPr>
        <w:ind w:left="1068" w:hanging="360"/>
      </w:pPr>
      <w:rPr>
        <w:rFonts w:hint="default"/>
      </w:rPr>
    </w:lvl>
    <w:lvl w:ilvl="1" w:tentative="0">
      <w:start w:val="1"/>
      <w:numFmt w:val="lowerLetter"/>
      <w:lvlText w:val="%2."/>
      <w:lvlJc w:val="left"/>
      <w:pPr>
        <w:ind w:left="1788" w:hanging="360"/>
      </w:pPr>
    </w:lvl>
    <w:lvl w:ilvl="2" w:tentative="0">
      <w:start w:val="1"/>
      <w:numFmt w:val="lowerRoman"/>
      <w:lvlText w:val="%3."/>
      <w:lvlJc w:val="right"/>
      <w:pPr>
        <w:ind w:left="2508" w:hanging="180"/>
      </w:pPr>
    </w:lvl>
    <w:lvl w:ilvl="3" w:tentative="0">
      <w:start w:val="1"/>
      <w:numFmt w:val="decimal"/>
      <w:lvlText w:val="%4."/>
      <w:lvlJc w:val="left"/>
      <w:pPr>
        <w:ind w:left="3228" w:hanging="360"/>
      </w:pPr>
    </w:lvl>
    <w:lvl w:ilvl="4" w:tentative="0">
      <w:start w:val="1"/>
      <w:numFmt w:val="lowerLetter"/>
      <w:lvlText w:val="%5."/>
      <w:lvlJc w:val="left"/>
      <w:pPr>
        <w:ind w:left="3948" w:hanging="360"/>
      </w:pPr>
    </w:lvl>
    <w:lvl w:ilvl="5" w:tentative="0">
      <w:start w:val="1"/>
      <w:numFmt w:val="lowerRoman"/>
      <w:lvlText w:val="%6."/>
      <w:lvlJc w:val="right"/>
      <w:pPr>
        <w:ind w:left="4668" w:hanging="180"/>
      </w:pPr>
    </w:lvl>
    <w:lvl w:ilvl="6" w:tentative="0">
      <w:start w:val="1"/>
      <w:numFmt w:val="decimal"/>
      <w:lvlText w:val="%7."/>
      <w:lvlJc w:val="left"/>
      <w:pPr>
        <w:ind w:left="5388" w:hanging="360"/>
      </w:pPr>
    </w:lvl>
    <w:lvl w:ilvl="7" w:tentative="0">
      <w:start w:val="1"/>
      <w:numFmt w:val="lowerLetter"/>
      <w:lvlText w:val="%8."/>
      <w:lvlJc w:val="left"/>
      <w:pPr>
        <w:ind w:left="6108" w:hanging="360"/>
      </w:pPr>
    </w:lvl>
    <w:lvl w:ilvl="8" w:tentative="0">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5"/>
  <w:documentProtection w:enforcement="0"/>
  <w:defaultTabStop w:val="708"/>
  <w:hyphenationZone w:val="425"/>
  <w:characterSpacingControl w:val="doNotCompress"/>
  <w:hdrShapeDefaults>
    <o:shapelayout v:ext="edit">
      <o:idmap v:ext="edit" data="2"/>
    </o:shapelayout>
  </w:hdrShapeDefault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D9D"/>
    <w:rsid w:val="00023D0B"/>
    <w:rsid w:val="0004775D"/>
    <w:rsid w:val="00056D34"/>
    <w:rsid w:val="00084E40"/>
    <w:rsid w:val="00085F38"/>
    <w:rsid w:val="00097463"/>
    <w:rsid w:val="000B585E"/>
    <w:rsid w:val="000D7BD0"/>
    <w:rsid w:val="00107413"/>
    <w:rsid w:val="001941BB"/>
    <w:rsid w:val="001D2817"/>
    <w:rsid w:val="001D3B2F"/>
    <w:rsid w:val="00235AE5"/>
    <w:rsid w:val="00251F40"/>
    <w:rsid w:val="00283554"/>
    <w:rsid w:val="002E0707"/>
    <w:rsid w:val="002E479F"/>
    <w:rsid w:val="00313605"/>
    <w:rsid w:val="00336DD1"/>
    <w:rsid w:val="00337FA5"/>
    <w:rsid w:val="00357ADF"/>
    <w:rsid w:val="00392A38"/>
    <w:rsid w:val="003F34B1"/>
    <w:rsid w:val="003F49AC"/>
    <w:rsid w:val="0043435E"/>
    <w:rsid w:val="00446DAA"/>
    <w:rsid w:val="004553E0"/>
    <w:rsid w:val="0047781B"/>
    <w:rsid w:val="004804C4"/>
    <w:rsid w:val="00493412"/>
    <w:rsid w:val="004944ED"/>
    <w:rsid w:val="00523A61"/>
    <w:rsid w:val="005C1320"/>
    <w:rsid w:val="005F6A51"/>
    <w:rsid w:val="0061629D"/>
    <w:rsid w:val="006229E8"/>
    <w:rsid w:val="00624CC1"/>
    <w:rsid w:val="00687FBD"/>
    <w:rsid w:val="007176B3"/>
    <w:rsid w:val="007278C7"/>
    <w:rsid w:val="007473D6"/>
    <w:rsid w:val="007B2C13"/>
    <w:rsid w:val="00810475"/>
    <w:rsid w:val="008643CB"/>
    <w:rsid w:val="008C21AE"/>
    <w:rsid w:val="008E166D"/>
    <w:rsid w:val="009268BB"/>
    <w:rsid w:val="00936A4E"/>
    <w:rsid w:val="00947A99"/>
    <w:rsid w:val="00953CE6"/>
    <w:rsid w:val="009701EA"/>
    <w:rsid w:val="009A5418"/>
    <w:rsid w:val="009B03A3"/>
    <w:rsid w:val="009B7B68"/>
    <w:rsid w:val="00A20248"/>
    <w:rsid w:val="00A372F0"/>
    <w:rsid w:val="00A42FE9"/>
    <w:rsid w:val="00A51F5C"/>
    <w:rsid w:val="00A85883"/>
    <w:rsid w:val="00B256F9"/>
    <w:rsid w:val="00B47662"/>
    <w:rsid w:val="00B552A8"/>
    <w:rsid w:val="00B553F7"/>
    <w:rsid w:val="00B67BB9"/>
    <w:rsid w:val="00B74644"/>
    <w:rsid w:val="00C01D34"/>
    <w:rsid w:val="00C75116"/>
    <w:rsid w:val="00C87BDE"/>
    <w:rsid w:val="00D04914"/>
    <w:rsid w:val="00D1103E"/>
    <w:rsid w:val="00D37AD9"/>
    <w:rsid w:val="00D45B26"/>
    <w:rsid w:val="00D76673"/>
    <w:rsid w:val="00DC7D9D"/>
    <w:rsid w:val="00DF19FA"/>
    <w:rsid w:val="00E00B54"/>
    <w:rsid w:val="00E1758C"/>
    <w:rsid w:val="00E27C49"/>
    <w:rsid w:val="00E3314B"/>
    <w:rsid w:val="00E34EEC"/>
    <w:rsid w:val="00E54BAB"/>
    <w:rsid w:val="00E81515"/>
    <w:rsid w:val="00EE628D"/>
    <w:rsid w:val="00F05B99"/>
    <w:rsid w:val="00F171A8"/>
    <w:rsid w:val="00F20016"/>
    <w:rsid w:val="00F47140"/>
    <w:rsid w:val="00F73F6C"/>
    <w:rsid w:val="00FF76F1"/>
    <w:rsid w:val="203C7ACE"/>
    <w:rsid w:val="215E36C3"/>
    <w:rsid w:val="427329E5"/>
    <w:rsid w:val="4311501A"/>
    <w:rsid w:val="43381B69"/>
  </w:rsids>
  <m:mathPr>
    <m:mathFont m:val="Cambria Math"/>
    <m:brkBin m:val="before"/>
    <m:brkBinSub m:val="--"/>
    <m:smallFrac m:val="0"/>
    <m:dispDef/>
    <m:lMargin m:val="0"/>
    <m:rMargin m:val="0"/>
    <m:defJc m:val="centerGroup"/>
    <m:wrapIndent m:val="1440"/>
    <m:intLim m:val="subSup"/>
    <m:naryLim m:val="undOvr"/>
  </m:mathPr>
  <w:themeFontLang w:val="es-MX"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qFormat="1" w:unhideWhenUsed="0" w:uiPriority="1" w:semiHidden="0" w:name="No Spacing"/>
    <w:lsdException w:qFormat="1" w:unhideWhenUsed="0" w:uiPriority="34" w:semiHidden="0" w:name="List Paragraph"/>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s-MX" w:eastAsia="en-US"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annotation reference"/>
    <w:basedOn w:val="2"/>
    <w:semiHidden/>
    <w:unhideWhenUsed/>
    <w:qFormat/>
    <w:uiPriority w:val="99"/>
    <w:rPr>
      <w:sz w:val="16"/>
      <w:szCs w:val="16"/>
    </w:rPr>
  </w:style>
  <w:style w:type="paragraph" w:styleId="5">
    <w:name w:val="annotation subject"/>
    <w:basedOn w:val="6"/>
    <w:next w:val="6"/>
    <w:link w:val="15"/>
    <w:semiHidden/>
    <w:unhideWhenUsed/>
    <w:qFormat/>
    <w:uiPriority w:val="99"/>
    <w:rPr>
      <w:b/>
      <w:bCs/>
    </w:rPr>
  </w:style>
  <w:style w:type="paragraph" w:styleId="6">
    <w:name w:val="annotation text"/>
    <w:basedOn w:val="1"/>
    <w:link w:val="14"/>
    <w:semiHidden/>
    <w:unhideWhenUsed/>
    <w:uiPriority w:val="99"/>
    <w:pPr>
      <w:spacing w:line="240" w:lineRule="auto"/>
    </w:pPr>
    <w:rPr>
      <w:sz w:val="20"/>
      <w:szCs w:val="20"/>
    </w:rPr>
  </w:style>
  <w:style w:type="paragraph" w:styleId="7">
    <w:name w:val="Balloon Text"/>
    <w:basedOn w:val="1"/>
    <w:link w:val="11"/>
    <w:semiHidden/>
    <w:unhideWhenUsed/>
    <w:uiPriority w:val="99"/>
    <w:pPr>
      <w:spacing w:after="0" w:line="240" w:lineRule="auto"/>
    </w:pPr>
    <w:rPr>
      <w:rFonts w:ascii="Segoe UI" w:hAnsi="Segoe UI" w:cs="Segoe UI"/>
      <w:sz w:val="18"/>
      <w:szCs w:val="18"/>
    </w:rPr>
  </w:style>
  <w:style w:type="paragraph" w:styleId="8">
    <w:name w:val="header"/>
    <w:basedOn w:val="1"/>
    <w:semiHidden/>
    <w:unhideWhenUsed/>
    <w:uiPriority w:val="99"/>
    <w:pPr>
      <w:tabs>
        <w:tab w:val="center" w:pos="4153"/>
        <w:tab w:val="right" w:pos="8306"/>
      </w:tabs>
    </w:pPr>
  </w:style>
  <w:style w:type="paragraph" w:styleId="9">
    <w:name w:val="footer"/>
    <w:basedOn w:val="1"/>
    <w:semiHidden/>
    <w:unhideWhenUsed/>
    <w:uiPriority w:val="99"/>
    <w:pPr>
      <w:tabs>
        <w:tab w:val="center" w:pos="4153"/>
        <w:tab w:val="right" w:pos="8306"/>
      </w:tabs>
    </w:pPr>
  </w:style>
  <w:style w:type="table" w:styleId="10">
    <w:name w:val="Table Grid"/>
    <w:basedOn w:val="3"/>
    <w:qFormat/>
    <w:uiPriority w:val="0"/>
    <w:pPr>
      <w:spacing w:after="0" w:line="240" w:lineRule="auto"/>
    </w:pPr>
    <w:rPr>
      <w:rFonts w:ascii="Calibri" w:hAnsi="Calibri" w:eastAsia="Calibri" w:cs="Times New Roman"/>
      <w:lang w:val="es-E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1">
    <w:name w:val="Texto de globo Car"/>
    <w:basedOn w:val="2"/>
    <w:link w:val="7"/>
    <w:semiHidden/>
    <w:qFormat/>
    <w:uiPriority w:val="99"/>
    <w:rPr>
      <w:rFonts w:ascii="Segoe UI" w:hAnsi="Segoe UI" w:cs="Segoe UI"/>
      <w:sz w:val="18"/>
      <w:szCs w:val="18"/>
    </w:rPr>
  </w:style>
  <w:style w:type="paragraph" w:styleId="12">
    <w:name w:val="No Spacing"/>
    <w:qFormat/>
    <w:uiPriority w:val="1"/>
    <w:pPr>
      <w:spacing w:after="0" w:line="240" w:lineRule="auto"/>
    </w:pPr>
    <w:rPr>
      <w:rFonts w:asciiTheme="minorHAnsi" w:hAnsiTheme="minorHAnsi" w:eastAsiaTheme="minorHAnsi" w:cstheme="minorBidi"/>
      <w:sz w:val="22"/>
      <w:szCs w:val="22"/>
      <w:lang w:val="es-MX" w:eastAsia="en-US" w:bidi="ar-SA"/>
    </w:rPr>
  </w:style>
  <w:style w:type="paragraph" w:styleId="13">
    <w:name w:val="List Paragraph"/>
    <w:basedOn w:val="1"/>
    <w:qFormat/>
    <w:uiPriority w:val="34"/>
    <w:pPr>
      <w:ind w:left="720"/>
      <w:contextualSpacing/>
    </w:pPr>
    <w:rPr>
      <w:lang w:val="es-EC"/>
    </w:rPr>
  </w:style>
  <w:style w:type="character" w:customStyle="1" w:styleId="14">
    <w:name w:val="Texto comentario Car"/>
    <w:basedOn w:val="2"/>
    <w:link w:val="6"/>
    <w:semiHidden/>
    <w:qFormat/>
    <w:uiPriority w:val="99"/>
    <w:rPr>
      <w:sz w:val="20"/>
      <w:szCs w:val="20"/>
    </w:rPr>
  </w:style>
  <w:style w:type="character" w:customStyle="1" w:styleId="15">
    <w:name w:val="Asunto del comentario Car"/>
    <w:basedOn w:val="14"/>
    <w:link w:val="5"/>
    <w:semiHidden/>
    <w:uiPriority w:val="99"/>
    <w:rPr>
      <w:b/>
      <w:bCs/>
      <w:sz w:val="20"/>
      <w:szCs w:val="2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5C91EB9-2418-4627-A6B1-AC23E9ADC64D}">
  <ds:schemaRefs/>
</ds:datastoreItem>
</file>

<file path=docProps/app.xml><?xml version="1.0" encoding="utf-8"?>
<Properties xmlns="http://schemas.openxmlformats.org/officeDocument/2006/extended-properties" xmlns:vt="http://schemas.openxmlformats.org/officeDocument/2006/docPropsVTypes">
  <Template>Normal</Template>
  <Pages>9</Pages>
  <Words>3319</Words>
  <Characters>18260</Characters>
  <Lines>152</Lines>
  <Paragraphs>43</Paragraphs>
  <TotalTime>9</TotalTime>
  <ScaleCrop>false</ScaleCrop>
  <LinksUpToDate>false</LinksUpToDate>
  <CharactersWithSpaces>21536</CharactersWithSpaces>
  <Application>WPS Office_11.2.0.10463_F1E327BC-269C-435d-A152-05C5408002CA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2022-02-15T23:55:00Z</dcterms:created>
  <dc:creator>oscar romero cardenas</dc:creator>
  <cp:lastModifiedBy>gabriela mendieta</cp:lastModifiedBy>
  <dcterms:modified xsi:type="dcterms:W3CDTF">2022-02-18T06:20:37Z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3082-11.2.0.10463</vt:lpwstr>
  </property>
  <property fmtid="{D5CDD505-2E9C-101B-9397-08002B2CF9AE}" pid="3" name="ICV">
    <vt:lpwstr>1C9E9B73706B44E0829F2187C26D89E6</vt:lpwstr>
  </property>
</Properties>
</file>