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EL CONCEJO METROPOLITANO DE QUITO</w:t>
      </w:r>
    </w:p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CONSIDERANDO: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Default="00D3174E" w:rsidP="00D3174E">
      <w:pPr>
        <w:autoSpaceDE w:val="0"/>
        <w:autoSpaceDN w:val="0"/>
        <w:adjustRightInd w:val="0"/>
        <w:ind w:left="705" w:hanging="705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la Constitución de la República del Ecuador, en su artículo 264, numerales 1 y 2 dispone: </w:t>
      </w:r>
      <w:r w:rsidRPr="00461D40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“Los gobiernos municipales tendrán las siguientes competencias exclusivas sin perjuicio de otras que determine la ley: 1. Planificar el desarrollo cantonal y formular los correspondientes planes de ordenamiento territorial, de manera articulada con la planificación nacional, regional, provincial y parroquial, con el fin de regular el uso y la ocupación del suelo urbano y rural. 2. Ejercer el control sobre el uso y ocupación del suelo en el cantón...”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la Constitución de la República del Ecuador en su artículo 266, determina: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“Los gobiernos de los distritos metropolitanos autónomos ejercerán las competencias que corresponden a los gobiernos cantonales y todas las que sean aplicables a los gobiernos provinciales y regionales, sin perjuicio de las adicionales que determine la ley que regule el sistema nacional de competencias (…)"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los literales a) y d) del artículo 87 del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Código Orgánico de Organización Territorial Autonomía y Descentralización, en adelante, “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COOTAD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, establecen como atribuciones del Concejo Metropolitano, ejercer la facultad normativa a través de ordenanzas, acuerdos y resoluciones, en el ámbito de competencia del gobierno autónomo descentralizado metropolitano, para regular temas institucionales específic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o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 o reconocer derechos particulares;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conforme establece el artículo 87, literal v) del COOTAD, al Concejo Metropolitano le corresponde: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 xml:space="preserve">…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v) Regular y controlar el uso del suelo en el territorio del distrito metropolitano, de conformidad con las leyes sobre la materia, y establecer el régimen urbanístico de la tierra”;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472 del COOTAD señala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Para la fijación de las superficies mínimas en los fraccionamientos urbanos se atenderá a las normas que al efecto contenga el plan de ordenamiento territorial.</w:t>
      </w:r>
      <w:r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..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”;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473 del COOTAD establece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 xml:space="preserve">En el caso de partición judicial de inmuebles, los jueces ordenarán que se cite con la demanda a la municipalidad del cantón o distrito metropolitano y no se podrá realizar la partición sino con informe favorable del respectivo concejo. Si de hecho se realiza la partición, será nula. En el caso de partición 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lastRenderedPageBreak/>
        <w:t>extrajudicial, los interesados pedirán al gobierno municipal o metropolitano la autorización respectiva, sin la cual no podrá realizarse la partición.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la Ley de Régimen para el Distrito Metropolitano de Quito, en su artículo 2 numeral 1, determina que el Municipio del </w:t>
      </w:r>
      <w:r w:rsidRPr="004B36BA">
        <w:rPr>
          <w:rFonts w:ascii="Palatino Linotype" w:eastAsiaTheme="minorHAnsi" w:hAnsi="Palatino Linotype"/>
          <w:lang w:val="es-EC" w:eastAsia="en-US"/>
        </w:rPr>
        <w:t xml:space="preserve">Distrito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Metropolitano de Quito regulará el uso y la adecuada ocupación del suelo y ejercerá control sobre el mismo con competencia exclusiva y privativa. De igual manera regulará y controlará, con competencia exclusiva y privativa las construcciones o edificaciones, su estado, utilización y condiciones;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2156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Código Municipal para el Distrito Metropolitano de Quito,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en adelante, “Código Municipal”,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señala que las asignaciones de zonificación para habilitación del suelo y edificación son: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“a. Para habilitación del suelo: el tamaño mínimo de lote, expresado en metros cuadrados; el frente mínimo del lote, expresado en metros lineales”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2157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Código Municipal establece: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"1. La delimitación de la zonificación en relación a la forma de ocupación y edificabilidad se realiza por sectores y ejes, y se aplicará a los lotes en las siguientes condiciones: a. En cada sector la asignación de cada tipo de zonificación se aplicará a todos los lotes que lo conforman (...)";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Código Municipal en su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2162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numeral 1 y 5, determina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 xml:space="preserve">“1. Los proyectos de subdivisión son propuestas que tienen por finalidad dividir y habilitar predios, conforme la zonificación establecida en el PUOS y demás instrumentos de planificación. En todos los casos deberá observarse el lote mínimo establecido en la normativa vigente. 5. </w:t>
      </w:r>
      <w:r w:rsidRPr="004B36BA">
        <w:rPr>
          <w:rFonts w:ascii="Palatino Linotype" w:hAnsi="Palatino Linotype"/>
          <w:i/>
          <w:sz w:val="22"/>
          <w:szCs w:val="22"/>
        </w:rPr>
        <w:t>Se considera, además, como subdivisión a las habilitaciones originadas por partición judicial que pueden generarse en suelo urbano y rural. Éstas deberán sujetarse a la zonificación y normativa vigentes”</w:t>
      </w:r>
      <w:r w:rsidRPr="004B36BA">
        <w:rPr>
          <w:rFonts w:ascii="Palatino Linotype" w:hAnsi="Palatino Linotype"/>
          <w:sz w:val="22"/>
          <w:szCs w:val="22"/>
        </w:rPr>
        <w:t xml:space="preserve">;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Código Municipal en su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2164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, sobre las dimensiones y áreas mínimas de lotes, establece:</w:t>
      </w:r>
      <w:r w:rsidRPr="004B36BA">
        <w:rPr>
          <w:rFonts w:ascii="Arial" w:hAnsi="Arial" w:cs="Arial"/>
          <w:i/>
          <w:iCs/>
        </w:rPr>
        <w:t xml:space="preserve">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"Las habilitaciones del suelo observarán las dimensiones y las superficies de los lotes, y grados o porcentajes de pendientes establecidas en el PUOS, y demás instrumentos de planificación, de conformidad con el ordenamiento jurídico metropolitano”;</w:t>
      </w: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</w:p>
    <w:p w:rsidR="00D93397" w:rsidRPr="00422EEC" w:rsidRDefault="0030679D" w:rsidP="00B13A33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r w:rsidR="00062CA9">
        <w:rPr>
          <w:rFonts w:ascii="Palatino Linotype" w:hAnsi="Palatino Linotype"/>
          <w:sz w:val="22"/>
          <w:szCs w:val="22"/>
        </w:rPr>
        <w:t xml:space="preserve"> </w:t>
      </w:r>
      <w:r w:rsidR="00D93397">
        <w:rPr>
          <w:rFonts w:ascii="Palatino Linotype" w:eastAsiaTheme="minorHAnsi" w:hAnsi="Palatino Linotype"/>
          <w:sz w:val="22"/>
          <w:szCs w:val="22"/>
          <w:lang w:val="es-EC" w:eastAsia="en-US"/>
        </w:rPr>
        <w:t>solicitud</w:t>
      </w:r>
      <w:r w:rsidR="00D93397" w:rsidRPr="000E07E5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D93397">
        <w:rPr>
          <w:rFonts w:ascii="Palatino Linotype" w:eastAsiaTheme="minorHAnsi" w:hAnsi="Palatino Linotype"/>
          <w:sz w:val="22"/>
          <w:szCs w:val="22"/>
          <w:lang w:val="es-EC" w:eastAsia="en-US"/>
        </w:rPr>
        <w:t>de 15 de enero de 2021, los señores Norma Jakeline Maldonado Salcedo y Gabriel Enrique Maldonado Salcedo solicitan a la Administración Zonal Eloy Alfaro, se informe si procede el fraccionamiento del predio 78943;</w:t>
      </w:r>
    </w:p>
    <w:p w:rsidR="00797BD8" w:rsidRPr="002C5B9E" w:rsidRDefault="00797BD8" w:rsidP="00463576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30679D" w:rsidRPr="00E83C98" w:rsidRDefault="0030679D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</w:p>
    <w:p w:rsidR="00892629" w:rsidRPr="003236B4" w:rsidRDefault="00D3174E" w:rsidP="00892629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  <w:r>
        <w:rPr>
          <w:rFonts w:ascii="Palatino Linotype" w:hAnsi="Palatino Linotype"/>
          <w:sz w:val="22"/>
          <w:szCs w:val="22"/>
          <w:lang w:val="es-EC"/>
        </w:rPr>
        <w:lastRenderedPageBreak/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bookmarkStart w:id="0" w:name="_Hlk51947053"/>
      <w:r w:rsidR="00031EBE">
        <w:rPr>
          <w:rFonts w:ascii="Palatino Linotype" w:hAnsi="Palatino Linotype"/>
          <w:sz w:val="22"/>
          <w:szCs w:val="22"/>
        </w:rPr>
        <w:t xml:space="preserve"> </w:t>
      </w:r>
      <w:r w:rsidR="00892629" w:rsidRPr="00DA20BF">
        <w:rPr>
          <w:rFonts w:ascii="Palatino Linotype" w:hAnsi="Palatino Linotype"/>
          <w:iCs/>
          <w:sz w:val="22"/>
          <w:szCs w:val="22"/>
          <w:lang w:val="es-EC"/>
        </w:rPr>
        <w:t>memorando No. GADDMQ-AZEA-DGT-UGU-2021-0024-M de fecha 04 de</w:t>
      </w:r>
      <w:r w:rsidR="00892629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892629" w:rsidRPr="00DA20BF">
        <w:rPr>
          <w:rFonts w:ascii="Palatino Linotype" w:hAnsi="Palatino Linotype"/>
          <w:iCs/>
          <w:sz w:val="22"/>
          <w:szCs w:val="22"/>
          <w:lang w:val="es-EC"/>
        </w:rPr>
        <w:t>febrero de 2021, el Arq. Marcelo Edwin Ati Pilaquinga, Responsable de Unidad de</w:t>
      </w:r>
      <w:r w:rsidR="00892629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892629" w:rsidRPr="00DA20BF">
        <w:rPr>
          <w:rFonts w:ascii="Palatino Linotype" w:hAnsi="Palatino Linotype"/>
          <w:iCs/>
          <w:sz w:val="22"/>
          <w:szCs w:val="22"/>
          <w:lang w:val="es-EC"/>
        </w:rPr>
        <w:t xml:space="preserve">Gestión Urbana de la Administración Zonal Eloy Alfaro, </w:t>
      </w:r>
      <w:r w:rsidR="00892629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señala: </w:t>
      </w:r>
    </w:p>
    <w:p w:rsidR="00892629" w:rsidRPr="003236B4" w:rsidRDefault="00892629" w:rsidP="00892629">
      <w:pPr>
        <w:pStyle w:val="Default"/>
        <w:jc w:val="both"/>
        <w:rPr>
          <w:rFonts w:ascii="Palatino Linotype" w:hAnsi="Palatino Linotype"/>
          <w:iCs/>
          <w:sz w:val="22"/>
          <w:szCs w:val="22"/>
          <w:lang w:val="es-EC"/>
        </w:rPr>
      </w:pPr>
    </w:p>
    <w:p w:rsidR="00892629" w:rsidRPr="00C77651" w:rsidRDefault="00892629" w:rsidP="00892629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C77651">
        <w:rPr>
          <w:rFonts w:ascii="Palatino Linotype" w:hAnsi="Palatino Linotype"/>
          <w:i/>
          <w:sz w:val="22"/>
          <w:szCs w:val="22"/>
        </w:rPr>
        <w:t xml:space="preserve">“(…)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En atención a la solicitud ingresada a esta Administración Zonal Eloy Alfaro con</w:t>
      </w:r>
      <w:r w:rsidRPr="00C77651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SITRA No. GADDMQ-AZEA-DAF-UA-SG-2021-0077-E el 15 de enero del 2021,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mediante la cual LA SEÑORA NORMA JACKELINE y GABRIEL ENRIQUE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MALDONADO SALCEDO, solicitan, “</w:t>
      </w:r>
      <w:r w:rsidRPr="00C77651">
        <w:rPr>
          <w:rFonts w:ascii="Palatino Linotype" w:eastAsiaTheme="minorHAnsi" w:hAnsi="Palatino Linotype" w:cs="Symbol"/>
          <w:sz w:val="22"/>
          <w:szCs w:val="22"/>
          <w:lang w:eastAsia="en-US"/>
        </w:rPr>
        <w:t xml:space="preserve">¼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si el predio número 78943 geo clave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170102280208036111, procede a un fraccionamiento, según informe técnico, revisado en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el sistema informático SGCT SLUM.”</w:t>
      </w:r>
    </w:p>
    <w:p w:rsidR="00892629" w:rsidRPr="00C77651" w:rsidRDefault="00892629" w:rsidP="00892629">
      <w:pPr>
        <w:autoSpaceDE w:val="0"/>
        <w:autoSpaceDN w:val="0"/>
        <w:adjustRightInd w:val="0"/>
        <w:ind w:left="708"/>
        <w:jc w:val="both"/>
        <w:rPr>
          <w:rFonts w:ascii="Palatino Linotype" w:hAnsi="Palatino Linotype"/>
          <w:i/>
          <w:sz w:val="22"/>
          <w:szCs w:val="22"/>
        </w:rPr>
      </w:pP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Al respecto tengo a bien informar, que revisado el correspondiente Informe de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Regulación Metropolitana del predio No. 78943 se determina lo siguiente: El predio está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ubicado en la Zona Eloy Alfaro, Parroquia San Bartolo, El Calzado, Pasaje Rafael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Ferrer misma que tiene un ancho de 11.00 m., se trata de un predio en Unipropiedad de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135.00 m2 (según escritura) en el cual se encuentra construida una edificación de 135.81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m2.; de acuerdo a la zonificación D3 (D203-80) que determina lotes con una superficie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mínima de 200.00 m2 y los 135.00 m2 que tiene de cabida el predio no da lugar a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C77651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partición alguna, por tanto, no es factible su Fraccionamiento</w:t>
      </w:r>
      <w:r w:rsidR="00C5746E">
        <w:rPr>
          <w:rFonts w:ascii="Palatino Linotype" w:hAnsi="Palatino Linotype"/>
          <w:i/>
          <w:sz w:val="22"/>
          <w:szCs w:val="22"/>
        </w:rPr>
        <w:t xml:space="preserve">”; </w:t>
      </w:r>
    </w:p>
    <w:p w:rsidR="008C0C27" w:rsidRDefault="008C0C27" w:rsidP="00892629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 w:cs="Calibri"/>
          <w:i/>
          <w:iCs/>
          <w:sz w:val="22"/>
          <w:szCs w:val="22"/>
        </w:rPr>
      </w:pPr>
    </w:p>
    <w:p w:rsidR="00186863" w:rsidRPr="00B5542E" w:rsidRDefault="001C2AA5" w:rsidP="00186863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  <w:r>
        <w:rPr>
          <w:rFonts w:ascii="Palatino Linotype" w:hAnsi="Palatino Linotype"/>
          <w:sz w:val="22"/>
          <w:szCs w:val="22"/>
          <w:lang w:val="es-EC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r w:rsidR="007E5968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186863" w:rsidRPr="00AF0668">
        <w:rPr>
          <w:rFonts w:ascii="Palatino Linotype" w:hAnsi="Palatino Linotype"/>
          <w:iCs/>
          <w:sz w:val="22"/>
          <w:szCs w:val="22"/>
          <w:lang w:val="es-EC"/>
        </w:rPr>
        <w:t>Informe Legal No. 46-2021-DJ de fecha 24 de febrero de 2021, la Dra. Silvia</w:t>
      </w:r>
      <w:r w:rsidR="00186863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186863" w:rsidRPr="00AF0668">
        <w:rPr>
          <w:rFonts w:ascii="Palatino Linotype" w:hAnsi="Palatino Linotype"/>
          <w:iCs/>
          <w:sz w:val="22"/>
          <w:szCs w:val="22"/>
          <w:lang w:val="es-EC"/>
        </w:rPr>
        <w:t>Lorena Gaibor Villota, Directora Jurídica de la Ad</w:t>
      </w:r>
      <w:r w:rsidR="00186863">
        <w:rPr>
          <w:rFonts w:ascii="Palatino Linotype" w:hAnsi="Palatino Linotype"/>
          <w:iCs/>
          <w:sz w:val="22"/>
          <w:szCs w:val="22"/>
          <w:lang w:val="es-EC"/>
        </w:rPr>
        <w:t xml:space="preserve">ministración Zonal Eloy Alfaro, señala: </w:t>
      </w:r>
    </w:p>
    <w:p w:rsidR="00186863" w:rsidRPr="00B5542E" w:rsidRDefault="00186863" w:rsidP="00186863">
      <w:pPr>
        <w:pStyle w:val="Default"/>
        <w:jc w:val="both"/>
        <w:rPr>
          <w:rFonts w:ascii="Palatino Linotype" w:hAnsi="Palatino Linotype"/>
          <w:iCs/>
          <w:sz w:val="22"/>
          <w:szCs w:val="22"/>
          <w:lang w:val="es-EC"/>
        </w:rPr>
      </w:pPr>
    </w:p>
    <w:p w:rsidR="00186863" w:rsidRPr="009641DC" w:rsidRDefault="00186863" w:rsidP="00186863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9641DC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“(… ) Siendo el informe técnico de factibilidad de partición desfavorable, y al amparo de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9641DC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lo que dispone el Art. 473 del COOTAD, esta Dirección Jurídica emite criterio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9641DC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desfavorable por incumplir las normas técnicas y legales, para realizar el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9641DC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fraccionamiento del predio No. 78943”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; </w:t>
      </w:r>
    </w:p>
    <w:p w:rsidR="00A40137" w:rsidRPr="001308BA" w:rsidRDefault="00A40137" w:rsidP="00186863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</w:p>
    <w:bookmarkEnd w:id="0"/>
    <w:p w:rsidR="00AC0744" w:rsidRDefault="00D3174E" w:rsidP="00703F56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</w:pPr>
      <w:r w:rsidRPr="00F62EF1">
        <w:rPr>
          <w:rFonts w:ascii="Palatino Linotype" w:hAnsi="Palatino Linotype"/>
          <w:sz w:val="22"/>
          <w:szCs w:val="22"/>
        </w:rPr>
        <w:t>Que, mediante</w:t>
      </w:r>
      <w:r w:rsidR="00703F5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 </w:t>
      </w:r>
      <w:r w:rsidR="006431B0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oficio Nro. </w:t>
      </w:r>
      <w:r w:rsidR="006431B0" w:rsidRPr="00D12D3E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GADDMQ-PM-2021-1945-O</w:t>
      </w:r>
      <w:r w:rsidR="006431B0" w:rsidRPr="007B520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 de </w:t>
      </w:r>
      <w:r w:rsidR="006431B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29 </w:t>
      </w:r>
      <w:r w:rsidR="006431B0" w:rsidRPr="007B520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de </w:t>
      </w:r>
      <w:r w:rsidR="006431B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junio </w:t>
      </w:r>
      <w:r w:rsidR="006431B0" w:rsidRPr="007B520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de 2021</w:t>
      </w:r>
      <w:r w:rsidR="006431B0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, </w:t>
      </w:r>
      <w:r w:rsidR="006431B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la Dra. Verónica Cáceres, Subprocuradora Metropolitana (E)</w:t>
      </w:r>
      <w:r w:rsidR="006431B0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, emitió su criterio jurídico el mismo que en la parte pertinente señala</w:t>
      </w:r>
      <w:r w:rsidR="0085509A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:</w:t>
      </w:r>
    </w:p>
    <w:p w:rsidR="0085509A" w:rsidRPr="002768B5" w:rsidRDefault="0085509A" w:rsidP="0085509A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</w:pPr>
    </w:p>
    <w:p w:rsidR="00D3174E" w:rsidRDefault="0075744C" w:rsidP="00D3174E">
      <w:pPr>
        <w:autoSpaceDE w:val="0"/>
        <w:autoSpaceDN w:val="0"/>
        <w:adjustRightInd w:val="0"/>
        <w:ind w:firstLine="708"/>
        <w:jc w:val="both"/>
        <w:rPr>
          <w:rFonts w:ascii="Palatino Linotype" w:eastAsiaTheme="minorHAnsi" w:hAnsi="Palatino Linotype"/>
          <w:b/>
          <w:i/>
          <w:sz w:val="22"/>
          <w:szCs w:val="22"/>
          <w:u w:val="single"/>
          <w:lang w:val="es-EC" w:eastAsia="en-US"/>
        </w:rPr>
      </w:pPr>
      <w:r w:rsidRPr="003236B4"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  <w:t xml:space="preserve"> </w:t>
      </w:r>
      <w:r w:rsidR="00D3174E" w:rsidRPr="003236B4"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  <w:t>(…) “</w:t>
      </w:r>
      <w:r w:rsidR="00D3174E" w:rsidRPr="003236B4">
        <w:rPr>
          <w:rFonts w:ascii="Palatino Linotype" w:eastAsiaTheme="minorHAnsi" w:hAnsi="Palatino Linotype"/>
          <w:b/>
          <w:i/>
          <w:sz w:val="22"/>
          <w:szCs w:val="22"/>
          <w:u w:val="single"/>
          <w:lang w:val="es-EC" w:eastAsia="en-US"/>
        </w:rPr>
        <w:t>Análisis y criterio jurídico</w:t>
      </w:r>
    </w:p>
    <w:p w:rsidR="00722390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</w:p>
    <w:p w:rsidR="00722390" w:rsidRPr="0072079B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De la revisión del expediente, se establece que el presente trámite se refiere al predio No.</w:t>
      </w:r>
    </w:p>
    <w:p w:rsidR="00722390" w:rsidRPr="0072079B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78943, ubicado en la parroquia San Bartolo, barrio El Calzado, con zonificación D3</w:t>
      </w:r>
    </w:p>
    <w:p w:rsidR="00722390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(D203-80). De acuerdo con los informes de la Administración Zonal Eloy Alfaro, se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establece que el lote mínimo para subdivisión en el sector es de 200m², requerimiento que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no </w:t>
      </w: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lastRenderedPageBreak/>
        <w:t>se cumple en el presente caso por cuanto el predio No. 78943 tiene una superficie de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135 m2.</w:t>
      </w:r>
    </w:p>
    <w:p w:rsidR="00722390" w:rsidRPr="0072079B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</w:p>
    <w:p w:rsidR="00722390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En virtud de los informes técnico y legal de la Administración Zonal Eloy Alfaro; y, de la normativa, anteriormente expuestos, Procuraduría Metropolitana emite criterio legal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desfavorable, para que el Concejo Metropolitano de Quito autorice la partición del predio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No. 78943, ubicado en la parroquia San Bartolo, barrio El Calzado, en razón de que no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puede cumplir con el requisito y presupuesto material previsto en el régimen jurídico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aplicable, en lo referente a lote mínimo, necesario para aprobar subdivisiones de bienes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inmuebles en el Distrito Metropolitano de Quito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.</w:t>
      </w:r>
    </w:p>
    <w:p w:rsidR="00722390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</w:p>
    <w:p w:rsidR="00722390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Cabe indicar que en los procesos judiciales en los que la pretensión jurídica no implique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subdivisión o fraccionamiento de inmuebles, no corresponde al Concejo Metropolitano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emitir el informe establecido en el artículo 473 del COOTAD. No obstante, esta situación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no impide que las autoridades judiciales continúen con el proceso que corresponda en la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causa.</w:t>
      </w:r>
    </w:p>
    <w:p w:rsidR="00722390" w:rsidRPr="0072079B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</w:p>
    <w:p w:rsidR="00722390" w:rsidRPr="0072079B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De este particular, el Concejo Metropolitano de Quito, comunicará a los señores Norma</w:t>
      </w:r>
    </w:p>
    <w:p w:rsidR="00722390" w:rsidRPr="0072079B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72079B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Jakeline Maldonado Salcedo y Gabriel Enrique Maldonad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o Salcedo”;</w:t>
      </w:r>
    </w:p>
    <w:p w:rsidR="00703F56" w:rsidRDefault="00703F56" w:rsidP="00D3174E">
      <w:pPr>
        <w:autoSpaceDE w:val="0"/>
        <w:autoSpaceDN w:val="0"/>
        <w:adjustRightInd w:val="0"/>
        <w:ind w:firstLine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D3174E" w:rsidRPr="00E83C98" w:rsidRDefault="00D3174E" w:rsidP="00B34EAF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la Comisión de Uso de Su</w:t>
      </w:r>
      <w:r w:rsidR="00C8773C">
        <w:rPr>
          <w:rFonts w:ascii="Palatino Linotype" w:eastAsiaTheme="minorHAnsi" w:hAnsi="Palatino Linotype"/>
          <w:sz w:val="22"/>
          <w:szCs w:val="22"/>
          <w:lang w:val="es-EC" w:eastAsia="en-US"/>
        </w:rPr>
        <w:t>elo en sesión ordinaria Nro. 106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de </w:t>
      </w:r>
      <w:r w:rsidR="00C8773C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30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 </w:t>
      </w:r>
      <w:r w:rsidR="00C8773C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agosto </w:t>
      </w:r>
      <w:r w:rsidR="00061BF3">
        <w:rPr>
          <w:rFonts w:ascii="Palatino Linotype" w:eastAsiaTheme="minorHAnsi" w:hAnsi="Palatino Linotype"/>
          <w:sz w:val="22"/>
          <w:szCs w:val="22"/>
          <w:lang w:val="es-EC" w:eastAsia="en-US"/>
        </w:rPr>
        <w:t>de 2021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analizó los informes técnicos y legales, que reposan en el expediente</w:t>
      </w:r>
      <w:r w:rsidRPr="00E83C98">
        <w:rPr>
          <w:rFonts w:ascii="Palatino Linotype" w:hAnsi="Palatino Linotype"/>
          <w:sz w:val="22"/>
          <w:szCs w:val="22"/>
        </w:rPr>
        <w:t xml:space="preserve">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y emitió dictamen desfavorable para que el Concejo Metropolitano autorice la partición</w:t>
      </w:r>
      <w:r w:rsidR="00C967A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B502CD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</w:t>
      </w:r>
      <w:r w:rsidR="00B502CD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>predio</w:t>
      </w:r>
      <w:r w:rsidR="00B502CD" w:rsidRPr="00114FC0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No.</w:t>
      </w:r>
      <w:r w:rsidR="00AD07D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F45081">
        <w:rPr>
          <w:rFonts w:ascii="Palatino Linotype" w:eastAsiaTheme="minorHAnsi" w:hAnsi="Palatino Linotype"/>
          <w:sz w:val="22"/>
          <w:szCs w:val="22"/>
          <w:lang w:val="es-EC" w:eastAsia="en-US"/>
        </w:rPr>
        <w:t>78943</w:t>
      </w:r>
      <w:r w:rsidR="00F45081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</w:t>
      </w:r>
      <w:r w:rsidR="00F45081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clave catastral </w:t>
      </w:r>
      <w:r w:rsidR="00F45081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Nro.</w:t>
      </w:r>
      <w:r w:rsidR="00F45081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F45081" w:rsidRPr="00D14D37">
        <w:rPr>
          <w:rFonts w:ascii="Palatino Linotype" w:eastAsiaTheme="minorHAnsi" w:hAnsi="Palatino Linotype"/>
          <w:sz w:val="22"/>
          <w:szCs w:val="22"/>
          <w:lang w:val="es-EC" w:eastAsia="en-US"/>
        </w:rPr>
        <w:t>31105 04 019 000 000 000</w:t>
      </w:r>
      <w:r w:rsidR="00F45081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</w:t>
      </w:r>
      <w:r w:rsidR="00F45081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ubicado en </w:t>
      </w:r>
      <w:r w:rsidR="00F45081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la parroquia San Bartolo </w:t>
      </w:r>
      <w:r w:rsidR="00F45081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de este cantón</w:t>
      </w:r>
      <w:r w:rsidR="00B26634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E83C98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el Concejo Metropolitano de Quito, en sesión pública ordin</w:t>
      </w:r>
      <w:r w:rsidR="008F4533">
        <w:rPr>
          <w:rFonts w:ascii="Palatino Linotype" w:eastAsiaTheme="minorHAnsi" w:hAnsi="Palatino Linotype"/>
          <w:sz w:val="22"/>
          <w:szCs w:val="22"/>
          <w:lang w:val="es-EC" w:eastAsia="en-US"/>
        </w:rPr>
        <w:t>aria realizada el … de … de 2022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, analizó el i</w:t>
      </w:r>
      <w:r w:rsidR="007F4020">
        <w:rPr>
          <w:rFonts w:ascii="Palatino Linotype" w:eastAsiaTheme="minorHAnsi" w:hAnsi="Palatino Linotype"/>
          <w:sz w:val="22"/>
          <w:szCs w:val="22"/>
          <w:lang w:val="es-EC" w:eastAsia="en-US"/>
        </w:rPr>
        <w:t>nforme Nro. IC-CUS-2021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-</w:t>
      </w:r>
      <w:r w:rsidR="009E48B8">
        <w:rPr>
          <w:rFonts w:ascii="Palatino Linotype" w:eastAsiaTheme="minorHAnsi" w:hAnsi="Palatino Linotype"/>
          <w:sz w:val="22"/>
          <w:szCs w:val="22"/>
          <w:lang w:val="es-EC" w:eastAsia="en-US"/>
        </w:rPr>
        <w:t>043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emitido por la Comisión de Uso de Suelo;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  <w:t>En ejercicio de sus atribuciones previstas en el artículo 240 y 266 de la Constitución de la República y artículos 87 letra a) y d); y, 323 del Código Orgánico de Organización Territorial, Autonomía y Descentralización;</w:t>
      </w: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  <w:t>RESUELVE</w:t>
      </w: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</w:p>
    <w:p w:rsidR="00D3174E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522F97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Artículo 1.- </w:t>
      </w:r>
      <w:r w:rsidRPr="00522F9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No autorizar la </w:t>
      </w:r>
      <w:r w:rsidR="00EF168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partición </w:t>
      </w:r>
      <w:r w:rsidR="00EF1687" w:rsidRPr="00EF1687">
        <w:rPr>
          <w:rFonts w:ascii="Palatino Linotype" w:eastAsiaTheme="minorHAnsi" w:hAnsi="Palatino Linotype"/>
          <w:sz w:val="22"/>
          <w:szCs w:val="22"/>
          <w:lang w:val="es-EC" w:eastAsia="en-US"/>
        </w:rPr>
        <w:t>del predio No.</w:t>
      </w:r>
      <w:r w:rsidR="004F1C3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78943</w:t>
      </w:r>
      <w:r w:rsidR="004F1C32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</w:t>
      </w:r>
      <w:r w:rsidR="004F1C3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clave catastral </w:t>
      </w:r>
      <w:r w:rsidR="004F1C32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Nro.</w:t>
      </w:r>
      <w:r w:rsidR="004F1C3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4F1C32" w:rsidRPr="00D14D37">
        <w:rPr>
          <w:rFonts w:ascii="Palatino Linotype" w:eastAsiaTheme="minorHAnsi" w:hAnsi="Palatino Linotype"/>
          <w:sz w:val="22"/>
          <w:szCs w:val="22"/>
          <w:lang w:val="es-EC" w:eastAsia="en-US"/>
        </w:rPr>
        <w:t>31105 04 019 000 000 000</w:t>
      </w:r>
      <w:r w:rsidR="004F1C3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</w:t>
      </w:r>
      <w:r w:rsidR="004F1C32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ubicado en </w:t>
      </w:r>
      <w:r w:rsidR="004F1C3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la parroquia San Bartolo </w:t>
      </w:r>
      <w:r w:rsidR="004F1C32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de este cantón</w:t>
      </w:r>
      <w:r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; debido a que </w:t>
      </w:r>
      <w:r w:rsidRPr="005D0E70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no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cumple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con </w:t>
      </w:r>
      <w:r w:rsidR="00725A06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los </w:t>
      </w:r>
      <w:bookmarkStart w:id="1" w:name="_GoBack"/>
      <w:bookmarkEnd w:id="1"/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>requisito</w:t>
      </w:r>
      <w:r w:rsidR="00FE6D38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y presupuesto material previsto en el régimen jurídico aplicable,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lastRenderedPageBreak/>
        <w:t>en lo referente a lote mínimo</w:t>
      </w:r>
      <w:r w:rsidR="00AD5316">
        <w:rPr>
          <w:rFonts w:ascii="Palatino Linotype" w:eastAsiaTheme="minorHAnsi" w:hAnsi="Palatino Linotype"/>
          <w:sz w:val="22"/>
          <w:szCs w:val="22"/>
          <w:lang w:val="es-EC" w:eastAsia="en-US"/>
        </w:rPr>
        <w:t>,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necesario para aprobar subdivisiones de bienes inmuebles en el </w:t>
      </w:r>
      <w:r w:rsidR="00827F3D">
        <w:rPr>
          <w:rFonts w:ascii="Palatino Linotype" w:eastAsiaTheme="minorHAnsi" w:hAnsi="Palatino Linotype"/>
          <w:sz w:val="22"/>
          <w:szCs w:val="22"/>
          <w:lang w:val="es-EC" w:eastAsia="en-US"/>
        </w:rPr>
        <w:t>Distrito Metropolitano de Quito.</w:t>
      </w:r>
      <w:r w:rsidR="0078783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</w:p>
    <w:p w:rsidR="00D3174E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Artículo 2.-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Comuníquese al interesado, a la administración zonal que corresponda, y, a la Secretaría de Territorio, Hábitat y Vivienda, a fin de que se continúe con los trámites de ley.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</w:pPr>
      <w:bookmarkStart w:id="2" w:name="_Hlk40866429"/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 xml:space="preserve">Disposición General Única. - </w:t>
      </w:r>
      <w:r w:rsidRPr="00E83C98"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  <w:t>La presente resolución se aprueba en base a los informes que son de exclusiva responsabilidad de los funcionarios que lo suscriben y realizan.</w:t>
      </w:r>
    </w:p>
    <w:bookmarkEnd w:id="2"/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Disposición Final. -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La presente resolución entrará en vigencia a partir de su suscripción sin perjuicio de su publicación.</w:t>
      </w:r>
      <w:r w:rsidRPr="00E83C98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 xml:space="preserve">Alcaldía del Distrito Metropolitano. - </w:t>
      </w:r>
      <w:r w:rsidRPr="00E83C98">
        <w:rPr>
          <w:rFonts w:ascii="Palatino Linotype" w:hAnsi="Palatino Linotype"/>
          <w:sz w:val="22"/>
          <w:szCs w:val="22"/>
        </w:rPr>
        <w:t xml:space="preserve">Distrito Metropolitano de Quito, fecha. </w:t>
      </w: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center"/>
        <w:rPr>
          <w:rFonts w:ascii="Palatino Linotype" w:hAnsi="Palatino Linotype"/>
          <w:b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EJECÚTESE:</w:t>
      </w:r>
    </w:p>
    <w:p w:rsidR="00D3174E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sz w:val="22"/>
          <w:szCs w:val="22"/>
        </w:rPr>
        <w:t xml:space="preserve">Dr. </w:t>
      </w:r>
      <w:r>
        <w:rPr>
          <w:rFonts w:ascii="Palatino Linotype" w:hAnsi="Palatino Linotype"/>
          <w:sz w:val="22"/>
          <w:szCs w:val="22"/>
        </w:rPr>
        <w:t xml:space="preserve">Santiago Guarderas Izquierdo </w:t>
      </w: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ALCALDE DEL DISTRITO METROPOLITANO DE QUITO</w:t>
      </w:r>
    </w:p>
    <w:p w:rsidR="00D3174E" w:rsidRPr="00E83C98" w:rsidRDefault="00D3174E" w:rsidP="00D3174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CERTIFICO,</w:t>
      </w:r>
      <w:r w:rsidRPr="00E83C98">
        <w:rPr>
          <w:rFonts w:ascii="Palatino Linotype" w:hAnsi="Palatino Linotype"/>
          <w:sz w:val="22"/>
          <w:szCs w:val="22"/>
        </w:rPr>
        <w:t xml:space="preserve"> que la presente resolución fue discutida y aprobada en sesión pública ordinaria del Concejo Metropolitano de Quito, el …; y, suscrita por el Dr. </w:t>
      </w:r>
      <w:r>
        <w:rPr>
          <w:rFonts w:ascii="Palatino Linotype" w:hAnsi="Palatino Linotype"/>
          <w:sz w:val="22"/>
          <w:szCs w:val="22"/>
        </w:rPr>
        <w:t>Santiago Guarderas Izquierdo</w:t>
      </w:r>
      <w:r w:rsidRPr="00E83C98">
        <w:rPr>
          <w:rFonts w:ascii="Palatino Linotype" w:hAnsi="Palatino Linotype"/>
          <w:sz w:val="22"/>
          <w:szCs w:val="22"/>
        </w:rPr>
        <w:t>, Alcalde del Distrito Metropolitano de Quito, ….</w:t>
      </w:r>
    </w:p>
    <w:p w:rsidR="00D3174E" w:rsidRPr="00E83C98" w:rsidRDefault="00D3174E" w:rsidP="00D3174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 xml:space="preserve">Lo certifico.- </w:t>
      </w:r>
      <w:r w:rsidRPr="00E83C98">
        <w:rPr>
          <w:rFonts w:ascii="Palatino Linotype" w:hAnsi="Palatino Linotype"/>
          <w:sz w:val="22"/>
          <w:szCs w:val="22"/>
        </w:rPr>
        <w:t>Distrito Metropolitano de Quito, …..</w:t>
      </w:r>
    </w:p>
    <w:p w:rsidR="00D3174E" w:rsidRPr="00E83C98" w:rsidRDefault="00D3174E" w:rsidP="00D3174E">
      <w:pPr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sz w:val="22"/>
          <w:szCs w:val="22"/>
        </w:rPr>
        <w:t xml:space="preserve">Abg. </w:t>
      </w:r>
      <w:r>
        <w:rPr>
          <w:rFonts w:ascii="Palatino Linotype" w:hAnsi="Palatino Linotype"/>
          <w:sz w:val="22"/>
          <w:szCs w:val="22"/>
        </w:rPr>
        <w:t xml:space="preserve">Pablo Santillán </w:t>
      </w:r>
    </w:p>
    <w:p w:rsidR="00D3174E" w:rsidRPr="00220827" w:rsidRDefault="00D3174E" w:rsidP="00D3174E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SECRETARIO</w:t>
      </w:r>
      <w:r w:rsidRPr="00E83C98">
        <w:rPr>
          <w:rFonts w:ascii="Palatino Linotype" w:hAnsi="Palatino Linotype"/>
          <w:b/>
          <w:sz w:val="22"/>
          <w:szCs w:val="22"/>
        </w:rPr>
        <w:t xml:space="preserve"> GENERAL DEL CO</w:t>
      </w:r>
      <w:r>
        <w:rPr>
          <w:rFonts w:ascii="Palatino Linotype" w:hAnsi="Palatino Linotype"/>
          <w:b/>
          <w:sz w:val="22"/>
          <w:szCs w:val="22"/>
        </w:rPr>
        <w:t>NCEJO METROPOLITANO DE QUITO</w:t>
      </w:r>
    </w:p>
    <w:sectPr w:rsidR="00D3174E" w:rsidRPr="00220827" w:rsidSect="00D3174E">
      <w:headerReference w:type="default" r:id="rId7"/>
      <w:footerReference w:type="default" r:id="rId8"/>
      <w:pgSz w:w="12240" w:h="15840"/>
      <w:pgMar w:top="1985" w:right="1701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0F" w:rsidRDefault="0067250F">
      <w:r>
        <w:separator/>
      </w:r>
    </w:p>
  </w:endnote>
  <w:endnote w:type="continuationSeparator" w:id="0">
    <w:p w:rsidR="0067250F" w:rsidRDefault="0067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New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20"/>
        <w:szCs w:val="20"/>
      </w:rPr>
      <w:id w:val="708761303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174E" w:rsidRPr="008479FB" w:rsidRDefault="00D3174E">
            <w:pPr>
              <w:pStyle w:val="Piedepgina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8479FB">
              <w:rPr>
                <w:rFonts w:ascii="Palatino Linotype" w:hAnsi="Palatino Linotype"/>
                <w:sz w:val="20"/>
                <w:szCs w:val="20"/>
              </w:rPr>
              <w:t xml:space="preserve">Página 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instrText>PAGE</w:instrTex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725A06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4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  <w:r w:rsidRPr="008479FB">
              <w:rPr>
                <w:rFonts w:ascii="Palatino Linotype" w:hAnsi="Palatino Linotype"/>
                <w:sz w:val="20"/>
                <w:szCs w:val="20"/>
              </w:rPr>
              <w:t xml:space="preserve"> de 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instrText>NUMPAGES</w:instrTex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725A06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5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3174E" w:rsidRPr="008479FB" w:rsidRDefault="00D3174E">
    <w:pPr>
      <w:pStyle w:val="Piedepgina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0F" w:rsidRDefault="0067250F">
      <w:r>
        <w:separator/>
      </w:r>
    </w:p>
  </w:footnote>
  <w:footnote w:type="continuationSeparator" w:id="0">
    <w:p w:rsidR="0067250F" w:rsidRDefault="0067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Pr="004B36BA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  <w:r w:rsidRPr="004B36BA">
      <w:rPr>
        <w:rFonts w:ascii="Palatino Linotype" w:eastAsiaTheme="minorHAnsi" w:hAnsi="Palatino Linotype"/>
        <w:b/>
        <w:bCs/>
        <w:sz w:val="22"/>
        <w:szCs w:val="22"/>
        <w:lang w:val="es-EC" w:eastAsia="en-US"/>
      </w:rPr>
      <w:t>RESOLUCIÓN No. C XXX-</w:t>
    </w:r>
    <w:r>
      <w:rPr>
        <w:rFonts w:ascii="Palatino Linotype" w:eastAsiaTheme="minorHAnsi" w:hAnsi="Palatino Linotype"/>
        <w:b/>
        <w:bCs/>
        <w:sz w:val="22"/>
        <w:szCs w:val="22"/>
        <w:lang w:val="es-EC" w:eastAsia="en-US"/>
      </w:rPr>
      <w:t>2020</w:t>
    </w:r>
  </w:p>
  <w:p w:rsidR="00D3174E" w:rsidRDefault="00D317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4E"/>
    <w:rsid w:val="00002720"/>
    <w:rsid w:val="00002752"/>
    <w:rsid w:val="00010294"/>
    <w:rsid w:val="00031EBE"/>
    <w:rsid w:val="0003445C"/>
    <w:rsid w:val="00046D00"/>
    <w:rsid w:val="000472A8"/>
    <w:rsid w:val="00061BF3"/>
    <w:rsid w:val="00062CA9"/>
    <w:rsid w:val="0007318B"/>
    <w:rsid w:val="000E0AE5"/>
    <w:rsid w:val="000E197C"/>
    <w:rsid w:val="000E2976"/>
    <w:rsid w:val="000F4215"/>
    <w:rsid w:val="000F6739"/>
    <w:rsid w:val="001001B5"/>
    <w:rsid w:val="001110F9"/>
    <w:rsid w:val="00140161"/>
    <w:rsid w:val="0014173E"/>
    <w:rsid w:val="00183292"/>
    <w:rsid w:val="00186863"/>
    <w:rsid w:val="001A7EB7"/>
    <w:rsid w:val="001B0570"/>
    <w:rsid w:val="001B3564"/>
    <w:rsid w:val="001C2AA5"/>
    <w:rsid w:val="001F5B10"/>
    <w:rsid w:val="0020460E"/>
    <w:rsid w:val="0022016F"/>
    <w:rsid w:val="00220D50"/>
    <w:rsid w:val="00240108"/>
    <w:rsid w:val="002428FD"/>
    <w:rsid w:val="00265A74"/>
    <w:rsid w:val="002725CF"/>
    <w:rsid w:val="0028000C"/>
    <w:rsid w:val="002840B1"/>
    <w:rsid w:val="002B62F6"/>
    <w:rsid w:val="002E1FC4"/>
    <w:rsid w:val="00301822"/>
    <w:rsid w:val="0030679D"/>
    <w:rsid w:val="00316DA1"/>
    <w:rsid w:val="003314AE"/>
    <w:rsid w:val="00336A76"/>
    <w:rsid w:val="00344385"/>
    <w:rsid w:val="00355CCA"/>
    <w:rsid w:val="003570AD"/>
    <w:rsid w:val="00362029"/>
    <w:rsid w:val="003914B8"/>
    <w:rsid w:val="003B3C49"/>
    <w:rsid w:val="003C2DF7"/>
    <w:rsid w:val="003C313C"/>
    <w:rsid w:val="003C414D"/>
    <w:rsid w:val="003E44F3"/>
    <w:rsid w:val="003F3843"/>
    <w:rsid w:val="003F45A7"/>
    <w:rsid w:val="003F4848"/>
    <w:rsid w:val="00403C06"/>
    <w:rsid w:val="00404903"/>
    <w:rsid w:val="00415CDC"/>
    <w:rsid w:val="00420A49"/>
    <w:rsid w:val="0045519D"/>
    <w:rsid w:val="00456D47"/>
    <w:rsid w:val="00463576"/>
    <w:rsid w:val="0046371D"/>
    <w:rsid w:val="00473730"/>
    <w:rsid w:val="004C5CEE"/>
    <w:rsid w:val="004D2BBF"/>
    <w:rsid w:val="004D2C58"/>
    <w:rsid w:val="004E1A23"/>
    <w:rsid w:val="004F0F23"/>
    <w:rsid w:val="004F1C32"/>
    <w:rsid w:val="00505351"/>
    <w:rsid w:val="00512578"/>
    <w:rsid w:val="00515F29"/>
    <w:rsid w:val="005204FB"/>
    <w:rsid w:val="0055302D"/>
    <w:rsid w:val="0057493A"/>
    <w:rsid w:val="005C6173"/>
    <w:rsid w:val="005C6517"/>
    <w:rsid w:val="005D1E4A"/>
    <w:rsid w:val="005D4EA4"/>
    <w:rsid w:val="005D7EFF"/>
    <w:rsid w:val="005E36F6"/>
    <w:rsid w:val="006007AB"/>
    <w:rsid w:val="00627371"/>
    <w:rsid w:val="006274BF"/>
    <w:rsid w:val="00627A87"/>
    <w:rsid w:val="006431B0"/>
    <w:rsid w:val="006542D4"/>
    <w:rsid w:val="00657E6A"/>
    <w:rsid w:val="0067250F"/>
    <w:rsid w:val="006901DA"/>
    <w:rsid w:val="006B2574"/>
    <w:rsid w:val="006B258F"/>
    <w:rsid w:val="006C0B9B"/>
    <w:rsid w:val="006F5CCA"/>
    <w:rsid w:val="00703F56"/>
    <w:rsid w:val="00722390"/>
    <w:rsid w:val="00725A06"/>
    <w:rsid w:val="00740A38"/>
    <w:rsid w:val="007558D6"/>
    <w:rsid w:val="0075744C"/>
    <w:rsid w:val="007827DD"/>
    <w:rsid w:val="0078380A"/>
    <w:rsid w:val="00787834"/>
    <w:rsid w:val="007959E0"/>
    <w:rsid w:val="00797BD8"/>
    <w:rsid w:val="007E2350"/>
    <w:rsid w:val="007E435E"/>
    <w:rsid w:val="007E5968"/>
    <w:rsid w:val="007E730C"/>
    <w:rsid w:val="007F4020"/>
    <w:rsid w:val="007F4650"/>
    <w:rsid w:val="00811606"/>
    <w:rsid w:val="00821379"/>
    <w:rsid w:val="00827F3D"/>
    <w:rsid w:val="00852934"/>
    <w:rsid w:val="0085509A"/>
    <w:rsid w:val="008606A6"/>
    <w:rsid w:val="0088324B"/>
    <w:rsid w:val="00883CE3"/>
    <w:rsid w:val="00885B17"/>
    <w:rsid w:val="008871CF"/>
    <w:rsid w:val="008871F1"/>
    <w:rsid w:val="00892629"/>
    <w:rsid w:val="008943CB"/>
    <w:rsid w:val="008A67BB"/>
    <w:rsid w:val="008C0C27"/>
    <w:rsid w:val="008C58C4"/>
    <w:rsid w:val="008E7C1D"/>
    <w:rsid w:val="008F4533"/>
    <w:rsid w:val="00902702"/>
    <w:rsid w:val="009126A8"/>
    <w:rsid w:val="00953F4C"/>
    <w:rsid w:val="00963F2D"/>
    <w:rsid w:val="009659BE"/>
    <w:rsid w:val="00966009"/>
    <w:rsid w:val="00966B3E"/>
    <w:rsid w:val="009716DA"/>
    <w:rsid w:val="009729DB"/>
    <w:rsid w:val="009754E3"/>
    <w:rsid w:val="009948F0"/>
    <w:rsid w:val="009A0A26"/>
    <w:rsid w:val="009E1981"/>
    <w:rsid w:val="009E48B8"/>
    <w:rsid w:val="009E5DE1"/>
    <w:rsid w:val="009F6C29"/>
    <w:rsid w:val="00A24745"/>
    <w:rsid w:val="00A40137"/>
    <w:rsid w:val="00A50CA0"/>
    <w:rsid w:val="00A80628"/>
    <w:rsid w:val="00AA0B99"/>
    <w:rsid w:val="00AA20AC"/>
    <w:rsid w:val="00AA6215"/>
    <w:rsid w:val="00AC0744"/>
    <w:rsid w:val="00AD07D7"/>
    <w:rsid w:val="00AD35F1"/>
    <w:rsid w:val="00AD5316"/>
    <w:rsid w:val="00AD6CC9"/>
    <w:rsid w:val="00AF346A"/>
    <w:rsid w:val="00B0637E"/>
    <w:rsid w:val="00B13A33"/>
    <w:rsid w:val="00B221D0"/>
    <w:rsid w:val="00B26634"/>
    <w:rsid w:val="00B307FE"/>
    <w:rsid w:val="00B314ED"/>
    <w:rsid w:val="00B34EAF"/>
    <w:rsid w:val="00B502CD"/>
    <w:rsid w:val="00B634ED"/>
    <w:rsid w:val="00B64EAD"/>
    <w:rsid w:val="00B736FC"/>
    <w:rsid w:val="00B76593"/>
    <w:rsid w:val="00B76D38"/>
    <w:rsid w:val="00B770DD"/>
    <w:rsid w:val="00B868DD"/>
    <w:rsid w:val="00B86F0B"/>
    <w:rsid w:val="00B9776D"/>
    <w:rsid w:val="00BB5DAD"/>
    <w:rsid w:val="00BC4ACB"/>
    <w:rsid w:val="00BE0D81"/>
    <w:rsid w:val="00BE45CA"/>
    <w:rsid w:val="00BE71ED"/>
    <w:rsid w:val="00BE7230"/>
    <w:rsid w:val="00BF4D49"/>
    <w:rsid w:val="00C04F97"/>
    <w:rsid w:val="00C159E7"/>
    <w:rsid w:val="00C35664"/>
    <w:rsid w:val="00C53496"/>
    <w:rsid w:val="00C550EA"/>
    <w:rsid w:val="00C56959"/>
    <w:rsid w:val="00C56B54"/>
    <w:rsid w:val="00C5746E"/>
    <w:rsid w:val="00C8773C"/>
    <w:rsid w:val="00C940C7"/>
    <w:rsid w:val="00C967AA"/>
    <w:rsid w:val="00CB1E55"/>
    <w:rsid w:val="00CB58DB"/>
    <w:rsid w:val="00CC4288"/>
    <w:rsid w:val="00CC47B6"/>
    <w:rsid w:val="00CD7BAE"/>
    <w:rsid w:val="00CE2B70"/>
    <w:rsid w:val="00D04BEB"/>
    <w:rsid w:val="00D10FAD"/>
    <w:rsid w:val="00D3174E"/>
    <w:rsid w:val="00D62314"/>
    <w:rsid w:val="00D76FD5"/>
    <w:rsid w:val="00D81536"/>
    <w:rsid w:val="00D82849"/>
    <w:rsid w:val="00D90E9D"/>
    <w:rsid w:val="00D9181E"/>
    <w:rsid w:val="00D93397"/>
    <w:rsid w:val="00DA50F8"/>
    <w:rsid w:val="00DB5FA3"/>
    <w:rsid w:val="00DC6586"/>
    <w:rsid w:val="00DE2B38"/>
    <w:rsid w:val="00DF6AD8"/>
    <w:rsid w:val="00E0690F"/>
    <w:rsid w:val="00E0725E"/>
    <w:rsid w:val="00E14042"/>
    <w:rsid w:val="00E177D5"/>
    <w:rsid w:val="00E205F6"/>
    <w:rsid w:val="00E27F49"/>
    <w:rsid w:val="00E318CF"/>
    <w:rsid w:val="00E36A3D"/>
    <w:rsid w:val="00E4560A"/>
    <w:rsid w:val="00E47066"/>
    <w:rsid w:val="00E65932"/>
    <w:rsid w:val="00E703E8"/>
    <w:rsid w:val="00E70488"/>
    <w:rsid w:val="00E777BF"/>
    <w:rsid w:val="00E900DA"/>
    <w:rsid w:val="00EA662D"/>
    <w:rsid w:val="00EA6CE2"/>
    <w:rsid w:val="00EF1687"/>
    <w:rsid w:val="00F04221"/>
    <w:rsid w:val="00F11646"/>
    <w:rsid w:val="00F11944"/>
    <w:rsid w:val="00F3149B"/>
    <w:rsid w:val="00F45081"/>
    <w:rsid w:val="00F450C1"/>
    <w:rsid w:val="00F50435"/>
    <w:rsid w:val="00F50B8C"/>
    <w:rsid w:val="00F528F6"/>
    <w:rsid w:val="00F55C9F"/>
    <w:rsid w:val="00F6115D"/>
    <w:rsid w:val="00F61F0C"/>
    <w:rsid w:val="00F7406D"/>
    <w:rsid w:val="00FD0DC9"/>
    <w:rsid w:val="00FD7402"/>
    <w:rsid w:val="00FE6D38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D3174E"/>
    <w:pPr>
      <w:jc w:val="both"/>
    </w:pPr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174E"/>
    <w:rPr>
      <w:sz w:val="20"/>
      <w:szCs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31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31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B5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D3174E"/>
    <w:pPr>
      <w:jc w:val="both"/>
    </w:pPr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174E"/>
    <w:rPr>
      <w:sz w:val="20"/>
      <w:szCs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31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31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B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1612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Secretaria de Concejo</cp:lastModifiedBy>
  <cp:revision>305</cp:revision>
  <dcterms:created xsi:type="dcterms:W3CDTF">2022-01-04T23:49:00Z</dcterms:created>
  <dcterms:modified xsi:type="dcterms:W3CDTF">2022-01-13T00:50:00Z</dcterms:modified>
</cp:coreProperties>
</file>