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23C49" w14:textId="77777777" w:rsidR="00341C9E" w:rsidRPr="009849AB" w:rsidRDefault="00760C65" w:rsidP="00C660E1">
      <w:pPr>
        <w:spacing w:line="276" w:lineRule="auto"/>
        <w:jc w:val="center"/>
        <w:rPr>
          <w:rFonts w:ascii="Arial" w:eastAsia="Arial" w:hAnsi="Arial" w:cs="Arial"/>
          <w:sz w:val="24"/>
          <w:szCs w:val="24"/>
        </w:rPr>
      </w:pPr>
      <w:r w:rsidRPr="009849AB">
        <w:rPr>
          <w:rFonts w:ascii="Arial" w:eastAsia="Arial" w:hAnsi="Arial" w:cs="Arial"/>
          <w:b/>
          <w:sz w:val="24"/>
          <w:szCs w:val="24"/>
        </w:rPr>
        <w:t>PROYECTO DE ORDENANZA</w:t>
      </w:r>
    </w:p>
    <w:p w14:paraId="6288E657" w14:textId="675740EF"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b/>
          <w:sz w:val="24"/>
          <w:szCs w:val="24"/>
        </w:rPr>
        <w:t>ORDENANZA REFORMATORIA AL TÍTULO IV DE LAS TASAS, CAPÍTULO VII DE LA TASA POR LOS SERVICIOS DE SEGURIDAD CIUDADANA</w:t>
      </w:r>
      <w:r w:rsidR="00694174" w:rsidRPr="009849AB">
        <w:rPr>
          <w:rFonts w:ascii="Arial" w:eastAsia="Arial" w:hAnsi="Arial" w:cs="Arial"/>
          <w:b/>
          <w:sz w:val="24"/>
          <w:szCs w:val="24"/>
        </w:rPr>
        <w:t>, CONVIVENCIA CIUDADANA Y GESTIÓN DE RIESGOS</w:t>
      </w:r>
      <w:r w:rsidR="003E42FD" w:rsidRPr="009849AB">
        <w:rPr>
          <w:rFonts w:ascii="Arial" w:eastAsia="Arial" w:hAnsi="Arial" w:cs="Arial"/>
          <w:b/>
          <w:sz w:val="24"/>
          <w:szCs w:val="24"/>
        </w:rPr>
        <w:t>,</w:t>
      </w:r>
      <w:r w:rsidRPr="009849AB">
        <w:rPr>
          <w:rFonts w:ascii="Arial" w:eastAsia="Arial" w:hAnsi="Arial" w:cs="Arial"/>
          <w:b/>
          <w:sz w:val="24"/>
          <w:szCs w:val="24"/>
        </w:rPr>
        <w:t xml:space="preserve"> DEL CÓDIGO MUNICIPAL PARA EL DISTRITO METROPOLITANO DE QUITO, CONTENIDO EN LA ORDENANZA NO. 001, DE 29 DE MARZO DE 2019.</w:t>
      </w:r>
    </w:p>
    <w:p w14:paraId="38F98154" w14:textId="77777777" w:rsidR="00341C9E" w:rsidRPr="009849AB" w:rsidRDefault="00760C65" w:rsidP="00C660E1">
      <w:pPr>
        <w:spacing w:before="240" w:after="240" w:line="276" w:lineRule="auto"/>
        <w:jc w:val="center"/>
        <w:rPr>
          <w:rFonts w:ascii="Arial" w:eastAsia="Arial" w:hAnsi="Arial" w:cs="Arial"/>
          <w:b/>
          <w:sz w:val="24"/>
          <w:szCs w:val="24"/>
        </w:rPr>
      </w:pPr>
      <w:r w:rsidRPr="009849AB">
        <w:rPr>
          <w:rFonts w:ascii="Arial" w:eastAsia="Arial" w:hAnsi="Arial" w:cs="Arial"/>
          <w:b/>
          <w:sz w:val="24"/>
          <w:szCs w:val="24"/>
        </w:rPr>
        <w:t>EXPOSICIÓN DE MOTIVOS</w:t>
      </w:r>
    </w:p>
    <w:p w14:paraId="56E358AB" w14:textId="0A90D786" w:rsidR="000D1C56" w:rsidRPr="009849AB" w:rsidRDefault="000D1C56" w:rsidP="00C660E1">
      <w:pPr>
        <w:spacing w:line="276" w:lineRule="auto"/>
        <w:jc w:val="both"/>
        <w:rPr>
          <w:rFonts w:ascii="Arial" w:hAnsi="Arial" w:cs="Arial"/>
        </w:rPr>
      </w:pPr>
      <w:r w:rsidRPr="009849AB">
        <w:rPr>
          <w:rFonts w:ascii="Arial" w:hAnsi="Arial" w:cs="Arial"/>
        </w:rPr>
        <w:t xml:space="preserve">La seguridad ciudadana es el resultado de una política que se orienta hacia una estrategia integral, la cual incluye </w:t>
      </w:r>
      <w:r w:rsidRPr="009849AB">
        <w:rPr>
          <w:rFonts w:ascii="Arial" w:hAnsi="Arial" w:cs="Arial"/>
          <w:b/>
        </w:rPr>
        <w:t>(i)</w:t>
      </w:r>
      <w:r w:rsidRPr="009849AB">
        <w:rPr>
          <w:rFonts w:ascii="Arial" w:hAnsi="Arial" w:cs="Arial"/>
        </w:rPr>
        <w:t xml:space="preserve"> la mejora de la calidad de vida de la población; </w:t>
      </w:r>
      <w:r w:rsidRPr="009849AB">
        <w:rPr>
          <w:rFonts w:ascii="Arial" w:hAnsi="Arial" w:cs="Arial"/>
          <w:b/>
        </w:rPr>
        <w:t>(ii)</w:t>
      </w:r>
      <w:r w:rsidRPr="009849AB">
        <w:rPr>
          <w:rFonts w:ascii="Arial" w:hAnsi="Arial" w:cs="Arial"/>
        </w:rPr>
        <w:t xml:space="preserve"> la </w:t>
      </w:r>
      <w:r w:rsidR="00694174" w:rsidRPr="009849AB">
        <w:rPr>
          <w:rFonts w:ascii="Arial" w:hAnsi="Arial" w:cs="Arial"/>
        </w:rPr>
        <w:t>acción</w:t>
      </w:r>
      <w:r w:rsidRPr="009849AB">
        <w:rPr>
          <w:rFonts w:ascii="Arial" w:hAnsi="Arial" w:cs="Arial"/>
        </w:rPr>
        <w:t xml:space="preserve"> comunitaria para la prevención del delito; </w:t>
      </w:r>
      <w:r w:rsidRPr="009849AB">
        <w:rPr>
          <w:rFonts w:ascii="Arial" w:hAnsi="Arial" w:cs="Arial"/>
          <w:b/>
        </w:rPr>
        <w:t>(iii)</w:t>
      </w:r>
      <w:r w:rsidRPr="009849AB">
        <w:rPr>
          <w:rFonts w:ascii="Arial" w:hAnsi="Arial" w:cs="Arial"/>
        </w:rPr>
        <w:t xml:space="preserve"> una justicia accesible, ágil y eficaz; y </w:t>
      </w:r>
      <w:r w:rsidRPr="009849AB">
        <w:rPr>
          <w:rFonts w:ascii="Arial" w:hAnsi="Arial" w:cs="Arial"/>
          <w:b/>
        </w:rPr>
        <w:t>(iv)</w:t>
      </w:r>
      <w:r w:rsidRPr="009849AB">
        <w:rPr>
          <w:rFonts w:ascii="Arial" w:hAnsi="Arial" w:cs="Arial"/>
        </w:rPr>
        <w:t xml:space="preserve"> una educación que se basa en valores, en el respeto de la ley y la tolerancia. El enfoque de seguridad referido parte de la noción de amenaza y de manera implícita de los conceptos de vulnerabilidad y desprotección. En </w:t>
      </w:r>
      <w:r w:rsidR="00451BCA" w:rsidRPr="009849AB">
        <w:rPr>
          <w:rFonts w:ascii="Arial" w:hAnsi="Arial" w:cs="Arial"/>
        </w:rPr>
        <w:t>esa línea</w:t>
      </w:r>
      <w:r w:rsidRPr="009849AB">
        <w:rPr>
          <w:rFonts w:ascii="Arial" w:hAnsi="Arial" w:cs="Arial"/>
        </w:rPr>
        <w:t xml:space="preserve">, este concepto propuesto se aparta de aquellas concepciones que definen a la seguridad ciudadana en función de la criminalidad y el delito, ya que enuncia explícitamente la dualidad objetiva/subjetiva del concepto seguridad ciudadana. </w:t>
      </w:r>
    </w:p>
    <w:p w14:paraId="6ACD7A33" w14:textId="77777777" w:rsidR="000D1C56" w:rsidRPr="009849AB" w:rsidRDefault="000D1C56" w:rsidP="00C660E1">
      <w:pPr>
        <w:spacing w:line="276" w:lineRule="auto"/>
        <w:jc w:val="both"/>
        <w:rPr>
          <w:rFonts w:ascii="Arial" w:eastAsia="Arial" w:hAnsi="Arial" w:cs="Arial"/>
        </w:rPr>
      </w:pPr>
      <w:r w:rsidRPr="009849AB">
        <w:rPr>
          <w:rFonts w:ascii="Arial" w:hAnsi="Arial" w:cs="Arial"/>
        </w:rPr>
        <w:t xml:space="preserve">De lo referido, </w:t>
      </w:r>
      <w:r w:rsidRPr="009849AB">
        <w:rPr>
          <w:rFonts w:ascii="Arial" w:eastAsia="Arial" w:hAnsi="Arial" w:cs="Arial"/>
        </w:rPr>
        <w:t>el problema de la inseguridad se puede dar tanto en contextos con altos niveles de inseguridad registrada, así como en países donde los registros de inseguridad y criminalidad sean bajos, aunque la percepción de las mism</w:t>
      </w:r>
      <w:r w:rsidR="00952042" w:rsidRPr="009849AB">
        <w:rPr>
          <w:rFonts w:ascii="Arial" w:eastAsia="Arial" w:hAnsi="Arial" w:cs="Arial"/>
        </w:rPr>
        <w:t>a</w:t>
      </w:r>
      <w:r w:rsidRPr="009849AB">
        <w:rPr>
          <w:rFonts w:ascii="Arial" w:eastAsia="Arial" w:hAnsi="Arial" w:cs="Arial"/>
        </w:rPr>
        <w:t>s sea muy elevada. (PNUD 2011)</w:t>
      </w:r>
    </w:p>
    <w:p w14:paraId="67D5EDD0" w14:textId="458EE940" w:rsidR="000D1C56" w:rsidRPr="009849AB" w:rsidRDefault="000D1C56" w:rsidP="00C660E1">
      <w:pPr>
        <w:spacing w:line="276" w:lineRule="auto"/>
        <w:jc w:val="both"/>
        <w:rPr>
          <w:rFonts w:ascii="Arial" w:eastAsia="Arial" w:hAnsi="Arial" w:cs="Arial"/>
        </w:rPr>
      </w:pPr>
      <w:r w:rsidRPr="009849AB">
        <w:rPr>
          <w:rFonts w:ascii="Arial" w:hAnsi="Arial" w:cs="Arial"/>
        </w:rPr>
        <w:t>Así, la seguridad ciudadana se constituye en un derecho constitucional que permite el disfrute de otros derechos. Si bien, la falta de empleo, la pobreza, la inequidad o la carencia de libertades, por citar algunos ejemplos, no constituyen violencia o inseguridad por sí mismos</w:t>
      </w:r>
      <w:r w:rsidR="003E42FD" w:rsidRPr="009849AB">
        <w:rPr>
          <w:rFonts w:ascii="Arial" w:hAnsi="Arial" w:cs="Arial"/>
        </w:rPr>
        <w:t>,</w:t>
      </w:r>
      <w:r w:rsidRPr="009849AB">
        <w:rPr>
          <w:rFonts w:ascii="Arial" w:hAnsi="Arial" w:cs="Arial"/>
        </w:rPr>
        <w:t xml:space="preserve"> son factores que propician amenazas directas </w:t>
      </w:r>
      <w:r w:rsidRPr="009849AB">
        <w:rPr>
          <w:rFonts w:ascii="Arial" w:eastAsia="Arial" w:hAnsi="Arial" w:cs="Arial"/>
        </w:rPr>
        <w:t>a la seguridad y a la convivencia ciudadana en cualquier sociedad. (PNUD 2011)</w:t>
      </w:r>
    </w:p>
    <w:p w14:paraId="15112500" w14:textId="77777777" w:rsidR="000D1C56" w:rsidRPr="009849AB" w:rsidRDefault="000D1C56" w:rsidP="00C660E1">
      <w:pPr>
        <w:spacing w:line="276" w:lineRule="auto"/>
        <w:jc w:val="both"/>
        <w:rPr>
          <w:rFonts w:ascii="Arial" w:eastAsia="Arial" w:hAnsi="Arial" w:cs="Arial"/>
        </w:rPr>
      </w:pPr>
      <w:r w:rsidRPr="009849AB">
        <w:rPr>
          <w:rFonts w:ascii="Arial" w:eastAsia="Arial" w:hAnsi="Arial" w:cs="Arial"/>
        </w:rPr>
        <w:t xml:space="preserve">Para (Carrillo 2018), </w:t>
      </w:r>
      <w:r w:rsidRPr="009849AB">
        <w:rPr>
          <w:rFonts w:ascii="Arial" w:eastAsia="Arial" w:hAnsi="Arial" w:cs="Arial"/>
          <w:i/>
        </w:rPr>
        <w:t>“…la seguridad ciudadana se ha convertido en un asunto prominente en la agenda de la consolidación democrática y el desarrollo de América Latina</w:t>
      </w:r>
      <w:r w:rsidRPr="009849AB">
        <w:rPr>
          <w:rFonts w:ascii="Arial" w:eastAsia="Arial" w:hAnsi="Arial" w:cs="Arial"/>
          <w:b/>
          <w:i/>
        </w:rPr>
        <w:t>. Impone elevados costes económicos y se introduce en la vida política</w:t>
      </w:r>
      <w:r w:rsidRPr="009849AB">
        <w:rPr>
          <w:rFonts w:ascii="Arial" w:eastAsia="Arial" w:hAnsi="Arial" w:cs="Arial"/>
          <w:i/>
        </w:rPr>
        <w:t>. La seguridad, como bien público</w:t>
      </w:r>
      <w:r w:rsidRPr="009849AB">
        <w:rPr>
          <w:rFonts w:ascii="Arial" w:eastAsia="Arial" w:hAnsi="Arial" w:cs="Arial"/>
          <w:b/>
          <w:i/>
        </w:rPr>
        <w:t>, es responsabilidad primaria del Estado, pero también compete a las autoridades locales y la sociedad civil.</w:t>
      </w:r>
      <w:r w:rsidRPr="009849AB">
        <w:rPr>
          <w:rFonts w:ascii="Arial" w:eastAsia="Arial" w:hAnsi="Arial" w:cs="Arial"/>
          <w:i/>
        </w:rPr>
        <w:t xml:space="preserve"> Una estrategia global frente a la violencia requiere del fortalecimiento del Estado de derecho, la reforma del sistema judicial y de la policía, de las prisiones, mayores esfuerzos en la prevención, y mayor participación de la sociedad civil…”</w:t>
      </w:r>
    </w:p>
    <w:p w14:paraId="1DC4DD20" w14:textId="0A0F4533" w:rsidR="000D1C56" w:rsidRPr="009849AB" w:rsidRDefault="000D1C56" w:rsidP="00C660E1">
      <w:pPr>
        <w:spacing w:line="276" w:lineRule="auto"/>
        <w:jc w:val="both"/>
        <w:rPr>
          <w:rFonts w:ascii="Arial" w:eastAsia="Arial" w:hAnsi="Arial" w:cs="Arial"/>
        </w:rPr>
      </w:pPr>
      <w:r w:rsidRPr="009849AB">
        <w:rPr>
          <w:rFonts w:ascii="Arial" w:eastAsia="Arial" w:hAnsi="Arial" w:cs="Arial"/>
        </w:rPr>
        <w:t>Entonces, la concepción del desarrollo basada en la vigencia y cumplimiento de los derechos de los ciudadanos y, en ese marco, la búsqueda de sociedades más gobernables, no sólo implica redefinir el rol del Estado y de las políticas públicas; sino también, supone revisar las responsabilidades de la sociedad civil</w:t>
      </w:r>
      <w:r w:rsidRPr="009849AB">
        <w:rPr>
          <w:rFonts w:ascii="Arial" w:eastAsia="Arial" w:hAnsi="Arial" w:cs="Arial"/>
          <w:i/>
        </w:rPr>
        <w:t xml:space="preserve">. </w:t>
      </w:r>
      <w:r w:rsidRPr="009849AB">
        <w:rPr>
          <w:rFonts w:ascii="Arial" w:eastAsia="Arial" w:hAnsi="Arial" w:cs="Arial"/>
        </w:rPr>
        <w:t xml:space="preserve">Hoy parece que las demandas de la ciudadanía de más seguridad no sólo están insatisfechas, sino que el aumento de la percepción de inseguridad lleva al círculo vicioso de exigir cada vez más en este campo (Carrillo 2018). </w:t>
      </w:r>
    </w:p>
    <w:p w14:paraId="2463DD75" w14:textId="735F98BB" w:rsidR="000D1C56" w:rsidRPr="009849AB" w:rsidRDefault="000D1C56" w:rsidP="00C660E1">
      <w:pPr>
        <w:spacing w:line="276" w:lineRule="auto"/>
        <w:jc w:val="both"/>
        <w:rPr>
          <w:rFonts w:ascii="Arial" w:eastAsia="Arial" w:hAnsi="Arial" w:cs="Arial"/>
        </w:rPr>
      </w:pPr>
      <w:r w:rsidRPr="009849AB">
        <w:rPr>
          <w:rFonts w:ascii="Arial" w:eastAsia="Arial" w:hAnsi="Arial" w:cs="Arial"/>
        </w:rPr>
        <w:lastRenderedPageBreak/>
        <w:t xml:space="preserve">La Corte Constitucional del Ecuador en las sentencias </w:t>
      </w:r>
      <w:r w:rsidR="009B0E95" w:rsidRPr="009849AB">
        <w:rPr>
          <w:rFonts w:ascii="Arial" w:eastAsia="Arial" w:hAnsi="Arial" w:cs="Arial"/>
        </w:rPr>
        <w:t>15</w:t>
      </w:r>
      <w:r w:rsidRPr="009849AB">
        <w:rPr>
          <w:rFonts w:ascii="Arial" w:eastAsia="Arial" w:hAnsi="Arial" w:cs="Arial"/>
        </w:rPr>
        <w:t>-</w:t>
      </w:r>
      <w:r w:rsidR="009B0E95" w:rsidRPr="009849AB">
        <w:rPr>
          <w:rFonts w:ascii="Arial" w:eastAsia="Arial" w:hAnsi="Arial" w:cs="Arial"/>
        </w:rPr>
        <w:t>14</w:t>
      </w:r>
      <w:r w:rsidRPr="009849AB">
        <w:rPr>
          <w:rFonts w:ascii="Arial" w:eastAsia="Arial" w:hAnsi="Arial" w:cs="Arial"/>
        </w:rPr>
        <w:t>-IN/2</w:t>
      </w:r>
      <w:r w:rsidR="009B0E95" w:rsidRPr="009849AB">
        <w:rPr>
          <w:rFonts w:ascii="Arial" w:eastAsia="Arial" w:hAnsi="Arial" w:cs="Arial"/>
        </w:rPr>
        <w:t>0</w:t>
      </w:r>
      <w:r w:rsidRPr="009849AB">
        <w:rPr>
          <w:rFonts w:ascii="Arial" w:eastAsia="Arial" w:hAnsi="Arial" w:cs="Arial"/>
        </w:rPr>
        <w:t xml:space="preserve"> y 70-11-IN/21 ha indicado que si bien la competencia de la seguridad ciudadana le corresponde al gobierno central, no es posible concluir, sin más, que los gobiernos municipales están constitucionalmente prohibidos de intervenir en la seguridad interna, puesto que existen otras normas “</w:t>
      </w:r>
      <w:r w:rsidRPr="009849AB">
        <w:rPr>
          <w:rFonts w:ascii="Arial" w:eastAsia="Arial" w:hAnsi="Arial" w:cs="Arial"/>
          <w:i/>
        </w:rPr>
        <w:t>que hacen partícipes en forma colaborativa a los municipios de las políticas de seguridad ciudadana, así, por ejemplo, el artículo 54.n del COOTAD, que establece que son funciones del gobierno municipal crear y coordinar los consejos de seguridad ciudadana municipal, y el artículo 60.q del COOTAD, que atribuye al alcalde la formulación y ejecución, en forma coordinada, de las políticas locales sobre prevención, protección, seguridad y convivencia ciudadana</w:t>
      </w:r>
      <w:r w:rsidRPr="009849AB">
        <w:rPr>
          <w:rFonts w:ascii="Arial" w:eastAsia="Arial" w:hAnsi="Arial" w:cs="Arial"/>
        </w:rPr>
        <w:t xml:space="preserve">”. </w:t>
      </w:r>
    </w:p>
    <w:p w14:paraId="26339A43" w14:textId="614A10E4" w:rsidR="000D1C56" w:rsidRPr="009849AB" w:rsidRDefault="000D1C56" w:rsidP="00C660E1">
      <w:pPr>
        <w:spacing w:line="276" w:lineRule="auto"/>
        <w:jc w:val="both"/>
        <w:rPr>
          <w:rFonts w:ascii="Arial" w:eastAsia="Arial" w:hAnsi="Arial" w:cs="Arial"/>
        </w:rPr>
      </w:pPr>
      <w:r w:rsidRPr="009849AB">
        <w:rPr>
          <w:rFonts w:ascii="Arial" w:eastAsia="Arial" w:hAnsi="Arial" w:cs="Arial"/>
        </w:rPr>
        <w:t>En ese sentido, al tener los GADs municipales facultades en materia de seguridad ciudadana, se expidió la Ordenanza Metropolitana No. 001 de 29 de marzo de 2019, la cual contiene el Código Municipal para el Distrito Metropolitano de Quito, y en su capítulo VII consta regulada la Tasa por los Servicios de Seguridad Ciudadana</w:t>
      </w:r>
      <w:r w:rsidR="003E42FD" w:rsidRPr="009849AB">
        <w:rPr>
          <w:rFonts w:ascii="Arial" w:eastAsia="Arial" w:hAnsi="Arial" w:cs="Arial"/>
        </w:rPr>
        <w:t>.</w:t>
      </w:r>
    </w:p>
    <w:p w14:paraId="24B1BE21" w14:textId="7DB5C3CD" w:rsidR="000D1C56" w:rsidRPr="009849AB" w:rsidRDefault="000D1C56" w:rsidP="00C660E1">
      <w:pPr>
        <w:spacing w:line="276" w:lineRule="auto"/>
        <w:jc w:val="both"/>
        <w:rPr>
          <w:rFonts w:ascii="Arial" w:eastAsia="Arial" w:hAnsi="Arial" w:cs="Arial"/>
        </w:rPr>
      </w:pPr>
      <w:r w:rsidRPr="009849AB">
        <w:rPr>
          <w:rFonts w:ascii="Arial" w:eastAsia="Arial" w:hAnsi="Arial" w:cs="Arial"/>
        </w:rPr>
        <w:t>No obstante de lo referido, la Corte Constitucional en la sentencia No. 70-11-IN/21 declaró inconstitucional la tasa de seguridad con efectos diferidos</w:t>
      </w:r>
      <w:r w:rsidR="003E42FD" w:rsidRPr="009849AB">
        <w:rPr>
          <w:rFonts w:ascii="Arial" w:eastAsia="Arial" w:hAnsi="Arial" w:cs="Arial"/>
        </w:rPr>
        <w:t>;</w:t>
      </w:r>
      <w:r w:rsidRPr="009849AB">
        <w:rPr>
          <w:rFonts w:ascii="Arial" w:eastAsia="Arial" w:hAnsi="Arial" w:cs="Arial"/>
        </w:rPr>
        <w:t xml:space="preserve"> entre las razones se encuentran: </w:t>
      </w:r>
      <w:r w:rsidRPr="009849AB">
        <w:rPr>
          <w:rFonts w:ascii="Arial" w:eastAsia="Arial" w:hAnsi="Arial" w:cs="Arial"/>
          <w:b/>
        </w:rPr>
        <w:t>(i)</w:t>
      </w:r>
      <w:r w:rsidRPr="009849AB">
        <w:rPr>
          <w:rFonts w:ascii="Arial" w:eastAsia="Arial" w:hAnsi="Arial" w:cs="Arial"/>
        </w:rPr>
        <w:t xml:space="preserve"> que l</w:t>
      </w:r>
      <w:r w:rsidRPr="009849AB">
        <w:rPr>
          <w:rFonts w:ascii="Arial" w:hAnsi="Arial" w:cs="Arial"/>
        </w:rPr>
        <w:t xml:space="preserve">a configuración del tributo no permite a esta Corte establecer que los valores cobrados por esta tasa guarden relación con el costo de producción de los servicios de seguridad ciudadana, por lo que no se verifica la observancia de los principios de provocación, recuperación de costos y equivalencia; </w:t>
      </w:r>
      <w:r w:rsidRPr="009849AB">
        <w:rPr>
          <w:rFonts w:ascii="Arial" w:hAnsi="Arial" w:cs="Arial"/>
          <w:b/>
        </w:rPr>
        <w:t>(ii)</w:t>
      </w:r>
      <w:r w:rsidRPr="009849AB">
        <w:rPr>
          <w:rFonts w:ascii="Arial" w:hAnsi="Arial" w:cs="Arial"/>
        </w:rPr>
        <w:t xml:space="preserve"> que la configuración normativa del tributo no contiene los elementos esenciales de la tasa por servicios de seguridad ciudadana; y</w:t>
      </w:r>
      <w:r w:rsidR="00E512E6" w:rsidRPr="009849AB">
        <w:rPr>
          <w:rFonts w:ascii="Arial" w:hAnsi="Arial" w:cs="Arial"/>
        </w:rPr>
        <w:t>,</w:t>
      </w:r>
      <w:r w:rsidRPr="009849AB">
        <w:rPr>
          <w:rFonts w:ascii="Arial" w:hAnsi="Arial" w:cs="Arial"/>
        </w:rPr>
        <w:t xml:space="preserve"> </w:t>
      </w:r>
      <w:r w:rsidRPr="009849AB">
        <w:rPr>
          <w:rFonts w:ascii="Arial" w:hAnsi="Arial" w:cs="Arial"/>
          <w:b/>
        </w:rPr>
        <w:t>(iii)</w:t>
      </w:r>
      <w:r w:rsidRPr="009849AB">
        <w:rPr>
          <w:rFonts w:ascii="Arial" w:hAnsi="Arial" w:cs="Arial"/>
        </w:rPr>
        <w:t xml:space="preserve"> que la configuración normativa del tributo no permite identificar claramente cual es el accionar estatal vinculado a la tasa de seguridad por servicios ciudadanos, en tal sentido, al no estar plenamente determinado el accionar estatal, tampoco se evidencia que el mismo cuente con un sistema de medición de satisfacción específico. </w:t>
      </w:r>
    </w:p>
    <w:p w14:paraId="51D7BDE5" w14:textId="66FE86B7" w:rsidR="000D1C56" w:rsidRPr="009849AB" w:rsidRDefault="000D1C56" w:rsidP="00C660E1">
      <w:pPr>
        <w:pStyle w:val="NormalWeb"/>
        <w:shd w:val="clear" w:color="auto" w:fill="FFFFFF"/>
        <w:spacing w:line="276" w:lineRule="auto"/>
        <w:jc w:val="both"/>
        <w:rPr>
          <w:rFonts w:ascii="Arial" w:hAnsi="Arial" w:cs="Arial"/>
          <w:i w:val="0"/>
          <w:sz w:val="22"/>
          <w:szCs w:val="22"/>
          <w:lang w:val="es-ES"/>
        </w:rPr>
      </w:pPr>
      <w:r w:rsidRPr="009849AB">
        <w:rPr>
          <w:rFonts w:ascii="Arial" w:hAnsi="Arial" w:cs="Arial"/>
          <w:i w:val="0"/>
          <w:sz w:val="22"/>
          <w:szCs w:val="22"/>
          <w:lang w:val="es-ES"/>
        </w:rPr>
        <w:t>Es decir, la Corte Constitucional</w:t>
      </w:r>
      <w:r w:rsidR="003E42FD" w:rsidRPr="009849AB">
        <w:rPr>
          <w:rFonts w:ascii="Arial" w:hAnsi="Arial" w:cs="Arial"/>
          <w:i w:val="0"/>
          <w:sz w:val="22"/>
          <w:szCs w:val="22"/>
          <w:lang w:val="es-ES"/>
        </w:rPr>
        <w:t xml:space="preserve"> </w:t>
      </w:r>
      <w:r w:rsidRPr="009849AB">
        <w:rPr>
          <w:rFonts w:ascii="Arial" w:hAnsi="Arial" w:cs="Arial"/>
          <w:i w:val="0"/>
          <w:sz w:val="22"/>
          <w:szCs w:val="22"/>
          <w:lang w:val="es-ES"/>
        </w:rPr>
        <w:t xml:space="preserve">no cuestionó la existencia de la tasa de seguridad ciudadana. </w:t>
      </w:r>
      <w:r w:rsidRPr="009849AB">
        <w:rPr>
          <w:rFonts w:ascii="Arial" w:hAnsi="Arial" w:cs="Arial"/>
          <w:sz w:val="22"/>
          <w:szCs w:val="22"/>
          <w:lang w:val="es-ES"/>
        </w:rPr>
        <w:t xml:space="preserve">A contrario sensu, </w:t>
      </w:r>
      <w:r w:rsidRPr="009849AB">
        <w:rPr>
          <w:rFonts w:ascii="Arial" w:hAnsi="Arial" w:cs="Arial"/>
          <w:i w:val="0"/>
          <w:sz w:val="22"/>
          <w:szCs w:val="22"/>
          <w:lang w:val="es-ES"/>
        </w:rPr>
        <w:t>en el número 3 de su parte resolutiva ha establecido parámetros que se deben cumplir para la emisión de una nueva normativa</w:t>
      </w:r>
      <w:r w:rsidR="003E42FD" w:rsidRPr="009849AB">
        <w:rPr>
          <w:rFonts w:ascii="Arial" w:hAnsi="Arial" w:cs="Arial"/>
          <w:i w:val="0"/>
          <w:sz w:val="22"/>
          <w:szCs w:val="22"/>
          <w:lang w:val="es-ES"/>
        </w:rPr>
        <w:t>,</w:t>
      </w:r>
      <w:r w:rsidRPr="009849AB">
        <w:rPr>
          <w:rFonts w:ascii="Arial" w:hAnsi="Arial" w:cs="Arial"/>
          <w:i w:val="0"/>
          <w:sz w:val="22"/>
          <w:szCs w:val="22"/>
          <w:lang w:val="es-ES"/>
        </w:rPr>
        <w:t xml:space="preserve"> que son: (i) que la tasa fijada por servicios de seguridad ciudadana establezca un accionar estatal determinado; (ii) que la tarifa que se establezca por los servicios de seguridad ciudadana, responda a los costos en los que incurre el GAD para la </w:t>
      </w:r>
      <w:r w:rsidR="00694174" w:rsidRPr="009849AB">
        <w:rPr>
          <w:rFonts w:ascii="Arial" w:hAnsi="Arial" w:cs="Arial"/>
          <w:i w:val="0"/>
          <w:sz w:val="22"/>
          <w:szCs w:val="22"/>
          <w:lang w:val="es-ES"/>
        </w:rPr>
        <w:t>prestación</w:t>
      </w:r>
      <w:r w:rsidRPr="009849AB">
        <w:rPr>
          <w:rFonts w:ascii="Arial" w:hAnsi="Arial" w:cs="Arial"/>
          <w:i w:val="0"/>
          <w:sz w:val="22"/>
          <w:szCs w:val="22"/>
          <w:lang w:val="es-ES"/>
        </w:rPr>
        <w:t xml:space="preserve"> del servicio vinculado a la tasa, de tal forma que se respeten el principio de </w:t>
      </w:r>
      <w:r w:rsidR="00694174" w:rsidRPr="009849AB">
        <w:rPr>
          <w:rFonts w:ascii="Arial" w:hAnsi="Arial" w:cs="Arial"/>
          <w:i w:val="0"/>
          <w:sz w:val="22"/>
          <w:szCs w:val="22"/>
          <w:lang w:val="es-ES"/>
        </w:rPr>
        <w:t>provocación</w:t>
      </w:r>
      <w:r w:rsidRPr="009849AB">
        <w:rPr>
          <w:rFonts w:ascii="Arial" w:hAnsi="Arial" w:cs="Arial"/>
          <w:i w:val="0"/>
          <w:sz w:val="22"/>
          <w:szCs w:val="22"/>
          <w:lang w:val="es-ES"/>
        </w:rPr>
        <w:t xml:space="preserve"> y </w:t>
      </w:r>
      <w:r w:rsidR="00694174" w:rsidRPr="009849AB">
        <w:rPr>
          <w:rFonts w:ascii="Arial" w:hAnsi="Arial" w:cs="Arial"/>
          <w:i w:val="0"/>
          <w:sz w:val="22"/>
          <w:szCs w:val="22"/>
          <w:lang w:val="es-ES"/>
        </w:rPr>
        <w:t>recuperación</w:t>
      </w:r>
      <w:r w:rsidRPr="009849AB">
        <w:rPr>
          <w:rFonts w:ascii="Arial" w:hAnsi="Arial" w:cs="Arial"/>
          <w:i w:val="0"/>
          <w:sz w:val="22"/>
          <w:szCs w:val="22"/>
          <w:lang w:val="es-ES"/>
        </w:rPr>
        <w:t xml:space="preserve"> de costos y el principio de equivalencia; y, (iii) que se establezcan mecanismos de </w:t>
      </w:r>
      <w:r w:rsidR="00694174" w:rsidRPr="009849AB">
        <w:rPr>
          <w:rFonts w:ascii="Arial" w:hAnsi="Arial" w:cs="Arial"/>
          <w:i w:val="0"/>
          <w:sz w:val="22"/>
          <w:szCs w:val="22"/>
          <w:lang w:val="es-ES"/>
        </w:rPr>
        <w:t>medición</w:t>
      </w:r>
      <w:r w:rsidRPr="009849AB">
        <w:rPr>
          <w:rFonts w:ascii="Arial" w:hAnsi="Arial" w:cs="Arial"/>
          <w:i w:val="0"/>
          <w:sz w:val="22"/>
          <w:szCs w:val="22"/>
          <w:lang w:val="es-ES"/>
        </w:rPr>
        <w:t xml:space="preserve"> de </w:t>
      </w:r>
      <w:r w:rsidR="00694174" w:rsidRPr="009849AB">
        <w:rPr>
          <w:rFonts w:ascii="Arial" w:hAnsi="Arial" w:cs="Arial"/>
          <w:i w:val="0"/>
          <w:sz w:val="22"/>
          <w:szCs w:val="22"/>
          <w:lang w:val="es-ES"/>
        </w:rPr>
        <w:t>satisfacción</w:t>
      </w:r>
      <w:r w:rsidRPr="009849AB">
        <w:rPr>
          <w:rFonts w:ascii="Arial" w:hAnsi="Arial" w:cs="Arial"/>
          <w:i w:val="0"/>
          <w:sz w:val="22"/>
          <w:szCs w:val="22"/>
          <w:lang w:val="es-ES"/>
        </w:rPr>
        <w:t xml:space="preserve"> del servicio prestado.</w:t>
      </w:r>
    </w:p>
    <w:p w14:paraId="5C9CE616" w14:textId="6C665081" w:rsidR="000D1C56" w:rsidRPr="009849AB" w:rsidRDefault="000D1C56" w:rsidP="00C660E1">
      <w:pPr>
        <w:pStyle w:val="NormalWeb"/>
        <w:shd w:val="clear" w:color="auto" w:fill="FFFFFF"/>
        <w:spacing w:line="276" w:lineRule="auto"/>
        <w:jc w:val="both"/>
        <w:rPr>
          <w:rFonts w:ascii="Arial" w:hAnsi="Arial" w:cs="Arial"/>
          <w:i w:val="0"/>
          <w:sz w:val="22"/>
          <w:szCs w:val="22"/>
          <w:lang w:val="es-ES"/>
        </w:rPr>
      </w:pPr>
      <w:r w:rsidRPr="009849AB">
        <w:rPr>
          <w:rFonts w:ascii="Arial" w:hAnsi="Arial" w:cs="Arial"/>
          <w:i w:val="0"/>
          <w:sz w:val="22"/>
          <w:szCs w:val="22"/>
          <w:lang w:val="es-ES"/>
        </w:rPr>
        <w:t>Con esos antecedentes, se realizó un diagn</w:t>
      </w:r>
      <w:r w:rsidR="003E42FD" w:rsidRPr="009849AB">
        <w:rPr>
          <w:rFonts w:ascii="Arial" w:hAnsi="Arial" w:cs="Arial"/>
          <w:i w:val="0"/>
          <w:sz w:val="22"/>
          <w:szCs w:val="22"/>
          <w:lang w:val="es-ES"/>
        </w:rPr>
        <w:t>ó</w:t>
      </w:r>
      <w:r w:rsidRPr="009849AB">
        <w:rPr>
          <w:rFonts w:ascii="Arial" w:hAnsi="Arial" w:cs="Arial"/>
          <w:i w:val="0"/>
          <w:sz w:val="22"/>
          <w:szCs w:val="22"/>
          <w:lang w:val="es-ES"/>
        </w:rPr>
        <w:t xml:space="preserve">stico de la seguridad y convivencia ciudadana para conocer y entender las dimensiones de esta problemática local en la actualidad. Así mediante </w:t>
      </w:r>
      <w:r w:rsidR="00D14E3D" w:rsidRPr="009849AB">
        <w:rPr>
          <w:rFonts w:ascii="Arial" w:hAnsi="Arial" w:cs="Arial"/>
          <w:i w:val="0"/>
          <w:sz w:val="22"/>
          <w:szCs w:val="22"/>
          <w:lang w:val="es-ES"/>
        </w:rPr>
        <w:t>I</w:t>
      </w:r>
      <w:r w:rsidRPr="009849AB">
        <w:rPr>
          <w:rFonts w:ascii="Arial" w:hAnsi="Arial" w:cs="Arial"/>
          <w:i w:val="0"/>
          <w:sz w:val="22"/>
          <w:szCs w:val="22"/>
          <w:lang w:val="es-ES"/>
        </w:rPr>
        <w:t xml:space="preserve">nforme de </w:t>
      </w:r>
      <w:r w:rsidR="00D14E3D" w:rsidRPr="009849AB">
        <w:rPr>
          <w:rFonts w:ascii="Arial" w:hAnsi="Arial" w:cs="Arial"/>
          <w:i w:val="0"/>
          <w:sz w:val="22"/>
          <w:szCs w:val="22"/>
          <w:lang w:val="es-ES"/>
        </w:rPr>
        <w:t>S</w:t>
      </w:r>
      <w:r w:rsidRPr="009849AB">
        <w:rPr>
          <w:rFonts w:ascii="Arial" w:hAnsi="Arial" w:cs="Arial"/>
          <w:i w:val="0"/>
          <w:sz w:val="22"/>
          <w:szCs w:val="22"/>
          <w:lang w:val="es-ES"/>
        </w:rPr>
        <w:t xml:space="preserve">eguridad </w:t>
      </w:r>
      <w:r w:rsidR="00D14E3D" w:rsidRPr="009849AB">
        <w:rPr>
          <w:rFonts w:ascii="Arial" w:hAnsi="Arial" w:cs="Arial"/>
          <w:i w:val="0"/>
          <w:sz w:val="22"/>
          <w:szCs w:val="22"/>
          <w:lang w:val="es-ES"/>
        </w:rPr>
        <w:t>C</w:t>
      </w:r>
      <w:r w:rsidRPr="009849AB">
        <w:rPr>
          <w:rFonts w:ascii="Arial" w:hAnsi="Arial" w:cs="Arial"/>
          <w:i w:val="0"/>
          <w:sz w:val="22"/>
          <w:szCs w:val="22"/>
          <w:lang w:val="es-ES"/>
        </w:rPr>
        <w:t>iudadana</w:t>
      </w:r>
      <w:r w:rsidR="00D14E3D" w:rsidRPr="009849AB">
        <w:rPr>
          <w:rFonts w:ascii="Arial" w:hAnsi="Arial" w:cs="Arial"/>
          <w:i w:val="0"/>
          <w:sz w:val="22"/>
          <w:szCs w:val="22"/>
          <w:lang w:val="es-ES"/>
        </w:rPr>
        <w:t xml:space="preserve"> “La Materialización de la Tasa de Seguridad en Servicios para el Distrito Metropolitano de Quito”, enviado mediante Memorando Nro. GADDMQ-SGSG-OMSC-2021-0590-M, de fecha 11 de noviembre de 2021, </w:t>
      </w:r>
      <w:r w:rsidRPr="009849AB">
        <w:rPr>
          <w:rFonts w:ascii="Arial" w:hAnsi="Arial" w:cs="Arial"/>
          <w:i w:val="0"/>
          <w:sz w:val="22"/>
          <w:szCs w:val="22"/>
          <w:lang w:val="es-ES"/>
        </w:rPr>
        <w:t xml:space="preserve">el Observatorio Metropolitano de Seguridad Ciudadana evidencia la necesidad de contar con una tasa de seguridad para atender los requerimientos de la ciudad. </w:t>
      </w:r>
    </w:p>
    <w:p w14:paraId="0A33C96A" w14:textId="7C070A74" w:rsidR="000D1C56" w:rsidRPr="009849AB" w:rsidRDefault="000D1C56" w:rsidP="00C660E1">
      <w:pPr>
        <w:pStyle w:val="NormalWeb"/>
        <w:shd w:val="clear" w:color="auto" w:fill="FFFFFF"/>
        <w:spacing w:line="276" w:lineRule="auto"/>
        <w:jc w:val="both"/>
        <w:rPr>
          <w:rFonts w:ascii="Arial" w:eastAsia="Arial" w:hAnsi="Arial" w:cs="Arial"/>
          <w:sz w:val="22"/>
          <w:szCs w:val="22"/>
          <w:lang w:val="es-ES"/>
        </w:rPr>
      </w:pPr>
      <w:r w:rsidRPr="009849AB">
        <w:rPr>
          <w:rFonts w:ascii="Arial" w:hAnsi="Arial" w:cs="Arial"/>
          <w:i w:val="0"/>
          <w:sz w:val="22"/>
          <w:szCs w:val="22"/>
          <w:lang w:val="es-ES"/>
        </w:rPr>
        <w:lastRenderedPageBreak/>
        <w:t>E</w:t>
      </w:r>
      <w:r w:rsidR="00C24002" w:rsidRPr="009849AB">
        <w:rPr>
          <w:rFonts w:ascii="Arial" w:hAnsi="Arial" w:cs="Arial"/>
          <w:i w:val="0"/>
          <w:sz w:val="22"/>
          <w:szCs w:val="22"/>
          <w:lang w:val="es-ES"/>
        </w:rPr>
        <w:t>n e</w:t>
      </w:r>
      <w:r w:rsidRPr="009849AB">
        <w:rPr>
          <w:rFonts w:ascii="Arial" w:hAnsi="Arial" w:cs="Arial"/>
          <w:i w:val="0"/>
          <w:sz w:val="22"/>
          <w:szCs w:val="22"/>
          <w:lang w:val="es-ES"/>
        </w:rPr>
        <w:t xml:space="preserve">l informe referido </w:t>
      </w:r>
      <w:r w:rsidRPr="009849AB">
        <w:rPr>
          <w:rFonts w:ascii="Arial" w:hAnsi="Arial" w:cs="Arial"/>
          <w:sz w:val="22"/>
          <w:szCs w:val="22"/>
          <w:lang w:val="es-ES"/>
        </w:rPr>
        <w:t>ut supra</w:t>
      </w:r>
      <w:r w:rsidRPr="009849AB">
        <w:rPr>
          <w:rFonts w:ascii="Arial" w:hAnsi="Arial" w:cs="Arial"/>
          <w:i w:val="0"/>
          <w:sz w:val="22"/>
          <w:szCs w:val="22"/>
          <w:lang w:val="es-ES"/>
        </w:rPr>
        <w:t>, se refleja la nece</w:t>
      </w:r>
      <w:r w:rsidR="003E42FD" w:rsidRPr="009849AB">
        <w:rPr>
          <w:rFonts w:ascii="Arial" w:hAnsi="Arial" w:cs="Arial"/>
          <w:i w:val="0"/>
          <w:sz w:val="22"/>
          <w:szCs w:val="22"/>
          <w:lang w:val="es-ES"/>
        </w:rPr>
        <w:t>s</w:t>
      </w:r>
      <w:r w:rsidRPr="009849AB">
        <w:rPr>
          <w:rFonts w:ascii="Arial" w:hAnsi="Arial" w:cs="Arial"/>
          <w:i w:val="0"/>
          <w:sz w:val="22"/>
          <w:szCs w:val="22"/>
          <w:lang w:val="es-ES"/>
        </w:rPr>
        <w:t xml:space="preserve">idad del Distrito Metropolitano de Quito de contribuir a minimizar la problemática que enfrenta la ciudad, en torno a la seguridad y convivencia ciudadana; puesto que, </w:t>
      </w:r>
      <w:r w:rsidRPr="009849AB">
        <w:rPr>
          <w:rFonts w:ascii="Arial" w:eastAsia="Arial" w:hAnsi="Arial" w:cs="Arial"/>
          <w:i w:val="0"/>
          <w:sz w:val="22"/>
          <w:szCs w:val="22"/>
          <w:lang w:val="es-ES"/>
        </w:rPr>
        <w:t xml:space="preserve">la victimización (víctima de algún tipo de robo) en el año 2019 se situó en el 47.88%, es decir, 5 de cada 10 quiteños fueron víctimas de algún tipo de robo. La </w:t>
      </w:r>
      <w:r w:rsidR="00694174" w:rsidRPr="009849AB">
        <w:rPr>
          <w:rFonts w:ascii="Arial" w:eastAsia="Arial" w:hAnsi="Arial" w:cs="Arial"/>
          <w:i w:val="0"/>
          <w:sz w:val="22"/>
          <w:szCs w:val="22"/>
          <w:lang w:val="es-ES"/>
        </w:rPr>
        <w:t>impunidad</w:t>
      </w:r>
      <w:r w:rsidRPr="009849AB">
        <w:rPr>
          <w:rFonts w:ascii="Arial" w:eastAsia="Arial" w:hAnsi="Arial" w:cs="Arial"/>
          <w:i w:val="0"/>
          <w:sz w:val="22"/>
          <w:szCs w:val="22"/>
          <w:lang w:val="es-ES"/>
        </w:rPr>
        <w:t xml:space="preserve"> en Quito, también configura un fenómeno muy </w:t>
      </w:r>
      <w:r w:rsidR="00694174" w:rsidRPr="009849AB">
        <w:rPr>
          <w:rFonts w:ascii="Arial" w:eastAsia="Arial" w:hAnsi="Arial" w:cs="Arial"/>
          <w:i w:val="0"/>
          <w:sz w:val="22"/>
          <w:szCs w:val="22"/>
          <w:lang w:val="es-ES"/>
        </w:rPr>
        <w:t>importante</w:t>
      </w:r>
      <w:r w:rsidRPr="009849AB">
        <w:rPr>
          <w:rFonts w:ascii="Arial" w:eastAsia="Arial" w:hAnsi="Arial" w:cs="Arial"/>
          <w:i w:val="0"/>
          <w:sz w:val="22"/>
          <w:szCs w:val="22"/>
          <w:lang w:val="es-ES"/>
        </w:rPr>
        <w:t xml:space="preserve">, pues </w:t>
      </w:r>
      <w:r w:rsidR="00694174" w:rsidRPr="009849AB">
        <w:rPr>
          <w:rFonts w:ascii="Arial" w:eastAsia="Arial" w:hAnsi="Arial" w:cs="Arial"/>
          <w:i w:val="0"/>
          <w:sz w:val="22"/>
          <w:szCs w:val="22"/>
          <w:lang w:val="es-ES"/>
        </w:rPr>
        <w:t>solamente el 25% de los delitos ocurridos son denunciados.</w:t>
      </w:r>
      <w:r w:rsidRPr="009849AB">
        <w:rPr>
          <w:rFonts w:ascii="Arial" w:eastAsia="Arial" w:hAnsi="Arial" w:cs="Arial"/>
          <w:i w:val="0"/>
          <w:sz w:val="22"/>
          <w:szCs w:val="22"/>
          <w:lang w:val="es-ES"/>
        </w:rPr>
        <w:t xml:space="preserve"> La impunidad tiene como efectos colaterales, alta percepción de inseguridad, desconfianza en el sistema de justicia, baja credibilidad política y sobre todo la descomposición del tejido social</w:t>
      </w:r>
      <w:r w:rsidRPr="009849AB">
        <w:rPr>
          <w:rFonts w:ascii="Arial" w:eastAsia="Arial" w:hAnsi="Arial" w:cs="Arial"/>
          <w:sz w:val="22"/>
          <w:szCs w:val="22"/>
          <w:lang w:val="es-ES"/>
        </w:rPr>
        <w:t>.</w:t>
      </w:r>
    </w:p>
    <w:p w14:paraId="7FC29ECD" w14:textId="77777777" w:rsidR="000D1C56" w:rsidRPr="009849AB" w:rsidRDefault="000D1C56" w:rsidP="00C660E1">
      <w:pPr>
        <w:spacing w:line="276" w:lineRule="auto"/>
        <w:jc w:val="both"/>
        <w:rPr>
          <w:rFonts w:ascii="Arial" w:eastAsia="Arial" w:hAnsi="Arial" w:cs="Arial"/>
        </w:rPr>
      </w:pPr>
      <w:r w:rsidRPr="009849AB">
        <w:rPr>
          <w:rFonts w:ascii="Arial" w:eastAsia="Arial" w:hAnsi="Arial" w:cs="Arial"/>
        </w:rPr>
        <w:t>La percepción de inseguridad en el DMQ, se ha convertido en un verdadero problema público, pues 9 de cada 10 quiteños perciben a la ciudad como insegura, y sin duda, el Municipio a través de sus entes relacionados debe configurar estrategias -planes, proyectos- para velar por la seguridad ciudadana de sus habitantes.</w:t>
      </w:r>
    </w:p>
    <w:p w14:paraId="5817613B" w14:textId="456BB4CA" w:rsidR="000D1C56" w:rsidRPr="009849AB" w:rsidRDefault="000D1C56" w:rsidP="00C660E1">
      <w:pPr>
        <w:spacing w:line="276" w:lineRule="auto"/>
        <w:jc w:val="both"/>
        <w:rPr>
          <w:rFonts w:ascii="Arial" w:eastAsia="Arial" w:hAnsi="Arial" w:cs="Arial"/>
        </w:rPr>
      </w:pPr>
      <w:r w:rsidRPr="009849AB">
        <w:rPr>
          <w:rFonts w:ascii="Arial" w:eastAsia="Arial" w:hAnsi="Arial" w:cs="Arial"/>
        </w:rPr>
        <w:t xml:space="preserve">La tasa de seguridad entre 2011 y 2021 ha recaudado aproximadamente 82 millones de dólares, es decir, un promedio de 7 millones de dólares anuales, es decir, que los valores recaudados permiten </w:t>
      </w:r>
      <w:r w:rsidR="00C5796B" w:rsidRPr="009849AB">
        <w:rPr>
          <w:rFonts w:ascii="Arial" w:eastAsia="Arial" w:hAnsi="Arial" w:cs="Arial"/>
        </w:rPr>
        <w:t>a</w:t>
      </w:r>
      <w:r w:rsidRPr="009849AB">
        <w:rPr>
          <w:rFonts w:ascii="Arial" w:eastAsia="Arial" w:hAnsi="Arial" w:cs="Arial"/>
        </w:rPr>
        <w:t>l</w:t>
      </w:r>
      <w:r w:rsidR="00C5796B" w:rsidRPr="009849AB">
        <w:rPr>
          <w:rFonts w:ascii="Arial" w:eastAsia="Arial" w:hAnsi="Arial" w:cs="Arial"/>
        </w:rPr>
        <w:t xml:space="preserve"> GAD del</w:t>
      </w:r>
      <w:r w:rsidRPr="009849AB">
        <w:rPr>
          <w:rFonts w:ascii="Arial" w:eastAsia="Arial" w:hAnsi="Arial" w:cs="Arial"/>
        </w:rPr>
        <w:t xml:space="preserve"> Distrito Metropolitano</w:t>
      </w:r>
      <w:r w:rsidR="00C5796B" w:rsidRPr="009849AB">
        <w:rPr>
          <w:rFonts w:ascii="Arial" w:eastAsia="Arial" w:hAnsi="Arial" w:cs="Arial"/>
        </w:rPr>
        <w:t>,</w:t>
      </w:r>
      <w:r w:rsidRPr="009849AB">
        <w:rPr>
          <w:rFonts w:ascii="Arial" w:eastAsia="Arial" w:hAnsi="Arial" w:cs="Arial"/>
        </w:rPr>
        <w:t xml:space="preserve"> como entidad complementaria de seguridad</w:t>
      </w:r>
      <w:r w:rsidR="00C5796B" w:rsidRPr="009849AB">
        <w:rPr>
          <w:rFonts w:ascii="Arial" w:eastAsia="Arial" w:hAnsi="Arial" w:cs="Arial"/>
        </w:rPr>
        <w:t xml:space="preserve">, </w:t>
      </w:r>
      <w:r w:rsidRPr="009849AB">
        <w:rPr>
          <w:rFonts w:ascii="Arial" w:eastAsia="Arial" w:hAnsi="Arial" w:cs="Arial"/>
        </w:rPr>
        <w:t xml:space="preserve">garantizar la convivencia pacífica de la ciudad. </w:t>
      </w:r>
    </w:p>
    <w:p w14:paraId="13F9FCBD" w14:textId="77777777" w:rsidR="00341C9E" w:rsidRPr="009849AB" w:rsidRDefault="00760C65" w:rsidP="00C660E1">
      <w:pPr>
        <w:spacing w:line="276" w:lineRule="auto"/>
        <w:jc w:val="both"/>
        <w:rPr>
          <w:rFonts w:ascii="Arial" w:eastAsia="Arial" w:hAnsi="Arial" w:cs="Arial"/>
          <w:b/>
          <w:sz w:val="24"/>
          <w:szCs w:val="24"/>
          <w:u w:val="single"/>
        </w:rPr>
      </w:pPr>
      <w:r w:rsidRPr="009849AB">
        <w:rPr>
          <w:rFonts w:ascii="Arial" w:eastAsia="Arial" w:hAnsi="Arial" w:cs="Arial"/>
          <w:b/>
          <w:sz w:val="24"/>
          <w:szCs w:val="24"/>
          <w:u w:val="single"/>
        </w:rPr>
        <w:t>Sectores establecidos para la Tasa de Seguridad:</w:t>
      </w:r>
    </w:p>
    <w:p w14:paraId="78618C23" w14:textId="77777777" w:rsidR="00341C9E" w:rsidRPr="009849AB" w:rsidRDefault="00760C65" w:rsidP="00C660E1">
      <w:pPr>
        <w:spacing w:after="0" w:line="276" w:lineRule="auto"/>
        <w:jc w:val="both"/>
        <w:rPr>
          <w:rFonts w:ascii="Arial" w:eastAsia="Arial" w:hAnsi="Arial" w:cs="Arial"/>
        </w:rPr>
      </w:pPr>
      <w:r w:rsidRPr="009849AB">
        <w:rPr>
          <w:rFonts w:ascii="Arial" w:eastAsia="Arial" w:hAnsi="Arial" w:cs="Arial"/>
        </w:rPr>
        <w:t xml:space="preserve">Para efectos de la valoración de los bienes inmuebles referidos a los sectores urbanos del </w:t>
      </w:r>
      <w:r w:rsidR="000D1C56" w:rsidRPr="009849AB">
        <w:rPr>
          <w:rFonts w:ascii="Arial" w:eastAsia="Arial" w:hAnsi="Arial" w:cs="Arial"/>
        </w:rPr>
        <w:t>c</w:t>
      </w:r>
      <w:r w:rsidRPr="009849AB">
        <w:rPr>
          <w:rFonts w:ascii="Arial" w:eastAsia="Arial" w:hAnsi="Arial" w:cs="Arial"/>
        </w:rPr>
        <w:t>antón Quito (en sus componentes fundamentales: terreno y construcción), se divide a la ciudad y a los sectores urbanos de las parroquias rurales en nueve sectores económicos homogéneos.</w:t>
      </w:r>
    </w:p>
    <w:p w14:paraId="514A24BB" w14:textId="77777777" w:rsidR="00341C9E" w:rsidRPr="009849AB" w:rsidRDefault="00760C65" w:rsidP="00C660E1">
      <w:pPr>
        <w:spacing w:after="0" w:line="276" w:lineRule="auto"/>
        <w:jc w:val="both"/>
        <w:rPr>
          <w:rFonts w:ascii="Arial" w:eastAsia="Arial" w:hAnsi="Arial" w:cs="Arial"/>
        </w:rPr>
      </w:pPr>
      <w:r w:rsidRPr="009849AB">
        <w:rPr>
          <w:rFonts w:ascii="Arial" w:eastAsia="Arial" w:hAnsi="Arial" w:cs="Arial"/>
        </w:rPr>
        <w:t xml:space="preserve"> </w:t>
      </w:r>
    </w:p>
    <w:p w14:paraId="24700A41" w14:textId="77777777" w:rsidR="00341C9E" w:rsidRPr="009849AB" w:rsidRDefault="00760C65" w:rsidP="00C660E1">
      <w:pPr>
        <w:spacing w:line="276" w:lineRule="auto"/>
        <w:jc w:val="both"/>
        <w:rPr>
          <w:rFonts w:ascii="Arial" w:eastAsia="Arial" w:hAnsi="Arial" w:cs="Arial"/>
        </w:rPr>
      </w:pPr>
      <w:r w:rsidRPr="009849AB">
        <w:rPr>
          <w:rFonts w:ascii="Arial" w:eastAsia="Arial" w:hAnsi="Arial" w:cs="Arial"/>
        </w:rPr>
        <w:t>Entonces, la metodología para la valoración predial de terreno</w:t>
      </w:r>
      <w:r w:rsidR="000D1C56" w:rsidRPr="009849AB">
        <w:rPr>
          <w:rFonts w:ascii="Arial" w:eastAsia="Arial" w:hAnsi="Arial" w:cs="Arial"/>
        </w:rPr>
        <w:t>s</w:t>
      </w:r>
      <w:r w:rsidRPr="009849AB">
        <w:rPr>
          <w:rFonts w:ascii="Arial" w:eastAsia="Arial" w:hAnsi="Arial" w:cs="Arial"/>
        </w:rPr>
        <w:t xml:space="preserve"> en los sectores urbanos, considera los siguientes parámetros y variables:</w:t>
      </w:r>
    </w:p>
    <w:p w14:paraId="79461DCD" w14:textId="77777777" w:rsidR="00341C9E" w:rsidRPr="009849AB" w:rsidRDefault="00760C65" w:rsidP="00C660E1">
      <w:pPr>
        <w:spacing w:line="276" w:lineRule="auto"/>
        <w:jc w:val="both"/>
        <w:rPr>
          <w:rFonts w:ascii="Arial" w:eastAsia="Arial" w:hAnsi="Arial" w:cs="Arial"/>
        </w:rPr>
      </w:pPr>
      <w:r w:rsidRPr="009849AB">
        <w:rPr>
          <w:rFonts w:ascii="Arial" w:eastAsia="Arial" w:hAnsi="Arial" w:cs="Arial"/>
        </w:rPr>
        <w:t>EN TERRENO.- Los parámetros son:</w:t>
      </w:r>
    </w:p>
    <w:p w14:paraId="11F23889" w14:textId="77777777" w:rsidR="00341C9E" w:rsidRPr="009849AB" w:rsidRDefault="00760C65" w:rsidP="00C660E1">
      <w:pPr>
        <w:spacing w:after="0" w:line="276" w:lineRule="auto"/>
        <w:ind w:left="1080" w:hanging="360"/>
        <w:jc w:val="both"/>
        <w:rPr>
          <w:rFonts w:ascii="Arial" w:eastAsia="Arial" w:hAnsi="Arial" w:cs="Arial"/>
        </w:rPr>
      </w:pPr>
      <w:r w:rsidRPr="009849AB">
        <w:rPr>
          <w:rFonts w:ascii="Arial" w:eastAsia="Arial" w:hAnsi="Arial" w:cs="Arial"/>
        </w:rPr>
        <w:t>1.</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Topología constructiva del sector</w:t>
      </w:r>
    </w:p>
    <w:p w14:paraId="146FAB60" w14:textId="77777777" w:rsidR="00341C9E" w:rsidRPr="009849AB" w:rsidRDefault="00760C65" w:rsidP="00C660E1">
      <w:pPr>
        <w:spacing w:after="0" w:line="276" w:lineRule="auto"/>
        <w:ind w:left="1080" w:hanging="360"/>
        <w:jc w:val="both"/>
        <w:rPr>
          <w:rFonts w:ascii="Arial" w:eastAsia="Arial" w:hAnsi="Arial" w:cs="Arial"/>
        </w:rPr>
      </w:pPr>
      <w:r w:rsidRPr="009849AB">
        <w:rPr>
          <w:rFonts w:ascii="Arial" w:eastAsia="Arial" w:hAnsi="Arial" w:cs="Arial"/>
        </w:rPr>
        <w:t>2.</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Obras de infraestructura básica</w:t>
      </w:r>
    </w:p>
    <w:p w14:paraId="1B0E3FEB" w14:textId="77777777" w:rsidR="00341C9E" w:rsidRPr="009849AB" w:rsidRDefault="00760C65" w:rsidP="00C660E1">
      <w:pPr>
        <w:spacing w:line="276" w:lineRule="auto"/>
        <w:ind w:left="1080" w:hanging="360"/>
        <w:jc w:val="both"/>
        <w:rPr>
          <w:rFonts w:ascii="Arial" w:eastAsia="Arial" w:hAnsi="Arial" w:cs="Arial"/>
        </w:rPr>
      </w:pPr>
      <w:r w:rsidRPr="009849AB">
        <w:rPr>
          <w:rFonts w:ascii="Arial" w:eastAsia="Arial" w:hAnsi="Arial" w:cs="Arial"/>
        </w:rPr>
        <w:t>3.</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Precio promedio por m2 del sector</w:t>
      </w:r>
    </w:p>
    <w:p w14:paraId="0CB6DD23" w14:textId="77777777" w:rsidR="00341C9E" w:rsidRPr="009849AB" w:rsidRDefault="00760C65" w:rsidP="00C660E1">
      <w:pPr>
        <w:spacing w:line="276" w:lineRule="auto"/>
        <w:jc w:val="both"/>
        <w:rPr>
          <w:rFonts w:ascii="Arial" w:eastAsia="Arial" w:hAnsi="Arial" w:cs="Arial"/>
        </w:rPr>
      </w:pPr>
      <w:r w:rsidRPr="009849AB">
        <w:rPr>
          <w:rFonts w:ascii="Arial" w:eastAsia="Arial" w:hAnsi="Arial" w:cs="Arial"/>
        </w:rPr>
        <w:t>Variables:</w:t>
      </w:r>
    </w:p>
    <w:p w14:paraId="5E4E351F" w14:textId="77777777" w:rsidR="00341C9E" w:rsidRPr="009849AB" w:rsidRDefault="00760C65" w:rsidP="00C660E1">
      <w:pPr>
        <w:spacing w:after="0" w:line="276" w:lineRule="auto"/>
        <w:ind w:left="1080" w:hanging="360"/>
        <w:jc w:val="both"/>
        <w:rPr>
          <w:rFonts w:ascii="Arial" w:eastAsia="Arial" w:hAnsi="Arial" w:cs="Arial"/>
        </w:rPr>
      </w:pPr>
      <w:r w:rsidRPr="009849AB">
        <w:rPr>
          <w:rFonts w:ascii="Arial" w:eastAsia="Arial" w:hAnsi="Arial" w:cs="Arial"/>
        </w:rPr>
        <w:t>1.</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Acabados:</w:t>
      </w:r>
    </w:p>
    <w:p w14:paraId="7958C2F2" w14:textId="77777777" w:rsidR="00341C9E" w:rsidRPr="009849AB" w:rsidRDefault="00760C65" w:rsidP="00C660E1">
      <w:pPr>
        <w:spacing w:after="0" w:line="276" w:lineRule="auto"/>
        <w:ind w:left="1420" w:hanging="360"/>
        <w:jc w:val="both"/>
        <w:rPr>
          <w:rFonts w:ascii="Arial" w:eastAsia="Arial" w:hAnsi="Arial" w:cs="Arial"/>
        </w:rPr>
      </w:pPr>
      <w:r w:rsidRPr="009849AB">
        <w:rPr>
          <w:rFonts w:ascii="Arial" w:eastAsia="Arial" w:hAnsi="Arial" w:cs="Arial"/>
        </w:rPr>
        <w:t>·</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Lujo</w:t>
      </w:r>
    </w:p>
    <w:p w14:paraId="5D3BB234" w14:textId="77777777" w:rsidR="00341C9E" w:rsidRPr="009849AB" w:rsidRDefault="00760C65" w:rsidP="00C660E1">
      <w:pPr>
        <w:spacing w:after="0" w:line="276" w:lineRule="auto"/>
        <w:ind w:left="1420" w:hanging="360"/>
        <w:jc w:val="both"/>
        <w:rPr>
          <w:rFonts w:ascii="Arial" w:eastAsia="Arial" w:hAnsi="Arial" w:cs="Arial"/>
        </w:rPr>
      </w:pPr>
      <w:r w:rsidRPr="009849AB">
        <w:rPr>
          <w:rFonts w:ascii="Arial" w:eastAsia="Arial" w:hAnsi="Arial" w:cs="Arial"/>
        </w:rPr>
        <w:t>·</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Muy buenos</w:t>
      </w:r>
    </w:p>
    <w:p w14:paraId="56304B22" w14:textId="77777777" w:rsidR="00341C9E" w:rsidRPr="009849AB" w:rsidRDefault="00760C65" w:rsidP="00C660E1">
      <w:pPr>
        <w:spacing w:after="0" w:line="276" w:lineRule="auto"/>
        <w:ind w:left="1420" w:hanging="360"/>
        <w:jc w:val="both"/>
        <w:rPr>
          <w:rFonts w:ascii="Arial" w:eastAsia="Arial" w:hAnsi="Arial" w:cs="Arial"/>
        </w:rPr>
      </w:pPr>
      <w:r w:rsidRPr="009849AB">
        <w:rPr>
          <w:rFonts w:ascii="Arial" w:eastAsia="Arial" w:hAnsi="Arial" w:cs="Arial"/>
        </w:rPr>
        <w:t>·</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Buenos</w:t>
      </w:r>
    </w:p>
    <w:p w14:paraId="15BF33D1" w14:textId="77777777" w:rsidR="00341C9E" w:rsidRPr="009849AB" w:rsidRDefault="00760C65" w:rsidP="00C660E1">
      <w:pPr>
        <w:spacing w:after="0" w:line="276" w:lineRule="auto"/>
        <w:ind w:left="1420" w:hanging="360"/>
        <w:jc w:val="both"/>
        <w:rPr>
          <w:rFonts w:ascii="Arial" w:eastAsia="Arial" w:hAnsi="Arial" w:cs="Arial"/>
        </w:rPr>
      </w:pPr>
      <w:r w:rsidRPr="009849AB">
        <w:rPr>
          <w:rFonts w:ascii="Arial" w:eastAsia="Arial" w:hAnsi="Arial" w:cs="Arial"/>
        </w:rPr>
        <w:t>·</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Económicos</w:t>
      </w:r>
    </w:p>
    <w:p w14:paraId="633391F2" w14:textId="77777777" w:rsidR="00341C9E" w:rsidRPr="009849AB" w:rsidRDefault="00760C65" w:rsidP="00C660E1">
      <w:pPr>
        <w:spacing w:after="0" w:line="276" w:lineRule="auto"/>
        <w:ind w:left="1080" w:hanging="360"/>
        <w:jc w:val="both"/>
        <w:rPr>
          <w:rFonts w:ascii="Arial" w:eastAsia="Arial" w:hAnsi="Arial" w:cs="Arial"/>
        </w:rPr>
      </w:pPr>
      <w:r w:rsidRPr="009849AB">
        <w:rPr>
          <w:rFonts w:ascii="Arial" w:eastAsia="Arial" w:hAnsi="Arial" w:cs="Arial"/>
        </w:rPr>
        <w:t>2.</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Vías</w:t>
      </w:r>
    </w:p>
    <w:p w14:paraId="4C72D385" w14:textId="77777777" w:rsidR="00341C9E" w:rsidRPr="009849AB" w:rsidRDefault="00760C65" w:rsidP="00C660E1">
      <w:pPr>
        <w:spacing w:after="0" w:line="276" w:lineRule="auto"/>
        <w:ind w:left="1080" w:hanging="360"/>
        <w:jc w:val="both"/>
        <w:rPr>
          <w:rFonts w:ascii="Arial" w:eastAsia="Arial" w:hAnsi="Arial" w:cs="Arial"/>
        </w:rPr>
      </w:pPr>
      <w:r w:rsidRPr="009849AB">
        <w:rPr>
          <w:rFonts w:ascii="Arial" w:eastAsia="Arial" w:hAnsi="Arial" w:cs="Arial"/>
        </w:rPr>
        <w:t>3.</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Agua</w:t>
      </w:r>
    </w:p>
    <w:p w14:paraId="6C2970A7" w14:textId="77777777" w:rsidR="00341C9E" w:rsidRPr="009849AB" w:rsidRDefault="00760C65" w:rsidP="00C660E1">
      <w:pPr>
        <w:spacing w:after="0" w:line="276" w:lineRule="auto"/>
        <w:ind w:left="1080" w:hanging="360"/>
        <w:jc w:val="both"/>
        <w:rPr>
          <w:rFonts w:ascii="Arial" w:eastAsia="Arial" w:hAnsi="Arial" w:cs="Arial"/>
        </w:rPr>
      </w:pPr>
      <w:r w:rsidRPr="009849AB">
        <w:rPr>
          <w:rFonts w:ascii="Arial" w:eastAsia="Arial" w:hAnsi="Arial" w:cs="Arial"/>
        </w:rPr>
        <w:t>4.</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Alcantarillado</w:t>
      </w:r>
    </w:p>
    <w:p w14:paraId="0CD3A09F" w14:textId="77777777" w:rsidR="00341C9E" w:rsidRPr="009849AB" w:rsidRDefault="00760C65" w:rsidP="00C660E1">
      <w:pPr>
        <w:spacing w:after="0" w:line="276" w:lineRule="auto"/>
        <w:ind w:left="1080" w:hanging="360"/>
        <w:jc w:val="both"/>
        <w:rPr>
          <w:rFonts w:ascii="Arial" w:eastAsia="Arial" w:hAnsi="Arial" w:cs="Arial"/>
        </w:rPr>
      </w:pPr>
      <w:r w:rsidRPr="009849AB">
        <w:rPr>
          <w:rFonts w:ascii="Arial" w:eastAsia="Arial" w:hAnsi="Arial" w:cs="Arial"/>
        </w:rPr>
        <w:t>5.</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Energía eléctrica</w:t>
      </w:r>
    </w:p>
    <w:p w14:paraId="2DC5A13F" w14:textId="500380E6" w:rsidR="00341C9E" w:rsidRPr="009849AB" w:rsidRDefault="00760C65" w:rsidP="00C660E1">
      <w:pPr>
        <w:spacing w:line="276" w:lineRule="auto"/>
        <w:ind w:left="1080" w:hanging="360"/>
        <w:jc w:val="both"/>
        <w:rPr>
          <w:rFonts w:ascii="Arial" w:eastAsia="Arial" w:hAnsi="Arial" w:cs="Arial"/>
        </w:rPr>
      </w:pPr>
      <w:r w:rsidRPr="009849AB">
        <w:rPr>
          <w:rFonts w:ascii="Arial" w:eastAsia="Arial" w:hAnsi="Arial" w:cs="Arial"/>
        </w:rPr>
        <w:t>6.</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Teléfono</w:t>
      </w:r>
    </w:p>
    <w:p w14:paraId="11C7AB2E" w14:textId="77777777" w:rsidR="00341C9E" w:rsidRPr="009849AB" w:rsidRDefault="00760C65" w:rsidP="00C660E1">
      <w:pPr>
        <w:spacing w:line="276" w:lineRule="auto"/>
        <w:jc w:val="both"/>
        <w:rPr>
          <w:rFonts w:ascii="Arial" w:eastAsia="Arial" w:hAnsi="Arial" w:cs="Arial"/>
        </w:rPr>
      </w:pPr>
      <w:r w:rsidRPr="009849AB">
        <w:rPr>
          <w:rFonts w:ascii="Arial" w:eastAsia="Arial" w:hAnsi="Arial" w:cs="Arial"/>
        </w:rPr>
        <w:t>EN CONSTRUCCIÓN.- los parámetros son:</w:t>
      </w:r>
    </w:p>
    <w:p w14:paraId="33FECD84" w14:textId="77777777" w:rsidR="00341C9E" w:rsidRPr="009849AB" w:rsidRDefault="00760C65" w:rsidP="00C660E1">
      <w:pPr>
        <w:spacing w:line="276" w:lineRule="auto"/>
        <w:ind w:left="1080" w:hanging="360"/>
        <w:jc w:val="both"/>
        <w:rPr>
          <w:rFonts w:ascii="Arial" w:eastAsia="Arial" w:hAnsi="Arial" w:cs="Arial"/>
        </w:rPr>
      </w:pPr>
      <w:r w:rsidRPr="009849AB">
        <w:rPr>
          <w:rFonts w:ascii="Arial" w:eastAsia="Arial" w:hAnsi="Arial" w:cs="Arial"/>
        </w:rPr>
        <w:lastRenderedPageBreak/>
        <w:t>1.</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Tipologías constructivas del predio</w:t>
      </w:r>
    </w:p>
    <w:p w14:paraId="511F1792" w14:textId="77777777" w:rsidR="00341C9E" w:rsidRPr="009849AB" w:rsidRDefault="00760C65" w:rsidP="00C660E1">
      <w:pPr>
        <w:spacing w:line="276" w:lineRule="auto"/>
        <w:jc w:val="both"/>
        <w:rPr>
          <w:rFonts w:ascii="Arial" w:eastAsia="Arial" w:hAnsi="Arial" w:cs="Arial"/>
        </w:rPr>
      </w:pPr>
      <w:r w:rsidRPr="009849AB">
        <w:rPr>
          <w:rFonts w:ascii="Arial" w:eastAsia="Arial" w:hAnsi="Arial" w:cs="Arial"/>
        </w:rPr>
        <w:t>Variables:</w:t>
      </w:r>
    </w:p>
    <w:p w14:paraId="30D814FB" w14:textId="77777777" w:rsidR="00341C9E" w:rsidRPr="009849AB" w:rsidRDefault="00760C65" w:rsidP="00C660E1">
      <w:pPr>
        <w:spacing w:after="0" w:line="276" w:lineRule="auto"/>
        <w:ind w:left="1080" w:hanging="360"/>
        <w:jc w:val="both"/>
        <w:rPr>
          <w:rFonts w:ascii="Arial" w:eastAsia="Arial" w:hAnsi="Arial" w:cs="Arial"/>
        </w:rPr>
      </w:pPr>
      <w:r w:rsidRPr="009849AB">
        <w:rPr>
          <w:rFonts w:ascii="Arial" w:eastAsia="Arial" w:hAnsi="Arial" w:cs="Arial"/>
        </w:rPr>
        <w:t>1.</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Estructura</w:t>
      </w:r>
    </w:p>
    <w:p w14:paraId="6CA9ABF6" w14:textId="77777777" w:rsidR="00341C9E" w:rsidRPr="009849AB" w:rsidRDefault="00760C65" w:rsidP="00C660E1">
      <w:pPr>
        <w:spacing w:after="0" w:line="276" w:lineRule="auto"/>
        <w:ind w:left="1080" w:hanging="360"/>
        <w:jc w:val="both"/>
        <w:rPr>
          <w:rFonts w:ascii="Arial" w:eastAsia="Arial" w:hAnsi="Arial" w:cs="Arial"/>
        </w:rPr>
      </w:pPr>
      <w:r w:rsidRPr="009849AB">
        <w:rPr>
          <w:rFonts w:ascii="Arial" w:eastAsia="Arial" w:hAnsi="Arial" w:cs="Arial"/>
        </w:rPr>
        <w:t>2.</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Acabados</w:t>
      </w:r>
    </w:p>
    <w:p w14:paraId="4436E0D9" w14:textId="77777777" w:rsidR="00341C9E" w:rsidRPr="009849AB" w:rsidRDefault="00760C65" w:rsidP="00C660E1">
      <w:pPr>
        <w:spacing w:line="276" w:lineRule="auto"/>
        <w:ind w:left="1080" w:hanging="360"/>
        <w:jc w:val="both"/>
        <w:rPr>
          <w:rFonts w:ascii="Arial" w:eastAsia="Arial" w:hAnsi="Arial" w:cs="Arial"/>
        </w:rPr>
      </w:pPr>
      <w:r w:rsidRPr="009849AB">
        <w:rPr>
          <w:rFonts w:ascii="Arial" w:eastAsia="Arial" w:hAnsi="Arial" w:cs="Arial"/>
        </w:rPr>
        <w:t>3.</w:t>
      </w:r>
      <w:r w:rsidRPr="009849AB">
        <w:rPr>
          <w:rFonts w:ascii="Arial" w:eastAsia="Times New Roman" w:hAnsi="Arial" w:cs="Arial"/>
          <w:sz w:val="14"/>
          <w:szCs w:val="14"/>
        </w:rPr>
        <w:t xml:space="preserve"> </w:t>
      </w:r>
      <w:r w:rsidRPr="009849AB">
        <w:rPr>
          <w:rFonts w:ascii="Arial" w:eastAsia="Times New Roman" w:hAnsi="Arial" w:cs="Arial"/>
          <w:sz w:val="14"/>
          <w:szCs w:val="14"/>
        </w:rPr>
        <w:tab/>
      </w:r>
      <w:r w:rsidRPr="009849AB">
        <w:rPr>
          <w:rFonts w:ascii="Arial" w:eastAsia="Arial" w:hAnsi="Arial" w:cs="Arial"/>
        </w:rPr>
        <w:t>Precios unitarios</w:t>
      </w:r>
    </w:p>
    <w:p w14:paraId="085CAEA4" w14:textId="77777777" w:rsidR="00341C9E" w:rsidRPr="009849AB" w:rsidRDefault="00760C65" w:rsidP="00C660E1">
      <w:pPr>
        <w:spacing w:line="276" w:lineRule="auto"/>
        <w:jc w:val="both"/>
        <w:rPr>
          <w:rFonts w:ascii="Arial" w:eastAsia="Arial" w:hAnsi="Arial" w:cs="Arial"/>
        </w:rPr>
      </w:pPr>
      <w:r w:rsidRPr="009849AB">
        <w:rPr>
          <w:rFonts w:ascii="Arial" w:eastAsia="Arial" w:hAnsi="Arial" w:cs="Arial"/>
        </w:rPr>
        <w:t>En esta metodología cada uno de los parámetros considerados dentro del modelo toma un peso específico, cuya sumatoria da como resultado el 100%, al interior de los parámetros cada variable toma un valor, que permite llegar a la determinación de los sectores económicos.</w:t>
      </w:r>
    </w:p>
    <w:p w14:paraId="66A479D4" w14:textId="77777777" w:rsidR="00341C9E" w:rsidRPr="009849AB" w:rsidRDefault="00760C65" w:rsidP="00C660E1">
      <w:pPr>
        <w:spacing w:line="276" w:lineRule="auto"/>
        <w:jc w:val="both"/>
        <w:rPr>
          <w:rFonts w:ascii="Arial" w:eastAsia="Arial" w:hAnsi="Arial" w:cs="Arial"/>
        </w:rPr>
      </w:pPr>
      <w:r w:rsidRPr="009849AB">
        <w:rPr>
          <w:rFonts w:ascii="Arial" w:eastAsia="Arial" w:hAnsi="Arial" w:cs="Arial"/>
        </w:rPr>
        <w:t>Con esta información se llega a conformar el plano de precios de mercado como se aprecia en la siguiente imagen, hoy llamada áreas de intervención valorativas (AIVAS).</w:t>
      </w:r>
    </w:p>
    <w:p w14:paraId="4EE2B951" w14:textId="77777777" w:rsidR="00341C9E" w:rsidRPr="009849AB" w:rsidRDefault="00760C65" w:rsidP="00C660E1">
      <w:pPr>
        <w:spacing w:line="276" w:lineRule="auto"/>
        <w:jc w:val="both"/>
        <w:rPr>
          <w:rFonts w:ascii="Arial" w:eastAsia="Arial" w:hAnsi="Arial" w:cs="Arial"/>
        </w:rPr>
      </w:pPr>
      <w:r w:rsidRPr="009849AB">
        <w:rPr>
          <w:rFonts w:ascii="Arial" w:eastAsia="Arial" w:hAnsi="Arial" w:cs="Arial"/>
        </w:rPr>
        <w:t>Por lo tanto, la estructura sectorial para la determinación de la tasa de seguridad es la siguiente:</w:t>
      </w:r>
    </w:p>
    <w:tbl>
      <w:tblPr>
        <w:tblStyle w:val="afff5"/>
        <w:tblW w:w="851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60"/>
        <w:gridCol w:w="1260"/>
        <w:gridCol w:w="1065"/>
        <w:gridCol w:w="4832"/>
      </w:tblGrid>
      <w:tr w:rsidR="00341C9E" w:rsidRPr="009849AB" w14:paraId="398EC1DD" w14:textId="77777777">
        <w:trPr>
          <w:trHeight w:val="800"/>
        </w:trPr>
        <w:tc>
          <w:tcPr>
            <w:tcW w:w="1360" w:type="dxa"/>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tcPr>
          <w:p w14:paraId="6AEC4991" w14:textId="77777777" w:rsidR="00341C9E" w:rsidRPr="009849AB" w:rsidRDefault="00760C65" w:rsidP="00C660E1">
            <w:pPr>
              <w:spacing w:after="0" w:line="276" w:lineRule="auto"/>
              <w:jc w:val="center"/>
              <w:rPr>
                <w:rFonts w:ascii="Arial" w:eastAsia="Arial" w:hAnsi="Arial" w:cs="Arial"/>
                <w:b/>
                <w:color w:val="FFFFFF"/>
                <w:sz w:val="16"/>
                <w:szCs w:val="16"/>
                <w:u w:val="single"/>
              </w:rPr>
            </w:pPr>
            <w:r w:rsidRPr="009849AB">
              <w:rPr>
                <w:rFonts w:ascii="Arial" w:eastAsia="Arial" w:hAnsi="Arial" w:cs="Arial"/>
                <w:b/>
                <w:color w:val="FFFFFF"/>
                <w:sz w:val="16"/>
                <w:szCs w:val="16"/>
                <w:u w:val="single"/>
              </w:rPr>
              <w:t>PROXY DE NSE</w:t>
            </w:r>
          </w:p>
        </w:tc>
        <w:tc>
          <w:tcPr>
            <w:tcW w:w="1260" w:type="dxa"/>
            <w:tcBorders>
              <w:top w:val="single" w:sz="8" w:space="0" w:color="000000"/>
              <w:left w:val="nil"/>
              <w:bottom w:val="single" w:sz="8" w:space="0" w:color="000000"/>
              <w:right w:val="single" w:sz="8" w:space="0" w:color="000000"/>
            </w:tcBorders>
            <w:shd w:val="clear" w:color="auto" w:fill="002060"/>
            <w:tcMar>
              <w:top w:w="100" w:type="dxa"/>
              <w:left w:w="100" w:type="dxa"/>
              <w:bottom w:w="100" w:type="dxa"/>
              <w:right w:w="100" w:type="dxa"/>
            </w:tcMar>
          </w:tcPr>
          <w:p w14:paraId="05CF2429" w14:textId="77777777" w:rsidR="00341C9E" w:rsidRPr="009849AB" w:rsidRDefault="00760C65" w:rsidP="00C660E1">
            <w:pPr>
              <w:spacing w:after="0" w:line="276" w:lineRule="auto"/>
              <w:jc w:val="center"/>
              <w:rPr>
                <w:rFonts w:ascii="Arial" w:eastAsia="Arial" w:hAnsi="Arial" w:cs="Arial"/>
                <w:b/>
                <w:color w:val="FFFFFF"/>
                <w:sz w:val="16"/>
                <w:szCs w:val="16"/>
                <w:u w:val="single"/>
              </w:rPr>
            </w:pPr>
            <w:r w:rsidRPr="009849AB">
              <w:rPr>
                <w:rFonts w:ascii="Arial" w:eastAsia="Arial" w:hAnsi="Arial" w:cs="Arial"/>
                <w:b/>
                <w:color w:val="FFFFFF"/>
                <w:sz w:val="16"/>
                <w:szCs w:val="16"/>
                <w:u w:val="single"/>
              </w:rPr>
              <w:t>SECTOR DADO POR CATASTROS</w:t>
            </w:r>
          </w:p>
        </w:tc>
        <w:tc>
          <w:tcPr>
            <w:tcW w:w="1065" w:type="dxa"/>
            <w:tcBorders>
              <w:top w:val="single" w:sz="8" w:space="0" w:color="000000"/>
              <w:left w:val="nil"/>
              <w:bottom w:val="single" w:sz="8" w:space="0" w:color="000000"/>
              <w:right w:val="single" w:sz="8" w:space="0" w:color="000000"/>
            </w:tcBorders>
            <w:shd w:val="clear" w:color="auto" w:fill="002060"/>
            <w:tcMar>
              <w:top w:w="100" w:type="dxa"/>
              <w:left w:w="100" w:type="dxa"/>
              <w:bottom w:w="100" w:type="dxa"/>
              <w:right w:w="100" w:type="dxa"/>
            </w:tcMar>
          </w:tcPr>
          <w:p w14:paraId="76AADC55" w14:textId="7E638083" w:rsidR="00341C9E" w:rsidRPr="009849AB" w:rsidRDefault="00451BCA" w:rsidP="00C660E1">
            <w:pPr>
              <w:spacing w:after="0" w:line="276" w:lineRule="auto"/>
              <w:jc w:val="center"/>
              <w:rPr>
                <w:rFonts w:ascii="Arial" w:eastAsia="Arial" w:hAnsi="Arial" w:cs="Arial"/>
                <w:b/>
                <w:color w:val="FFFFFF"/>
                <w:sz w:val="16"/>
                <w:szCs w:val="16"/>
                <w:u w:val="single"/>
              </w:rPr>
            </w:pPr>
            <w:r w:rsidRPr="009849AB">
              <w:rPr>
                <w:rFonts w:ascii="Arial" w:eastAsia="Arial" w:hAnsi="Arial" w:cs="Arial"/>
                <w:b/>
                <w:color w:val="FFFFFF"/>
                <w:sz w:val="16"/>
                <w:szCs w:val="16"/>
                <w:u w:val="single"/>
              </w:rPr>
              <w:t>TASA</w:t>
            </w:r>
            <w:r w:rsidR="00760C65" w:rsidRPr="009849AB">
              <w:rPr>
                <w:rFonts w:ascii="Arial" w:eastAsia="Arial" w:hAnsi="Arial" w:cs="Arial"/>
                <w:b/>
                <w:color w:val="FFFFFF"/>
                <w:sz w:val="16"/>
                <w:szCs w:val="16"/>
                <w:u w:val="single"/>
              </w:rPr>
              <w:t xml:space="preserve"> ANUAL</w:t>
            </w:r>
          </w:p>
        </w:tc>
        <w:tc>
          <w:tcPr>
            <w:tcW w:w="4832" w:type="dxa"/>
            <w:tcBorders>
              <w:top w:val="single" w:sz="8" w:space="0" w:color="000000"/>
              <w:left w:val="nil"/>
              <w:bottom w:val="single" w:sz="8" w:space="0" w:color="000000"/>
              <w:right w:val="single" w:sz="8" w:space="0" w:color="000000"/>
            </w:tcBorders>
            <w:shd w:val="clear" w:color="auto" w:fill="002060"/>
            <w:tcMar>
              <w:top w:w="100" w:type="dxa"/>
              <w:left w:w="100" w:type="dxa"/>
              <w:bottom w:w="100" w:type="dxa"/>
              <w:right w:w="100" w:type="dxa"/>
            </w:tcMar>
          </w:tcPr>
          <w:p w14:paraId="13D3A5DD" w14:textId="77777777" w:rsidR="00341C9E" w:rsidRPr="009849AB" w:rsidRDefault="00760C65" w:rsidP="00C660E1">
            <w:pPr>
              <w:spacing w:after="0" w:line="276" w:lineRule="auto"/>
              <w:jc w:val="center"/>
              <w:rPr>
                <w:rFonts w:ascii="Arial" w:eastAsia="Arial" w:hAnsi="Arial" w:cs="Arial"/>
                <w:b/>
                <w:color w:val="FFFFFF"/>
                <w:sz w:val="16"/>
                <w:szCs w:val="16"/>
                <w:u w:val="single"/>
              </w:rPr>
            </w:pPr>
            <w:r w:rsidRPr="009849AB">
              <w:rPr>
                <w:rFonts w:ascii="Arial" w:eastAsia="Arial" w:hAnsi="Arial" w:cs="Arial"/>
                <w:b/>
                <w:color w:val="FFFFFF"/>
                <w:sz w:val="16"/>
                <w:szCs w:val="16"/>
                <w:u w:val="single"/>
              </w:rPr>
              <w:t>CARACTERIZACIÓN DEL SECTOR</w:t>
            </w:r>
          </w:p>
        </w:tc>
      </w:tr>
      <w:tr w:rsidR="00341C9E" w:rsidRPr="009849AB" w14:paraId="7C4C54A7" w14:textId="77777777">
        <w:trPr>
          <w:trHeight w:val="605"/>
        </w:trPr>
        <w:tc>
          <w:tcPr>
            <w:tcW w:w="1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B00611"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ALTO - ALTO</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5FE5784A"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S1</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01449EFB"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$27</w:t>
            </w:r>
          </w:p>
        </w:tc>
        <w:tc>
          <w:tcPr>
            <w:tcW w:w="4832" w:type="dxa"/>
            <w:tcBorders>
              <w:top w:val="nil"/>
              <w:left w:val="nil"/>
              <w:bottom w:val="single" w:sz="8" w:space="0" w:color="000000"/>
              <w:right w:val="single" w:sz="8" w:space="0" w:color="000000"/>
            </w:tcBorders>
            <w:tcMar>
              <w:top w:w="100" w:type="dxa"/>
              <w:left w:w="100" w:type="dxa"/>
              <w:bottom w:w="100" w:type="dxa"/>
              <w:right w:w="100" w:type="dxa"/>
            </w:tcMar>
          </w:tcPr>
          <w:p w14:paraId="4093AC78" w14:textId="77777777" w:rsidR="00341C9E" w:rsidRPr="009849AB" w:rsidRDefault="00760C65" w:rsidP="00C660E1">
            <w:pPr>
              <w:spacing w:after="0" w:line="276" w:lineRule="auto"/>
              <w:jc w:val="both"/>
              <w:rPr>
                <w:rFonts w:ascii="Arial" w:eastAsia="Arial" w:hAnsi="Arial" w:cs="Arial"/>
                <w:b/>
                <w:sz w:val="16"/>
                <w:szCs w:val="16"/>
                <w:u w:val="single"/>
              </w:rPr>
            </w:pPr>
            <w:r w:rsidRPr="009849AB">
              <w:rPr>
                <w:rFonts w:ascii="Arial" w:eastAsia="Arial" w:hAnsi="Arial" w:cs="Arial"/>
                <w:b/>
                <w:sz w:val="16"/>
                <w:szCs w:val="16"/>
                <w:u w:val="single"/>
              </w:rPr>
              <w:t>ACABADOS DE LUJO, VÍAS, AGUA, ALCANTARILLADO, ENERGÍA ELÉCTRICA</w:t>
            </w:r>
          </w:p>
        </w:tc>
      </w:tr>
      <w:tr w:rsidR="00341C9E" w:rsidRPr="009849AB" w14:paraId="2A29719B" w14:textId="77777777">
        <w:trPr>
          <w:trHeight w:val="605"/>
        </w:trPr>
        <w:tc>
          <w:tcPr>
            <w:tcW w:w="136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75886E7"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ALTO - MEDIO</w:t>
            </w:r>
          </w:p>
        </w:tc>
        <w:tc>
          <w:tcPr>
            <w:tcW w:w="126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A3C05B0"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S2</w:t>
            </w:r>
          </w:p>
        </w:tc>
        <w:tc>
          <w:tcPr>
            <w:tcW w:w="10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BB30C80"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$23</w:t>
            </w:r>
          </w:p>
        </w:tc>
        <w:tc>
          <w:tcPr>
            <w:tcW w:w="4832"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EF362FE" w14:textId="77777777" w:rsidR="00341C9E" w:rsidRPr="009849AB" w:rsidRDefault="00760C65" w:rsidP="00C660E1">
            <w:pPr>
              <w:spacing w:after="0" w:line="276" w:lineRule="auto"/>
              <w:jc w:val="both"/>
              <w:rPr>
                <w:rFonts w:ascii="Arial" w:eastAsia="Arial" w:hAnsi="Arial" w:cs="Arial"/>
                <w:b/>
                <w:sz w:val="16"/>
                <w:szCs w:val="16"/>
                <w:u w:val="single"/>
              </w:rPr>
            </w:pPr>
            <w:r w:rsidRPr="009849AB">
              <w:rPr>
                <w:rFonts w:ascii="Arial" w:eastAsia="Arial" w:hAnsi="Arial" w:cs="Arial"/>
                <w:b/>
                <w:sz w:val="16"/>
                <w:szCs w:val="16"/>
                <w:u w:val="single"/>
              </w:rPr>
              <w:t>ACABADOS DE LUJO, VÍAS, AGUA, ALCANTARILLADO, ENERGÍA ELÉCTRICA</w:t>
            </w:r>
          </w:p>
        </w:tc>
      </w:tr>
      <w:tr w:rsidR="00341C9E" w:rsidRPr="009849AB" w14:paraId="30DC01F6" w14:textId="77777777">
        <w:trPr>
          <w:trHeight w:val="605"/>
        </w:trPr>
        <w:tc>
          <w:tcPr>
            <w:tcW w:w="1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F81E27"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ALTO - BAJO</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53A985A6"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S3</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29791616"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$19</w:t>
            </w:r>
          </w:p>
        </w:tc>
        <w:tc>
          <w:tcPr>
            <w:tcW w:w="4832" w:type="dxa"/>
            <w:tcBorders>
              <w:top w:val="nil"/>
              <w:left w:val="nil"/>
              <w:bottom w:val="single" w:sz="8" w:space="0" w:color="000000"/>
              <w:right w:val="single" w:sz="8" w:space="0" w:color="000000"/>
            </w:tcBorders>
            <w:tcMar>
              <w:top w:w="100" w:type="dxa"/>
              <w:left w:w="100" w:type="dxa"/>
              <w:bottom w:w="100" w:type="dxa"/>
              <w:right w:w="100" w:type="dxa"/>
            </w:tcMar>
          </w:tcPr>
          <w:p w14:paraId="2551093C" w14:textId="77777777" w:rsidR="00341C9E" w:rsidRPr="009849AB" w:rsidRDefault="00760C65" w:rsidP="00C660E1">
            <w:pPr>
              <w:spacing w:after="0" w:line="276" w:lineRule="auto"/>
              <w:jc w:val="both"/>
              <w:rPr>
                <w:rFonts w:ascii="Arial" w:eastAsia="Arial" w:hAnsi="Arial" w:cs="Arial"/>
                <w:b/>
                <w:sz w:val="16"/>
                <w:szCs w:val="16"/>
                <w:u w:val="single"/>
              </w:rPr>
            </w:pPr>
            <w:r w:rsidRPr="009849AB">
              <w:rPr>
                <w:rFonts w:ascii="Arial" w:eastAsia="Arial" w:hAnsi="Arial" w:cs="Arial"/>
                <w:b/>
                <w:sz w:val="16"/>
                <w:szCs w:val="16"/>
                <w:u w:val="single"/>
              </w:rPr>
              <w:t>ACABADOS MUY BUENOS, VÍAS, AGUA, ALCANTARILLADO, ENERGÍA ELÉCTRICA</w:t>
            </w:r>
          </w:p>
        </w:tc>
      </w:tr>
      <w:tr w:rsidR="00341C9E" w:rsidRPr="009849AB" w14:paraId="6D319982" w14:textId="77777777">
        <w:trPr>
          <w:trHeight w:val="605"/>
        </w:trPr>
        <w:tc>
          <w:tcPr>
            <w:tcW w:w="136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34418EE"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MEDIO - ALTO</w:t>
            </w:r>
          </w:p>
        </w:tc>
        <w:tc>
          <w:tcPr>
            <w:tcW w:w="126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67D1EC7"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S4</w:t>
            </w:r>
          </w:p>
        </w:tc>
        <w:tc>
          <w:tcPr>
            <w:tcW w:w="10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129A99"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$15</w:t>
            </w:r>
          </w:p>
        </w:tc>
        <w:tc>
          <w:tcPr>
            <w:tcW w:w="4832"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9C1DC6B" w14:textId="77777777" w:rsidR="00341C9E" w:rsidRPr="009849AB" w:rsidRDefault="00760C65" w:rsidP="00C660E1">
            <w:pPr>
              <w:spacing w:after="0" w:line="276" w:lineRule="auto"/>
              <w:jc w:val="both"/>
              <w:rPr>
                <w:rFonts w:ascii="Arial" w:eastAsia="Arial" w:hAnsi="Arial" w:cs="Arial"/>
                <w:b/>
                <w:sz w:val="16"/>
                <w:szCs w:val="16"/>
                <w:u w:val="single"/>
              </w:rPr>
            </w:pPr>
            <w:r w:rsidRPr="009849AB">
              <w:rPr>
                <w:rFonts w:ascii="Arial" w:eastAsia="Arial" w:hAnsi="Arial" w:cs="Arial"/>
                <w:b/>
                <w:sz w:val="16"/>
                <w:szCs w:val="16"/>
                <w:u w:val="single"/>
              </w:rPr>
              <w:t>ACABADOS BUENOS , VÍAS, AGUA, ALCANTARILLADO, ENERGÍA ELÉCTRICA</w:t>
            </w:r>
          </w:p>
        </w:tc>
      </w:tr>
      <w:tr w:rsidR="00341C9E" w:rsidRPr="009849AB" w14:paraId="725C6BEC" w14:textId="77777777">
        <w:trPr>
          <w:trHeight w:val="605"/>
        </w:trPr>
        <w:tc>
          <w:tcPr>
            <w:tcW w:w="1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DB099D"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MEDIO - MEDIO</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80C8967"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S5</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24000531"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$12</w:t>
            </w:r>
          </w:p>
        </w:tc>
        <w:tc>
          <w:tcPr>
            <w:tcW w:w="4832" w:type="dxa"/>
            <w:tcBorders>
              <w:top w:val="nil"/>
              <w:left w:val="nil"/>
              <w:bottom w:val="single" w:sz="8" w:space="0" w:color="000000"/>
              <w:right w:val="single" w:sz="8" w:space="0" w:color="000000"/>
            </w:tcBorders>
            <w:tcMar>
              <w:top w:w="100" w:type="dxa"/>
              <w:left w:w="100" w:type="dxa"/>
              <w:bottom w:w="100" w:type="dxa"/>
              <w:right w:w="100" w:type="dxa"/>
            </w:tcMar>
          </w:tcPr>
          <w:p w14:paraId="2FD3FB4C" w14:textId="77777777" w:rsidR="00341C9E" w:rsidRPr="009849AB" w:rsidRDefault="00760C65" w:rsidP="00C660E1">
            <w:pPr>
              <w:spacing w:after="0" w:line="276" w:lineRule="auto"/>
              <w:jc w:val="both"/>
              <w:rPr>
                <w:rFonts w:ascii="Arial" w:eastAsia="Arial" w:hAnsi="Arial" w:cs="Arial"/>
                <w:b/>
                <w:sz w:val="16"/>
                <w:szCs w:val="16"/>
                <w:u w:val="single"/>
              </w:rPr>
            </w:pPr>
            <w:r w:rsidRPr="009849AB">
              <w:rPr>
                <w:rFonts w:ascii="Arial" w:eastAsia="Arial" w:hAnsi="Arial" w:cs="Arial"/>
                <w:b/>
                <w:sz w:val="16"/>
                <w:szCs w:val="16"/>
                <w:u w:val="single"/>
              </w:rPr>
              <w:t>ACABADOS BUENOS, VÍAS, AGUA, ALCANTARILLADO, ENERGÍA ELÉCTRICA</w:t>
            </w:r>
          </w:p>
        </w:tc>
      </w:tr>
      <w:tr w:rsidR="00341C9E" w:rsidRPr="009849AB" w14:paraId="0E3B56F2" w14:textId="77777777">
        <w:trPr>
          <w:trHeight w:val="605"/>
        </w:trPr>
        <w:tc>
          <w:tcPr>
            <w:tcW w:w="136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EA52A5A"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MEDIO - BAJO</w:t>
            </w:r>
          </w:p>
        </w:tc>
        <w:tc>
          <w:tcPr>
            <w:tcW w:w="126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156B503"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S6</w:t>
            </w:r>
          </w:p>
        </w:tc>
        <w:tc>
          <w:tcPr>
            <w:tcW w:w="10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66AE04B"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$9</w:t>
            </w:r>
          </w:p>
        </w:tc>
        <w:tc>
          <w:tcPr>
            <w:tcW w:w="4832"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2BA3E4" w14:textId="77777777" w:rsidR="00341C9E" w:rsidRPr="009849AB" w:rsidRDefault="00760C65" w:rsidP="00C660E1">
            <w:pPr>
              <w:spacing w:after="0" w:line="276" w:lineRule="auto"/>
              <w:jc w:val="both"/>
              <w:rPr>
                <w:rFonts w:ascii="Arial" w:eastAsia="Arial" w:hAnsi="Arial" w:cs="Arial"/>
                <w:b/>
                <w:sz w:val="16"/>
                <w:szCs w:val="16"/>
                <w:u w:val="single"/>
              </w:rPr>
            </w:pPr>
            <w:r w:rsidRPr="009849AB">
              <w:rPr>
                <w:rFonts w:ascii="Arial" w:eastAsia="Arial" w:hAnsi="Arial" w:cs="Arial"/>
                <w:b/>
                <w:sz w:val="16"/>
                <w:szCs w:val="16"/>
                <w:u w:val="single"/>
              </w:rPr>
              <w:t>ACABADOS ECONÓMICOS, VÍAS, AGUA, ALCANTARILLADO, ENERGÍA ELÉCTRICA</w:t>
            </w:r>
          </w:p>
        </w:tc>
      </w:tr>
      <w:tr w:rsidR="00341C9E" w:rsidRPr="009849AB" w14:paraId="7B45BFA0" w14:textId="77777777">
        <w:trPr>
          <w:trHeight w:val="605"/>
        </w:trPr>
        <w:tc>
          <w:tcPr>
            <w:tcW w:w="1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8331CC"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BAJO - ALTO</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51A1535"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S7</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34AC71A3"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$6</w:t>
            </w:r>
          </w:p>
        </w:tc>
        <w:tc>
          <w:tcPr>
            <w:tcW w:w="4832" w:type="dxa"/>
            <w:tcBorders>
              <w:top w:val="nil"/>
              <w:left w:val="nil"/>
              <w:bottom w:val="single" w:sz="8" w:space="0" w:color="000000"/>
              <w:right w:val="single" w:sz="8" w:space="0" w:color="000000"/>
            </w:tcBorders>
            <w:tcMar>
              <w:top w:w="100" w:type="dxa"/>
              <w:left w:w="100" w:type="dxa"/>
              <w:bottom w:w="100" w:type="dxa"/>
              <w:right w:w="100" w:type="dxa"/>
            </w:tcMar>
          </w:tcPr>
          <w:p w14:paraId="56905CD2" w14:textId="77777777" w:rsidR="00341C9E" w:rsidRPr="009849AB" w:rsidRDefault="00760C65" w:rsidP="00C660E1">
            <w:pPr>
              <w:spacing w:after="0" w:line="276" w:lineRule="auto"/>
              <w:jc w:val="both"/>
              <w:rPr>
                <w:rFonts w:ascii="Arial" w:eastAsia="Arial" w:hAnsi="Arial" w:cs="Arial"/>
                <w:b/>
                <w:sz w:val="16"/>
                <w:szCs w:val="16"/>
                <w:u w:val="single"/>
              </w:rPr>
            </w:pPr>
            <w:r w:rsidRPr="009849AB">
              <w:rPr>
                <w:rFonts w:ascii="Arial" w:eastAsia="Arial" w:hAnsi="Arial" w:cs="Arial"/>
                <w:b/>
                <w:sz w:val="16"/>
                <w:szCs w:val="16"/>
                <w:u w:val="single"/>
              </w:rPr>
              <w:t>ACABADOS ECONÓMICOS, AGUA, ESCASO ALCANTARILLADO, ENERGÍA ELÉCTRICA</w:t>
            </w:r>
          </w:p>
        </w:tc>
      </w:tr>
      <w:tr w:rsidR="00341C9E" w:rsidRPr="009849AB" w14:paraId="7E911016" w14:textId="77777777">
        <w:trPr>
          <w:trHeight w:val="605"/>
        </w:trPr>
        <w:tc>
          <w:tcPr>
            <w:tcW w:w="136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DD54713"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BAJO - MEDIO</w:t>
            </w:r>
          </w:p>
        </w:tc>
        <w:tc>
          <w:tcPr>
            <w:tcW w:w="126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A1477BF"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S8</w:t>
            </w:r>
          </w:p>
        </w:tc>
        <w:tc>
          <w:tcPr>
            <w:tcW w:w="10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E42BE0B"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$4</w:t>
            </w:r>
          </w:p>
        </w:tc>
        <w:tc>
          <w:tcPr>
            <w:tcW w:w="4832"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8175CD" w14:textId="77777777" w:rsidR="00341C9E" w:rsidRPr="009849AB" w:rsidRDefault="00760C65" w:rsidP="00C660E1">
            <w:pPr>
              <w:spacing w:after="0" w:line="276" w:lineRule="auto"/>
              <w:jc w:val="both"/>
              <w:rPr>
                <w:rFonts w:ascii="Arial" w:eastAsia="Arial" w:hAnsi="Arial" w:cs="Arial"/>
                <w:b/>
                <w:sz w:val="16"/>
                <w:szCs w:val="16"/>
                <w:u w:val="single"/>
              </w:rPr>
            </w:pPr>
            <w:r w:rsidRPr="009849AB">
              <w:rPr>
                <w:rFonts w:ascii="Arial" w:eastAsia="Arial" w:hAnsi="Arial" w:cs="Arial"/>
                <w:b/>
                <w:sz w:val="16"/>
                <w:szCs w:val="16"/>
                <w:u w:val="single"/>
              </w:rPr>
              <w:t>ACABADOS ECONÓMICOS, VÍAS LASTRADAS, AGUA, ESCASO ALCANTARILLADO, ENERGÍA ELÉCTRICA</w:t>
            </w:r>
          </w:p>
        </w:tc>
      </w:tr>
      <w:tr w:rsidR="00341C9E" w:rsidRPr="009849AB" w14:paraId="5E58A94B" w14:textId="77777777">
        <w:trPr>
          <w:trHeight w:val="605"/>
        </w:trPr>
        <w:tc>
          <w:tcPr>
            <w:tcW w:w="1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231B4C"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BAJO - BAJO</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3DAFD76"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S9</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433A8351" w14:textId="77777777" w:rsidR="00341C9E" w:rsidRPr="009849AB" w:rsidRDefault="00760C65" w:rsidP="00C660E1">
            <w:pPr>
              <w:spacing w:after="0" w:line="276" w:lineRule="auto"/>
              <w:jc w:val="center"/>
              <w:rPr>
                <w:rFonts w:ascii="Arial" w:eastAsia="Arial" w:hAnsi="Arial" w:cs="Arial"/>
                <w:b/>
                <w:sz w:val="16"/>
                <w:szCs w:val="16"/>
                <w:u w:val="single"/>
              </w:rPr>
            </w:pPr>
            <w:r w:rsidRPr="009849AB">
              <w:rPr>
                <w:rFonts w:ascii="Arial" w:eastAsia="Arial" w:hAnsi="Arial" w:cs="Arial"/>
                <w:b/>
                <w:sz w:val="16"/>
                <w:szCs w:val="16"/>
                <w:u w:val="single"/>
              </w:rPr>
              <w:t>$2</w:t>
            </w:r>
          </w:p>
        </w:tc>
        <w:tc>
          <w:tcPr>
            <w:tcW w:w="4832" w:type="dxa"/>
            <w:tcBorders>
              <w:top w:val="nil"/>
              <w:left w:val="nil"/>
              <w:bottom w:val="single" w:sz="8" w:space="0" w:color="000000"/>
              <w:right w:val="single" w:sz="8" w:space="0" w:color="000000"/>
            </w:tcBorders>
            <w:tcMar>
              <w:top w:w="100" w:type="dxa"/>
              <w:left w:w="100" w:type="dxa"/>
              <w:bottom w:w="100" w:type="dxa"/>
              <w:right w:w="100" w:type="dxa"/>
            </w:tcMar>
          </w:tcPr>
          <w:p w14:paraId="36CC8009" w14:textId="77777777" w:rsidR="00341C9E" w:rsidRPr="009849AB" w:rsidRDefault="00760C65" w:rsidP="00C660E1">
            <w:pPr>
              <w:spacing w:after="0" w:line="276" w:lineRule="auto"/>
              <w:jc w:val="both"/>
              <w:rPr>
                <w:rFonts w:ascii="Arial" w:eastAsia="Arial" w:hAnsi="Arial" w:cs="Arial"/>
                <w:b/>
                <w:sz w:val="16"/>
                <w:szCs w:val="16"/>
                <w:u w:val="single"/>
              </w:rPr>
            </w:pPr>
            <w:r w:rsidRPr="009849AB">
              <w:rPr>
                <w:rFonts w:ascii="Arial" w:eastAsia="Arial" w:hAnsi="Arial" w:cs="Arial"/>
                <w:b/>
                <w:sz w:val="16"/>
                <w:szCs w:val="16"/>
                <w:u w:val="single"/>
              </w:rPr>
              <w:t>ACABADOS ECONÓMICOS, VÍAS LASTRADAS, AGUA EN TANQUERO, ESCASO ALCANTARILLADO, ENERGÍA ELÉCTRICA</w:t>
            </w:r>
          </w:p>
        </w:tc>
      </w:tr>
    </w:tbl>
    <w:p w14:paraId="0A637BCA" w14:textId="77777777" w:rsidR="00341C9E" w:rsidRPr="009849AB" w:rsidRDefault="00341C9E" w:rsidP="00C660E1">
      <w:pPr>
        <w:spacing w:line="276" w:lineRule="auto"/>
        <w:jc w:val="both"/>
        <w:rPr>
          <w:rFonts w:ascii="Arial" w:eastAsia="Arial" w:hAnsi="Arial" w:cs="Arial"/>
          <w:b/>
          <w:sz w:val="24"/>
          <w:szCs w:val="24"/>
          <w:u w:val="single"/>
        </w:rPr>
      </w:pPr>
    </w:p>
    <w:p w14:paraId="31DA544C" w14:textId="514A6A51" w:rsidR="009849AB" w:rsidRPr="009849AB" w:rsidRDefault="009849AB" w:rsidP="00C660E1">
      <w:pPr>
        <w:pStyle w:val="Ttulo3"/>
        <w:spacing w:line="276" w:lineRule="auto"/>
        <w:rPr>
          <w:rFonts w:ascii="Arial" w:hAnsi="Arial" w:cs="Arial"/>
          <w:b/>
          <w:bCs/>
          <w:color w:val="auto"/>
          <w:sz w:val="22"/>
          <w:szCs w:val="22"/>
        </w:rPr>
      </w:pPr>
      <w:bookmarkStart w:id="0" w:name="_Toc89073583"/>
      <w:r w:rsidRPr="009849AB">
        <w:rPr>
          <w:rFonts w:ascii="Arial" w:hAnsi="Arial" w:cs="Arial"/>
          <w:b/>
          <w:bCs/>
          <w:color w:val="auto"/>
          <w:sz w:val="22"/>
          <w:szCs w:val="22"/>
        </w:rPr>
        <w:lastRenderedPageBreak/>
        <w:t>CÁLCULO DE LA TASA DE SERVICIOS DE SEGURIDAD CIUDADANA</w:t>
      </w:r>
      <w:bookmarkEnd w:id="0"/>
    </w:p>
    <w:p w14:paraId="2EDD8376" w14:textId="77777777" w:rsidR="009849AB" w:rsidRPr="009849AB" w:rsidRDefault="009849AB" w:rsidP="00C660E1">
      <w:pPr>
        <w:spacing w:line="276" w:lineRule="auto"/>
        <w:rPr>
          <w:rFonts w:ascii="Arial" w:hAnsi="Arial" w:cs="Arial"/>
        </w:rPr>
      </w:pPr>
    </w:p>
    <w:p w14:paraId="1FE0AF52" w14:textId="77777777" w:rsidR="009849AB" w:rsidRPr="000D05DD" w:rsidRDefault="009849AB" w:rsidP="00C660E1">
      <w:pPr>
        <w:spacing w:after="0" w:line="276" w:lineRule="auto"/>
        <w:jc w:val="both"/>
        <w:rPr>
          <w:rFonts w:ascii="Arial" w:hAnsi="Arial" w:cs="Arial"/>
          <w:sz w:val="24"/>
          <w:szCs w:val="24"/>
        </w:rPr>
      </w:pPr>
      <w:r w:rsidRPr="000D05DD">
        <w:rPr>
          <w:rFonts w:ascii="Arial" w:eastAsia="Times New Roman" w:hAnsi="Arial" w:cs="Arial"/>
          <w:sz w:val="24"/>
          <w:szCs w:val="24"/>
          <w:lang w:val="es-MX"/>
        </w:rPr>
        <w:t xml:space="preserve">La tasa de seguridad ciudadana se calcula de acuerdo a la ubicación física de la propiedad, dentro de los nueve sectores económicos en los que se divide el Distrito Metropolitano de Quito, y, en base al destino del bien: vivienda, </w:t>
      </w:r>
      <w:r w:rsidRPr="000D05DD">
        <w:rPr>
          <w:rFonts w:ascii="Arial" w:hAnsi="Arial" w:cs="Arial"/>
          <w:sz w:val="24"/>
          <w:szCs w:val="24"/>
          <w:lang w:val="es-MX"/>
        </w:rPr>
        <w:t xml:space="preserve">es importante mencionar que </w:t>
      </w:r>
      <w:r w:rsidRPr="000D05DD">
        <w:rPr>
          <w:rFonts w:ascii="Arial" w:hAnsi="Arial" w:cs="Arial"/>
          <w:sz w:val="24"/>
          <w:szCs w:val="24"/>
        </w:rPr>
        <w:t>esta no es la variable determinante para la tasa de seguridad, entonces, es necesario realizar una explicación teórica de las variables que determinan esta tasa.</w:t>
      </w:r>
    </w:p>
    <w:p w14:paraId="0FD5D725" w14:textId="77777777" w:rsidR="009849AB" w:rsidRPr="009849AB" w:rsidRDefault="009849AB" w:rsidP="00C660E1">
      <w:pPr>
        <w:spacing w:line="276" w:lineRule="auto"/>
        <w:jc w:val="both"/>
        <w:rPr>
          <w:rFonts w:ascii="Arial" w:hAnsi="Arial" w:cs="Arial"/>
          <w:b/>
          <w:lang w:val="es-EC"/>
        </w:rPr>
      </w:pPr>
    </w:p>
    <w:p w14:paraId="238324CC" w14:textId="03091E23" w:rsidR="009849AB" w:rsidRPr="000D05DD" w:rsidRDefault="009849AB" w:rsidP="00C660E1">
      <w:pPr>
        <w:spacing w:line="276" w:lineRule="auto"/>
        <w:jc w:val="both"/>
        <w:rPr>
          <w:rFonts w:ascii="Arial" w:hAnsi="Arial" w:cs="Arial"/>
          <w:b/>
          <w:sz w:val="24"/>
          <w:szCs w:val="24"/>
          <w:lang w:val="es-EC"/>
        </w:rPr>
      </w:pPr>
      <w:r w:rsidRPr="000D05DD">
        <w:rPr>
          <w:rFonts w:ascii="Arial" w:hAnsi="Arial" w:cs="Arial"/>
          <w:b/>
          <w:sz w:val="24"/>
          <w:szCs w:val="24"/>
          <w:lang w:val="es-EC"/>
        </w:rPr>
        <w:t>PRIMERA FASE: ANÁLISIS DE VARIABLES</w:t>
      </w:r>
    </w:p>
    <w:p w14:paraId="792774C8" w14:textId="77777777" w:rsidR="009849AB" w:rsidRPr="000D05DD" w:rsidRDefault="009849AB" w:rsidP="00C660E1">
      <w:pPr>
        <w:spacing w:line="276" w:lineRule="auto"/>
        <w:jc w:val="both"/>
        <w:rPr>
          <w:rFonts w:ascii="Arial" w:hAnsi="Arial" w:cs="Arial"/>
          <w:sz w:val="24"/>
          <w:szCs w:val="24"/>
          <w:lang w:val="es-EC"/>
        </w:rPr>
      </w:pPr>
      <w:r w:rsidRPr="000D05DD">
        <w:rPr>
          <w:rFonts w:ascii="Arial" w:hAnsi="Arial" w:cs="Arial"/>
          <w:sz w:val="24"/>
          <w:szCs w:val="24"/>
          <w:lang w:val="es-EC"/>
        </w:rPr>
        <w:t>Para establecer la fórmula matemática de cálculo de la tasa de seguridad se establece varios supuestos. El año 2019 se estable como año base de todos los datos e indicadores utilizados, ya que es el último año estable. El VAB se considera como una variable proxy del PIB ya que se la puede considerar como medida del ingreso o de la actividad económica agregada (Ryan &amp; Plurde, 2009).</w:t>
      </w:r>
    </w:p>
    <w:p w14:paraId="79B81237" w14:textId="77777777" w:rsidR="009849AB" w:rsidRPr="000D05DD" w:rsidRDefault="009849AB" w:rsidP="00C660E1">
      <w:pPr>
        <w:spacing w:line="276" w:lineRule="auto"/>
        <w:jc w:val="both"/>
        <w:rPr>
          <w:rFonts w:ascii="Arial" w:hAnsi="Arial" w:cs="Arial"/>
          <w:sz w:val="24"/>
          <w:szCs w:val="24"/>
          <w:lang w:val="es-EC"/>
        </w:rPr>
      </w:pPr>
      <w:r w:rsidRPr="000D05DD">
        <w:rPr>
          <w:rFonts w:ascii="Arial" w:hAnsi="Arial" w:cs="Arial"/>
          <w:sz w:val="24"/>
          <w:szCs w:val="24"/>
          <w:lang w:val="es-EC"/>
        </w:rPr>
        <w:t xml:space="preserve">El VAB per cápita se utiliza para medir el nivel de riqueza de una persona en el Distrito Metropolitano de Quito; tomando en cuenta que, cierto nivel de riqueza es necesario para adquirir un predio y en consecuencia ser contribuyente de la Tasa de Seguridad, esto debido a que el pago de la misma está atado impuesto predial como mecanismo de cobro. </w:t>
      </w:r>
    </w:p>
    <w:p w14:paraId="259FC809" w14:textId="77777777" w:rsidR="009849AB" w:rsidRPr="000D05DD" w:rsidRDefault="009849AB" w:rsidP="00C660E1">
      <w:pPr>
        <w:spacing w:line="276" w:lineRule="auto"/>
        <w:jc w:val="both"/>
        <w:rPr>
          <w:rFonts w:ascii="Arial" w:hAnsi="Arial" w:cs="Arial"/>
          <w:sz w:val="24"/>
          <w:szCs w:val="24"/>
          <w:lang w:val="es-EC"/>
        </w:rPr>
      </w:pPr>
      <w:r w:rsidRPr="000D05DD">
        <w:rPr>
          <w:rFonts w:ascii="Arial" w:hAnsi="Arial" w:cs="Arial"/>
          <w:sz w:val="24"/>
          <w:szCs w:val="24"/>
          <w:lang w:val="es-EC"/>
        </w:rPr>
        <w:t>De igual forma, se considera el Índice de Victimización el cual refleja que 5 de cada 10 quiteños han sido víctimas de un delito; por lo tanto, un mayor índice supondría la necesidad de una mayor logística para mitigar la delincuencia y una mayor coordinación con las entidades des Sistema Integrado de Seguridad.</w:t>
      </w:r>
    </w:p>
    <w:p w14:paraId="7DC9C514" w14:textId="77777777" w:rsidR="009849AB" w:rsidRPr="000D05DD" w:rsidRDefault="009849AB" w:rsidP="00C660E1">
      <w:pPr>
        <w:spacing w:line="276" w:lineRule="auto"/>
        <w:jc w:val="both"/>
        <w:rPr>
          <w:rFonts w:ascii="Arial" w:hAnsi="Arial" w:cs="Arial"/>
          <w:sz w:val="24"/>
          <w:szCs w:val="24"/>
          <w:lang w:val="es-EC"/>
        </w:rPr>
      </w:pPr>
      <w:r w:rsidRPr="000D05DD">
        <w:rPr>
          <w:rFonts w:ascii="Arial" w:hAnsi="Arial" w:cs="Arial"/>
          <w:sz w:val="24"/>
          <w:szCs w:val="24"/>
          <w:lang w:val="es-EC"/>
        </w:rPr>
        <w:t>El Índice de Convivencia Ciudadana refleja las condiciones de empleo, la incidencia de la mortalidad, las tasas de criminalidad, la cantidad de espacio público en proporción al número de habitantes, la movilidad, el acceso en términos de distancia a parques públicos; así como, la percepción del crimen, la sensación de inseguridad, de hacinamiento, el sentido de pertenencia a la ciudad; la facilidad con que se puede acceder a actividades culturales o de ocio. (Páramo, 2019).</w:t>
      </w:r>
    </w:p>
    <w:p w14:paraId="409A78DE" w14:textId="77777777" w:rsidR="009849AB" w:rsidRPr="000D05DD" w:rsidRDefault="009849AB" w:rsidP="00C660E1">
      <w:pPr>
        <w:spacing w:line="276" w:lineRule="auto"/>
        <w:jc w:val="both"/>
        <w:rPr>
          <w:rFonts w:ascii="Arial" w:hAnsi="Arial" w:cs="Arial"/>
          <w:sz w:val="24"/>
          <w:szCs w:val="24"/>
          <w:lang w:val="es-EC"/>
        </w:rPr>
      </w:pPr>
      <w:r w:rsidRPr="000D05DD">
        <w:rPr>
          <w:rFonts w:ascii="Arial" w:hAnsi="Arial" w:cs="Arial"/>
          <w:sz w:val="24"/>
          <w:szCs w:val="24"/>
          <w:lang w:val="es-EC"/>
        </w:rPr>
        <w:t>El Índice de Participación Ciudadana que captura la intervención individual o colectiva en la toma de decisiones, planificación y gestión de los asuntos públicos, así como, en las instituciones del Estado y la sociedad, en un proceso permanente de construcción del poder ciudadano (CPCCS, 2021).</w:t>
      </w:r>
    </w:p>
    <w:p w14:paraId="011BA602" w14:textId="77777777" w:rsidR="009849AB" w:rsidRPr="000D05DD" w:rsidRDefault="009849AB" w:rsidP="00C660E1">
      <w:pPr>
        <w:spacing w:line="276" w:lineRule="auto"/>
        <w:rPr>
          <w:rFonts w:ascii="Arial" w:hAnsi="Arial" w:cs="Arial"/>
          <w:b/>
          <w:bCs/>
          <w:sz w:val="24"/>
          <w:szCs w:val="24"/>
          <w:lang w:val="es-EC"/>
        </w:rPr>
      </w:pPr>
      <w:r w:rsidRPr="000D05DD">
        <w:rPr>
          <w:rFonts w:ascii="Arial" w:hAnsi="Arial" w:cs="Arial"/>
          <w:b/>
          <w:bCs/>
          <w:sz w:val="24"/>
          <w:szCs w:val="24"/>
          <w:lang w:val="es-EC"/>
        </w:rPr>
        <w:t>Fórmula matemática</w:t>
      </w:r>
    </w:p>
    <w:p w14:paraId="1CBC4789" w14:textId="77777777" w:rsidR="009849AB" w:rsidRPr="009849AB" w:rsidRDefault="009849AB" w:rsidP="00C660E1">
      <w:pPr>
        <w:spacing w:line="276" w:lineRule="auto"/>
        <w:rPr>
          <w:rFonts w:ascii="Arial" w:eastAsiaTheme="minorEastAsia" w:hAnsi="Arial" w:cs="Arial"/>
          <w:sz w:val="20"/>
          <w:szCs w:val="20"/>
          <w:lang w:val="es-EC"/>
        </w:rPr>
      </w:pPr>
      <m:oMathPara>
        <m:oMath>
          <m:r>
            <w:rPr>
              <w:rFonts w:ascii="Cambria Math" w:hAnsi="Cambria Math" w:cs="Arial"/>
              <w:sz w:val="20"/>
              <w:szCs w:val="20"/>
              <w:lang w:val="es-EC"/>
            </w:rPr>
            <m:t xml:space="preserve">TS = </m:t>
          </m:r>
          <m:f>
            <m:fPr>
              <m:ctrlPr>
                <w:rPr>
                  <w:rFonts w:ascii="Cambria Math" w:hAnsi="Cambria Math" w:cs="Arial"/>
                  <w:i/>
                  <w:sz w:val="20"/>
                  <w:szCs w:val="20"/>
                  <w:lang w:val="es-EC"/>
                </w:rPr>
              </m:ctrlPr>
            </m:fPr>
            <m:num>
              <m:d>
                <m:dPr>
                  <m:ctrlPr>
                    <w:rPr>
                      <w:rFonts w:ascii="Cambria Math" w:hAnsi="Cambria Math" w:cs="Arial"/>
                      <w:i/>
                      <w:sz w:val="20"/>
                      <w:szCs w:val="20"/>
                      <w:lang w:val="es-EC"/>
                    </w:rPr>
                  </m:ctrlPr>
                </m:dPr>
                <m:e>
                  <m:f>
                    <m:fPr>
                      <m:ctrlPr>
                        <w:rPr>
                          <w:rFonts w:ascii="Cambria Math" w:hAnsi="Cambria Math" w:cs="Arial"/>
                          <w:i/>
                          <w:sz w:val="20"/>
                          <w:szCs w:val="20"/>
                          <w:lang w:val="es-EC"/>
                        </w:rPr>
                      </m:ctrlPr>
                    </m:fPr>
                    <m:num>
                      <m:sSub>
                        <m:sSubPr>
                          <m:ctrlPr>
                            <w:rPr>
                              <w:rFonts w:ascii="Cambria Math" w:hAnsi="Cambria Math" w:cs="Arial"/>
                              <w:i/>
                              <w:sz w:val="20"/>
                              <w:szCs w:val="20"/>
                              <w:lang w:val="es-EC"/>
                            </w:rPr>
                          </m:ctrlPr>
                        </m:sSubPr>
                        <m:e>
                          <m:r>
                            <w:rPr>
                              <w:rFonts w:ascii="Cambria Math" w:hAnsi="Cambria Math" w:cs="Arial"/>
                              <w:sz w:val="20"/>
                              <w:szCs w:val="20"/>
                              <w:lang w:val="es-EC"/>
                            </w:rPr>
                            <m:t>VAB</m:t>
                          </m:r>
                        </m:e>
                        <m:sub>
                          <m:r>
                            <w:rPr>
                              <w:rFonts w:ascii="Cambria Math" w:hAnsi="Cambria Math" w:cs="Arial"/>
                              <w:sz w:val="20"/>
                              <w:szCs w:val="20"/>
                              <w:lang w:val="es-EC"/>
                            </w:rPr>
                            <m:t>2019</m:t>
                          </m:r>
                        </m:sub>
                      </m:sSub>
                    </m:num>
                    <m:den>
                      <m:sSub>
                        <m:sSubPr>
                          <m:ctrlPr>
                            <w:rPr>
                              <w:rFonts w:ascii="Cambria Math" w:hAnsi="Cambria Math" w:cs="Arial"/>
                              <w:i/>
                              <w:sz w:val="20"/>
                              <w:szCs w:val="20"/>
                              <w:lang w:val="es-EC"/>
                            </w:rPr>
                          </m:ctrlPr>
                        </m:sSubPr>
                        <m:e>
                          <m:r>
                            <w:rPr>
                              <w:rFonts w:ascii="Cambria Math" w:hAnsi="Cambria Math" w:cs="Arial"/>
                              <w:sz w:val="20"/>
                              <w:szCs w:val="20"/>
                              <w:lang w:val="es-EC"/>
                            </w:rPr>
                            <m:t>POB</m:t>
                          </m:r>
                        </m:e>
                        <m:sub>
                          <m:r>
                            <w:rPr>
                              <w:rFonts w:ascii="Cambria Math" w:hAnsi="Cambria Math" w:cs="Arial"/>
                              <w:sz w:val="20"/>
                              <w:szCs w:val="20"/>
                              <w:lang w:val="es-EC"/>
                            </w:rPr>
                            <m:t>2019</m:t>
                          </m:r>
                        </m:sub>
                      </m:sSub>
                    </m:den>
                  </m:f>
                </m:e>
              </m:d>
              <m:r>
                <w:rPr>
                  <w:rFonts w:ascii="Cambria Math" w:hAnsi="Cambria Math" w:cs="Arial"/>
                  <w:sz w:val="20"/>
                  <w:szCs w:val="20"/>
                  <w:lang w:val="es-EC"/>
                </w:rPr>
                <m:t>*IV*ICC*PC*FEE</m:t>
              </m:r>
            </m:num>
            <m:den>
              <m:r>
                <w:rPr>
                  <w:rFonts w:ascii="Cambria Math" w:hAnsi="Cambria Math" w:cs="Arial"/>
                  <w:sz w:val="20"/>
                  <w:szCs w:val="20"/>
                  <w:lang w:val="es-EC"/>
                </w:rPr>
                <m:t>FCPE</m:t>
              </m:r>
            </m:den>
          </m:f>
        </m:oMath>
      </m:oMathPara>
    </w:p>
    <w:p w14:paraId="7E111E12" w14:textId="77777777" w:rsidR="009849AB" w:rsidRPr="00C660E1" w:rsidRDefault="009849AB" w:rsidP="00C660E1">
      <w:pPr>
        <w:spacing w:after="0" w:line="276" w:lineRule="auto"/>
        <w:rPr>
          <w:rFonts w:ascii="Arial" w:hAnsi="Arial" w:cs="Arial"/>
          <w:sz w:val="24"/>
          <w:szCs w:val="24"/>
          <w:lang w:val="es-EC"/>
        </w:rPr>
      </w:pPr>
      <w:r w:rsidRPr="00C660E1">
        <w:rPr>
          <w:rFonts w:ascii="Arial" w:hAnsi="Arial" w:cs="Arial"/>
          <w:sz w:val="24"/>
          <w:szCs w:val="24"/>
          <w:lang w:val="es-EC"/>
        </w:rPr>
        <w:lastRenderedPageBreak/>
        <w:t xml:space="preserve">Donde, </w:t>
      </w:r>
    </w:p>
    <w:p w14:paraId="71BB92EF" w14:textId="77777777" w:rsidR="009849AB" w:rsidRPr="00C660E1" w:rsidRDefault="009849AB" w:rsidP="00C660E1">
      <w:pPr>
        <w:spacing w:after="0" w:line="276" w:lineRule="auto"/>
        <w:rPr>
          <w:rFonts w:ascii="Arial" w:hAnsi="Arial" w:cs="Arial"/>
          <w:sz w:val="24"/>
          <w:szCs w:val="24"/>
          <w:lang w:val="es-EC"/>
        </w:rPr>
      </w:pPr>
      <w:r w:rsidRPr="00C660E1">
        <w:rPr>
          <w:rFonts w:ascii="Arial" w:hAnsi="Arial" w:cs="Arial"/>
          <w:sz w:val="24"/>
          <w:szCs w:val="24"/>
          <w:lang w:val="es-EC"/>
        </w:rPr>
        <w:t xml:space="preserve">TS = Tasa de Seguridad anual </w:t>
      </w:r>
    </w:p>
    <w:p w14:paraId="4400BCC1" w14:textId="77777777" w:rsidR="009849AB" w:rsidRPr="00C660E1" w:rsidRDefault="009849AB" w:rsidP="00C660E1">
      <w:pPr>
        <w:spacing w:after="0" w:line="276" w:lineRule="auto"/>
        <w:rPr>
          <w:rFonts w:ascii="Arial" w:hAnsi="Arial" w:cs="Arial"/>
          <w:sz w:val="24"/>
          <w:szCs w:val="24"/>
          <w:lang w:val="es-EC"/>
        </w:rPr>
      </w:pPr>
      <w:r w:rsidRPr="00C660E1">
        <w:rPr>
          <w:rFonts w:ascii="Arial" w:hAnsi="Arial" w:cs="Arial"/>
          <w:sz w:val="24"/>
          <w:szCs w:val="24"/>
          <w:lang w:val="es-EC"/>
        </w:rPr>
        <w:t>VAB = Valor Agregado Bruto de Quito</w:t>
      </w:r>
    </w:p>
    <w:p w14:paraId="6B562189" w14:textId="77777777" w:rsidR="009849AB" w:rsidRPr="00C660E1" w:rsidRDefault="009849AB" w:rsidP="00C660E1">
      <w:pPr>
        <w:spacing w:after="0" w:line="276" w:lineRule="auto"/>
        <w:rPr>
          <w:rFonts w:ascii="Arial" w:hAnsi="Arial" w:cs="Arial"/>
          <w:sz w:val="24"/>
          <w:szCs w:val="24"/>
          <w:lang w:val="es-EC"/>
        </w:rPr>
      </w:pPr>
      <w:r w:rsidRPr="00C660E1">
        <w:rPr>
          <w:rFonts w:ascii="Arial" w:hAnsi="Arial" w:cs="Arial"/>
          <w:sz w:val="24"/>
          <w:szCs w:val="24"/>
          <w:lang w:val="es-EC"/>
        </w:rPr>
        <w:t>POB = Población de Quito</w:t>
      </w:r>
    </w:p>
    <w:p w14:paraId="62517469" w14:textId="77777777" w:rsidR="009849AB" w:rsidRPr="00C660E1" w:rsidRDefault="009849AB" w:rsidP="00C660E1">
      <w:pPr>
        <w:spacing w:after="0" w:line="276" w:lineRule="auto"/>
        <w:rPr>
          <w:rFonts w:ascii="Arial" w:hAnsi="Arial" w:cs="Arial"/>
          <w:sz w:val="24"/>
          <w:szCs w:val="24"/>
          <w:lang w:val="es-EC"/>
        </w:rPr>
      </w:pPr>
      <w:r w:rsidRPr="00C660E1">
        <w:rPr>
          <w:rFonts w:ascii="Arial" w:hAnsi="Arial" w:cs="Arial"/>
          <w:sz w:val="24"/>
          <w:szCs w:val="24"/>
          <w:lang w:val="es-EC"/>
        </w:rPr>
        <w:t>IV = Índice de Victimización</w:t>
      </w:r>
    </w:p>
    <w:p w14:paraId="69EBD2DC" w14:textId="77777777" w:rsidR="009849AB" w:rsidRPr="00C660E1" w:rsidRDefault="009849AB" w:rsidP="00C660E1">
      <w:pPr>
        <w:spacing w:after="0" w:line="276" w:lineRule="auto"/>
        <w:rPr>
          <w:rFonts w:ascii="Arial" w:hAnsi="Arial" w:cs="Arial"/>
          <w:sz w:val="24"/>
          <w:szCs w:val="24"/>
          <w:lang w:val="es-EC"/>
        </w:rPr>
      </w:pPr>
      <w:r w:rsidRPr="00C660E1">
        <w:rPr>
          <w:rFonts w:ascii="Arial" w:hAnsi="Arial" w:cs="Arial"/>
          <w:sz w:val="24"/>
          <w:szCs w:val="24"/>
          <w:lang w:val="es-EC"/>
        </w:rPr>
        <w:t>ICC = Índice de convivencia ciudadana</w:t>
      </w:r>
    </w:p>
    <w:p w14:paraId="17051F49" w14:textId="77777777" w:rsidR="009849AB" w:rsidRPr="00C660E1" w:rsidRDefault="009849AB" w:rsidP="00C660E1">
      <w:pPr>
        <w:spacing w:after="0" w:line="276" w:lineRule="auto"/>
        <w:rPr>
          <w:rFonts w:ascii="Arial" w:hAnsi="Arial" w:cs="Arial"/>
          <w:sz w:val="24"/>
          <w:szCs w:val="24"/>
          <w:lang w:val="es-EC"/>
        </w:rPr>
      </w:pPr>
      <w:r w:rsidRPr="00C660E1">
        <w:rPr>
          <w:rFonts w:ascii="Arial" w:hAnsi="Arial" w:cs="Arial"/>
          <w:sz w:val="24"/>
          <w:szCs w:val="24"/>
          <w:lang w:val="es-EC"/>
        </w:rPr>
        <w:t>PC = Índice de participación ciudadana</w:t>
      </w:r>
    </w:p>
    <w:p w14:paraId="3A8DF36F" w14:textId="77777777" w:rsidR="009849AB" w:rsidRPr="00C660E1" w:rsidRDefault="009849AB" w:rsidP="00C660E1">
      <w:pPr>
        <w:spacing w:after="0" w:line="276" w:lineRule="auto"/>
        <w:rPr>
          <w:rFonts w:ascii="Arial" w:hAnsi="Arial" w:cs="Arial"/>
          <w:sz w:val="24"/>
          <w:szCs w:val="24"/>
          <w:lang w:val="es-EC"/>
        </w:rPr>
      </w:pPr>
      <w:r w:rsidRPr="00C660E1">
        <w:rPr>
          <w:rFonts w:ascii="Arial" w:hAnsi="Arial" w:cs="Arial"/>
          <w:sz w:val="24"/>
          <w:szCs w:val="24"/>
          <w:lang w:val="es-EC"/>
        </w:rPr>
        <w:t xml:space="preserve">FEE = Factor espacial de estratificación </w:t>
      </w:r>
    </w:p>
    <w:p w14:paraId="72C0C0D6" w14:textId="77777777" w:rsidR="009849AB" w:rsidRPr="00C660E1" w:rsidRDefault="009849AB" w:rsidP="00C660E1">
      <w:pPr>
        <w:spacing w:after="0" w:line="276" w:lineRule="auto"/>
        <w:jc w:val="both"/>
        <w:rPr>
          <w:rFonts w:ascii="Arial" w:hAnsi="Arial" w:cs="Arial"/>
          <w:sz w:val="24"/>
          <w:szCs w:val="24"/>
          <w:lang w:val="es-EC"/>
        </w:rPr>
      </w:pPr>
      <w:r w:rsidRPr="00C660E1">
        <w:rPr>
          <w:rFonts w:ascii="Arial" w:hAnsi="Arial" w:cs="Arial"/>
          <w:sz w:val="24"/>
          <w:szCs w:val="24"/>
          <w:lang w:val="es-EC"/>
        </w:rPr>
        <w:t>FCPE = Factor de corrección del principio de equivalencia.</w:t>
      </w:r>
    </w:p>
    <w:p w14:paraId="67B2D7F0" w14:textId="77777777" w:rsidR="009849AB" w:rsidRPr="00C660E1" w:rsidRDefault="009849AB" w:rsidP="00C660E1">
      <w:pPr>
        <w:spacing w:after="0" w:line="276" w:lineRule="auto"/>
        <w:jc w:val="both"/>
        <w:rPr>
          <w:rFonts w:ascii="Arial" w:hAnsi="Arial" w:cs="Arial"/>
          <w:sz w:val="24"/>
          <w:szCs w:val="24"/>
          <w:lang w:val="es-EC"/>
        </w:rPr>
      </w:pPr>
    </w:p>
    <w:p w14:paraId="5312F850" w14:textId="77777777" w:rsidR="009849AB" w:rsidRPr="00C660E1" w:rsidRDefault="009849AB" w:rsidP="00C660E1">
      <w:pPr>
        <w:spacing w:line="276" w:lineRule="auto"/>
        <w:jc w:val="both"/>
        <w:rPr>
          <w:rFonts w:ascii="Arial" w:hAnsi="Arial" w:cs="Arial"/>
          <w:sz w:val="24"/>
          <w:szCs w:val="24"/>
          <w:lang w:val="es-EC"/>
        </w:rPr>
      </w:pPr>
      <w:r w:rsidRPr="00C660E1">
        <w:rPr>
          <w:rFonts w:ascii="Arial" w:hAnsi="Arial" w:cs="Arial"/>
          <w:sz w:val="24"/>
          <w:szCs w:val="24"/>
          <w:lang w:val="es-EC"/>
        </w:rPr>
        <w:t xml:space="preserve">Adicionalmente, el modelo contempla un factor espacial de estratificación que permite diferenciar los nueve sectores en los que se han clasificado los contribuyentes de acuerdo al valor del AIVA. Finalmente, se considera, también, un factor de corrección basado en el principio de equivalencia, el cual indica que la tasa permite cubrir el costo del servicio, y, por lo tanto, ajustar la misma. </w:t>
      </w:r>
    </w:p>
    <w:p w14:paraId="19CD0502" w14:textId="77777777" w:rsidR="009849AB" w:rsidRPr="00C660E1" w:rsidRDefault="009849AB" w:rsidP="00C660E1">
      <w:pPr>
        <w:spacing w:line="276" w:lineRule="auto"/>
        <w:jc w:val="both"/>
        <w:rPr>
          <w:rFonts w:ascii="Arial" w:hAnsi="Arial" w:cs="Arial"/>
          <w:sz w:val="24"/>
          <w:szCs w:val="24"/>
          <w:lang w:val="es-EC"/>
        </w:rPr>
      </w:pPr>
      <w:r w:rsidRPr="00C660E1">
        <w:rPr>
          <w:rFonts w:ascii="Arial" w:hAnsi="Arial" w:cs="Arial"/>
          <w:sz w:val="24"/>
          <w:szCs w:val="24"/>
          <w:lang w:val="es-EC"/>
        </w:rPr>
        <w:t>Una vez construido y validado este análisis, con las simulaciones realizadas, el estudio arroja una estimación por sector y por uso preferente a viviendas, es decir:</w:t>
      </w:r>
    </w:p>
    <w:p w14:paraId="6945DF70" w14:textId="77777777" w:rsidR="009849AB" w:rsidRPr="009849AB" w:rsidRDefault="009849AB" w:rsidP="00C660E1">
      <w:pPr>
        <w:tabs>
          <w:tab w:val="left" w:pos="4320"/>
        </w:tabs>
        <w:spacing w:after="0" w:line="276" w:lineRule="auto"/>
        <w:jc w:val="center"/>
        <w:rPr>
          <w:rFonts w:ascii="Arial" w:hAnsi="Arial" w:cs="Arial"/>
          <w:sz w:val="20"/>
          <w:lang w:val="es-EC"/>
        </w:rPr>
      </w:pPr>
      <w:r w:rsidRPr="00C660E1">
        <w:rPr>
          <w:rFonts w:ascii="Arial" w:hAnsi="Arial" w:cs="Arial"/>
          <w:sz w:val="24"/>
          <w:szCs w:val="24"/>
        </w:rPr>
        <w:t xml:space="preserve">Tabla </w:t>
      </w:r>
      <w:r w:rsidRPr="00C660E1">
        <w:rPr>
          <w:rFonts w:ascii="Arial" w:hAnsi="Arial" w:cs="Arial"/>
          <w:i/>
          <w:iCs/>
          <w:sz w:val="24"/>
          <w:szCs w:val="24"/>
        </w:rPr>
        <w:fldChar w:fldCharType="begin"/>
      </w:r>
      <w:r w:rsidRPr="00C660E1">
        <w:rPr>
          <w:rFonts w:ascii="Arial" w:hAnsi="Arial" w:cs="Arial"/>
          <w:sz w:val="24"/>
          <w:szCs w:val="24"/>
        </w:rPr>
        <w:instrText xml:space="preserve"> SEQ Tabla \* ARABIC </w:instrText>
      </w:r>
      <w:r w:rsidRPr="00C660E1">
        <w:rPr>
          <w:rFonts w:ascii="Arial" w:hAnsi="Arial" w:cs="Arial"/>
          <w:i/>
          <w:iCs/>
          <w:sz w:val="24"/>
          <w:szCs w:val="24"/>
        </w:rPr>
        <w:fldChar w:fldCharType="separate"/>
      </w:r>
      <w:r w:rsidRPr="00C660E1">
        <w:rPr>
          <w:rFonts w:ascii="Arial" w:hAnsi="Arial" w:cs="Arial"/>
          <w:noProof/>
          <w:sz w:val="24"/>
          <w:szCs w:val="24"/>
        </w:rPr>
        <w:t>55</w:t>
      </w:r>
      <w:r w:rsidRPr="00C660E1">
        <w:rPr>
          <w:rFonts w:ascii="Arial" w:hAnsi="Arial" w:cs="Arial"/>
          <w:i/>
          <w:iCs/>
          <w:sz w:val="24"/>
          <w:szCs w:val="24"/>
        </w:rPr>
        <w:fldChar w:fldCharType="end"/>
      </w:r>
      <w:r w:rsidRPr="00C660E1">
        <w:rPr>
          <w:rFonts w:ascii="Arial" w:hAnsi="Arial" w:cs="Arial"/>
          <w:sz w:val="24"/>
          <w:szCs w:val="24"/>
        </w:rPr>
        <w:t xml:space="preserve"> </w:t>
      </w:r>
      <w:r w:rsidRPr="00C660E1">
        <w:rPr>
          <w:rFonts w:ascii="Arial" w:hAnsi="Arial" w:cs="Arial"/>
          <w:sz w:val="24"/>
          <w:szCs w:val="24"/>
          <w:lang w:val="es-EC"/>
        </w:rPr>
        <w:t>Cálculo de la Tasa de Servicios de Seguridad Ciudadana– Contribuyentes por uso</w:t>
      </w:r>
      <w:r w:rsidRPr="009849AB">
        <w:rPr>
          <w:rFonts w:ascii="Arial" w:hAnsi="Arial" w:cs="Arial"/>
          <w:sz w:val="20"/>
          <w:lang w:val="es-EC"/>
        </w:rPr>
        <w:t xml:space="preserve"> </w:t>
      </w:r>
      <w:r w:rsidRPr="00C660E1">
        <w:rPr>
          <w:rFonts w:ascii="Arial" w:hAnsi="Arial" w:cs="Arial"/>
          <w:sz w:val="24"/>
          <w:szCs w:val="24"/>
          <w:lang w:val="es-EC"/>
        </w:rPr>
        <w:t>preferente a viviendas</w:t>
      </w:r>
    </w:p>
    <w:tbl>
      <w:tblPr>
        <w:tblStyle w:val="Tablaconcuadrculaclara"/>
        <w:tblW w:w="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344"/>
      </w:tblGrid>
      <w:tr w:rsidR="009849AB" w:rsidRPr="009849AB" w14:paraId="407A7824" w14:textId="77777777" w:rsidTr="004519D4">
        <w:trPr>
          <w:trHeight w:val="20"/>
          <w:jc w:val="center"/>
        </w:trPr>
        <w:tc>
          <w:tcPr>
            <w:tcW w:w="1620" w:type="dxa"/>
            <w:shd w:val="clear" w:color="auto" w:fill="1F3864" w:themeFill="accent5" w:themeFillShade="80"/>
            <w:noWrap/>
            <w:vAlign w:val="center"/>
            <w:hideMark/>
          </w:tcPr>
          <w:p w14:paraId="3899B0FE" w14:textId="77777777" w:rsidR="009849AB" w:rsidRPr="009849AB" w:rsidRDefault="009849AB" w:rsidP="00C660E1">
            <w:pPr>
              <w:spacing w:line="276" w:lineRule="auto"/>
              <w:jc w:val="center"/>
              <w:rPr>
                <w:rFonts w:ascii="Arial" w:eastAsia="Times New Roman" w:hAnsi="Arial" w:cs="Arial"/>
                <w:b/>
                <w:color w:val="FFFFFF" w:themeColor="background1"/>
                <w:sz w:val="18"/>
                <w:szCs w:val="20"/>
              </w:rPr>
            </w:pPr>
            <w:r w:rsidRPr="009849AB">
              <w:rPr>
                <w:rFonts w:ascii="Arial" w:eastAsia="Times New Roman" w:hAnsi="Arial" w:cs="Arial"/>
                <w:b/>
                <w:color w:val="FFFFFF" w:themeColor="background1"/>
                <w:sz w:val="18"/>
                <w:szCs w:val="20"/>
              </w:rPr>
              <w:t>SECTOR</w:t>
            </w:r>
          </w:p>
        </w:tc>
        <w:tc>
          <w:tcPr>
            <w:tcW w:w="2344" w:type="dxa"/>
            <w:shd w:val="clear" w:color="auto" w:fill="1F3864" w:themeFill="accent5" w:themeFillShade="80"/>
            <w:vAlign w:val="center"/>
            <w:hideMark/>
          </w:tcPr>
          <w:p w14:paraId="7B27C9ED" w14:textId="77777777" w:rsidR="009849AB" w:rsidRPr="009849AB" w:rsidRDefault="009849AB" w:rsidP="00C660E1">
            <w:pPr>
              <w:spacing w:line="276" w:lineRule="auto"/>
              <w:jc w:val="center"/>
              <w:rPr>
                <w:rFonts w:ascii="Arial" w:eastAsia="Times New Roman" w:hAnsi="Arial" w:cs="Arial"/>
                <w:b/>
                <w:color w:val="FFFFFF" w:themeColor="background1"/>
                <w:sz w:val="18"/>
                <w:szCs w:val="20"/>
              </w:rPr>
            </w:pPr>
            <w:r w:rsidRPr="009849AB">
              <w:rPr>
                <w:rFonts w:ascii="Arial" w:eastAsia="Times New Roman" w:hAnsi="Arial" w:cs="Arial"/>
                <w:b/>
                <w:color w:val="FFFFFF" w:themeColor="background1"/>
                <w:sz w:val="18"/>
                <w:szCs w:val="20"/>
              </w:rPr>
              <w:t>MONTO ESTIMADO A PARTIR DE ECUACIÓN DEL ANÁLISIS</w:t>
            </w:r>
          </w:p>
        </w:tc>
      </w:tr>
      <w:tr w:rsidR="009849AB" w:rsidRPr="009849AB" w14:paraId="03962775" w14:textId="77777777" w:rsidTr="004519D4">
        <w:trPr>
          <w:trHeight w:val="20"/>
          <w:jc w:val="center"/>
        </w:trPr>
        <w:tc>
          <w:tcPr>
            <w:tcW w:w="1620" w:type="dxa"/>
            <w:noWrap/>
            <w:vAlign w:val="center"/>
            <w:hideMark/>
          </w:tcPr>
          <w:p w14:paraId="355FDE69"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Sector 1</w:t>
            </w:r>
          </w:p>
        </w:tc>
        <w:tc>
          <w:tcPr>
            <w:tcW w:w="2344" w:type="dxa"/>
            <w:noWrap/>
            <w:vAlign w:val="center"/>
            <w:hideMark/>
          </w:tcPr>
          <w:p w14:paraId="39E43A1C"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USD 27.04</w:t>
            </w:r>
          </w:p>
        </w:tc>
      </w:tr>
      <w:tr w:rsidR="009849AB" w:rsidRPr="009849AB" w14:paraId="2F96A335" w14:textId="77777777" w:rsidTr="004519D4">
        <w:trPr>
          <w:trHeight w:val="20"/>
          <w:jc w:val="center"/>
        </w:trPr>
        <w:tc>
          <w:tcPr>
            <w:tcW w:w="1620" w:type="dxa"/>
            <w:noWrap/>
            <w:vAlign w:val="center"/>
            <w:hideMark/>
          </w:tcPr>
          <w:p w14:paraId="32745A78"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Sector 2</w:t>
            </w:r>
          </w:p>
        </w:tc>
        <w:tc>
          <w:tcPr>
            <w:tcW w:w="2344" w:type="dxa"/>
            <w:noWrap/>
            <w:vAlign w:val="center"/>
            <w:hideMark/>
          </w:tcPr>
          <w:p w14:paraId="34BF7274"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USD 23.05</w:t>
            </w:r>
          </w:p>
        </w:tc>
      </w:tr>
      <w:tr w:rsidR="009849AB" w:rsidRPr="009849AB" w14:paraId="0DA3FA01" w14:textId="77777777" w:rsidTr="004519D4">
        <w:trPr>
          <w:trHeight w:val="20"/>
          <w:jc w:val="center"/>
        </w:trPr>
        <w:tc>
          <w:tcPr>
            <w:tcW w:w="1620" w:type="dxa"/>
            <w:noWrap/>
            <w:vAlign w:val="center"/>
            <w:hideMark/>
          </w:tcPr>
          <w:p w14:paraId="410004A4"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Sector 3</w:t>
            </w:r>
          </w:p>
        </w:tc>
        <w:tc>
          <w:tcPr>
            <w:tcW w:w="2344" w:type="dxa"/>
            <w:noWrap/>
            <w:vAlign w:val="center"/>
            <w:hideMark/>
          </w:tcPr>
          <w:p w14:paraId="38BEDFFF"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USD 19.08</w:t>
            </w:r>
          </w:p>
        </w:tc>
      </w:tr>
      <w:tr w:rsidR="009849AB" w:rsidRPr="009849AB" w14:paraId="2DCC680B" w14:textId="77777777" w:rsidTr="004519D4">
        <w:trPr>
          <w:trHeight w:val="20"/>
          <w:jc w:val="center"/>
        </w:trPr>
        <w:tc>
          <w:tcPr>
            <w:tcW w:w="1620" w:type="dxa"/>
            <w:noWrap/>
            <w:vAlign w:val="center"/>
            <w:hideMark/>
          </w:tcPr>
          <w:p w14:paraId="66BAACF6"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Sector 4</w:t>
            </w:r>
          </w:p>
        </w:tc>
        <w:tc>
          <w:tcPr>
            <w:tcW w:w="2344" w:type="dxa"/>
            <w:noWrap/>
            <w:vAlign w:val="center"/>
            <w:hideMark/>
          </w:tcPr>
          <w:p w14:paraId="228A46D7"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USD 14.99</w:t>
            </w:r>
          </w:p>
        </w:tc>
      </w:tr>
      <w:tr w:rsidR="009849AB" w:rsidRPr="009849AB" w14:paraId="2F7EDAA5" w14:textId="77777777" w:rsidTr="004519D4">
        <w:trPr>
          <w:trHeight w:val="20"/>
          <w:jc w:val="center"/>
        </w:trPr>
        <w:tc>
          <w:tcPr>
            <w:tcW w:w="1620" w:type="dxa"/>
            <w:noWrap/>
            <w:vAlign w:val="center"/>
            <w:hideMark/>
          </w:tcPr>
          <w:p w14:paraId="15C041D8"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Sector 5</w:t>
            </w:r>
          </w:p>
        </w:tc>
        <w:tc>
          <w:tcPr>
            <w:tcW w:w="2344" w:type="dxa"/>
            <w:noWrap/>
            <w:vAlign w:val="center"/>
            <w:hideMark/>
          </w:tcPr>
          <w:p w14:paraId="0BAAB8C3"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USD 11.99</w:t>
            </w:r>
          </w:p>
        </w:tc>
      </w:tr>
      <w:tr w:rsidR="009849AB" w:rsidRPr="009849AB" w14:paraId="3E9EB59B" w14:textId="77777777" w:rsidTr="004519D4">
        <w:trPr>
          <w:trHeight w:val="20"/>
          <w:jc w:val="center"/>
        </w:trPr>
        <w:tc>
          <w:tcPr>
            <w:tcW w:w="1620" w:type="dxa"/>
            <w:noWrap/>
            <w:vAlign w:val="center"/>
            <w:hideMark/>
          </w:tcPr>
          <w:p w14:paraId="3096C28F"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Sector 6</w:t>
            </w:r>
          </w:p>
        </w:tc>
        <w:tc>
          <w:tcPr>
            <w:tcW w:w="2344" w:type="dxa"/>
            <w:noWrap/>
            <w:vAlign w:val="center"/>
            <w:hideMark/>
          </w:tcPr>
          <w:p w14:paraId="22B2C0E4"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USD 9.11</w:t>
            </w:r>
          </w:p>
        </w:tc>
      </w:tr>
      <w:tr w:rsidR="009849AB" w:rsidRPr="009849AB" w14:paraId="1EF2B230" w14:textId="77777777" w:rsidTr="004519D4">
        <w:trPr>
          <w:trHeight w:val="20"/>
          <w:jc w:val="center"/>
        </w:trPr>
        <w:tc>
          <w:tcPr>
            <w:tcW w:w="1620" w:type="dxa"/>
            <w:noWrap/>
            <w:vAlign w:val="center"/>
            <w:hideMark/>
          </w:tcPr>
          <w:p w14:paraId="69A9DFC9"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Sector 7</w:t>
            </w:r>
          </w:p>
        </w:tc>
        <w:tc>
          <w:tcPr>
            <w:tcW w:w="2344" w:type="dxa"/>
            <w:noWrap/>
            <w:vAlign w:val="center"/>
            <w:hideMark/>
          </w:tcPr>
          <w:p w14:paraId="34FB121D"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USD 6.01</w:t>
            </w:r>
          </w:p>
        </w:tc>
      </w:tr>
      <w:tr w:rsidR="009849AB" w:rsidRPr="009849AB" w14:paraId="16AB4DE7" w14:textId="77777777" w:rsidTr="004519D4">
        <w:trPr>
          <w:trHeight w:val="20"/>
          <w:jc w:val="center"/>
        </w:trPr>
        <w:tc>
          <w:tcPr>
            <w:tcW w:w="1620" w:type="dxa"/>
            <w:noWrap/>
            <w:vAlign w:val="center"/>
            <w:hideMark/>
          </w:tcPr>
          <w:p w14:paraId="5FAA9222"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Sector 8</w:t>
            </w:r>
          </w:p>
        </w:tc>
        <w:tc>
          <w:tcPr>
            <w:tcW w:w="2344" w:type="dxa"/>
            <w:noWrap/>
            <w:vAlign w:val="center"/>
            <w:hideMark/>
          </w:tcPr>
          <w:p w14:paraId="2DB5131F"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USD 4.01</w:t>
            </w:r>
          </w:p>
        </w:tc>
      </w:tr>
      <w:tr w:rsidR="009849AB" w:rsidRPr="009849AB" w14:paraId="656F589D" w14:textId="77777777" w:rsidTr="004519D4">
        <w:trPr>
          <w:trHeight w:val="20"/>
          <w:jc w:val="center"/>
        </w:trPr>
        <w:tc>
          <w:tcPr>
            <w:tcW w:w="1620" w:type="dxa"/>
            <w:noWrap/>
            <w:hideMark/>
          </w:tcPr>
          <w:p w14:paraId="44D84EE4"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Sector 9</w:t>
            </w:r>
          </w:p>
        </w:tc>
        <w:tc>
          <w:tcPr>
            <w:tcW w:w="2344" w:type="dxa"/>
            <w:noWrap/>
            <w:hideMark/>
          </w:tcPr>
          <w:p w14:paraId="39574E9B"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USD 2.00</w:t>
            </w:r>
          </w:p>
        </w:tc>
      </w:tr>
    </w:tbl>
    <w:p w14:paraId="7BA763BC" w14:textId="77777777" w:rsidR="009849AB" w:rsidRPr="009849AB" w:rsidRDefault="009849AB" w:rsidP="00C660E1">
      <w:pPr>
        <w:autoSpaceDE w:val="0"/>
        <w:autoSpaceDN w:val="0"/>
        <w:adjustRightInd w:val="0"/>
        <w:spacing w:after="0" w:line="276" w:lineRule="auto"/>
        <w:ind w:right="23"/>
        <w:jc w:val="center"/>
        <w:rPr>
          <w:rFonts w:ascii="Arial" w:hAnsi="Arial" w:cs="Arial"/>
          <w:color w:val="000000" w:themeColor="text1"/>
          <w:sz w:val="18"/>
          <w:szCs w:val="18"/>
        </w:rPr>
      </w:pPr>
      <w:r w:rsidRPr="009849AB">
        <w:rPr>
          <w:rFonts w:ascii="Arial" w:hAnsi="Arial" w:cs="Arial"/>
          <w:color w:val="000000" w:themeColor="text1"/>
          <w:sz w:val="18"/>
          <w:szCs w:val="18"/>
        </w:rPr>
        <w:t>Elaboración: OMSC</w:t>
      </w:r>
    </w:p>
    <w:p w14:paraId="5FAA284B" w14:textId="77777777" w:rsidR="009849AB" w:rsidRPr="009849AB" w:rsidRDefault="009849AB" w:rsidP="00C660E1">
      <w:pPr>
        <w:spacing w:after="0" w:line="276" w:lineRule="auto"/>
        <w:jc w:val="both"/>
        <w:rPr>
          <w:rFonts w:ascii="Arial" w:hAnsi="Arial" w:cs="Arial"/>
          <w:sz w:val="10"/>
          <w:szCs w:val="10"/>
          <w:lang w:val="es-EC"/>
        </w:rPr>
      </w:pPr>
    </w:p>
    <w:p w14:paraId="1DD8AEF9" w14:textId="77777777" w:rsidR="009849AB" w:rsidRPr="00C660E1" w:rsidRDefault="009849AB" w:rsidP="00C660E1">
      <w:pPr>
        <w:spacing w:line="276" w:lineRule="auto"/>
        <w:jc w:val="both"/>
        <w:rPr>
          <w:rFonts w:ascii="Arial" w:hAnsi="Arial" w:cs="Arial"/>
          <w:sz w:val="24"/>
          <w:szCs w:val="24"/>
          <w:lang w:val="es-EC"/>
        </w:rPr>
      </w:pPr>
      <w:r w:rsidRPr="00C660E1">
        <w:rPr>
          <w:rFonts w:ascii="Arial" w:hAnsi="Arial" w:cs="Arial"/>
          <w:sz w:val="24"/>
          <w:szCs w:val="24"/>
          <w:lang w:val="es-EC"/>
        </w:rPr>
        <w:t>Del mismo modo, se lo hace para el uso preferente a actividades comerciales:</w:t>
      </w:r>
    </w:p>
    <w:p w14:paraId="1CBD4540" w14:textId="77777777" w:rsidR="009849AB" w:rsidRPr="00C660E1" w:rsidRDefault="009849AB" w:rsidP="00C660E1">
      <w:pPr>
        <w:tabs>
          <w:tab w:val="left" w:pos="4320"/>
        </w:tabs>
        <w:spacing w:after="0" w:line="276" w:lineRule="auto"/>
        <w:jc w:val="center"/>
        <w:rPr>
          <w:rFonts w:ascii="Arial" w:hAnsi="Arial" w:cs="Arial"/>
          <w:sz w:val="24"/>
          <w:szCs w:val="24"/>
          <w:lang w:val="es-EC"/>
        </w:rPr>
      </w:pPr>
      <w:r w:rsidRPr="00C660E1">
        <w:rPr>
          <w:rFonts w:ascii="Arial" w:hAnsi="Arial" w:cs="Arial"/>
          <w:sz w:val="24"/>
          <w:szCs w:val="24"/>
        </w:rPr>
        <w:t xml:space="preserve">Tabla </w:t>
      </w:r>
      <w:r w:rsidRPr="00C660E1">
        <w:rPr>
          <w:rFonts w:ascii="Arial" w:hAnsi="Arial" w:cs="Arial"/>
          <w:i/>
          <w:iCs/>
          <w:sz w:val="24"/>
          <w:szCs w:val="24"/>
        </w:rPr>
        <w:fldChar w:fldCharType="begin"/>
      </w:r>
      <w:r w:rsidRPr="00C660E1">
        <w:rPr>
          <w:rFonts w:ascii="Arial" w:hAnsi="Arial" w:cs="Arial"/>
          <w:sz w:val="24"/>
          <w:szCs w:val="24"/>
        </w:rPr>
        <w:instrText xml:space="preserve"> SEQ Tabla \* ARABIC </w:instrText>
      </w:r>
      <w:r w:rsidRPr="00C660E1">
        <w:rPr>
          <w:rFonts w:ascii="Arial" w:hAnsi="Arial" w:cs="Arial"/>
          <w:i/>
          <w:iCs/>
          <w:sz w:val="24"/>
          <w:szCs w:val="24"/>
        </w:rPr>
        <w:fldChar w:fldCharType="separate"/>
      </w:r>
      <w:r w:rsidRPr="00C660E1">
        <w:rPr>
          <w:rFonts w:ascii="Arial" w:hAnsi="Arial" w:cs="Arial"/>
          <w:noProof/>
          <w:sz w:val="24"/>
          <w:szCs w:val="24"/>
        </w:rPr>
        <w:t>56</w:t>
      </w:r>
      <w:r w:rsidRPr="00C660E1">
        <w:rPr>
          <w:rFonts w:ascii="Arial" w:hAnsi="Arial" w:cs="Arial"/>
          <w:i/>
          <w:iCs/>
          <w:sz w:val="24"/>
          <w:szCs w:val="24"/>
        </w:rPr>
        <w:fldChar w:fldCharType="end"/>
      </w:r>
      <w:r w:rsidRPr="00C660E1">
        <w:rPr>
          <w:rFonts w:ascii="Arial" w:hAnsi="Arial" w:cs="Arial"/>
          <w:i/>
          <w:iCs/>
          <w:sz w:val="24"/>
          <w:szCs w:val="24"/>
        </w:rPr>
        <w:t xml:space="preserve"> </w:t>
      </w:r>
      <w:r w:rsidRPr="00C660E1">
        <w:rPr>
          <w:rFonts w:ascii="Arial" w:hAnsi="Arial" w:cs="Arial"/>
          <w:sz w:val="24"/>
          <w:szCs w:val="24"/>
          <w:lang w:val="es-EC"/>
        </w:rPr>
        <w:t>Cálculo de la Tasa de Servicios de Seguridad Ciudadana – Contribuyentes por uso preferente a actividades comerciales</w:t>
      </w:r>
    </w:p>
    <w:tbl>
      <w:tblPr>
        <w:tblStyle w:val="Tablaconcuadrculaclara"/>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630"/>
      </w:tblGrid>
      <w:tr w:rsidR="009849AB" w:rsidRPr="009849AB" w14:paraId="212263E3" w14:textId="77777777" w:rsidTr="004519D4">
        <w:trPr>
          <w:trHeight w:val="616"/>
          <w:jc w:val="center"/>
        </w:trPr>
        <w:tc>
          <w:tcPr>
            <w:tcW w:w="1760" w:type="dxa"/>
            <w:shd w:val="clear" w:color="auto" w:fill="1F3864" w:themeFill="accent5" w:themeFillShade="80"/>
            <w:noWrap/>
            <w:vAlign w:val="center"/>
            <w:hideMark/>
          </w:tcPr>
          <w:p w14:paraId="241663F8" w14:textId="77777777" w:rsidR="009849AB" w:rsidRPr="009849AB" w:rsidRDefault="009849AB" w:rsidP="00C660E1">
            <w:pPr>
              <w:spacing w:line="276" w:lineRule="auto"/>
              <w:jc w:val="center"/>
              <w:rPr>
                <w:rFonts w:ascii="Arial" w:eastAsia="Times New Roman" w:hAnsi="Arial" w:cs="Arial"/>
                <w:b/>
                <w:color w:val="FFFFFF" w:themeColor="background1"/>
                <w:sz w:val="18"/>
                <w:szCs w:val="20"/>
              </w:rPr>
            </w:pPr>
            <w:r w:rsidRPr="009849AB">
              <w:rPr>
                <w:rFonts w:ascii="Arial" w:eastAsia="Times New Roman" w:hAnsi="Arial" w:cs="Arial"/>
                <w:b/>
                <w:color w:val="FFFFFF" w:themeColor="background1"/>
                <w:sz w:val="18"/>
                <w:szCs w:val="20"/>
              </w:rPr>
              <w:t>SECTOR</w:t>
            </w:r>
          </w:p>
        </w:tc>
        <w:tc>
          <w:tcPr>
            <w:tcW w:w="2630" w:type="dxa"/>
            <w:shd w:val="clear" w:color="auto" w:fill="1F3864" w:themeFill="accent5" w:themeFillShade="80"/>
            <w:vAlign w:val="center"/>
            <w:hideMark/>
          </w:tcPr>
          <w:p w14:paraId="0A05F205" w14:textId="77777777" w:rsidR="009849AB" w:rsidRPr="009849AB" w:rsidRDefault="009849AB" w:rsidP="00C660E1">
            <w:pPr>
              <w:spacing w:line="276" w:lineRule="auto"/>
              <w:jc w:val="center"/>
              <w:rPr>
                <w:rFonts w:ascii="Arial" w:eastAsia="Times New Roman" w:hAnsi="Arial" w:cs="Arial"/>
                <w:b/>
                <w:color w:val="FFFFFF" w:themeColor="background1"/>
                <w:sz w:val="18"/>
                <w:szCs w:val="20"/>
              </w:rPr>
            </w:pPr>
            <w:r w:rsidRPr="009849AB">
              <w:rPr>
                <w:rFonts w:ascii="Arial" w:eastAsia="Times New Roman" w:hAnsi="Arial" w:cs="Arial"/>
                <w:b/>
                <w:color w:val="FFFFFF" w:themeColor="background1"/>
                <w:sz w:val="18"/>
                <w:szCs w:val="20"/>
              </w:rPr>
              <w:t>MONTO ESTIMADO A PARTIR DE ECUACIÓN DEL ANÁLISIS</w:t>
            </w:r>
          </w:p>
        </w:tc>
      </w:tr>
      <w:tr w:rsidR="009849AB" w:rsidRPr="009849AB" w14:paraId="5FC837E8" w14:textId="77777777" w:rsidTr="004519D4">
        <w:trPr>
          <w:trHeight w:val="288"/>
          <w:jc w:val="center"/>
        </w:trPr>
        <w:tc>
          <w:tcPr>
            <w:tcW w:w="1760" w:type="dxa"/>
            <w:noWrap/>
            <w:vAlign w:val="center"/>
            <w:hideMark/>
          </w:tcPr>
          <w:p w14:paraId="3F5ECC8A"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Sector 7,8,9</w:t>
            </w:r>
          </w:p>
        </w:tc>
        <w:tc>
          <w:tcPr>
            <w:tcW w:w="2630" w:type="dxa"/>
            <w:noWrap/>
            <w:vAlign w:val="center"/>
            <w:hideMark/>
          </w:tcPr>
          <w:p w14:paraId="32D99224"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USD 18.02</w:t>
            </w:r>
          </w:p>
        </w:tc>
      </w:tr>
      <w:tr w:rsidR="009849AB" w:rsidRPr="009849AB" w14:paraId="5F142229" w14:textId="77777777" w:rsidTr="004519D4">
        <w:trPr>
          <w:trHeight w:val="288"/>
          <w:jc w:val="center"/>
        </w:trPr>
        <w:tc>
          <w:tcPr>
            <w:tcW w:w="1760" w:type="dxa"/>
            <w:noWrap/>
            <w:vAlign w:val="center"/>
            <w:hideMark/>
          </w:tcPr>
          <w:p w14:paraId="1F15AE67"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Sector 4,5,6</w:t>
            </w:r>
          </w:p>
        </w:tc>
        <w:tc>
          <w:tcPr>
            <w:tcW w:w="2630" w:type="dxa"/>
            <w:noWrap/>
            <w:vAlign w:val="center"/>
            <w:hideMark/>
          </w:tcPr>
          <w:p w14:paraId="1DD06735"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USD 24.06</w:t>
            </w:r>
          </w:p>
        </w:tc>
      </w:tr>
      <w:tr w:rsidR="009849AB" w:rsidRPr="009849AB" w14:paraId="4451B422" w14:textId="77777777" w:rsidTr="004519D4">
        <w:trPr>
          <w:trHeight w:val="288"/>
          <w:jc w:val="center"/>
        </w:trPr>
        <w:tc>
          <w:tcPr>
            <w:tcW w:w="1760" w:type="dxa"/>
            <w:noWrap/>
            <w:vAlign w:val="center"/>
            <w:hideMark/>
          </w:tcPr>
          <w:p w14:paraId="226F6ACB"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Sector 1,2,3</w:t>
            </w:r>
          </w:p>
        </w:tc>
        <w:tc>
          <w:tcPr>
            <w:tcW w:w="2630" w:type="dxa"/>
            <w:noWrap/>
            <w:vAlign w:val="center"/>
            <w:hideMark/>
          </w:tcPr>
          <w:p w14:paraId="2760B6CE" w14:textId="77777777" w:rsidR="009849AB" w:rsidRPr="009849AB" w:rsidRDefault="009849AB" w:rsidP="00C660E1">
            <w:pPr>
              <w:spacing w:line="276" w:lineRule="auto"/>
              <w:jc w:val="center"/>
              <w:rPr>
                <w:rFonts w:ascii="Arial" w:eastAsia="Times New Roman" w:hAnsi="Arial" w:cs="Arial"/>
                <w:color w:val="000000"/>
                <w:sz w:val="18"/>
                <w:szCs w:val="20"/>
              </w:rPr>
            </w:pPr>
            <w:r w:rsidRPr="009849AB">
              <w:rPr>
                <w:rFonts w:ascii="Arial" w:eastAsia="Times New Roman" w:hAnsi="Arial" w:cs="Arial"/>
                <w:color w:val="000000"/>
                <w:sz w:val="18"/>
                <w:szCs w:val="20"/>
              </w:rPr>
              <w:t>USD 30.20</w:t>
            </w:r>
          </w:p>
        </w:tc>
      </w:tr>
    </w:tbl>
    <w:p w14:paraId="0D785824" w14:textId="77777777" w:rsidR="009849AB" w:rsidRPr="00C660E1" w:rsidRDefault="009849AB" w:rsidP="00C660E1">
      <w:pPr>
        <w:autoSpaceDE w:val="0"/>
        <w:autoSpaceDN w:val="0"/>
        <w:adjustRightInd w:val="0"/>
        <w:spacing w:after="0" w:line="276" w:lineRule="auto"/>
        <w:ind w:right="23"/>
        <w:jc w:val="center"/>
        <w:rPr>
          <w:rFonts w:ascii="Arial" w:hAnsi="Arial" w:cs="Arial"/>
          <w:color w:val="000000" w:themeColor="text1"/>
          <w:sz w:val="24"/>
          <w:szCs w:val="24"/>
        </w:rPr>
      </w:pPr>
      <w:r w:rsidRPr="00C660E1">
        <w:rPr>
          <w:rFonts w:ascii="Arial" w:hAnsi="Arial" w:cs="Arial"/>
          <w:color w:val="000000" w:themeColor="text1"/>
          <w:sz w:val="24"/>
          <w:szCs w:val="24"/>
        </w:rPr>
        <w:t>Elaboración: OMSC</w:t>
      </w:r>
    </w:p>
    <w:p w14:paraId="5CDA241C" w14:textId="77777777" w:rsidR="009849AB" w:rsidRPr="00C660E1" w:rsidRDefault="009849AB" w:rsidP="00C660E1">
      <w:pPr>
        <w:autoSpaceDE w:val="0"/>
        <w:autoSpaceDN w:val="0"/>
        <w:adjustRightInd w:val="0"/>
        <w:spacing w:after="0" w:line="276" w:lineRule="auto"/>
        <w:ind w:right="23"/>
        <w:jc w:val="center"/>
        <w:rPr>
          <w:rFonts w:ascii="Arial" w:hAnsi="Arial" w:cs="Arial"/>
          <w:color w:val="000000" w:themeColor="text1"/>
          <w:sz w:val="24"/>
          <w:szCs w:val="24"/>
        </w:rPr>
      </w:pPr>
    </w:p>
    <w:p w14:paraId="37A82781" w14:textId="77777777" w:rsidR="009849AB" w:rsidRPr="00C660E1" w:rsidRDefault="009849AB" w:rsidP="00C660E1">
      <w:pPr>
        <w:autoSpaceDE w:val="0"/>
        <w:autoSpaceDN w:val="0"/>
        <w:adjustRightInd w:val="0"/>
        <w:spacing w:after="0" w:line="276" w:lineRule="auto"/>
        <w:ind w:right="23"/>
        <w:jc w:val="both"/>
        <w:rPr>
          <w:rFonts w:ascii="Arial" w:hAnsi="Arial" w:cs="Arial"/>
          <w:color w:val="000000" w:themeColor="text1"/>
          <w:sz w:val="24"/>
          <w:szCs w:val="24"/>
        </w:rPr>
      </w:pPr>
      <w:r w:rsidRPr="00C660E1">
        <w:rPr>
          <w:rFonts w:ascii="Arial" w:hAnsi="Arial" w:cs="Arial"/>
          <w:color w:val="000000" w:themeColor="text1"/>
          <w:sz w:val="24"/>
          <w:szCs w:val="24"/>
        </w:rPr>
        <w:lastRenderedPageBreak/>
        <w:t>En relación al área rural, para el establecimiento de la tasa a cobrar debe tener como elementos generadores base, aparte de los establecidos por el AIVAS:</w:t>
      </w:r>
    </w:p>
    <w:p w14:paraId="490057D4" w14:textId="77777777" w:rsidR="009849AB" w:rsidRPr="00C660E1" w:rsidRDefault="009849AB" w:rsidP="00C660E1">
      <w:pPr>
        <w:autoSpaceDE w:val="0"/>
        <w:autoSpaceDN w:val="0"/>
        <w:adjustRightInd w:val="0"/>
        <w:spacing w:after="0" w:line="276" w:lineRule="auto"/>
        <w:ind w:right="23"/>
        <w:jc w:val="both"/>
        <w:rPr>
          <w:rFonts w:ascii="Arial" w:hAnsi="Arial" w:cs="Arial"/>
          <w:color w:val="000000" w:themeColor="text1"/>
          <w:sz w:val="24"/>
          <w:szCs w:val="24"/>
        </w:rPr>
      </w:pPr>
    </w:p>
    <w:p w14:paraId="2D36434C" w14:textId="77777777" w:rsidR="009849AB" w:rsidRPr="00C660E1" w:rsidRDefault="009849AB" w:rsidP="00C660E1">
      <w:pPr>
        <w:pStyle w:val="Prrafodelista"/>
        <w:numPr>
          <w:ilvl w:val="2"/>
          <w:numId w:val="1"/>
        </w:numPr>
        <w:autoSpaceDE w:val="0"/>
        <w:autoSpaceDN w:val="0"/>
        <w:adjustRightInd w:val="0"/>
        <w:spacing w:after="0" w:line="276" w:lineRule="auto"/>
        <w:ind w:left="851" w:right="23" w:hanging="284"/>
        <w:jc w:val="both"/>
        <w:rPr>
          <w:rFonts w:ascii="Arial" w:hAnsi="Arial" w:cs="Arial"/>
          <w:color w:val="000000" w:themeColor="text1"/>
          <w:sz w:val="24"/>
          <w:szCs w:val="24"/>
        </w:rPr>
      </w:pPr>
      <w:r w:rsidRPr="00C660E1">
        <w:rPr>
          <w:rFonts w:ascii="Arial" w:hAnsi="Arial" w:cs="Arial"/>
          <w:color w:val="000000" w:themeColor="text1"/>
          <w:sz w:val="24"/>
          <w:szCs w:val="24"/>
        </w:rPr>
        <w:t>Extensión territorial</w:t>
      </w:r>
    </w:p>
    <w:p w14:paraId="15C087F0" w14:textId="77777777" w:rsidR="009849AB" w:rsidRPr="00C660E1" w:rsidRDefault="009849AB" w:rsidP="00C660E1">
      <w:pPr>
        <w:pStyle w:val="Prrafodelista"/>
        <w:numPr>
          <w:ilvl w:val="2"/>
          <w:numId w:val="1"/>
        </w:numPr>
        <w:autoSpaceDE w:val="0"/>
        <w:autoSpaceDN w:val="0"/>
        <w:adjustRightInd w:val="0"/>
        <w:spacing w:after="0" w:line="276" w:lineRule="auto"/>
        <w:ind w:left="851" w:right="23" w:hanging="284"/>
        <w:jc w:val="both"/>
        <w:rPr>
          <w:rFonts w:ascii="Arial" w:hAnsi="Arial" w:cs="Arial"/>
          <w:color w:val="000000" w:themeColor="text1"/>
          <w:sz w:val="24"/>
          <w:szCs w:val="24"/>
        </w:rPr>
      </w:pPr>
      <w:r w:rsidRPr="00C660E1">
        <w:rPr>
          <w:rFonts w:ascii="Arial" w:hAnsi="Arial" w:cs="Arial"/>
          <w:color w:val="000000" w:themeColor="text1"/>
          <w:sz w:val="24"/>
          <w:szCs w:val="24"/>
        </w:rPr>
        <w:t>Dispersión de viviendas</w:t>
      </w:r>
    </w:p>
    <w:p w14:paraId="162BC70D" w14:textId="77777777" w:rsidR="009849AB" w:rsidRPr="00C660E1" w:rsidRDefault="009849AB" w:rsidP="00C660E1">
      <w:pPr>
        <w:pStyle w:val="Prrafodelista"/>
        <w:numPr>
          <w:ilvl w:val="2"/>
          <w:numId w:val="1"/>
        </w:numPr>
        <w:autoSpaceDE w:val="0"/>
        <w:autoSpaceDN w:val="0"/>
        <w:adjustRightInd w:val="0"/>
        <w:spacing w:after="0" w:line="276" w:lineRule="auto"/>
        <w:ind w:left="851" w:right="23" w:hanging="284"/>
        <w:jc w:val="both"/>
        <w:rPr>
          <w:rFonts w:ascii="Arial" w:hAnsi="Arial" w:cs="Arial"/>
          <w:color w:val="000000" w:themeColor="text1"/>
          <w:sz w:val="24"/>
          <w:szCs w:val="24"/>
        </w:rPr>
      </w:pPr>
      <w:r w:rsidRPr="00C660E1">
        <w:rPr>
          <w:rFonts w:ascii="Arial" w:hAnsi="Arial" w:cs="Arial"/>
          <w:color w:val="000000" w:themeColor="text1"/>
          <w:sz w:val="24"/>
          <w:szCs w:val="24"/>
        </w:rPr>
        <w:t>Servicios recibidos</w:t>
      </w:r>
    </w:p>
    <w:p w14:paraId="287FEE6E" w14:textId="77777777" w:rsidR="009849AB" w:rsidRPr="00C660E1" w:rsidRDefault="009849AB" w:rsidP="00C660E1">
      <w:pPr>
        <w:pStyle w:val="Prrafodelista"/>
        <w:numPr>
          <w:ilvl w:val="2"/>
          <w:numId w:val="1"/>
        </w:numPr>
        <w:autoSpaceDE w:val="0"/>
        <w:autoSpaceDN w:val="0"/>
        <w:adjustRightInd w:val="0"/>
        <w:spacing w:after="0" w:line="276" w:lineRule="auto"/>
        <w:ind w:left="851" w:right="23" w:hanging="284"/>
        <w:jc w:val="both"/>
        <w:rPr>
          <w:rFonts w:ascii="Arial" w:hAnsi="Arial" w:cs="Arial"/>
          <w:color w:val="000000" w:themeColor="text1"/>
          <w:sz w:val="24"/>
          <w:szCs w:val="24"/>
        </w:rPr>
      </w:pPr>
      <w:r w:rsidRPr="00C660E1">
        <w:rPr>
          <w:rFonts w:ascii="Arial" w:hAnsi="Arial" w:cs="Arial"/>
          <w:color w:val="000000" w:themeColor="text1"/>
          <w:sz w:val="24"/>
          <w:szCs w:val="24"/>
        </w:rPr>
        <w:t>Vías de acceso</w:t>
      </w:r>
    </w:p>
    <w:p w14:paraId="4EEAA7FC" w14:textId="77777777" w:rsidR="009849AB" w:rsidRPr="00C660E1" w:rsidRDefault="009849AB" w:rsidP="00C660E1">
      <w:pPr>
        <w:pStyle w:val="Prrafodelista"/>
        <w:numPr>
          <w:ilvl w:val="2"/>
          <w:numId w:val="1"/>
        </w:numPr>
        <w:autoSpaceDE w:val="0"/>
        <w:autoSpaceDN w:val="0"/>
        <w:adjustRightInd w:val="0"/>
        <w:spacing w:after="0" w:line="276" w:lineRule="auto"/>
        <w:ind w:left="851" w:right="23" w:hanging="284"/>
        <w:jc w:val="both"/>
        <w:rPr>
          <w:rFonts w:ascii="Arial" w:hAnsi="Arial" w:cs="Arial"/>
          <w:color w:val="000000" w:themeColor="text1"/>
          <w:sz w:val="24"/>
          <w:szCs w:val="24"/>
        </w:rPr>
      </w:pPr>
      <w:r w:rsidRPr="00C660E1">
        <w:rPr>
          <w:rFonts w:ascii="Arial" w:hAnsi="Arial" w:cs="Arial"/>
          <w:color w:val="000000" w:themeColor="text1"/>
          <w:sz w:val="24"/>
          <w:szCs w:val="24"/>
        </w:rPr>
        <w:t>Telecomunicaciones</w:t>
      </w:r>
    </w:p>
    <w:p w14:paraId="1B3B46F7" w14:textId="77777777" w:rsidR="009849AB" w:rsidRPr="00C660E1" w:rsidRDefault="009849AB" w:rsidP="00C660E1">
      <w:pPr>
        <w:pStyle w:val="Prrafodelista"/>
        <w:numPr>
          <w:ilvl w:val="2"/>
          <w:numId w:val="1"/>
        </w:numPr>
        <w:autoSpaceDE w:val="0"/>
        <w:autoSpaceDN w:val="0"/>
        <w:adjustRightInd w:val="0"/>
        <w:spacing w:after="0" w:line="276" w:lineRule="auto"/>
        <w:ind w:left="851" w:right="23" w:hanging="284"/>
        <w:jc w:val="both"/>
        <w:rPr>
          <w:rFonts w:ascii="Arial" w:hAnsi="Arial" w:cs="Arial"/>
          <w:color w:val="000000" w:themeColor="text1"/>
          <w:sz w:val="24"/>
          <w:szCs w:val="24"/>
        </w:rPr>
      </w:pPr>
      <w:r w:rsidRPr="00C660E1">
        <w:rPr>
          <w:rFonts w:ascii="Arial" w:hAnsi="Arial" w:cs="Arial"/>
          <w:color w:val="000000" w:themeColor="text1"/>
          <w:sz w:val="24"/>
          <w:szCs w:val="24"/>
        </w:rPr>
        <w:t>Transporte</w:t>
      </w:r>
    </w:p>
    <w:p w14:paraId="4C1E3218" w14:textId="77777777" w:rsidR="009849AB" w:rsidRPr="00C660E1" w:rsidRDefault="009849AB" w:rsidP="00C660E1">
      <w:pPr>
        <w:pStyle w:val="Prrafodelista"/>
        <w:numPr>
          <w:ilvl w:val="2"/>
          <w:numId w:val="1"/>
        </w:numPr>
        <w:autoSpaceDE w:val="0"/>
        <w:autoSpaceDN w:val="0"/>
        <w:adjustRightInd w:val="0"/>
        <w:spacing w:after="0" w:line="276" w:lineRule="auto"/>
        <w:ind w:left="851" w:right="23" w:hanging="284"/>
        <w:jc w:val="both"/>
        <w:rPr>
          <w:rFonts w:ascii="Arial" w:hAnsi="Arial" w:cs="Arial"/>
          <w:color w:val="000000" w:themeColor="text1"/>
          <w:sz w:val="24"/>
          <w:szCs w:val="24"/>
        </w:rPr>
      </w:pPr>
      <w:r w:rsidRPr="00C660E1">
        <w:rPr>
          <w:rFonts w:ascii="Arial" w:hAnsi="Arial" w:cs="Arial"/>
          <w:color w:val="000000" w:themeColor="text1"/>
          <w:sz w:val="24"/>
          <w:szCs w:val="24"/>
        </w:rPr>
        <w:t xml:space="preserve"> Distancias entre predios</w:t>
      </w:r>
    </w:p>
    <w:p w14:paraId="3D749DAF" w14:textId="77777777" w:rsidR="009849AB" w:rsidRPr="00C660E1" w:rsidRDefault="009849AB" w:rsidP="00C660E1">
      <w:pPr>
        <w:autoSpaceDE w:val="0"/>
        <w:autoSpaceDN w:val="0"/>
        <w:adjustRightInd w:val="0"/>
        <w:spacing w:after="0" w:line="276" w:lineRule="auto"/>
        <w:ind w:right="23"/>
        <w:jc w:val="both"/>
        <w:rPr>
          <w:rFonts w:ascii="Arial" w:hAnsi="Arial" w:cs="Arial"/>
          <w:color w:val="000000" w:themeColor="text1"/>
          <w:sz w:val="24"/>
          <w:szCs w:val="24"/>
        </w:rPr>
      </w:pPr>
    </w:p>
    <w:p w14:paraId="3DD209AE" w14:textId="77777777" w:rsidR="009849AB" w:rsidRPr="000D05DD" w:rsidRDefault="009849AB" w:rsidP="00C660E1">
      <w:pPr>
        <w:spacing w:line="276" w:lineRule="auto"/>
        <w:jc w:val="both"/>
        <w:rPr>
          <w:rFonts w:ascii="Arial" w:hAnsi="Arial" w:cs="Arial"/>
          <w:b/>
          <w:sz w:val="24"/>
          <w:szCs w:val="24"/>
          <w:lang w:val="es-EC"/>
        </w:rPr>
      </w:pPr>
      <w:r w:rsidRPr="000D05DD">
        <w:rPr>
          <w:rFonts w:ascii="Arial" w:hAnsi="Arial" w:cs="Arial"/>
          <w:b/>
          <w:sz w:val="24"/>
          <w:szCs w:val="24"/>
          <w:lang w:val="es-EC"/>
        </w:rPr>
        <w:t>SEGUNDA FASE: AJUSTE POR SALARIO BÁSICO UNIFICADO</w:t>
      </w:r>
    </w:p>
    <w:p w14:paraId="3DCA4083" w14:textId="26980EEE" w:rsidR="009849AB" w:rsidRPr="000D05DD" w:rsidRDefault="009849AB" w:rsidP="00C660E1">
      <w:pPr>
        <w:spacing w:line="276" w:lineRule="auto"/>
        <w:jc w:val="both"/>
        <w:rPr>
          <w:rFonts w:ascii="Arial" w:hAnsi="Arial" w:cs="Arial"/>
          <w:sz w:val="24"/>
          <w:szCs w:val="24"/>
          <w:lang w:val="es-EC"/>
        </w:rPr>
      </w:pPr>
      <w:r w:rsidRPr="000D05DD">
        <w:rPr>
          <w:rFonts w:ascii="Arial" w:hAnsi="Arial" w:cs="Arial"/>
          <w:sz w:val="24"/>
          <w:szCs w:val="24"/>
          <w:lang w:val="es-EC"/>
        </w:rPr>
        <w:t>El carácter dinámico de la sociedad quiteña y de la seguridad ciudadana, requiere montos que se ajusten a esa realidad</w:t>
      </w:r>
      <w:r w:rsidR="00E239C1">
        <w:rPr>
          <w:rFonts w:ascii="Arial" w:hAnsi="Arial" w:cs="Arial"/>
          <w:sz w:val="24"/>
          <w:szCs w:val="24"/>
          <w:lang w:val="es-EC"/>
        </w:rPr>
        <w:t xml:space="preserve"> por lo que </w:t>
      </w:r>
      <w:bookmarkStart w:id="1" w:name="_GoBack"/>
      <w:bookmarkEnd w:id="1"/>
      <w:r w:rsidRPr="000D05DD">
        <w:rPr>
          <w:rFonts w:ascii="Arial" w:hAnsi="Arial" w:cs="Arial"/>
          <w:sz w:val="24"/>
          <w:szCs w:val="24"/>
          <w:lang w:val="es-EC"/>
        </w:rPr>
        <w:t xml:space="preserve">se ha atado el valor sectorial estimado en la Primera Fase </w:t>
      </w:r>
      <w:r w:rsidRPr="000D05DD">
        <w:rPr>
          <w:rFonts w:ascii="Arial" w:hAnsi="Arial" w:cs="Arial"/>
          <w:b/>
          <w:sz w:val="24"/>
          <w:szCs w:val="24"/>
          <w:lang w:val="es-EC"/>
        </w:rPr>
        <w:t>al Salario Básico Unificado (SBU) del año del hecho generador</w:t>
      </w:r>
      <w:r w:rsidRPr="000D05DD">
        <w:rPr>
          <w:rFonts w:ascii="Arial" w:hAnsi="Arial" w:cs="Arial"/>
          <w:sz w:val="24"/>
          <w:szCs w:val="24"/>
          <w:lang w:val="es-EC"/>
        </w:rPr>
        <w:t>, y como resultado final se obtiene un porcentaje, dicho valor porcentual se aplicará de manera anual al SBU vigente y se convierte en la cuantía a cobrar como tasa.</w:t>
      </w:r>
    </w:p>
    <w:p w14:paraId="1319B570" w14:textId="19AB634A" w:rsidR="009849AB" w:rsidRPr="000D05DD" w:rsidRDefault="009849AB" w:rsidP="00C660E1">
      <w:pPr>
        <w:spacing w:line="276" w:lineRule="auto"/>
        <w:jc w:val="both"/>
        <w:rPr>
          <w:rFonts w:ascii="Arial" w:hAnsi="Arial" w:cs="Arial"/>
          <w:sz w:val="24"/>
          <w:szCs w:val="24"/>
          <w:lang w:val="es-EC"/>
        </w:rPr>
      </w:pPr>
      <w:r w:rsidRPr="000D05DD">
        <w:rPr>
          <w:rFonts w:ascii="Arial" w:hAnsi="Arial" w:cs="Arial"/>
          <w:sz w:val="24"/>
          <w:szCs w:val="24"/>
          <w:lang w:val="es-EC"/>
        </w:rPr>
        <w:t>El Salario Básico Unificado (SBU) es una aproximación del nivel de renta mínimo que tendría un contribuyente que paga la tasa, considerando que el pago de la misma está sujeto a la posesión de un predio. Para la fórmula de cálculo se establece una relación directa entre la Tasa de Seguridad y SBU.</w:t>
      </w:r>
    </w:p>
    <w:p w14:paraId="5C5246FA" w14:textId="77777777" w:rsidR="009849AB" w:rsidRPr="000D05DD" w:rsidRDefault="009849AB" w:rsidP="00C660E1">
      <w:pPr>
        <w:spacing w:line="276" w:lineRule="auto"/>
        <w:jc w:val="both"/>
        <w:rPr>
          <w:rFonts w:ascii="Arial" w:hAnsi="Arial" w:cs="Arial"/>
          <w:color w:val="000000"/>
          <w:sz w:val="24"/>
          <w:szCs w:val="24"/>
        </w:rPr>
      </w:pPr>
      <w:r w:rsidRPr="000D05DD">
        <w:rPr>
          <w:rFonts w:ascii="Arial" w:hAnsi="Arial" w:cs="Arial"/>
          <w:sz w:val="24"/>
          <w:szCs w:val="24"/>
          <w:lang w:val="es-EC"/>
        </w:rPr>
        <w:t xml:space="preserve">El porcentaje obtenido de dividir la cuantía calculada en la Primera Fase para el SBU, se convierte en parámetro para el cobro de esta tasa, mientras no cambie el SBU. Por ejemplo, en el Sector 1, el valor obtenido fue de $27.04 y si se lo divide para $400, el resultado final (convertido a porcentaje) es </w:t>
      </w:r>
      <w:r w:rsidRPr="000D05DD">
        <w:rPr>
          <w:rFonts w:ascii="Arial" w:hAnsi="Arial" w:cs="Arial"/>
          <w:color w:val="000000"/>
          <w:sz w:val="24"/>
          <w:szCs w:val="24"/>
        </w:rPr>
        <w:t xml:space="preserve">6.760%, y así respectivamente con cada sector. </w:t>
      </w:r>
      <w:r w:rsidRPr="000D05DD">
        <w:rPr>
          <w:rFonts w:ascii="Arial" w:hAnsi="Arial" w:cs="Arial"/>
          <w:sz w:val="24"/>
          <w:szCs w:val="24"/>
          <w:lang w:val="es-EC"/>
        </w:rPr>
        <w:t>Por lo tanto, los porcentajes derivados en los sectores deben permanecer constantes en el tiempo.</w:t>
      </w:r>
    </w:p>
    <w:p w14:paraId="5B79D4FD" w14:textId="77777777" w:rsidR="009849AB" w:rsidRPr="000D05DD" w:rsidRDefault="009849AB" w:rsidP="00C660E1">
      <w:pPr>
        <w:tabs>
          <w:tab w:val="left" w:pos="4320"/>
        </w:tabs>
        <w:spacing w:after="0" w:line="276" w:lineRule="auto"/>
        <w:jc w:val="center"/>
        <w:rPr>
          <w:rFonts w:ascii="Arial" w:hAnsi="Arial" w:cs="Arial"/>
          <w:sz w:val="24"/>
          <w:szCs w:val="24"/>
          <w:lang w:val="es-EC"/>
        </w:rPr>
      </w:pPr>
      <w:r w:rsidRPr="000D05DD">
        <w:rPr>
          <w:rFonts w:ascii="Arial" w:hAnsi="Arial" w:cs="Arial"/>
          <w:sz w:val="24"/>
          <w:szCs w:val="24"/>
        </w:rPr>
        <w:t xml:space="preserve">Tabla </w:t>
      </w:r>
      <w:r w:rsidRPr="000D05DD">
        <w:rPr>
          <w:rFonts w:ascii="Arial" w:hAnsi="Arial" w:cs="Arial"/>
          <w:i/>
          <w:iCs/>
          <w:sz w:val="24"/>
          <w:szCs w:val="24"/>
        </w:rPr>
        <w:fldChar w:fldCharType="begin"/>
      </w:r>
      <w:r w:rsidRPr="000D05DD">
        <w:rPr>
          <w:rFonts w:ascii="Arial" w:hAnsi="Arial" w:cs="Arial"/>
          <w:sz w:val="24"/>
          <w:szCs w:val="24"/>
        </w:rPr>
        <w:instrText xml:space="preserve"> SEQ Tabla \* ARABIC </w:instrText>
      </w:r>
      <w:r w:rsidRPr="000D05DD">
        <w:rPr>
          <w:rFonts w:ascii="Arial" w:hAnsi="Arial" w:cs="Arial"/>
          <w:i/>
          <w:iCs/>
          <w:sz w:val="24"/>
          <w:szCs w:val="24"/>
        </w:rPr>
        <w:fldChar w:fldCharType="separate"/>
      </w:r>
      <w:r w:rsidRPr="000D05DD">
        <w:rPr>
          <w:rFonts w:ascii="Arial" w:hAnsi="Arial" w:cs="Arial"/>
          <w:noProof/>
          <w:sz w:val="24"/>
          <w:szCs w:val="24"/>
        </w:rPr>
        <w:t>57</w:t>
      </w:r>
      <w:r w:rsidRPr="000D05DD">
        <w:rPr>
          <w:rFonts w:ascii="Arial" w:hAnsi="Arial" w:cs="Arial"/>
          <w:i/>
          <w:iCs/>
          <w:sz w:val="24"/>
          <w:szCs w:val="24"/>
        </w:rPr>
        <w:fldChar w:fldCharType="end"/>
      </w:r>
      <w:r w:rsidRPr="000D05DD">
        <w:rPr>
          <w:rFonts w:ascii="Arial" w:hAnsi="Arial" w:cs="Arial"/>
          <w:sz w:val="24"/>
          <w:szCs w:val="24"/>
        </w:rPr>
        <w:t xml:space="preserve"> </w:t>
      </w:r>
      <w:r w:rsidRPr="000D05DD">
        <w:rPr>
          <w:rFonts w:ascii="Arial" w:hAnsi="Arial" w:cs="Arial"/>
          <w:sz w:val="24"/>
          <w:szCs w:val="24"/>
          <w:lang w:val="es-EC"/>
        </w:rPr>
        <w:t>Porcentaje de la Tasa de Servicios de Seguridad Ciudadana – Contribuyentes por uso preferente a viviendas</w:t>
      </w:r>
    </w:p>
    <w:tbl>
      <w:tblPr>
        <w:tblStyle w:val="Tablaconcuadrculaclara"/>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478"/>
      </w:tblGrid>
      <w:tr w:rsidR="009849AB" w:rsidRPr="009849AB" w14:paraId="034C8995" w14:textId="77777777" w:rsidTr="004519D4">
        <w:trPr>
          <w:trHeight w:val="20"/>
          <w:jc w:val="center"/>
        </w:trPr>
        <w:tc>
          <w:tcPr>
            <w:tcW w:w="1620" w:type="dxa"/>
            <w:shd w:val="clear" w:color="auto" w:fill="1F3864" w:themeFill="accent5" w:themeFillShade="80"/>
            <w:noWrap/>
            <w:vAlign w:val="center"/>
            <w:hideMark/>
          </w:tcPr>
          <w:p w14:paraId="6BECC486" w14:textId="77777777" w:rsidR="009849AB" w:rsidRPr="009849AB" w:rsidRDefault="009849AB" w:rsidP="00C660E1">
            <w:pPr>
              <w:spacing w:line="276" w:lineRule="auto"/>
              <w:jc w:val="center"/>
              <w:rPr>
                <w:rFonts w:ascii="Arial" w:eastAsia="Times New Roman" w:hAnsi="Arial" w:cs="Arial"/>
                <w:b/>
                <w:color w:val="FFFFFF" w:themeColor="background1"/>
                <w:sz w:val="16"/>
                <w:szCs w:val="16"/>
              </w:rPr>
            </w:pPr>
            <w:r w:rsidRPr="009849AB">
              <w:rPr>
                <w:rFonts w:ascii="Arial" w:eastAsia="Times New Roman" w:hAnsi="Arial" w:cs="Arial"/>
                <w:b/>
                <w:color w:val="FFFFFF" w:themeColor="background1"/>
                <w:sz w:val="16"/>
                <w:szCs w:val="16"/>
              </w:rPr>
              <w:t>SECTOR</w:t>
            </w:r>
          </w:p>
        </w:tc>
        <w:tc>
          <w:tcPr>
            <w:tcW w:w="3478" w:type="dxa"/>
            <w:shd w:val="clear" w:color="auto" w:fill="1F3864" w:themeFill="accent5" w:themeFillShade="80"/>
            <w:vAlign w:val="center"/>
            <w:hideMark/>
          </w:tcPr>
          <w:p w14:paraId="753C47FB" w14:textId="77777777" w:rsidR="009849AB" w:rsidRPr="009849AB" w:rsidRDefault="009849AB" w:rsidP="00C660E1">
            <w:pPr>
              <w:spacing w:line="276" w:lineRule="auto"/>
              <w:jc w:val="center"/>
              <w:rPr>
                <w:rFonts w:ascii="Arial" w:eastAsia="Times New Roman" w:hAnsi="Arial" w:cs="Arial"/>
                <w:b/>
                <w:color w:val="FFFFFF" w:themeColor="background1"/>
                <w:sz w:val="16"/>
                <w:szCs w:val="16"/>
              </w:rPr>
            </w:pPr>
            <w:r w:rsidRPr="009849AB">
              <w:rPr>
                <w:rFonts w:ascii="Arial" w:eastAsia="Times New Roman" w:hAnsi="Arial" w:cs="Arial"/>
                <w:b/>
                <w:color w:val="FFFFFF" w:themeColor="background1"/>
                <w:sz w:val="16"/>
                <w:szCs w:val="16"/>
              </w:rPr>
              <w:t>PORCENTAJE DERIVADO DE AJUSTE POR SBU</w:t>
            </w:r>
          </w:p>
          <w:p w14:paraId="24A25967" w14:textId="77777777" w:rsidR="009849AB" w:rsidRPr="009849AB" w:rsidRDefault="009849AB" w:rsidP="00C660E1">
            <w:pPr>
              <w:spacing w:line="276" w:lineRule="auto"/>
              <w:jc w:val="center"/>
              <w:rPr>
                <w:rFonts w:ascii="Arial" w:eastAsia="Times New Roman" w:hAnsi="Arial" w:cs="Arial"/>
                <w:b/>
                <w:color w:val="FFFFFF" w:themeColor="background1"/>
                <w:sz w:val="16"/>
                <w:szCs w:val="16"/>
              </w:rPr>
            </w:pPr>
            <w:r w:rsidRPr="009849AB">
              <w:rPr>
                <w:rFonts w:ascii="Arial" w:eastAsia="Times New Roman" w:hAnsi="Arial" w:cs="Arial"/>
                <w:b/>
                <w:color w:val="FFFFFF" w:themeColor="background1"/>
                <w:sz w:val="16"/>
                <w:szCs w:val="16"/>
              </w:rPr>
              <w:t>*SUGERENCIA EMITIDA POR LA DIRECCIÓN METROPOLITANA FINANCIERA TRIBUTARIA</w:t>
            </w:r>
          </w:p>
        </w:tc>
      </w:tr>
      <w:tr w:rsidR="009849AB" w:rsidRPr="009849AB" w14:paraId="3C6F81EE" w14:textId="77777777" w:rsidTr="004519D4">
        <w:trPr>
          <w:trHeight w:val="20"/>
          <w:jc w:val="center"/>
        </w:trPr>
        <w:tc>
          <w:tcPr>
            <w:tcW w:w="1620" w:type="dxa"/>
            <w:noWrap/>
            <w:vAlign w:val="center"/>
            <w:hideMark/>
          </w:tcPr>
          <w:p w14:paraId="2A46BF58"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eastAsia="Times New Roman" w:hAnsi="Arial" w:cs="Arial"/>
                <w:color w:val="000000"/>
                <w:sz w:val="16"/>
                <w:szCs w:val="16"/>
              </w:rPr>
              <w:t>Sector 1</w:t>
            </w:r>
          </w:p>
        </w:tc>
        <w:tc>
          <w:tcPr>
            <w:tcW w:w="3478" w:type="dxa"/>
            <w:noWrap/>
            <w:vAlign w:val="center"/>
            <w:hideMark/>
          </w:tcPr>
          <w:p w14:paraId="77275EDF"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hAnsi="Arial" w:cs="Arial"/>
                <w:color w:val="000000"/>
                <w:sz w:val="16"/>
                <w:szCs w:val="16"/>
              </w:rPr>
              <w:t>6.760%</w:t>
            </w:r>
          </w:p>
        </w:tc>
      </w:tr>
      <w:tr w:rsidR="009849AB" w:rsidRPr="009849AB" w14:paraId="3F998A33" w14:textId="77777777" w:rsidTr="004519D4">
        <w:trPr>
          <w:trHeight w:val="20"/>
          <w:jc w:val="center"/>
        </w:trPr>
        <w:tc>
          <w:tcPr>
            <w:tcW w:w="1620" w:type="dxa"/>
            <w:noWrap/>
            <w:vAlign w:val="center"/>
            <w:hideMark/>
          </w:tcPr>
          <w:p w14:paraId="1CD8571D"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eastAsia="Times New Roman" w:hAnsi="Arial" w:cs="Arial"/>
                <w:color w:val="000000"/>
                <w:sz w:val="16"/>
                <w:szCs w:val="16"/>
              </w:rPr>
              <w:t>Sector 2</w:t>
            </w:r>
          </w:p>
        </w:tc>
        <w:tc>
          <w:tcPr>
            <w:tcW w:w="3478" w:type="dxa"/>
            <w:noWrap/>
            <w:vAlign w:val="center"/>
            <w:hideMark/>
          </w:tcPr>
          <w:p w14:paraId="3292AA3C"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hAnsi="Arial" w:cs="Arial"/>
                <w:color w:val="000000"/>
                <w:sz w:val="16"/>
                <w:szCs w:val="16"/>
              </w:rPr>
              <w:t>5.763%</w:t>
            </w:r>
          </w:p>
        </w:tc>
      </w:tr>
      <w:tr w:rsidR="009849AB" w:rsidRPr="009849AB" w14:paraId="32250A04" w14:textId="77777777" w:rsidTr="004519D4">
        <w:trPr>
          <w:trHeight w:val="20"/>
          <w:jc w:val="center"/>
        </w:trPr>
        <w:tc>
          <w:tcPr>
            <w:tcW w:w="1620" w:type="dxa"/>
            <w:noWrap/>
            <w:vAlign w:val="center"/>
            <w:hideMark/>
          </w:tcPr>
          <w:p w14:paraId="0057AE88"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eastAsia="Times New Roman" w:hAnsi="Arial" w:cs="Arial"/>
                <w:color w:val="000000"/>
                <w:sz w:val="16"/>
                <w:szCs w:val="16"/>
              </w:rPr>
              <w:t>Sector 3</w:t>
            </w:r>
          </w:p>
        </w:tc>
        <w:tc>
          <w:tcPr>
            <w:tcW w:w="3478" w:type="dxa"/>
            <w:noWrap/>
            <w:vAlign w:val="center"/>
            <w:hideMark/>
          </w:tcPr>
          <w:p w14:paraId="3ECF4F61"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hAnsi="Arial" w:cs="Arial"/>
                <w:color w:val="000000"/>
                <w:sz w:val="16"/>
                <w:szCs w:val="16"/>
              </w:rPr>
              <w:t>4.770%</w:t>
            </w:r>
          </w:p>
        </w:tc>
      </w:tr>
      <w:tr w:rsidR="009849AB" w:rsidRPr="009849AB" w14:paraId="0E73445B" w14:textId="77777777" w:rsidTr="004519D4">
        <w:trPr>
          <w:trHeight w:val="20"/>
          <w:jc w:val="center"/>
        </w:trPr>
        <w:tc>
          <w:tcPr>
            <w:tcW w:w="1620" w:type="dxa"/>
            <w:noWrap/>
            <w:vAlign w:val="center"/>
            <w:hideMark/>
          </w:tcPr>
          <w:p w14:paraId="51FE1225"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eastAsia="Times New Roman" w:hAnsi="Arial" w:cs="Arial"/>
                <w:color w:val="000000"/>
                <w:sz w:val="16"/>
                <w:szCs w:val="16"/>
              </w:rPr>
              <w:t>Sector 4</w:t>
            </w:r>
          </w:p>
        </w:tc>
        <w:tc>
          <w:tcPr>
            <w:tcW w:w="3478" w:type="dxa"/>
            <w:noWrap/>
            <w:vAlign w:val="center"/>
            <w:hideMark/>
          </w:tcPr>
          <w:p w14:paraId="1B0AF55A"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hAnsi="Arial" w:cs="Arial"/>
                <w:color w:val="000000"/>
                <w:sz w:val="16"/>
                <w:szCs w:val="16"/>
              </w:rPr>
              <w:t>3.748%</w:t>
            </w:r>
          </w:p>
        </w:tc>
      </w:tr>
      <w:tr w:rsidR="009849AB" w:rsidRPr="009849AB" w14:paraId="006BC572" w14:textId="77777777" w:rsidTr="004519D4">
        <w:trPr>
          <w:trHeight w:val="20"/>
          <w:jc w:val="center"/>
        </w:trPr>
        <w:tc>
          <w:tcPr>
            <w:tcW w:w="1620" w:type="dxa"/>
            <w:noWrap/>
            <w:vAlign w:val="center"/>
            <w:hideMark/>
          </w:tcPr>
          <w:p w14:paraId="7712158C"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eastAsia="Times New Roman" w:hAnsi="Arial" w:cs="Arial"/>
                <w:color w:val="000000"/>
                <w:sz w:val="16"/>
                <w:szCs w:val="16"/>
              </w:rPr>
              <w:t>Sector 5</w:t>
            </w:r>
          </w:p>
        </w:tc>
        <w:tc>
          <w:tcPr>
            <w:tcW w:w="3478" w:type="dxa"/>
            <w:noWrap/>
            <w:vAlign w:val="center"/>
            <w:hideMark/>
          </w:tcPr>
          <w:p w14:paraId="0BD1886F"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hAnsi="Arial" w:cs="Arial"/>
                <w:color w:val="000000"/>
                <w:sz w:val="16"/>
                <w:szCs w:val="16"/>
              </w:rPr>
              <w:t>2.998%</w:t>
            </w:r>
          </w:p>
        </w:tc>
      </w:tr>
      <w:tr w:rsidR="009849AB" w:rsidRPr="009849AB" w14:paraId="60EF18C0" w14:textId="77777777" w:rsidTr="004519D4">
        <w:trPr>
          <w:trHeight w:val="20"/>
          <w:jc w:val="center"/>
        </w:trPr>
        <w:tc>
          <w:tcPr>
            <w:tcW w:w="1620" w:type="dxa"/>
            <w:noWrap/>
            <w:vAlign w:val="center"/>
            <w:hideMark/>
          </w:tcPr>
          <w:p w14:paraId="418265F4"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eastAsia="Times New Roman" w:hAnsi="Arial" w:cs="Arial"/>
                <w:color w:val="000000"/>
                <w:sz w:val="16"/>
                <w:szCs w:val="16"/>
              </w:rPr>
              <w:t>Sector 6</w:t>
            </w:r>
          </w:p>
        </w:tc>
        <w:tc>
          <w:tcPr>
            <w:tcW w:w="3478" w:type="dxa"/>
            <w:noWrap/>
            <w:vAlign w:val="center"/>
            <w:hideMark/>
          </w:tcPr>
          <w:p w14:paraId="428E1CAE"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hAnsi="Arial" w:cs="Arial"/>
                <w:color w:val="000000"/>
                <w:sz w:val="16"/>
                <w:szCs w:val="16"/>
              </w:rPr>
              <w:t>2.278%</w:t>
            </w:r>
          </w:p>
        </w:tc>
      </w:tr>
      <w:tr w:rsidR="009849AB" w:rsidRPr="009849AB" w14:paraId="3AF0A00B" w14:textId="77777777" w:rsidTr="004519D4">
        <w:trPr>
          <w:trHeight w:val="20"/>
          <w:jc w:val="center"/>
        </w:trPr>
        <w:tc>
          <w:tcPr>
            <w:tcW w:w="1620" w:type="dxa"/>
            <w:noWrap/>
            <w:vAlign w:val="center"/>
            <w:hideMark/>
          </w:tcPr>
          <w:p w14:paraId="4F9559E9"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eastAsia="Times New Roman" w:hAnsi="Arial" w:cs="Arial"/>
                <w:color w:val="000000"/>
                <w:sz w:val="16"/>
                <w:szCs w:val="16"/>
              </w:rPr>
              <w:t>Sector 7</w:t>
            </w:r>
          </w:p>
        </w:tc>
        <w:tc>
          <w:tcPr>
            <w:tcW w:w="3478" w:type="dxa"/>
            <w:noWrap/>
            <w:vAlign w:val="center"/>
            <w:hideMark/>
          </w:tcPr>
          <w:p w14:paraId="2FA72985"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hAnsi="Arial" w:cs="Arial"/>
                <w:color w:val="000000"/>
                <w:sz w:val="16"/>
                <w:szCs w:val="16"/>
              </w:rPr>
              <w:t>1.503%</w:t>
            </w:r>
          </w:p>
        </w:tc>
      </w:tr>
      <w:tr w:rsidR="009849AB" w:rsidRPr="009849AB" w14:paraId="5AF509E5" w14:textId="77777777" w:rsidTr="004519D4">
        <w:trPr>
          <w:trHeight w:val="20"/>
          <w:jc w:val="center"/>
        </w:trPr>
        <w:tc>
          <w:tcPr>
            <w:tcW w:w="1620" w:type="dxa"/>
            <w:noWrap/>
            <w:vAlign w:val="center"/>
            <w:hideMark/>
          </w:tcPr>
          <w:p w14:paraId="3C389FD6"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eastAsia="Times New Roman" w:hAnsi="Arial" w:cs="Arial"/>
                <w:color w:val="000000"/>
                <w:sz w:val="16"/>
                <w:szCs w:val="16"/>
              </w:rPr>
              <w:t>Sector 8</w:t>
            </w:r>
          </w:p>
        </w:tc>
        <w:tc>
          <w:tcPr>
            <w:tcW w:w="3478" w:type="dxa"/>
            <w:noWrap/>
            <w:vAlign w:val="center"/>
            <w:hideMark/>
          </w:tcPr>
          <w:p w14:paraId="6358A66A"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hAnsi="Arial" w:cs="Arial"/>
                <w:color w:val="000000"/>
                <w:sz w:val="16"/>
                <w:szCs w:val="16"/>
              </w:rPr>
              <w:t>1.003%</w:t>
            </w:r>
          </w:p>
        </w:tc>
      </w:tr>
      <w:tr w:rsidR="009849AB" w:rsidRPr="009849AB" w14:paraId="2C9D1620" w14:textId="77777777" w:rsidTr="004519D4">
        <w:trPr>
          <w:trHeight w:val="20"/>
          <w:jc w:val="center"/>
        </w:trPr>
        <w:tc>
          <w:tcPr>
            <w:tcW w:w="1620" w:type="dxa"/>
            <w:noWrap/>
            <w:hideMark/>
          </w:tcPr>
          <w:p w14:paraId="05898AC9"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eastAsia="Times New Roman" w:hAnsi="Arial" w:cs="Arial"/>
                <w:color w:val="000000"/>
                <w:sz w:val="16"/>
                <w:szCs w:val="16"/>
              </w:rPr>
              <w:t>Sector 9</w:t>
            </w:r>
          </w:p>
        </w:tc>
        <w:tc>
          <w:tcPr>
            <w:tcW w:w="3478" w:type="dxa"/>
            <w:noWrap/>
            <w:vAlign w:val="center"/>
            <w:hideMark/>
          </w:tcPr>
          <w:p w14:paraId="089DE66A"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hAnsi="Arial" w:cs="Arial"/>
                <w:color w:val="000000"/>
                <w:sz w:val="16"/>
                <w:szCs w:val="16"/>
              </w:rPr>
              <w:t>0.500%</w:t>
            </w:r>
          </w:p>
        </w:tc>
      </w:tr>
    </w:tbl>
    <w:p w14:paraId="21668425" w14:textId="77777777" w:rsidR="009849AB" w:rsidRPr="009849AB" w:rsidRDefault="009849AB" w:rsidP="00C660E1">
      <w:pPr>
        <w:autoSpaceDE w:val="0"/>
        <w:autoSpaceDN w:val="0"/>
        <w:adjustRightInd w:val="0"/>
        <w:spacing w:after="0" w:line="276" w:lineRule="auto"/>
        <w:ind w:right="23"/>
        <w:jc w:val="center"/>
        <w:rPr>
          <w:rFonts w:ascii="Arial" w:hAnsi="Arial" w:cs="Arial"/>
          <w:color w:val="000000" w:themeColor="text1"/>
          <w:sz w:val="18"/>
          <w:szCs w:val="18"/>
        </w:rPr>
      </w:pPr>
      <w:r w:rsidRPr="009849AB">
        <w:rPr>
          <w:rFonts w:ascii="Arial" w:hAnsi="Arial" w:cs="Arial"/>
          <w:color w:val="000000" w:themeColor="text1"/>
          <w:sz w:val="18"/>
          <w:szCs w:val="18"/>
        </w:rPr>
        <w:t>Elaboración: OMSC</w:t>
      </w:r>
    </w:p>
    <w:p w14:paraId="74E853F5" w14:textId="77777777" w:rsidR="009849AB" w:rsidRPr="009849AB" w:rsidRDefault="009849AB" w:rsidP="00C660E1">
      <w:pPr>
        <w:tabs>
          <w:tab w:val="left" w:pos="4320"/>
        </w:tabs>
        <w:spacing w:after="0" w:line="276" w:lineRule="auto"/>
        <w:jc w:val="center"/>
        <w:rPr>
          <w:rFonts w:ascii="Arial" w:hAnsi="Arial" w:cs="Arial"/>
          <w:sz w:val="10"/>
          <w:szCs w:val="10"/>
        </w:rPr>
      </w:pPr>
    </w:p>
    <w:p w14:paraId="0FE9DA03" w14:textId="77777777" w:rsidR="009849AB" w:rsidRPr="000D05DD" w:rsidRDefault="009849AB" w:rsidP="00C660E1">
      <w:pPr>
        <w:tabs>
          <w:tab w:val="left" w:pos="4320"/>
        </w:tabs>
        <w:spacing w:after="0" w:line="276" w:lineRule="auto"/>
        <w:jc w:val="center"/>
        <w:rPr>
          <w:rFonts w:ascii="Arial" w:hAnsi="Arial" w:cs="Arial"/>
          <w:sz w:val="24"/>
          <w:szCs w:val="24"/>
          <w:lang w:val="es-EC"/>
        </w:rPr>
      </w:pPr>
      <w:r w:rsidRPr="000D05DD">
        <w:rPr>
          <w:rFonts w:ascii="Arial" w:hAnsi="Arial" w:cs="Arial"/>
          <w:sz w:val="24"/>
          <w:szCs w:val="24"/>
        </w:rPr>
        <w:lastRenderedPageBreak/>
        <w:t xml:space="preserve">Tabla </w:t>
      </w:r>
      <w:r w:rsidRPr="000D05DD">
        <w:rPr>
          <w:rFonts w:ascii="Arial" w:hAnsi="Arial" w:cs="Arial"/>
          <w:i/>
          <w:iCs/>
          <w:sz w:val="24"/>
          <w:szCs w:val="24"/>
        </w:rPr>
        <w:fldChar w:fldCharType="begin"/>
      </w:r>
      <w:r w:rsidRPr="000D05DD">
        <w:rPr>
          <w:rFonts w:ascii="Arial" w:hAnsi="Arial" w:cs="Arial"/>
          <w:sz w:val="24"/>
          <w:szCs w:val="24"/>
        </w:rPr>
        <w:instrText xml:space="preserve"> SEQ Tabla \* ARABIC </w:instrText>
      </w:r>
      <w:r w:rsidRPr="000D05DD">
        <w:rPr>
          <w:rFonts w:ascii="Arial" w:hAnsi="Arial" w:cs="Arial"/>
          <w:i/>
          <w:iCs/>
          <w:sz w:val="24"/>
          <w:szCs w:val="24"/>
        </w:rPr>
        <w:fldChar w:fldCharType="separate"/>
      </w:r>
      <w:r w:rsidRPr="000D05DD">
        <w:rPr>
          <w:rFonts w:ascii="Arial" w:hAnsi="Arial" w:cs="Arial"/>
          <w:noProof/>
          <w:sz w:val="24"/>
          <w:szCs w:val="24"/>
        </w:rPr>
        <w:t>58</w:t>
      </w:r>
      <w:r w:rsidRPr="000D05DD">
        <w:rPr>
          <w:rFonts w:ascii="Arial" w:hAnsi="Arial" w:cs="Arial"/>
          <w:i/>
          <w:iCs/>
          <w:sz w:val="24"/>
          <w:szCs w:val="24"/>
        </w:rPr>
        <w:fldChar w:fldCharType="end"/>
      </w:r>
      <w:r w:rsidRPr="000D05DD">
        <w:rPr>
          <w:rFonts w:ascii="Arial" w:hAnsi="Arial" w:cs="Arial"/>
          <w:i/>
          <w:iCs/>
          <w:sz w:val="24"/>
          <w:szCs w:val="24"/>
        </w:rPr>
        <w:t xml:space="preserve"> </w:t>
      </w:r>
      <w:r w:rsidRPr="000D05DD">
        <w:rPr>
          <w:rFonts w:ascii="Arial" w:hAnsi="Arial" w:cs="Arial"/>
          <w:sz w:val="24"/>
          <w:szCs w:val="24"/>
          <w:lang w:val="es-EC"/>
        </w:rPr>
        <w:t>Porcentaje de la Tasa de Servicios de Seguridad Ciudadana – Contribuyentes por uso preferente a actividades comerciales</w:t>
      </w:r>
    </w:p>
    <w:tbl>
      <w:tblPr>
        <w:tblStyle w:val="Tablaconcuadrculaclara"/>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622"/>
      </w:tblGrid>
      <w:tr w:rsidR="009849AB" w:rsidRPr="009849AB" w14:paraId="1FE73E82" w14:textId="77777777" w:rsidTr="004519D4">
        <w:trPr>
          <w:trHeight w:val="20"/>
          <w:jc w:val="center"/>
        </w:trPr>
        <w:tc>
          <w:tcPr>
            <w:tcW w:w="1760" w:type="dxa"/>
            <w:shd w:val="clear" w:color="auto" w:fill="1F3864" w:themeFill="accent5" w:themeFillShade="80"/>
            <w:noWrap/>
            <w:vAlign w:val="center"/>
            <w:hideMark/>
          </w:tcPr>
          <w:p w14:paraId="195D703F" w14:textId="77777777" w:rsidR="009849AB" w:rsidRPr="009849AB" w:rsidRDefault="009849AB" w:rsidP="00C660E1">
            <w:pPr>
              <w:spacing w:line="276" w:lineRule="auto"/>
              <w:jc w:val="center"/>
              <w:rPr>
                <w:rFonts w:ascii="Arial" w:eastAsia="Times New Roman" w:hAnsi="Arial" w:cs="Arial"/>
                <w:b/>
                <w:color w:val="FFFFFF" w:themeColor="background1"/>
                <w:sz w:val="16"/>
                <w:szCs w:val="16"/>
              </w:rPr>
            </w:pPr>
            <w:r w:rsidRPr="009849AB">
              <w:rPr>
                <w:rFonts w:ascii="Arial" w:eastAsia="Times New Roman" w:hAnsi="Arial" w:cs="Arial"/>
                <w:b/>
                <w:color w:val="FFFFFF" w:themeColor="background1"/>
                <w:sz w:val="16"/>
                <w:szCs w:val="16"/>
              </w:rPr>
              <w:t>SECTOR</w:t>
            </w:r>
          </w:p>
        </w:tc>
        <w:tc>
          <w:tcPr>
            <w:tcW w:w="3622" w:type="dxa"/>
            <w:shd w:val="clear" w:color="auto" w:fill="1F3864" w:themeFill="accent5" w:themeFillShade="80"/>
            <w:vAlign w:val="center"/>
            <w:hideMark/>
          </w:tcPr>
          <w:p w14:paraId="30A7DB7B" w14:textId="77777777" w:rsidR="009849AB" w:rsidRPr="009849AB" w:rsidRDefault="009849AB" w:rsidP="00C660E1">
            <w:pPr>
              <w:spacing w:line="276" w:lineRule="auto"/>
              <w:jc w:val="center"/>
              <w:rPr>
                <w:rFonts w:ascii="Arial" w:eastAsia="Times New Roman" w:hAnsi="Arial" w:cs="Arial"/>
                <w:b/>
                <w:color w:val="FFFFFF" w:themeColor="background1"/>
                <w:sz w:val="16"/>
                <w:szCs w:val="16"/>
              </w:rPr>
            </w:pPr>
            <w:r w:rsidRPr="009849AB">
              <w:rPr>
                <w:rFonts w:ascii="Arial" w:eastAsia="Times New Roman" w:hAnsi="Arial" w:cs="Arial"/>
                <w:b/>
                <w:color w:val="FFFFFF" w:themeColor="background1"/>
                <w:sz w:val="16"/>
                <w:szCs w:val="16"/>
              </w:rPr>
              <w:t>PORCENTAJE DERIVADO DE AJUSTE POR SBU</w:t>
            </w:r>
          </w:p>
          <w:p w14:paraId="329BD92C" w14:textId="77777777" w:rsidR="009849AB" w:rsidRPr="009849AB" w:rsidRDefault="009849AB" w:rsidP="00C660E1">
            <w:pPr>
              <w:spacing w:line="276" w:lineRule="auto"/>
              <w:jc w:val="center"/>
              <w:rPr>
                <w:rFonts w:ascii="Arial" w:eastAsia="Times New Roman" w:hAnsi="Arial" w:cs="Arial"/>
                <w:b/>
                <w:color w:val="FFFFFF" w:themeColor="background1"/>
                <w:sz w:val="16"/>
                <w:szCs w:val="16"/>
              </w:rPr>
            </w:pPr>
            <w:r w:rsidRPr="009849AB">
              <w:rPr>
                <w:rFonts w:ascii="Arial" w:eastAsia="Times New Roman" w:hAnsi="Arial" w:cs="Arial"/>
                <w:b/>
                <w:color w:val="FFFFFF" w:themeColor="background1"/>
                <w:sz w:val="16"/>
                <w:szCs w:val="16"/>
              </w:rPr>
              <w:t>*SUGERENCIA EMITIDA POR LA DIRECCIÓN METROPOLITANA FINANCIERA TRIBUTARIA</w:t>
            </w:r>
          </w:p>
        </w:tc>
      </w:tr>
      <w:tr w:rsidR="009849AB" w:rsidRPr="009849AB" w14:paraId="7AD8AF36" w14:textId="77777777" w:rsidTr="004519D4">
        <w:trPr>
          <w:trHeight w:val="20"/>
          <w:jc w:val="center"/>
        </w:trPr>
        <w:tc>
          <w:tcPr>
            <w:tcW w:w="1760" w:type="dxa"/>
            <w:noWrap/>
            <w:vAlign w:val="center"/>
            <w:hideMark/>
          </w:tcPr>
          <w:p w14:paraId="0555CCAF"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eastAsia="Times New Roman" w:hAnsi="Arial" w:cs="Arial"/>
                <w:color w:val="000000"/>
                <w:sz w:val="16"/>
                <w:szCs w:val="16"/>
              </w:rPr>
              <w:t>Sector 7,8,9</w:t>
            </w:r>
          </w:p>
        </w:tc>
        <w:tc>
          <w:tcPr>
            <w:tcW w:w="3622" w:type="dxa"/>
            <w:noWrap/>
            <w:vAlign w:val="center"/>
            <w:hideMark/>
          </w:tcPr>
          <w:p w14:paraId="479A05AE"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eastAsia="Times New Roman" w:hAnsi="Arial" w:cs="Arial"/>
                <w:color w:val="000000"/>
                <w:sz w:val="16"/>
                <w:szCs w:val="16"/>
              </w:rPr>
              <w:t>4.5050%</w:t>
            </w:r>
          </w:p>
        </w:tc>
      </w:tr>
      <w:tr w:rsidR="009849AB" w:rsidRPr="009849AB" w14:paraId="449411B5" w14:textId="77777777" w:rsidTr="004519D4">
        <w:trPr>
          <w:trHeight w:val="20"/>
          <w:jc w:val="center"/>
        </w:trPr>
        <w:tc>
          <w:tcPr>
            <w:tcW w:w="1760" w:type="dxa"/>
            <w:noWrap/>
            <w:vAlign w:val="center"/>
            <w:hideMark/>
          </w:tcPr>
          <w:p w14:paraId="65C6A400"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eastAsia="Times New Roman" w:hAnsi="Arial" w:cs="Arial"/>
                <w:color w:val="000000"/>
                <w:sz w:val="16"/>
                <w:szCs w:val="16"/>
              </w:rPr>
              <w:t>Sector 4,5,6</w:t>
            </w:r>
          </w:p>
        </w:tc>
        <w:tc>
          <w:tcPr>
            <w:tcW w:w="3622" w:type="dxa"/>
            <w:noWrap/>
            <w:vAlign w:val="center"/>
            <w:hideMark/>
          </w:tcPr>
          <w:p w14:paraId="108E77BC"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eastAsia="Times New Roman" w:hAnsi="Arial" w:cs="Arial"/>
                <w:color w:val="000000"/>
                <w:sz w:val="16"/>
                <w:szCs w:val="16"/>
              </w:rPr>
              <w:t>6.0150%</w:t>
            </w:r>
          </w:p>
        </w:tc>
      </w:tr>
      <w:tr w:rsidR="009849AB" w:rsidRPr="009849AB" w14:paraId="2C1C88EF" w14:textId="77777777" w:rsidTr="004519D4">
        <w:trPr>
          <w:trHeight w:val="20"/>
          <w:jc w:val="center"/>
        </w:trPr>
        <w:tc>
          <w:tcPr>
            <w:tcW w:w="1760" w:type="dxa"/>
            <w:noWrap/>
            <w:vAlign w:val="center"/>
            <w:hideMark/>
          </w:tcPr>
          <w:p w14:paraId="7F781F3F"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eastAsia="Times New Roman" w:hAnsi="Arial" w:cs="Arial"/>
                <w:color w:val="000000"/>
                <w:sz w:val="16"/>
                <w:szCs w:val="16"/>
              </w:rPr>
              <w:t>Sector 1,2,3</w:t>
            </w:r>
          </w:p>
        </w:tc>
        <w:tc>
          <w:tcPr>
            <w:tcW w:w="3622" w:type="dxa"/>
            <w:noWrap/>
            <w:vAlign w:val="center"/>
            <w:hideMark/>
          </w:tcPr>
          <w:p w14:paraId="3E53B391" w14:textId="77777777" w:rsidR="009849AB" w:rsidRPr="009849AB" w:rsidRDefault="009849AB" w:rsidP="00C660E1">
            <w:pPr>
              <w:spacing w:line="276" w:lineRule="auto"/>
              <w:jc w:val="center"/>
              <w:rPr>
                <w:rFonts w:ascii="Arial" w:eastAsia="Times New Roman" w:hAnsi="Arial" w:cs="Arial"/>
                <w:color w:val="000000"/>
                <w:sz w:val="16"/>
                <w:szCs w:val="16"/>
              </w:rPr>
            </w:pPr>
            <w:r w:rsidRPr="009849AB">
              <w:rPr>
                <w:rFonts w:ascii="Arial" w:eastAsia="Times New Roman" w:hAnsi="Arial" w:cs="Arial"/>
                <w:color w:val="000000"/>
                <w:sz w:val="16"/>
                <w:szCs w:val="16"/>
              </w:rPr>
              <w:t>7.5500%</w:t>
            </w:r>
          </w:p>
        </w:tc>
      </w:tr>
    </w:tbl>
    <w:p w14:paraId="5DBE08B2" w14:textId="77777777" w:rsidR="009849AB" w:rsidRPr="009849AB" w:rsidRDefault="009849AB" w:rsidP="00C660E1">
      <w:pPr>
        <w:autoSpaceDE w:val="0"/>
        <w:autoSpaceDN w:val="0"/>
        <w:adjustRightInd w:val="0"/>
        <w:spacing w:after="0" w:line="276" w:lineRule="auto"/>
        <w:ind w:right="23"/>
        <w:jc w:val="center"/>
        <w:rPr>
          <w:rFonts w:ascii="Arial" w:hAnsi="Arial" w:cs="Arial"/>
          <w:color w:val="000000" w:themeColor="text1"/>
          <w:sz w:val="18"/>
          <w:szCs w:val="18"/>
        </w:rPr>
      </w:pPr>
      <w:r w:rsidRPr="009849AB">
        <w:rPr>
          <w:rFonts w:ascii="Arial" w:hAnsi="Arial" w:cs="Arial"/>
          <w:color w:val="000000" w:themeColor="text1"/>
          <w:sz w:val="18"/>
          <w:szCs w:val="18"/>
        </w:rPr>
        <w:t>Elaboración: OMSC</w:t>
      </w:r>
    </w:p>
    <w:p w14:paraId="5E6086A1" w14:textId="77777777" w:rsidR="009849AB" w:rsidRPr="000D05DD" w:rsidRDefault="009849AB" w:rsidP="00C660E1">
      <w:pPr>
        <w:autoSpaceDE w:val="0"/>
        <w:autoSpaceDN w:val="0"/>
        <w:adjustRightInd w:val="0"/>
        <w:spacing w:after="0" w:line="276" w:lineRule="auto"/>
        <w:ind w:right="23"/>
        <w:jc w:val="both"/>
        <w:rPr>
          <w:rFonts w:ascii="Arial" w:hAnsi="Arial" w:cs="Arial"/>
          <w:color w:val="000000" w:themeColor="text1"/>
          <w:sz w:val="24"/>
          <w:szCs w:val="24"/>
        </w:rPr>
      </w:pPr>
      <w:r w:rsidRPr="000D05DD">
        <w:rPr>
          <w:rFonts w:ascii="Arial" w:hAnsi="Arial" w:cs="Arial"/>
          <w:color w:val="000000" w:themeColor="text1"/>
          <w:sz w:val="24"/>
          <w:szCs w:val="24"/>
        </w:rPr>
        <w:t>En relación al área rural, para el establecimiento de la tasa a cobrar debe tener como elementos generadores base, aparte de los establecidos por el AIVAS:</w:t>
      </w:r>
    </w:p>
    <w:p w14:paraId="3819B2E5" w14:textId="77777777" w:rsidR="009849AB" w:rsidRPr="000D05DD" w:rsidRDefault="009849AB" w:rsidP="00C660E1">
      <w:pPr>
        <w:pStyle w:val="Prrafodelista"/>
        <w:numPr>
          <w:ilvl w:val="2"/>
          <w:numId w:val="1"/>
        </w:numPr>
        <w:autoSpaceDE w:val="0"/>
        <w:autoSpaceDN w:val="0"/>
        <w:adjustRightInd w:val="0"/>
        <w:spacing w:after="0" w:line="276" w:lineRule="auto"/>
        <w:ind w:left="851" w:right="23" w:hanging="284"/>
        <w:jc w:val="both"/>
        <w:rPr>
          <w:rFonts w:ascii="Arial" w:hAnsi="Arial" w:cs="Arial"/>
          <w:color w:val="000000" w:themeColor="text1"/>
          <w:sz w:val="24"/>
          <w:szCs w:val="24"/>
        </w:rPr>
      </w:pPr>
      <w:r w:rsidRPr="000D05DD">
        <w:rPr>
          <w:rFonts w:ascii="Arial" w:hAnsi="Arial" w:cs="Arial"/>
          <w:color w:val="000000" w:themeColor="text1"/>
          <w:sz w:val="24"/>
          <w:szCs w:val="24"/>
        </w:rPr>
        <w:t>Extensión territorial</w:t>
      </w:r>
    </w:p>
    <w:p w14:paraId="4CF0BDF4" w14:textId="77777777" w:rsidR="009849AB" w:rsidRPr="000D05DD" w:rsidRDefault="009849AB" w:rsidP="00C660E1">
      <w:pPr>
        <w:pStyle w:val="Prrafodelista"/>
        <w:numPr>
          <w:ilvl w:val="2"/>
          <w:numId w:val="1"/>
        </w:numPr>
        <w:autoSpaceDE w:val="0"/>
        <w:autoSpaceDN w:val="0"/>
        <w:adjustRightInd w:val="0"/>
        <w:spacing w:after="0" w:line="276" w:lineRule="auto"/>
        <w:ind w:left="851" w:right="23" w:hanging="284"/>
        <w:jc w:val="both"/>
        <w:rPr>
          <w:rFonts w:ascii="Arial" w:hAnsi="Arial" w:cs="Arial"/>
          <w:color w:val="000000" w:themeColor="text1"/>
          <w:sz w:val="24"/>
          <w:szCs w:val="24"/>
        </w:rPr>
      </w:pPr>
      <w:r w:rsidRPr="000D05DD">
        <w:rPr>
          <w:rFonts w:ascii="Arial" w:hAnsi="Arial" w:cs="Arial"/>
          <w:color w:val="000000" w:themeColor="text1"/>
          <w:sz w:val="24"/>
          <w:szCs w:val="24"/>
        </w:rPr>
        <w:t>Dispersión de viviendas</w:t>
      </w:r>
    </w:p>
    <w:p w14:paraId="4AB40D69" w14:textId="77777777" w:rsidR="009849AB" w:rsidRPr="000D05DD" w:rsidRDefault="009849AB" w:rsidP="00C660E1">
      <w:pPr>
        <w:pStyle w:val="Prrafodelista"/>
        <w:numPr>
          <w:ilvl w:val="2"/>
          <w:numId w:val="1"/>
        </w:numPr>
        <w:autoSpaceDE w:val="0"/>
        <w:autoSpaceDN w:val="0"/>
        <w:adjustRightInd w:val="0"/>
        <w:spacing w:after="0" w:line="276" w:lineRule="auto"/>
        <w:ind w:left="851" w:right="23" w:hanging="284"/>
        <w:jc w:val="both"/>
        <w:rPr>
          <w:rFonts w:ascii="Arial" w:hAnsi="Arial" w:cs="Arial"/>
          <w:color w:val="000000" w:themeColor="text1"/>
          <w:sz w:val="24"/>
          <w:szCs w:val="24"/>
        </w:rPr>
      </w:pPr>
      <w:r w:rsidRPr="000D05DD">
        <w:rPr>
          <w:rFonts w:ascii="Arial" w:hAnsi="Arial" w:cs="Arial"/>
          <w:color w:val="000000" w:themeColor="text1"/>
          <w:sz w:val="24"/>
          <w:szCs w:val="24"/>
        </w:rPr>
        <w:t>Servicios recibidos</w:t>
      </w:r>
    </w:p>
    <w:p w14:paraId="787351D4" w14:textId="77777777" w:rsidR="009849AB" w:rsidRPr="000D05DD" w:rsidRDefault="009849AB" w:rsidP="00C660E1">
      <w:pPr>
        <w:pStyle w:val="Prrafodelista"/>
        <w:numPr>
          <w:ilvl w:val="2"/>
          <w:numId w:val="1"/>
        </w:numPr>
        <w:autoSpaceDE w:val="0"/>
        <w:autoSpaceDN w:val="0"/>
        <w:adjustRightInd w:val="0"/>
        <w:spacing w:after="0" w:line="276" w:lineRule="auto"/>
        <w:ind w:left="851" w:right="23" w:hanging="284"/>
        <w:jc w:val="both"/>
        <w:rPr>
          <w:rFonts w:ascii="Arial" w:hAnsi="Arial" w:cs="Arial"/>
          <w:color w:val="000000" w:themeColor="text1"/>
          <w:sz w:val="24"/>
          <w:szCs w:val="24"/>
        </w:rPr>
      </w:pPr>
      <w:r w:rsidRPr="000D05DD">
        <w:rPr>
          <w:rFonts w:ascii="Arial" w:hAnsi="Arial" w:cs="Arial"/>
          <w:color w:val="000000" w:themeColor="text1"/>
          <w:sz w:val="24"/>
          <w:szCs w:val="24"/>
        </w:rPr>
        <w:t>Vías de acceso</w:t>
      </w:r>
    </w:p>
    <w:p w14:paraId="7B17264D" w14:textId="77777777" w:rsidR="009849AB" w:rsidRPr="000D05DD" w:rsidRDefault="009849AB" w:rsidP="00C660E1">
      <w:pPr>
        <w:pStyle w:val="Prrafodelista"/>
        <w:numPr>
          <w:ilvl w:val="2"/>
          <w:numId w:val="1"/>
        </w:numPr>
        <w:autoSpaceDE w:val="0"/>
        <w:autoSpaceDN w:val="0"/>
        <w:adjustRightInd w:val="0"/>
        <w:spacing w:after="0" w:line="276" w:lineRule="auto"/>
        <w:ind w:left="851" w:right="23" w:hanging="284"/>
        <w:jc w:val="both"/>
        <w:rPr>
          <w:rFonts w:ascii="Arial" w:hAnsi="Arial" w:cs="Arial"/>
          <w:color w:val="000000" w:themeColor="text1"/>
          <w:sz w:val="24"/>
          <w:szCs w:val="24"/>
        </w:rPr>
      </w:pPr>
      <w:r w:rsidRPr="000D05DD">
        <w:rPr>
          <w:rFonts w:ascii="Arial" w:hAnsi="Arial" w:cs="Arial"/>
          <w:color w:val="000000" w:themeColor="text1"/>
          <w:sz w:val="24"/>
          <w:szCs w:val="24"/>
        </w:rPr>
        <w:t>Telecomunicaciones</w:t>
      </w:r>
    </w:p>
    <w:p w14:paraId="42255494" w14:textId="77777777" w:rsidR="009849AB" w:rsidRPr="000D05DD" w:rsidRDefault="009849AB" w:rsidP="00C660E1">
      <w:pPr>
        <w:pStyle w:val="Prrafodelista"/>
        <w:numPr>
          <w:ilvl w:val="2"/>
          <w:numId w:val="1"/>
        </w:numPr>
        <w:autoSpaceDE w:val="0"/>
        <w:autoSpaceDN w:val="0"/>
        <w:adjustRightInd w:val="0"/>
        <w:spacing w:after="0" w:line="276" w:lineRule="auto"/>
        <w:ind w:left="851" w:right="23" w:hanging="284"/>
        <w:jc w:val="both"/>
        <w:rPr>
          <w:rFonts w:ascii="Arial" w:hAnsi="Arial" w:cs="Arial"/>
          <w:color w:val="000000" w:themeColor="text1"/>
          <w:sz w:val="24"/>
          <w:szCs w:val="24"/>
        </w:rPr>
      </w:pPr>
      <w:r w:rsidRPr="000D05DD">
        <w:rPr>
          <w:rFonts w:ascii="Arial" w:hAnsi="Arial" w:cs="Arial"/>
          <w:color w:val="000000" w:themeColor="text1"/>
          <w:sz w:val="24"/>
          <w:szCs w:val="24"/>
        </w:rPr>
        <w:t>Transporte</w:t>
      </w:r>
    </w:p>
    <w:p w14:paraId="2D2A8E4E" w14:textId="77777777" w:rsidR="009849AB" w:rsidRPr="000D05DD" w:rsidRDefault="009849AB" w:rsidP="00C660E1">
      <w:pPr>
        <w:pStyle w:val="Prrafodelista"/>
        <w:numPr>
          <w:ilvl w:val="2"/>
          <w:numId w:val="1"/>
        </w:numPr>
        <w:autoSpaceDE w:val="0"/>
        <w:autoSpaceDN w:val="0"/>
        <w:adjustRightInd w:val="0"/>
        <w:spacing w:after="0" w:line="276" w:lineRule="auto"/>
        <w:ind w:left="851" w:right="23" w:hanging="284"/>
        <w:jc w:val="both"/>
        <w:rPr>
          <w:rFonts w:ascii="Arial" w:hAnsi="Arial" w:cs="Arial"/>
          <w:color w:val="000000" w:themeColor="text1"/>
          <w:sz w:val="24"/>
          <w:szCs w:val="24"/>
        </w:rPr>
      </w:pPr>
      <w:r w:rsidRPr="000D05DD">
        <w:rPr>
          <w:rFonts w:ascii="Arial" w:hAnsi="Arial" w:cs="Arial"/>
          <w:color w:val="000000" w:themeColor="text1"/>
          <w:sz w:val="24"/>
          <w:szCs w:val="24"/>
        </w:rPr>
        <w:t xml:space="preserve"> Distancias entre predios</w:t>
      </w:r>
    </w:p>
    <w:p w14:paraId="54A20653" w14:textId="77777777" w:rsidR="009849AB" w:rsidRPr="000D05DD" w:rsidRDefault="009849AB" w:rsidP="00C660E1">
      <w:pPr>
        <w:autoSpaceDE w:val="0"/>
        <w:autoSpaceDN w:val="0"/>
        <w:adjustRightInd w:val="0"/>
        <w:spacing w:after="0" w:line="276" w:lineRule="auto"/>
        <w:ind w:right="23"/>
        <w:jc w:val="both"/>
        <w:rPr>
          <w:rFonts w:ascii="Arial" w:hAnsi="Arial" w:cs="Arial"/>
          <w:color w:val="000000" w:themeColor="text1"/>
          <w:sz w:val="24"/>
          <w:szCs w:val="24"/>
        </w:rPr>
      </w:pPr>
    </w:p>
    <w:p w14:paraId="66D97CA3" w14:textId="77777777" w:rsidR="009849AB" w:rsidRPr="000D05DD" w:rsidRDefault="009849AB" w:rsidP="00C660E1">
      <w:pPr>
        <w:autoSpaceDE w:val="0"/>
        <w:autoSpaceDN w:val="0"/>
        <w:adjustRightInd w:val="0"/>
        <w:spacing w:after="0" w:line="276" w:lineRule="auto"/>
        <w:ind w:right="23"/>
        <w:jc w:val="both"/>
        <w:rPr>
          <w:rFonts w:ascii="Arial" w:hAnsi="Arial" w:cs="Arial"/>
          <w:bCs/>
          <w:color w:val="000000" w:themeColor="text1"/>
          <w:sz w:val="24"/>
          <w:szCs w:val="24"/>
        </w:rPr>
      </w:pPr>
      <w:r w:rsidRPr="000D05DD">
        <w:rPr>
          <w:rFonts w:ascii="Arial" w:hAnsi="Arial" w:cs="Arial"/>
          <w:color w:val="000000" w:themeColor="text1"/>
          <w:sz w:val="24"/>
          <w:szCs w:val="24"/>
        </w:rPr>
        <w:t xml:space="preserve">Una vez caracterizado o entendido el área rural de Quito debe considerarse </w:t>
      </w:r>
      <w:r w:rsidRPr="000D05DD">
        <w:rPr>
          <w:rFonts w:ascii="Arial" w:hAnsi="Arial" w:cs="Arial"/>
          <w:b/>
          <w:color w:val="000000" w:themeColor="text1"/>
          <w:sz w:val="24"/>
          <w:szCs w:val="24"/>
        </w:rPr>
        <w:t xml:space="preserve">una tasa de </w:t>
      </w:r>
      <w:r w:rsidRPr="000D05DD">
        <w:rPr>
          <w:rFonts w:ascii="Arial" w:eastAsia="Times New Roman" w:hAnsi="Arial" w:cs="Arial"/>
          <w:b/>
          <w:color w:val="000000"/>
          <w:sz w:val="24"/>
          <w:szCs w:val="24"/>
        </w:rPr>
        <w:t>0.50%</w:t>
      </w:r>
      <w:r w:rsidRPr="000D05DD">
        <w:rPr>
          <w:rFonts w:ascii="Arial" w:hAnsi="Arial" w:cs="Arial"/>
          <w:b/>
          <w:color w:val="000000" w:themeColor="text1"/>
          <w:sz w:val="24"/>
          <w:szCs w:val="24"/>
        </w:rPr>
        <w:t xml:space="preserve"> sobre el Salario Básico Unificado vigente, </w:t>
      </w:r>
      <w:r w:rsidRPr="000D05DD">
        <w:rPr>
          <w:rFonts w:ascii="Arial" w:hAnsi="Arial" w:cs="Arial"/>
          <w:color w:val="000000" w:themeColor="text1"/>
          <w:sz w:val="24"/>
          <w:szCs w:val="24"/>
        </w:rPr>
        <w:t xml:space="preserve">y para predios destinados a actividades de carácter económico y de servicios, </w:t>
      </w:r>
      <w:r w:rsidRPr="000D05DD">
        <w:rPr>
          <w:rFonts w:ascii="Arial" w:hAnsi="Arial" w:cs="Arial"/>
          <w:b/>
          <w:color w:val="000000" w:themeColor="text1"/>
          <w:sz w:val="24"/>
          <w:szCs w:val="24"/>
        </w:rPr>
        <w:t xml:space="preserve">la tasa es de 1.003% sobre el Salario Básico Unificado vigente, </w:t>
      </w:r>
      <w:r w:rsidRPr="000D05DD">
        <w:rPr>
          <w:rFonts w:ascii="Arial" w:hAnsi="Arial" w:cs="Arial"/>
          <w:bCs/>
          <w:color w:val="000000" w:themeColor="text1"/>
          <w:sz w:val="24"/>
          <w:szCs w:val="24"/>
        </w:rPr>
        <w:t>que tienen relación con el cuadro de sectorización para</w:t>
      </w:r>
      <w:r w:rsidRPr="000D05DD">
        <w:rPr>
          <w:rFonts w:ascii="Arial" w:hAnsi="Arial" w:cs="Arial"/>
          <w:sz w:val="24"/>
          <w:szCs w:val="24"/>
        </w:rPr>
        <w:t xml:space="preserve"> </w:t>
      </w:r>
      <w:r w:rsidRPr="000D05DD">
        <w:rPr>
          <w:rFonts w:ascii="Arial" w:hAnsi="Arial" w:cs="Arial"/>
          <w:bCs/>
          <w:color w:val="000000" w:themeColor="text1"/>
          <w:sz w:val="24"/>
          <w:szCs w:val="24"/>
        </w:rPr>
        <w:t>Contribuyentes por uso preferente a viviendas (sector 9 y sector 8).</w:t>
      </w:r>
    </w:p>
    <w:p w14:paraId="408F54ED" w14:textId="77777777" w:rsidR="009849AB" w:rsidRPr="000D05DD" w:rsidRDefault="009849AB" w:rsidP="00C660E1">
      <w:pPr>
        <w:autoSpaceDE w:val="0"/>
        <w:autoSpaceDN w:val="0"/>
        <w:adjustRightInd w:val="0"/>
        <w:spacing w:after="0" w:line="276" w:lineRule="auto"/>
        <w:ind w:right="23"/>
        <w:jc w:val="both"/>
        <w:rPr>
          <w:rFonts w:ascii="Arial" w:hAnsi="Arial" w:cs="Arial"/>
          <w:bCs/>
          <w:color w:val="000000" w:themeColor="text1"/>
          <w:sz w:val="24"/>
          <w:szCs w:val="24"/>
        </w:rPr>
      </w:pPr>
    </w:p>
    <w:p w14:paraId="55B9EE86" w14:textId="77777777" w:rsidR="009849AB" w:rsidRPr="000D05DD" w:rsidRDefault="009849AB" w:rsidP="00C660E1">
      <w:pPr>
        <w:autoSpaceDE w:val="0"/>
        <w:autoSpaceDN w:val="0"/>
        <w:adjustRightInd w:val="0"/>
        <w:spacing w:after="0" w:line="276" w:lineRule="auto"/>
        <w:ind w:right="23"/>
        <w:jc w:val="both"/>
        <w:rPr>
          <w:rFonts w:ascii="Arial" w:hAnsi="Arial" w:cs="Arial"/>
          <w:color w:val="000000" w:themeColor="text1"/>
          <w:sz w:val="24"/>
          <w:szCs w:val="24"/>
        </w:rPr>
      </w:pPr>
      <w:r w:rsidRPr="000D05DD">
        <w:rPr>
          <w:rFonts w:ascii="Arial" w:hAnsi="Arial" w:cs="Arial"/>
          <w:color w:val="000000" w:themeColor="text1"/>
          <w:sz w:val="24"/>
          <w:szCs w:val="24"/>
        </w:rPr>
        <w:t>Además, no estarán sujetos de pago de la tasa de servicios de seguridad ciudadana las personas de la tercera edad, jubilados, y con capacidades especiales, propietarios de bienes inmuebles ubicados en el área del Distrito Metropolitano de Quito.</w:t>
      </w:r>
    </w:p>
    <w:p w14:paraId="59007022" w14:textId="77777777" w:rsidR="009849AB" w:rsidRPr="000D05DD" w:rsidRDefault="009849AB" w:rsidP="00C660E1">
      <w:pPr>
        <w:autoSpaceDE w:val="0"/>
        <w:autoSpaceDN w:val="0"/>
        <w:adjustRightInd w:val="0"/>
        <w:spacing w:after="0" w:line="276" w:lineRule="auto"/>
        <w:ind w:right="23"/>
        <w:jc w:val="both"/>
        <w:rPr>
          <w:rFonts w:ascii="Arial" w:hAnsi="Arial" w:cs="Arial"/>
          <w:color w:val="000000" w:themeColor="text1"/>
          <w:sz w:val="24"/>
          <w:szCs w:val="24"/>
        </w:rPr>
      </w:pPr>
    </w:p>
    <w:p w14:paraId="00DA9FF2" w14:textId="77777777" w:rsidR="009849AB" w:rsidRPr="000D05DD" w:rsidRDefault="009849AB" w:rsidP="00C660E1">
      <w:pPr>
        <w:spacing w:line="276" w:lineRule="auto"/>
        <w:jc w:val="both"/>
        <w:rPr>
          <w:rFonts w:ascii="Arial" w:hAnsi="Arial" w:cs="Arial"/>
          <w:color w:val="000000"/>
          <w:sz w:val="24"/>
          <w:szCs w:val="24"/>
        </w:rPr>
      </w:pPr>
      <w:r w:rsidRPr="000D05DD">
        <w:rPr>
          <w:rFonts w:ascii="Arial" w:hAnsi="Arial" w:cs="Arial"/>
          <w:color w:val="000000" w:themeColor="text1"/>
          <w:sz w:val="24"/>
          <w:szCs w:val="24"/>
        </w:rPr>
        <w:t xml:space="preserve">Para estimaciones futuras, </w:t>
      </w:r>
      <w:r w:rsidRPr="000D05DD">
        <w:rPr>
          <w:rFonts w:ascii="Arial" w:hAnsi="Arial" w:cs="Arial"/>
          <w:color w:val="000000"/>
          <w:sz w:val="24"/>
          <w:szCs w:val="24"/>
        </w:rPr>
        <w:t>a modo de ejemplo, si subiera el SBU a $450 en los próximos años, el porcentaje del sector 1, que ya se estableció como fijo en el tiempo, arrojaría una cuantía de tasa de $450*6.760%, es decir, en el sector 1 se pagaría $30.42. Bajo esa explicación, se procederá con cada uno de los sectores tanto a nivel residencial, comercial, área urbana y rural.</w:t>
      </w:r>
    </w:p>
    <w:p w14:paraId="5E36C75A" w14:textId="77777777" w:rsidR="009849AB" w:rsidRPr="000D05DD" w:rsidRDefault="009849AB" w:rsidP="00C660E1">
      <w:pPr>
        <w:autoSpaceDE w:val="0"/>
        <w:autoSpaceDN w:val="0"/>
        <w:adjustRightInd w:val="0"/>
        <w:spacing w:after="0" w:line="276" w:lineRule="auto"/>
        <w:ind w:right="23"/>
        <w:jc w:val="both"/>
        <w:rPr>
          <w:rFonts w:ascii="Arial" w:hAnsi="Arial" w:cs="Arial"/>
          <w:color w:val="000000" w:themeColor="text1"/>
          <w:sz w:val="24"/>
          <w:szCs w:val="24"/>
        </w:rPr>
      </w:pPr>
      <w:r w:rsidRPr="000D05DD">
        <w:rPr>
          <w:rFonts w:ascii="Arial" w:hAnsi="Arial" w:cs="Arial"/>
          <w:color w:val="000000" w:themeColor="text1"/>
          <w:sz w:val="24"/>
          <w:szCs w:val="24"/>
        </w:rPr>
        <w:t>Es importante mencionar que, la guía para la utilización de los recursos provenientes de la tasa de servicios de seguridad ciudadana debe responder al Plan Metropolitano de Seguridad Ciudadana y Convivencia Pacífica.</w:t>
      </w:r>
    </w:p>
    <w:p w14:paraId="3D3B0E49" w14:textId="77777777" w:rsidR="00694174" w:rsidRPr="000D05DD" w:rsidRDefault="00694174" w:rsidP="00C660E1">
      <w:pPr>
        <w:spacing w:before="240" w:after="240" w:line="276" w:lineRule="auto"/>
        <w:rPr>
          <w:rFonts w:ascii="Arial" w:eastAsia="Arial" w:hAnsi="Arial" w:cs="Arial"/>
          <w:b/>
          <w:sz w:val="24"/>
          <w:szCs w:val="24"/>
        </w:rPr>
      </w:pPr>
    </w:p>
    <w:p w14:paraId="6C7D0BA8" w14:textId="6CD83375" w:rsidR="00341C9E" w:rsidRPr="009849AB" w:rsidRDefault="00760C65" w:rsidP="00C660E1">
      <w:pPr>
        <w:spacing w:before="240" w:after="240" w:line="276" w:lineRule="auto"/>
        <w:jc w:val="center"/>
        <w:rPr>
          <w:rFonts w:ascii="Arial" w:eastAsia="Arial" w:hAnsi="Arial" w:cs="Arial"/>
          <w:b/>
          <w:sz w:val="24"/>
          <w:szCs w:val="24"/>
        </w:rPr>
      </w:pPr>
      <w:r w:rsidRPr="009849AB">
        <w:rPr>
          <w:rFonts w:ascii="Arial" w:eastAsia="Arial" w:hAnsi="Arial" w:cs="Arial"/>
          <w:b/>
          <w:sz w:val="24"/>
          <w:szCs w:val="24"/>
        </w:rPr>
        <w:t>EL CONCEJO METROPOLITANO DE QUITO</w:t>
      </w:r>
    </w:p>
    <w:p w14:paraId="14352A10" w14:textId="0BDB1B3F" w:rsidR="00341C9E" w:rsidRPr="009849AB" w:rsidRDefault="00760C65" w:rsidP="00C660E1">
      <w:pPr>
        <w:spacing w:before="240" w:after="240" w:line="276" w:lineRule="auto"/>
        <w:jc w:val="both"/>
        <w:rPr>
          <w:rFonts w:ascii="Arial" w:eastAsia="Arial" w:hAnsi="Arial" w:cs="Arial"/>
          <w:b/>
          <w:sz w:val="24"/>
          <w:szCs w:val="24"/>
        </w:rPr>
      </w:pPr>
      <w:r w:rsidRPr="009849AB">
        <w:rPr>
          <w:rFonts w:ascii="Arial" w:eastAsia="Arial" w:hAnsi="Arial" w:cs="Arial"/>
          <w:b/>
          <w:sz w:val="24"/>
          <w:szCs w:val="24"/>
        </w:rPr>
        <w:lastRenderedPageBreak/>
        <w:t xml:space="preserve">Vistos el informe No. XXXXX, expedido por la Comisión de </w:t>
      </w:r>
      <w:r w:rsidR="009F6542" w:rsidRPr="009849AB">
        <w:rPr>
          <w:rFonts w:ascii="Arial" w:eastAsia="Arial" w:hAnsi="Arial" w:cs="Arial"/>
          <w:b/>
          <w:sz w:val="24"/>
          <w:szCs w:val="24"/>
        </w:rPr>
        <w:t>Presupuesto, Finanzas y Tributación</w:t>
      </w:r>
    </w:p>
    <w:p w14:paraId="569B6F5E" w14:textId="4C70AAD5" w:rsidR="00341C9E" w:rsidRPr="009849AB" w:rsidRDefault="00760C65" w:rsidP="00C660E1">
      <w:pPr>
        <w:spacing w:before="240" w:after="240" w:line="276" w:lineRule="auto"/>
        <w:jc w:val="center"/>
        <w:rPr>
          <w:rFonts w:ascii="Arial" w:eastAsia="Arial" w:hAnsi="Arial" w:cs="Arial"/>
          <w:b/>
          <w:sz w:val="24"/>
          <w:szCs w:val="24"/>
        </w:rPr>
      </w:pPr>
      <w:r w:rsidRPr="009849AB">
        <w:rPr>
          <w:rFonts w:ascii="Arial" w:eastAsia="Arial" w:hAnsi="Arial" w:cs="Arial"/>
          <w:b/>
          <w:sz w:val="24"/>
          <w:szCs w:val="24"/>
        </w:rPr>
        <w:t>CONSIDERANDO</w:t>
      </w:r>
    </w:p>
    <w:p w14:paraId="240C54E6"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artículo 3 de la Constitución de la República del Ecuador (en adelante, “CRE”) dispone que son deberes primordiales del Estado y sus instituciones asegurar la vigencia de los derechos humanos, las libertades fundamentales de los ciudadanos y garantizar a sus habitantes el derecho a una cultura de paz, a la seguridad integral y a vivir en una sociedad democrática y libre de corrupción;</w:t>
      </w:r>
    </w:p>
    <w:p w14:paraId="0821B6AD"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artículo 53 de la CRE dispone que “[l]</w:t>
      </w:r>
      <w:r w:rsidRPr="009849AB">
        <w:rPr>
          <w:rFonts w:ascii="Arial" w:eastAsia="Arial" w:hAnsi="Arial" w:cs="Arial"/>
          <w:i/>
          <w:sz w:val="24"/>
          <w:szCs w:val="24"/>
        </w:rPr>
        <w:t>as empresas, instituciones y organismos que presten servicios públicos deberán incorporar sistemas de medición de satisfacción de las personas usuarias y consumidoras, y poner en práctica sistemas de atención y reparación</w:t>
      </w:r>
      <w:r w:rsidRPr="009849AB">
        <w:rPr>
          <w:rFonts w:ascii="Arial" w:eastAsia="Arial" w:hAnsi="Arial" w:cs="Arial"/>
          <w:sz w:val="24"/>
          <w:szCs w:val="24"/>
        </w:rPr>
        <w:t>”;</w:t>
      </w:r>
    </w:p>
    <w:p w14:paraId="1069CA64"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w:t>
      </w:r>
      <w:r w:rsidRPr="009849AB">
        <w:rPr>
          <w:rFonts w:ascii="Arial" w:eastAsia="Arial" w:hAnsi="Arial" w:cs="Arial"/>
          <w:b/>
          <w:sz w:val="24"/>
          <w:szCs w:val="24"/>
        </w:rPr>
        <w:t xml:space="preserve"> </w:t>
      </w:r>
      <w:r w:rsidRPr="009849AB">
        <w:rPr>
          <w:rFonts w:ascii="Arial" w:eastAsia="Arial" w:hAnsi="Arial" w:cs="Arial"/>
          <w:sz w:val="24"/>
          <w:szCs w:val="24"/>
        </w:rPr>
        <w:t xml:space="preserve">el artículo 82 de la CRE señala que </w:t>
      </w:r>
      <w:r w:rsidRPr="009849AB">
        <w:rPr>
          <w:rFonts w:ascii="Arial" w:eastAsia="Arial" w:hAnsi="Arial" w:cs="Arial"/>
          <w:i/>
          <w:sz w:val="24"/>
          <w:szCs w:val="24"/>
        </w:rPr>
        <w:t>“</w:t>
      </w:r>
      <w:r w:rsidRPr="009849AB">
        <w:rPr>
          <w:rFonts w:ascii="Arial" w:eastAsia="Arial" w:hAnsi="Arial" w:cs="Arial"/>
          <w:sz w:val="24"/>
          <w:szCs w:val="24"/>
        </w:rPr>
        <w:t>[e]</w:t>
      </w:r>
      <w:r w:rsidRPr="009849AB">
        <w:rPr>
          <w:rFonts w:ascii="Arial" w:eastAsia="Arial" w:hAnsi="Arial" w:cs="Arial"/>
          <w:i/>
          <w:sz w:val="24"/>
          <w:szCs w:val="24"/>
        </w:rPr>
        <w:t>l derecho a la seguridad jurídica se fundamenta en el respeto a la Constitución y en la existencia de normas jurídicas previas, claras, públicas y aplicadas por las autoridades competentes”</w:t>
      </w:r>
      <w:r w:rsidRPr="009849AB">
        <w:rPr>
          <w:rFonts w:ascii="Arial" w:eastAsia="Arial" w:hAnsi="Arial" w:cs="Arial"/>
          <w:sz w:val="24"/>
          <w:szCs w:val="24"/>
        </w:rPr>
        <w:t>;</w:t>
      </w:r>
    </w:p>
    <w:p w14:paraId="45861301"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inciso segundo del numeral 3, del artículo 85 de la CRE, establece que “[l]</w:t>
      </w:r>
      <w:r w:rsidRPr="009849AB">
        <w:rPr>
          <w:rFonts w:ascii="Arial" w:eastAsia="Arial" w:hAnsi="Arial" w:cs="Arial"/>
          <w:i/>
          <w:sz w:val="24"/>
          <w:szCs w:val="24"/>
        </w:rPr>
        <w:t>a formulación, ejecución, evaluación y control de las políticas públicas y servicios públicos que garanticen los derechos reconocidos por la Constitución, se regularán de acuerdo con las siguientes disposiciones</w:t>
      </w:r>
      <w:r w:rsidRPr="009849AB">
        <w:rPr>
          <w:rFonts w:ascii="Arial" w:eastAsia="Arial" w:hAnsi="Arial" w:cs="Arial"/>
          <w:sz w:val="24"/>
          <w:szCs w:val="24"/>
        </w:rPr>
        <w:t xml:space="preserve">: (…) </w:t>
      </w:r>
      <w:r w:rsidRPr="009849AB">
        <w:rPr>
          <w:rFonts w:ascii="Arial" w:eastAsia="Arial" w:hAnsi="Arial" w:cs="Arial"/>
          <w:i/>
          <w:sz w:val="24"/>
          <w:szCs w:val="24"/>
        </w:rPr>
        <w:t>3.</w:t>
      </w:r>
      <w:r w:rsidRPr="009849AB">
        <w:rPr>
          <w:rFonts w:ascii="Arial" w:eastAsia="Arial" w:hAnsi="Arial" w:cs="Arial"/>
          <w:sz w:val="24"/>
          <w:szCs w:val="24"/>
        </w:rPr>
        <w:t xml:space="preserve"> (…) </w:t>
      </w:r>
      <w:r w:rsidRPr="009849AB">
        <w:rPr>
          <w:rFonts w:ascii="Arial" w:eastAsia="Arial" w:hAnsi="Arial" w:cs="Arial"/>
          <w:i/>
          <w:sz w:val="24"/>
          <w:szCs w:val="24"/>
        </w:rPr>
        <w:t>En la formulación, ejecución, evaluación y control de las políticas públicas y servicios públicos se garantizará la participación de las personas, comunidades, pueblos, y nacionalidades</w:t>
      </w:r>
      <w:r w:rsidRPr="009849AB">
        <w:rPr>
          <w:rFonts w:ascii="Arial" w:eastAsia="Arial" w:hAnsi="Arial" w:cs="Arial"/>
          <w:sz w:val="24"/>
          <w:szCs w:val="24"/>
        </w:rPr>
        <w:t>;</w:t>
      </w:r>
    </w:p>
    <w:p w14:paraId="4393DB70"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artículo 95 de la CRE consagra el derecho de participación de la ciudadanía en todos los asuntos de interés público y prevé que las ciudadanas y los ciudadanos, en forma individual o colectiva, participen de manera protagónica en la toma de decisiones, planificación y gestión de los asuntos públicos;</w:t>
      </w:r>
    </w:p>
    <w:p w14:paraId="1A563BDF"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 xml:space="preserve">Que, el artículo 158 de la norma referida </w:t>
      </w:r>
      <w:r w:rsidRPr="009849AB">
        <w:rPr>
          <w:rFonts w:ascii="Arial" w:eastAsia="Arial" w:hAnsi="Arial" w:cs="Arial"/>
          <w:i/>
          <w:sz w:val="24"/>
          <w:szCs w:val="24"/>
        </w:rPr>
        <w:t>ut supra</w:t>
      </w:r>
      <w:r w:rsidRPr="009849AB">
        <w:rPr>
          <w:rFonts w:ascii="Arial" w:eastAsia="Arial" w:hAnsi="Arial" w:cs="Arial"/>
          <w:sz w:val="24"/>
          <w:szCs w:val="24"/>
        </w:rPr>
        <w:t xml:space="preserve"> establece que la Policía Nacional tendrá como su misión fundamental garantizar la protección interna y el mantenimiento del orden público; siendo responsabilidad de las instituciones públicas, nacionales y seccionales apoyarla para el mejor cumplimiento de sus objetivos;</w:t>
      </w:r>
    </w:p>
    <w:p w14:paraId="794387DD"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 xml:space="preserve">Que, el artículo 226 de la CRE dispone: </w:t>
      </w:r>
      <w:r w:rsidRPr="009849AB">
        <w:rPr>
          <w:rFonts w:ascii="Arial" w:eastAsia="Arial" w:hAnsi="Arial" w:cs="Arial"/>
          <w:i/>
          <w:sz w:val="24"/>
          <w:szCs w:val="24"/>
        </w:rPr>
        <w:t>“</w:t>
      </w:r>
      <w:r w:rsidRPr="009849AB">
        <w:rPr>
          <w:rFonts w:ascii="Arial" w:eastAsia="Arial" w:hAnsi="Arial" w:cs="Arial"/>
          <w:sz w:val="24"/>
          <w:szCs w:val="24"/>
        </w:rPr>
        <w:t>[l]</w:t>
      </w:r>
      <w:r w:rsidRPr="009849AB">
        <w:rPr>
          <w:rFonts w:ascii="Arial" w:eastAsia="Arial" w:hAnsi="Arial" w:cs="Arial"/>
          <w:i/>
          <w:sz w:val="24"/>
          <w:szCs w:val="24"/>
        </w:rPr>
        <w:t xml:space="preserve">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w:t>
      </w:r>
      <w:r w:rsidRPr="009849AB">
        <w:rPr>
          <w:rFonts w:ascii="Arial" w:eastAsia="Arial" w:hAnsi="Arial" w:cs="Arial"/>
          <w:i/>
          <w:sz w:val="24"/>
          <w:szCs w:val="24"/>
        </w:rPr>
        <w:lastRenderedPageBreak/>
        <w:t>hacer efectivo el goce y ejercicio de los derechos reconocidos en la Constitución”</w:t>
      </w:r>
      <w:r w:rsidRPr="009849AB">
        <w:rPr>
          <w:rFonts w:ascii="Arial" w:eastAsia="Arial" w:hAnsi="Arial" w:cs="Arial"/>
          <w:sz w:val="24"/>
          <w:szCs w:val="24"/>
        </w:rPr>
        <w:t>;</w:t>
      </w:r>
    </w:p>
    <w:p w14:paraId="2EC02FC8"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artículo 227 de la CRE manda</w:t>
      </w:r>
      <w:r w:rsidRPr="009849AB">
        <w:rPr>
          <w:rFonts w:ascii="Arial" w:eastAsia="Arial" w:hAnsi="Arial" w:cs="Arial"/>
          <w:i/>
          <w:sz w:val="24"/>
          <w:szCs w:val="24"/>
        </w:rPr>
        <w:t>: "</w:t>
      </w:r>
      <w:r w:rsidRPr="009849AB">
        <w:rPr>
          <w:rFonts w:ascii="Arial" w:eastAsia="Arial" w:hAnsi="Arial" w:cs="Arial"/>
          <w:sz w:val="24"/>
          <w:szCs w:val="24"/>
        </w:rPr>
        <w:t>[l]</w:t>
      </w:r>
      <w:r w:rsidRPr="009849AB">
        <w:rPr>
          <w:rFonts w:ascii="Arial" w:eastAsia="Arial" w:hAnsi="Arial" w:cs="Arial"/>
          <w:i/>
          <w:sz w:val="24"/>
          <w:szCs w:val="24"/>
        </w:rPr>
        <w:t>a administración pública constituye un servicio a la colectividad que se rige por los principios de eficacia, eficiencia, calidad, jerarquía, desconcentración, descentralización, coordinación, participación, planificación, transparencia y evaluación”</w:t>
      </w:r>
      <w:r w:rsidRPr="009849AB">
        <w:rPr>
          <w:rFonts w:ascii="Arial" w:eastAsia="Arial" w:hAnsi="Arial" w:cs="Arial"/>
          <w:sz w:val="24"/>
          <w:szCs w:val="24"/>
        </w:rPr>
        <w:t>;</w:t>
      </w:r>
    </w:p>
    <w:p w14:paraId="1DF5E74C"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la CRE en su artículo 240 determina que los gobiernos autónomos descentralizados en el marco de sus competencias tendrán facultades legislativas en su circunscripción territorial correspondiente;</w:t>
      </w:r>
    </w:p>
    <w:p w14:paraId="7DB707B4"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artículo 260 de la CRE dispone que “[e]</w:t>
      </w:r>
      <w:r w:rsidRPr="009849AB">
        <w:rPr>
          <w:rFonts w:ascii="Arial" w:eastAsia="Arial" w:hAnsi="Arial" w:cs="Arial"/>
          <w:i/>
          <w:sz w:val="24"/>
          <w:szCs w:val="24"/>
        </w:rPr>
        <w:t>l ejercicio de las competencias exclusivas no excluirá el ejercicio concurrente de la gestión en la prestación de servicios públicos y actividades de colaboración y complementariedad entre los distintos niveles de gobierno</w:t>
      </w:r>
      <w:r w:rsidRPr="009849AB">
        <w:rPr>
          <w:rFonts w:ascii="Arial" w:eastAsia="Arial" w:hAnsi="Arial" w:cs="Arial"/>
          <w:sz w:val="24"/>
          <w:szCs w:val="24"/>
        </w:rPr>
        <w:t>”;</w:t>
      </w:r>
    </w:p>
    <w:p w14:paraId="71AF6DF6"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artículo 261 de la CRE señala que es competencia exclusiva del Gobierno Central “</w:t>
      </w:r>
      <w:r w:rsidRPr="009849AB">
        <w:rPr>
          <w:rFonts w:ascii="Arial" w:eastAsia="Arial" w:hAnsi="Arial" w:cs="Arial"/>
          <w:i/>
          <w:sz w:val="24"/>
          <w:szCs w:val="24"/>
        </w:rPr>
        <w:t>1. La defensa nacional, protección interna y orden público</w:t>
      </w:r>
      <w:r w:rsidRPr="009849AB">
        <w:rPr>
          <w:rFonts w:ascii="Arial" w:eastAsia="Arial" w:hAnsi="Arial" w:cs="Arial"/>
          <w:sz w:val="24"/>
          <w:szCs w:val="24"/>
        </w:rPr>
        <w:t xml:space="preserve"> (…);”</w:t>
      </w:r>
    </w:p>
    <w:p w14:paraId="721A7405"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artículo 301 de la norma ibídem señala: “[s]</w:t>
      </w:r>
      <w:r w:rsidRPr="009849AB">
        <w:rPr>
          <w:rFonts w:ascii="Arial" w:eastAsia="Arial" w:hAnsi="Arial" w:cs="Arial"/>
          <w:i/>
          <w:sz w:val="24"/>
          <w:szCs w:val="24"/>
        </w:rPr>
        <w:t>ólo por iniciativa de la Función Ejecutiva y mediante ley sancionada por la Asamblea Nacional se podrá establecer, modificar, exonerar o extinguir impuestos. Sólo por acto normativo de órgano competente se podrán establecer, modificar, exonerar y extinguir tasas y contribuciones. Las tasas y contribuciones especiales se crearán y regularán de acuerdo con la ley</w:t>
      </w:r>
      <w:r w:rsidRPr="009849AB">
        <w:rPr>
          <w:rFonts w:ascii="Arial" w:eastAsia="Arial" w:hAnsi="Arial" w:cs="Arial"/>
          <w:sz w:val="24"/>
          <w:szCs w:val="24"/>
        </w:rPr>
        <w:t>”;</w:t>
      </w:r>
    </w:p>
    <w:p w14:paraId="7BE1D52E"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artículo 389 de la CRE señala que es deber del Estado proteger “</w:t>
      </w:r>
      <w:r w:rsidRPr="009849AB">
        <w:rPr>
          <w:rFonts w:ascii="Arial" w:eastAsia="Arial" w:hAnsi="Arial" w:cs="Arial"/>
          <w:i/>
          <w:sz w:val="24"/>
          <w:szCs w:val="24"/>
        </w:rPr>
        <w:t>a las personas, las colectividades y la naturaleza frente a los efectos negativos de los desastres de origen natural o antrópico mediante la prevención ante el riesgo, la mitigación de desastres, la recuperación y mantenimiento de las condiciones sociales, económicas y ambientales, con el objetivo de minimizar la condición de vulnerabilidad (…)</w:t>
      </w:r>
      <w:r w:rsidRPr="009849AB">
        <w:rPr>
          <w:rFonts w:ascii="Arial" w:eastAsia="Arial" w:hAnsi="Arial" w:cs="Arial"/>
          <w:sz w:val="24"/>
          <w:szCs w:val="24"/>
        </w:rPr>
        <w:t xml:space="preserve">”; </w:t>
      </w:r>
    </w:p>
    <w:p w14:paraId="21BC3F2C" w14:textId="77777777" w:rsidR="00341C9E" w:rsidRPr="009849AB" w:rsidRDefault="00760C65" w:rsidP="00C660E1">
      <w:pPr>
        <w:spacing w:before="240" w:after="240" w:line="276" w:lineRule="auto"/>
        <w:ind w:left="60"/>
        <w:jc w:val="both"/>
        <w:rPr>
          <w:rFonts w:ascii="Arial" w:eastAsia="Arial" w:hAnsi="Arial" w:cs="Arial"/>
          <w:sz w:val="24"/>
          <w:szCs w:val="24"/>
        </w:rPr>
      </w:pPr>
      <w:r w:rsidRPr="009849AB">
        <w:rPr>
          <w:rFonts w:ascii="Arial" w:eastAsia="Arial" w:hAnsi="Arial" w:cs="Arial"/>
          <w:sz w:val="24"/>
          <w:szCs w:val="24"/>
        </w:rPr>
        <w:t>Que, el artículo 390 de la CRE expresa que: “[l]</w:t>
      </w:r>
      <w:r w:rsidRPr="009849AB">
        <w:rPr>
          <w:rFonts w:ascii="Arial" w:eastAsia="Arial" w:hAnsi="Arial" w:cs="Arial"/>
          <w:i/>
          <w:sz w:val="24"/>
          <w:szCs w:val="24"/>
        </w:rPr>
        <w:t>os riesgos se gestionarán bajo el principio de descentralización subsidiaria, que implicará la responsabilidad directa de las instituciones dentro de su ámbito geográfico. Cuando sus capacidades para la gestión del riesgo sean insuficientes, las instancias de mayor ámbito territorial y mayor capacidad técnica y financiera brindarán el apoyo necesario con respeto a su autoridad en el territorio y sin relevarlos de su responsabilidad”</w:t>
      </w:r>
      <w:r w:rsidRPr="009849AB">
        <w:rPr>
          <w:rFonts w:ascii="Arial" w:eastAsia="Arial" w:hAnsi="Arial" w:cs="Arial"/>
          <w:sz w:val="24"/>
          <w:szCs w:val="24"/>
        </w:rPr>
        <w:t>;</w:t>
      </w:r>
    </w:p>
    <w:p w14:paraId="4DD03F65"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 xml:space="preserve">Que, el artículo 393 de la CRE dispone que el Estado garantizará la seguridad humana a través de políticas y acciones integradas, para asegurar la convivencia </w:t>
      </w:r>
      <w:r w:rsidRPr="009849AB">
        <w:rPr>
          <w:rFonts w:ascii="Arial" w:eastAsia="Arial" w:hAnsi="Arial" w:cs="Arial"/>
          <w:sz w:val="24"/>
          <w:szCs w:val="24"/>
        </w:rPr>
        <w:lastRenderedPageBreak/>
        <w:t>pacífica de las personas, promover una cultura de paz y prevenir las formas de violencia y discriminación y la comisión de infracciones y delitos. La planificación y aplicación de estas políticas se encargará a órganos especializados en los diferentes niveles de gobierno;</w:t>
      </w:r>
    </w:p>
    <w:p w14:paraId="491CD950" w14:textId="77777777" w:rsidR="00341C9E" w:rsidRPr="009849AB" w:rsidRDefault="00760C65" w:rsidP="00C660E1">
      <w:pPr>
        <w:shd w:val="clear" w:color="auto" w:fill="FFFFFF"/>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artículo 28 del Código Orgánico Administrativo dispone que las administraciones trabajarán de manera coordinada, complementaria y prestándose auxilio mutuo, así mismo acordarán mecanismos de coordinación para la gestión de sus competencias y el uso eficiente de los recursos;</w:t>
      </w:r>
    </w:p>
    <w:p w14:paraId="72C9A0CF" w14:textId="77777777" w:rsidR="00341C9E" w:rsidRPr="009849AB" w:rsidRDefault="00760C65" w:rsidP="00C660E1">
      <w:pPr>
        <w:shd w:val="clear" w:color="auto" w:fill="FFFFFF"/>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artículo 5 del Código Orgánico de Organización Territorial, Autonomía y Descentralización, (en adelante, “COOTAD”) establece que: “[l]</w:t>
      </w:r>
      <w:r w:rsidRPr="009849AB">
        <w:rPr>
          <w:rFonts w:ascii="Arial" w:eastAsia="Arial" w:hAnsi="Arial" w:cs="Arial"/>
          <w:i/>
          <w:sz w:val="24"/>
          <w:szCs w:val="24"/>
        </w:rPr>
        <w:t>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w:t>
      </w:r>
      <w:r w:rsidRPr="009849AB">
        <w:rPr>
          <w:rFonts w:ascii="Arial" w:eastAsia="Arial" w:hAnsi="Arial" w:cs="Arial"/>
          <w:sz w:val="24"/>
          <w:szCs w:val="24"/>
        </w:rPr>
        <w:t xml:space="preserve"> (...)".</w:t>
      </w:r>
    </w:p>
    <w:p w14:paraId="3C2B21BB"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artículo 54, letra n) de; COOTAD señala: “[s]</w:t>
      </w:r>
      <w:r w:rsidRPr="009849AB">
        <w:rPr>
          <w:rFonts w:ascii="Arial" w:eastAsia="Arial" w:hAnsi="Arial" w:cs="Arial"/>
          <w:i/>
          <w:sz w:val="24"/>
          <w:szCs w:val="24"/>
        </w:rPr>
        <w:t>on funciones del gobierno autónomo descentralizado municipal las siguientes (…): n) Crear y coordinar los consejos de seguridad ciudadana municipal, con la participación de la Policía Nacional, la comunidad y otros organismos relacionados con la materia de seguridad, los cuales formularán y ejecutarán políticas locales, planes y evaluación de resultados sobre prevención, protección, seguridad y convivencia ciudadana</w:t>
      </w:r>
      <w:r w:rsidRPr="009849AB">
        <w:rPr>
          <w:rFonts w:ascii="Arial" w:eastAsia="Arial" w:hAnsi="Arial" w:cs="Arial"/>
          <w:sz w:val="24"/>
          <w:szCs w:val="24"/>
        </w:rPr>
        <w:t>”;</w:t>
      </w:r>
    </w:p>
    <w:p w14:paraId="5DB9D893"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artículo 60 letra q) señala: “[l]</w:t>
      </w:r>
      <w:r w:rsidRPr="009849AB">
        <w:rPr>
          <w:rFonts w:ascii="Arial" w:eastAsia="Arial" w:hAnsi="Arial" w:cs="Arial"/>
          <w:i/>
          <w:sz w:val="24"/>
          <w:szCs w:val="24"/>
        </w:rPr>
        <w:t>e corresponde al alcalde o alcaldesa:</w:t>
      </w:r>
      <w:r w:rsidRPr="009849AB">
        <w:rPr>
          <w:rFonts w:ascii="Arial" w:eastAsia="Arial" w:hAnsi="Arial" w:cs="Arial"/>
          <w:sz w:val="24"/>
          <w:szCs w:val="24"/>
        </w:rPr>
        <w:t xml:space="preserve"> (…) q</w:t>
      </w:r>
      <w:r w:rsidRPr="009849AB">
        <w:rPr>
          <w:rFonts w:ascii="Arial" w:eastAsia="Arial" w:hAnsi="Arial" w:cs="Arial"/>
          <w:i/>
          <w:sz w:val="24"/>
          <w:szCs w:val="24"/>
        </w:rPr>
        <w:t>) Coordinar con la Policía Nacional, la comunidad y otros organismos relacionados con la materia de seguridad, la formulación y ejecución de políticas locales, planes y evaluación de resultados sobre prevención, protección, segu</w:t>
      </w:r>
      <w:r w:rsidRPr="009849AB">
        <w:rPr>
          <w:rFonts w:ascii="Arial" w:eastAsia="Arial" w:hAnsi="Arial" w:cs="Arial"/>
          <w:sz w:val="24"/>
          <w:szCs w:val="24"/>
        </w:rPr>
        <w:t>[ri]</w:t>
      </w:r>
      <w:r w:rsidRPr="009849AB">
        <w:rPr>
          <w:rFonts w:ascii="Arial" w:eastAsia="Arial" w:hAnsi="Arial" w:cs="Arial"/>
          <w:i/>
          <w:sz w:val="24"/>
          <w:szCs w:val="24"/>
        </w:rPr>
        <w:t>dad y convivencia ciudadana</w:t>
      </w:r>
      <w:r w:rsidRPr="009849AB">
        <w:rPr>
          <w:rFonts w:ascii="Arial" w:eastAsia="Arial" w:hAnsi="Arial" w:cs="Arial"/>
          <w:sz w:val="24"/>
          <w:szCs w:val="24"/>
        </w:rPr>
        <w:t>;</w:t>
      </w:r>
    </w:p>
    <w:p w14:paraId="3DB670D8"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 xml:space="preserve">Que, el artículo 87 letra c) del COOTAD señala que son atribuciones del Concejo Metropolitano </w:t>
      </w:r>
      <w:r w:rsidRPr="009849AB">
        <w:rPr>
          <w:rFonts w:ascii="Arial" w:eastAsia="Arial" w:hAnsi="Arial" w:cs="Arial"/>
          <w:i/>
          <w:sz w:val="24"/>
          <w:szCs w:val="24"/>
        </w:rPr>
        <w:t>“c) Crear, modificar o extinguir tasas y contribuciones especiales por los servicios que presta y obras que ejecute”</w:t>
      </w:r>
      <w:r w:rsidRPr="009849AB">
        <w:rPr>
          <w:rFonts w:ascii="Arial" w:eastAsia="Arial" w:hAnsi="Arial" w:cs="Arial"/>
          <w:sz w:val="24"/>
          <w:szCs w:val="24"/>
        </w:rPr>
        <w:t>;</w:t>
      </w:r>
    </w:p>
    <w:p w14:paraId="1B13E876"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 xml:space="preserve">Que, el artículo 140 del COOTAD faculta a los gobiernos autónomos descentralizados (en adelante GADs) municipales a gestionar las acciones necesarias en materia de prevención, reacción, mitigación, reconstrucción y transferencia de riesgos de origen natural y antrópico, acorde a la normativa vigente. De igual forma señala que, los GADs municipales adoptarán obligatoriamente normas técnicas para la prevención y gestión de riesgos en sus </w:t>
      </w:r>
      <w:r w:rsidRPr="009849AB">
        <w:rPr>
          <w:rFonts w:ascii="Arial" w:eastAsia="Arial" w:hAnsi="Arial" w:cs="Arial"/>
          <w:sz w:val="24"/>
          <w:szCs w:val="24"/>
        </w:rPr>
        <w:lastRenderedPageBreak/>
        <w:t>territorios con el propósito de proteger a las personas, colectividades y la naturaleza en sus procesos de ordenamiento territorial;</w:t>
      </w:r>
    </w:p>
    <w:p w14:paraId="65C9B01C"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 xml:space="preserve">Que, el artículo 166 del COOTAD establece que “(…) </w:t>
      </w:r>
      <w:r w:rsidRPr="009849AB">
        <w:rPr>
          <w:rFonts w:ascii="Arial" w:eastAsia="Arial" w:hAnsi="Arial" w:cs="Arial"/>
          <w:i/>
          <w:sz w:val="24"/>
          <w:szCs w:val="24"/>
        </w:rPr>
        <w:t>Las tasas y contribuciones especiales de mejoras, generales o específicas, establecidas por acto normativo de los gobiernos autónomos descentralizados ingresarán necesariamente a su presupuesto o cuando corresponda, al de sus empresas o al de otras entidades de derecho público, creadas según el modelo de gestión definido por sus autoridades, sin perjuicio de la utilización que se dé a estos recursos de conformidad con la ley”</w:t>
      </w:r>
      <w:r w:rsidRPr="009849AB">
        <w:rPr>
          <w:rFonts w:ascii="Arial" w:eastAsia="Arial" w:hAnsi="Arial" w:cs="Arial"/>
          <w:sz w:val="24"/>
          <w:szCs w:val="24"/>
        </w:rPr>
        <w:t>.</w:t>
      </w:r>
    </w:p>
    <w:p w14:paraId="057619B0"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artículo 172 del COOTAD, indica que son ingresos propios de la gestión, “</w:t>
      </w:r>
      <w:r w:rsidRPr="009849AB">
        <w:rPr>
          <w:rFonts w:ascii="Arial" w:eastAsia="Arial" w:hAnsi="Arial" w:cs="Arial"/>
          <w:i/>
          <w:sz w:val="24"/>
          <w:szCs w:val="24"/>
        </w:rPr>
        <w:t xml:space="preserve">los que provienen de impuestos, tasas y contribuciones especiales de mejoras generales o específicas; los de venta de bienes y servicios; los de renta de inversiones y multas; los de venta de activos no financieros y recuperación de inversiones; los de rifas, sorteos, entre otros ingresos. Las tasas que por un concepto determinado creen los gobiernos autónomos descentralizados, en ejercicio de sus competencias, no podrán duplicarse en los respectivos territorios </w:t>
      </w:r>
      <w:r w:rsidRPr="009849AB">
        <w:rPr>
          <w:rFonts w:ascii="Arial" w:eastAsia="Arial" w:hAnsi="Arial" w:cs="Arial"/>
          <w:sz w:val="24"/>
          <w:szCs w:val="24"/>
        </w:rPr>
        <w:t>(…)”;</w:t>
      </w:r>
    </w:p>
    <w:p w14:paraId="1EC41D8D" w14:textId="77777777" w:rsidR="00341C9E" w:rsidRPr="009849AB" w:rsidRDefault="00760C65" w:rsidP="00C660E1">
      <w:pPr>
        <w:spacing w:before="240" w:after="240" w:line="276" w:lineRule="auto"/>
        <w:jc w:val="both"/>
        <w:rPr>
          <w:rFonts w:ascii="Arial" w:eastAsia="Arial" w:hAnsi="Arial" w:cs="Arial"/>
          <w:i/>
          <w:sz w:val="24"/>
          <w:szCs w:val="24"/>
        </w:rPr>
      </w:pPr>
      <w:r w:rsidRPr="009849AB">
        <w:rPr>
          <w:rFonts w:ascii="Arial" w:eastAsia="Arial" w:hAnsi="Arial" w:cs="Arial"/>
          <w:sz w:val="24"/>
          <w:szCs w:val="24"/>
        </w:rPr>
        <w:t>Que, el artículo 218 del Código Orgánico de las Entidades de Seguridad Ciudadana y Orden Público (en adelante, COESCOP) “</w:t>
      </w:r>
      <w:r w:rsidRPr="009849AB">
        <w:rPr>
          <w:rFonts w:ascii="Arial" w:eastAsia="Arial" w:hAnsi="Arial" w:cs="Arial"/>
          <w:i/>
          <w:sz w:val="24"/>
          <w:szCs w:val="24"/>
        </w:rPr>
        <w:t>Las entidades complementarias de seguridad de la Función Ejecutiva y de los Gobiernos Autónomos Descentralizados metropolitanos y municipales, son organismos con potestad pública en su respectivo ámbito de competencia, que desarrollan operaciones relacionadas con el control del espacio público; prevención, detección, disuasión e investigación de la infracción; apoyo, coordinación, socorro, rescate, atención prehospitalaria y respuesta ante desastres y emergencias; con la finalidad de realizar una adecuada gestión de riesgos y promover una cultura de paz, colaborando al mantenimiento de la seguridad integral de la sociedad y del Estado.</w:t>
      </w:r>
    </w:p>
    <w:p w14:paraId="64AE6EEE" w14:textId="77777777" w:rsidR="00341C9E" w:rsidRPr="009849AB" w:rsidRDefault="00760C65" w:rsidP="00C660E1">
      <w:pPr>
        <w:spacing w:before="240" w:after="240" w:line="276" w:lineRule="auto"/>
        <w:jc w:val="both"/>
        <w:rPr>
          <w:rFonts w:ascii="Arial" w:eastAsia="Arial" w:hAnsi="Arial" w:cs="Arial"/>
          <w:i/>
          <w:sz w:val="24"/>
          <w:szCs w:val="24"/>
        </w:rPr>
      </w:pPr>
      <w:r w:rsidRPr="009849AB">
        <w:rPr>
          <w:rFonts w:ascii="Arial" w:eastAsia="Arial" w:hAnsi="Arial" w:cs="Arial"/>
          <w:i/>
          <w:sz w:val="24"/>
          <w:szCs w:val="24"/>
        </w:rPr>
        <w:t>Las entidades que regula este libro son de carácter operativo, civil, jerarquizado, disciplinado, técnico, especializado y uniformado. Estas entidades realizan una labor complementaria a la seguridad integral que brinda el Estado a través de las Fuerzas Armadas y la Policía Nacional. Su gestión debe articularse a las políticas del Plan Nacional de Seguridad Integral”;</w:t>
      </w:r>
    </w:p>
    <w:p w14:paraId="12E28FF5"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artículo 219 del COESCOP establece que “[l]</w:t>
      </w:r>
      <w:r w:rsidRPr="009849AB">
        <w:rPr>
          <w:rFonts w:ascii="Arial" w:eastAsia="Arial" w:hAnsi="Arial" w:cs="Arial"/>
          <w:i/>
          <w:sz w:val="24"/>
          <w:szCs w:val="24"/>
        </w:rPr>
        <w:t xml:space="preserve">as máximas autoridades de las entidades complementarias de seguridad y cada uno de sus entes rectores, tienen la obligación de coordinar y ejecutar acciones conjuntas encaminadas a complementar y reforzar el trabajo de vigilancia, control y prevención que realizan. En el cumplimiento de su gestión, se articularán con la política pública </w:t>
      </w:r>
      <w:r w:rsidRPr="009849AB">
        <w:rPr>
          <w:rFonts w:ascii="Arial" w:eastAsia="Arial" w:hAnsi="Arial" w:cs="Arial"/>
          <w:i/>
          <w:sz w:val="24"/>
          <w:szCs w:val="24"/>
        </w:rPr>
        <w:lastRenderedPageBreak/>
        <w:t>a cargo del ministerio rector del orden público, protección interna y seguridad ciudadana</w:t>
      </w:r>
      <w:r w:rsidRPr="009849AB">
        <w:rPr>
          <w:rFonts w:ascii="Arial" w:eastAsia="Arial" w:hAnsi="Arial" w:cs="Arial"/>
          <w:sz w:val="24"/>
          <w:szCs w:val="24"/>
        </w:rPr>
        <w:t>”;</w:t>
      </w:r>
    </w:p>
    <w:p w14:paraId="18B96846"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 xml:space="preserve">Que, el artículo 3 de la Ley de Seguridad Pública y del Estado establece que es </w:t>
      </w:r>
      <w:r w:rsidRPr="009849AB">
        <w:rPr>
          <w:rFonts w:ascii="Arial" w:eastAsia="Arial" w:hAnsi="Arial" w:cs="Arial"/>
          <w:i/>
          <w:sz w:val="24"/>
          <w:szCs w:val="24"/>
        </w:rPr>
        <w:t>“deber del Estado promover y garantizar la seguridad de todos los habitantes, comunidades, pueblos, nacionalidades y colectivos del Ecuador, y de la estructura del Estado, a través del Sistema de Seguridad Pública y del Estado, responsable de la seguridad pública y del Estado con el fin de coadyuvar al bienestar colectivo, al desarrollo integral, al ejercicio pleno de los derechos humanos y de los derechos y garantías constitucionales”;</w:t>
      </w:r>
    </w:p>
    <w:p w14:paraId="1BE1F6BC"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 xml:space="preserve">Que, la letra d) del artículo 4 de la Ley de Seguridad Pública y del Estado, determina en el principio de proporcionalidad, que </w:t>
      </w:r>
      <w:r w:rsidRPr="009849AB">
        <w:rPr>
          <w:rFonts w:ascii="Arial" w:eastAsia="Arial" w:hAnsi="Arial" w:cs="Arial"/>
          <w:i/>
          <w:sz w:val="24"/>
          <w:szCs w:val="24"/>
        </w:rPr>
        <w:t>“las acciones de seguridad y asignación de recursos serán proporcionales a las necesidades de prevención y protección, y a la magnitud y trascendencia de los factores que atenten contra la seguridad de los habitantes del Estado”</w:t>
      </w:r>
      <w:r w:rsidRPr="009849AB">
        <w:rPr>
          <w:rFonts w:ascii="Arial" w:eastAsia="Arial" w:hAnsi="Arial" w:cs="Arial"/>
          <w:sz w:val="24"/>
          <w:szCs w:val="24"/>
        </w:rPr>
        <w:t>;</w:t>
      </w:r>
    </w:p>
    <w:p w14:paraId="46C351B4"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literal f) del artículo 4 de la Ley de Seguridad Pública y del Estado determina en el principio de responsabilidad que “</w:t>
      </w:r>
      <w:r w:rsidRPr="009849AB">
        <w:rPr>
          <w:rFonts w:ascii="Arial" w:eastAsia="Arial" w:hAnsi="Arial" w:cs="Arial"/>
          <w:i/>
          <w:sz w:val="24"/>
          <w:szCs w:val="24"/>
        </w:rPr>
        <w:t>las entidades públicas tienen la obligación de facilitar coordinadamente los medios humanos, materiales, y tecnológicos para el cumplimiento de los fines de la presente ley. La responsabilidad operativa corresponde a la entidad en cuyo ámbito y competencia radique su misión, funciones y naturaleza legalmente asignadas</w:t>
      </w:r>
      <w:r w:rsidRPr="009849AB">
        <w:rPr>
          <w:rFonts w:ascii="Arial" w:eastAsia="Arial" w:hAnsi="Arial" w:cs="Arial"/>
          <w:sz w:val="24"/>
          <w:szCs w:val="24"/>
        </w:rPr>
        <w:t>”;</w:t>
      </w:r>
    </w:p>
    <w:p w14:paraId="4E224433" w14:textId="77777777" w:rsidR="00341C9E" w:rsidRPr="009849AB" w:rsidRDefault="00760C65" w:rsidP="00C660E1">
      <w:pPr>
        <w:spacing w:before="240" w:after="240" w:line="276" w:lineRule="auto"/>
        <w:jc w:val="both"/>
        <w:rPr>
          <w:rFonts w:ascii="Arial" w:eastAsia="Arial" w:hAnsi="Arial" w:cs="Arial"/>
          <w:i/>
          <w:sz w:val="24"/>
          <w:szCs w:val="24"/>
        </w:rPr>
      </w:pPr>
      <w:r w:rsidRPr="009849AB">
        <w:rPr>
          <w:rFonts w:ascii="Arial" w:eastAsia="Arial" w:hAnsi="Arial" w:cs="Arial"/>
          <w:sz w:val="24"/>
          <w:szCs w:val="24"/>
        </w:rPr>
        <w:t xml:space="preserve">Que, el artículo 10 letra l) de la Ley de Seguridad Pública y del Estado, determina que es función del Ministerio de Coordinación de Seguridad o quien haga sus veces, </w:t>
      </w:r>
      <w:r w:rsidRPr="009849AB">
        <w:rPr>
          <w:rFonts w:ascii="Arial" w:eastAsia="Arial" w:hAnsi="Arial" w:cs="Arial"/>
          <w:i/>
          <w:sz w:val="24"/>
          <w:szCs w:val="24"/>
        </w:rPr>
        <w:t>“ l. coordinar con los gobiernos autónomos descentralizados y la sociedad civil para lograr una articulación integral de la defensa nacional, el orden público y la seguridad ciudadana, en los términos establecidos en la presente ley (..)”;</w:t>
      </w:r>
    </w:p>
    <w:p w14:paraId="139F4241"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artículo 11 de la Ley de Seguridad Pública y del Estado en su letra c) determina que la prevención y protección de la convivencia y seguridad ciudadanas, corresponden a todas las entidades del Estado y que el Ministerio de Gobierno coordinará acciones con los gobiernos autónomos descentralizados en el ámbito de sus competencias;</w:t>
      </w:r>
    </w:p>
    <w:p w14:paraId="5FBD7667"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el artículo 23 de la Ley de Seguridad Pública y del Estado, define a la seguridad ciudadana, como una política de Estado, destinada a fortalecer y modernizar los mecanismos necesarios para garantizar los derechos humanos, en especial el derecho a una vida libre de violencia y criminalidad, la disminución de los niveles de delincuencia, la protección de víctimas y el mejoramiento de la calidad de vida de todos los habitantes del Ecuador;</w:t>
      </w:r>
    </w:p>
    <w:p w14:paraId="02742F81"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lastRenderedPageBreak/>
        <w:t>Que, el Código Municipal para el Distrito Metropolitano de Quito, expedido mediante Ordenanza Metropolitana No. 001 de 29 de marzo de 2019, en el capítulo VII, regula la Tasa por los Servicios de Seguridad Ciudadana;</w:t>
      </w:r>
    </w:p>
    <w:p w14:paraId="3E4F126C"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mediante sentencia de la Corte Constitucional No. 70-11-IN/21 de 22 de septiembre de 2021, se declaró la inconstitucionalidad del artículo 1540 del Código Municipal para el Distrito Metropolitano de Quito con efecto diferido y por conexidad de los artículos 1541, 1542, 1543 y 1544 del mismo cuerpo normativo;</w:t>
      </w:r>
    </w:p>
    <w:p w14:paraId="7A8299AB"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la Corte Constitucional en la sentencia No. 70-11-IN/21 de 22 de septiembre de 2021, ordenó al GAD Municipal del Distrito Metropolitano de Quito que, “</w:t>
      </w:r>
      <w:r w:rsidRPr="009849AB">
        <w:rPr>
          <w:rFonts w:ascii="Arial" w:eastAsia="Arial" w:hAnsi="Arial" w:cs="Arial"/>
          <w:i/>
          <w:sz w:val="24"/>
          <w:szCs w:val="24"/>
        </w:rPr>
        <w:t>en caso de que emita normativa que sustituya las normas declaradas inconstitucionales, se plasmen los elementos esenciales de la tasa por servicios de seguridad ciudadana, guardando estricta observancia de los parámetros establecidos en esta sentencia, esto es: 3.1. Que la tasa fijada por servicios de seguridad ciudadana establezca un accionar estatal determinado; 3.2. Que la tarifa que se establezca por los servicios de seguridad ciudadana, responda a los costos en los que incurre el GAD para la prestación del servicio vinculado a la tasa, de tal forma que se respeten el principio de provocación y recuperación de costos y el principio de equivalencia; y, 3.3. Que se establezcan mecanismos de medición de satisfacción del servicio prestado</w:t>
      </w:r>
      <w:r w:rsidRPr="009849AB">
        <w:rPr>
          <w:rFonts w:ascii="Arial" w:eastAsia="Arial" w:hAnsi="Arial" w:cs="Arial"/>
          <w:sz w:val="24"/>
          <w:szCs w:val="24"/>
        </w:rPr>
        <w:t>”;</w:t>
      </w:r>
    </w:p>
    <w:p w14:paraId="7F4E1D31" w14:textId="77777777" w:rsidR="00341C9E" w:rsidRPr="009849AB" w:rsidRDefault="00760C65" w:rsidP="00C660E1">
      <w:pPr>
        <w:spacing w:before="240" w:after="240" w:line="276" w:lineRule="auto"/>
        <w:jc w:val="both"/>
        <w:rPr>
          <w:rFonts w:ascii="Arial" w:eastAsia="Arial" w:hAnsi="Arial" w:cs="Arial"/>
          <w:sz w:val="24"/>
          <w:szCs w:val="24"/>
        </w:rPr>
      </w:pPr>
      <w:r w:rsidRPr="009849AB">
        <w:rPr>
          <w:rFonts w:ascii="Arial" w:eastAsia="Arial" w:hAnsi="Arial" w:cs="Arial"/>
          <w:sz w:val="24"/>
          <w:szCs w:val="24"/>
        </w:rPr>
        <w:t>Que, se requiere la sustitución de las normas declaradas inconstitucionales y se reforme el Código Municipal en lo que respecta a la regulación de la tasa de seguridad ciudadana con la finalidad de que la misma esté determinada dentro del accionar estatal en materia de seguridad ciudadana y gestión de riesgos;</w:t>
      </w:r>
    </w:p>
    <w:p w14:paraId="72C2EC8A" w14:textId="77777777" w:rsidR="00341C9E" w:rsidRPr="009849AB" w:rsidRDefault="00760C65" w:rsidP="00C660E1">
      <w:pPr>
        <w:spacing w:before="240" w:after="240" w:line="276" w:lineRule="auto"/>
        <w:jc w:val="both"/>
        <w:rPr>
          <w:rFonts w:ascii="Arial" w:eastAsia="Arial" w:hAnsi="Arial" w:cs="Arial"/>
          <w:b/>
          <w:sz w:val="24"/>
          <w:szCs w:val="24"/>
        </w:rPr>
      </w:pPr>
      <w:r w:rsidRPr="009849AB">
        <w:rPr>
          <w:rFonts w:ascii="Arial" w:eastAsia="Arial" w:hAnsi="Arial" w:cs="Arial"/>
          <w:sz w:val="24"/>
          <w:szCs w:val="24"/>
        </w:rPr>
        <w:t>Que, es necesario garantizar la prestación del servicio a través de la recaudación de la mentada tasa con base a los principios de aplicación tributaria: progresividad, eficiencia, simplicidad administrativa, irretroactividad, transparencia y suficiencia recaudatoria;</w:t>
      </w:r>
    </w:p>
    <w:p w14:paraId="3AF96132" w14:textId="77777777" w:rsidR="00341C9E" w:rsidRPr="009849AB" w:rsidRDefault="00760C65" w:rsidP="00C660E1">
      <w:pPr>
        <w:spacing w:before="240" w:after="240" w:line="276" w:lineRule="auto"/>
        <w:jc w:val="both"/>
        <w:rPr>
          <w:rFonts w:ascii="Arial" w:eastAsia="Arial" w:hAnsi="Arial" w:cs="Arial"/>
          <w:b/>
          <w:sz w:val="24"/>
          <w:szCs w:val="24"/>
        </w:rPr>
      </w:pPr>
      <w:r w:rsidRPr="009849AB">
        <w:rPr>
          <w:rFonts w:ascii="Arial" w:eastAsia="Arial" w:hAnsi="Arial" w:cs="Arial"/>
          <w:b/>
          <w:sz w:val="24"/>
          <w:szCs w:val="24"/>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w:t>
      </w:r>
    </w:p>
    <w:p w14:paraId="3A6557E0" w14:textId="77777777" w:rsidR="00AA156C" w:rsidRPr="009849AB" w:rsidRDefault="00AA156C" w:rsidP="00C660E1">
      <w:pPr>
        <w:spacing w:before="240" w:after="240" w:line="276" w:lineRule="auto"/>
        <w:jc w:val="center"/>
        <w:rPr>
          <w:rFonts w:ascii="Arial" w:eastAsia="Arial" w:hAnsi="Arial" w:cs="Arial"/>
          <w:b/>
          <w:sz w:val="24"/>
          <w:szCs w:val="24"/>
          <w:lang w:val="es-ES_tradnl"/>
        </w:rPr>
      </w:pPr>
      <w:r w:rsidRPr="009849AB">
        <w:rPr>
          <w:rFonts w:ascii="Arial" w:eastAsia="Arial" w:hAnsi="Arial" w:cs="Arial"/>
          <w:b/>
          <w:sz w:val="24"/>
          <w:szCs w:val="24"/>
          <w:lang w:val="es-ES_tradnl"/>
        </w:rPr>
        <w:t>EXPIDE</w:t>
      </w:r>
    </w:p>
    <w:p w14:paraId="5CE8FE58" w14:textId="77777777" w:rsidR="00AA156C" w:rsidRPr="009849AB" w:rsidRDefault="00AA156C" w:rsidP="00C660E1">
      <w:pPr>
        <w:spacing w:line="276" w:lineRule="auto"/>
        <w:jc w:val="both"/>
        <w:rPr>
          <w:rFonts w:ascii="Arial" w:eastAsia="Arial" w:hAnsi="Arial" w:cs="Arial"/>
          <w:sz w:val="24"/>
          <w:szCs w:val="24"/>
          <w:lang w:val="es-ES_tradnl"/>
        </w:rPr>
      </w:pPr>
      <w:r w:rsidRPr="009849AB">
        <w:rPr>
          <w:rFonts w:ascii="Arial" w:eastAsia="Arial" w:hAnsi="Arial" w:cs="Arial"/>
          <w:b/>
          <w:sz w:val="24"/>
          <w:szCs w:val="24"/>
          <w:lang w:val="es-ES_tradnl"/>
        </w:rPr>
        <w:t>LA ORDENANZA SUSTITUTIVA DEL CAPITULO VII, TÍTULO IV, LIBRO III.5 DEL CÓDIGO MUNICIPAL PARA EL DISTRITO METROPOLITANO DE QUITO, DE LA TASA POR LOS SERVICIOS DE SEGURIDAD CIUDADANA.</w:t>
      </w:r>
    </w:p>
    <w:p w14:paraId="71726B3B" w14:textId="77777777" w:rsidR="00AA156C" w:rsidRPr="009849AB" w:rsidRDefault="00AA156C" w:rsidP="00C660E1">
      <w:pPr>
        <w:spacing w:before="240" w:after="240" w:line="276" w:lineRule="auto"/>
        <w:jc w:val="both"/>
        <w:rPr>
          <w:rFonts w:ascii="Arial" w:eastAsia="Arial" w:hAnsi="Arial" w:cs="Arial"/>
          <w:bCs/>
          <w:sz w:val="24"/>
          <w:szCs w:val="24"/>
          <w:lang w:val="es-ES_tradnl"/>
        </w:rPr>
      </w:pPr>
      <w:r w:rsidRPr="009849AB">
        <w:rPr>
          <w:rFonts w:ascii="Arial" w:eastAsia="Arial" w:hAnsi="Arial" w:cs="Arial"/>
          <w:b/>
          <w:sz w:val="24"/>
          <w:szCs w:val="24"/>
          <w:lang w:val="es-ES_tradnl"/>
        </w:rPr>
        <w:lastRenderedPageBreak/>
        <w:t xml:space="preserve">Artículo. 1.- </w:t>
      </w:r>
      <w:r w:rsidRPr="009849AB">
        <w:rPr>
          <w:rFonts w:ascii="Arial" w:eastAsia="Arial" w:hAnsi="Arial" w:cs="Arial"/>
          <w:bCs/>
          <w:sz w:val="24"/>
          <w:szCs w:val="24"/>
          <w:lang w:val="es-ES_tradnl"/>
        </w:rPr>
        <w:t>Sustitúyase el Capítulo VII, del Título IV, del Libro III.5 del Código Municipal para el Distrito Metropolitano de Quito, por el siguiente:</w:t>
      </w:r>
    </w:p>
    <w:p w14:paraId="4D889A8A" w14:textId="77777777" w:rsidR="00AA156C" w:rsidRPr="009849AB" w:rsidRDefault="00AA156C" w:rsidP="00C660E1">
      <w:pPr>
        <w:spacing w:before="240" w:after="240" w:line="276" w:lineRule="auto"/>
        <w:jc w:val="center"/>
        <w:rPr>
          <w:rFonts w:ascii="Arial" w:eastAsia="Arial" w:hAnsi="Arial" w:cs="Arial"/>
          <w:b/>
          <w:sz w:val="24"/>
          <w:szCs w:val="24"/>
          <w:lang w:val="es-ES_tradnl"/>
        </w:rPr>
      </w:pPr>
      <w:r w:rsidRPr="009849AB">
        <w:rPr>
          <w:rFonts w:ascii="Arial" w:eastAsia="Arial" w:hAnsi="Arial" w:cs="Arial"/>
          <w:sz w:val="24"/>
          <w:szCs w:val="24"/>
          <w:lang w:val="es-ES_tradnl"/>
        </w:rPr>
        <w:t>“</w:t>
      </w:r>
      <w:r w:rsidRPr="009849AB">
        <w:rPr>
          <w:rFonts w:ascii="Arial" w:eastAsia="Arial" w:hAnsi="Arial" w:cs="Arial"/>
          <w:b/>
          <w:sz w:val="24"/>
          <w:szCs w:val="24"/>
          <w:lang w:val="es-ES_tradnl"/>
        </w:rPr>
        <w:t>CAPÍTULO VII</w:t>
      </w:r>
    </w:p>
    <w:p w14:paraId="0C9D6D63" w14:textId="77777777" w:rsidR="00AA156C" w:rsidRPr="009849AB" w:rsidRDefault="00AA156C" w:rsidP="00C660E1">
      <w:pPr>
        <w:spacing w:before="240" w:after="240" w:line="276" w:lineRule="auto"/>
        <w:jc w:val="center"/>
        <w:rPr>
          <w:rFonts w:ascii="Arial" w:eastAsia="Arial" w:hAnsi="Arial" w:cs="Arial"/>
          <w:b/>
          <w:sz w:val="24"/>
          <w:szCs w:val="24"/>
          <w:lang w:val="es-ES_tradnl"/>
        </w:rPr>
      </w:pPr>
      <w:r w:rsidRPr="009849AB">
        <w:rPr>
          <w:rFonts w:ascii="Arial" w:eastAsia="Arial" w:hAnsi="Arial" w:cs="Arial"/>
          <w:b/>
          <w:sz w:val="24"/>
          <w:szCs w:val="24"/>
          <w:lang w:val="es-ES_tradnl"/>
        </w:rPr>
        <w:t>DE LA TASA POR LOS SERVICIOS DE SEGURIDAD, CONVIVENCIA CIUDADANA Y GESTIÓN DE RIESGOS</w:t>
      </w:r>
    </w:p>
    <w:p w14:paraId="0E7A2CDC" w14:textId="77777777" w:rsidR="00AA156C" w:rsidRPr="009849AB" w:rsidRDefault="00AA156C" w:rsidP="00C660E1">
      <w:pPr>
        <w:spacing w:before="240" w:after="240" w:line="276" w:lineRule="auto"/>
        <w:jc w:val="both"/>
        <w:rPr>
          <w:rFonts w:ascii="Arial" w:eastAsia="Arial" w:hAnsi="Arial" w:cs="Arial"/>
          <w:sz w:val="24"/>
          <w:szCs w:val="24"/>
          <w:lang w:val="es-ES_tradnl"/>
        </w:rPr>
      </w:pPr>
      <w:r w:rsidRPr="009849AB">
        <w:rPr>
          <w:rFonts w:ascii="Arial" w:eastAsia="Arial" w:hAnsi="Arial" w:cs="Arial"/>
          <w:b/>
          <w:sz w:val="24"/>
          <w:szCs w:val="24"/>
          <w:lang w:val="es-ES_tradnl"/>
        </w:rPr>
        <w:t>Artículo (…) 1.- Objeto</w:t>
      </w:r>
      <w:r w:rsidRPr="009849AB">
        <w:rPr>
          <w:rFonts w:ascii="Arial" w:eastAsia="Arial" w:hAnsi="Arial" w:cs="Arial"/>
          <w:sz w:val="24"/>
          <w:szCs w:val="24"/>
          <w:lang w:val="es-ES_tradnl"/>
        </w:rPr>
        <w:t>.- Se  crea la tasa de seguridad, convivencia ciudadana y gestión de riesgos del Distrito Metropolitano de Quito.</w:t>
      </w:r>
    </w:p>
    <w:p w14:paraId="22D71136" w14:textId="421A49A9" w:rsidR="00AA156C" w:rsidRPr="009849AB" w:rsidRDefault="00AA156C" w:rsidP="00C660E1">
      <w:pPr>
        <w:spacing w:before="240" w:after="240" w:line="276" w:lineRule="auto"/>
        <w:jc w:val="both"/>
        <w:rPr>
          <w:rFonts w:ascii="Arial" w:eastAsia="Arial" w:hAnsi="Arial" w:cs="Arial"/>
          <w:sz w:val="24"/>
          <w:szCs w:val="24"/>
          <w:lang w:val="es-ES_tradnl"/>
        </w:rPr>
      </w:pPr>
      <w:r w:rsidRPr="009849AB">
        <w:rPr>
          <w:rFonts w:ascii="Arial" w:eastAsia="Arial" w:hAnsi="Arial" w:cs="Arial"/>
          <w:b/>
          <w:sz w:val="24"/>
          <w:szCs w:val="24"/>
          <w:lang w:val="es-ES_tradnl"/>
        </w:rPr>
        <w:t xml:space="preserve">Artículo (…) 2.- Hecho Generador.- </w:t>
      </w:r>
      <w:r w:rsidR="00C65FC2" w:rsidRPr="009849AB">
        <w:rPr>
          <w:rFonts w:ascii="Arial" w:eastAsia="Arial" w:hAnsi="Arial" w:cs="Arial"/>
          <w:sz w:val="24"/>
          <w:szCs w:val="24"/>
        </w:rPr>
        <w:t>El hecho generador de la tasa comprende la prestación de servicios de prevención situacional, comunitaria y gestión de riesgos en el Distrito Metropolitano de Quito; apoyo material y técnico a las entidades nacionales de seguridad y de justicia respecto de su labor en la ciudad, y la implementación del Plan Metropolitano de Seguridad Ciudadana.</w:t>
      </w:r>
    </w:p>
    <w:p w14:paraId="5AD5CF1F" w14:textId="77777777" w:rsidR="00AA156C" w:rsidRPr="009849AB" w:rsidRDefault="00AA156C" w:rsidP="00C660E1">
      <w:pPr>
        <w:spacing w:before="240" w:after="240" w:line="276" w:lineRule="auto"/>
        <w:jc w:val="both"/>
        <w:rPr>
          <w:rFonts w:ascii="Arial" w:eastAsia="Arial" w:hAnsi="Arial" w:cs="Arial"/>
          <w:sz w:val="24"/>
          <w:szCs w:val="24"/>
          <w:lang w:val="es-ES_tradnl"/>
        </w:rPr>
      </w:pPr>
      <w:r w:rsidRPr="009849AB">
        <w:rPr>
          <w:rFonts w:ascii="Arial" w:eastAsia="Arial" w:hAnsi="Arial" w:cs="Arial"/>
          <w:b/>
          <w:sz w:val="24"/>
          <w:szCs w:val="24"/>
          <w:lang w:val="es-ES_tradnl"/>
        </w:rPr>
        <w:t xml:space="preserve">Artículo (…) 3.- Sujeto Activo.- </w:t>
      </w:r>
      <w:r w:rsidRPr="009849AB">
        <w:rPr>
          <w:rFonts w:ascii="Arial" w:eastAsia="Arial" w:hAnsi="Arial" w:cs="Arial"/>
          <w:sz w:val="24"/>
          <w:szCs w:val="24"/>
          <w:lang w:val="es-ES_tradnl"/>
        </w:rPr>
        <w:t>El sujeto activo de la tasa de seguridad, convivencia ciudadana y gestión de riesgos, es el Gobierno Autónomo Descentralizado del Distrito Metropolitano de Quito.</w:t>
      </w:r>
    </w:p>
    <w:p w14:paraId="5777B16D" w14:textId="77777777" w:rsidR="00AA156C" w:rsidRPr="009849AB" w:rsidRDefault="00AA156C" w:rsidP="00C660E1">
      <w:pPr>
        <w:spacing w:before="240" w:after="240" w:line="276" w:lineRule="auto"/>
        <w:jc w:val="both"/>
        <w:rPr>
          <w:rFonts w:ascii="Arial" w:eastAsia="Arial" w:hAnsi="Arial" w:cs="Arial"/>
          <w:sz w:val="24"/>
          <w:szCs w:val="24"/>
          <w:lang w:val="es-ES_tradnl"/>
        </w:rPr>
      </w:pPr>
      <w:r w:rsidRPr="009849AB">
        <w:rPr>
          <w:rFonts w:ascii="Arial" w:eastAsia="Arial" w:hAnsi="Arial" w:cs="Arial"/>
          <w:b/>
          <w:sz w:val="24"/>
          <w:szCs w:val="24"/>
          <w:lang w:val="es-ES_tradnl"/>
        </w:rPr>
        <w:t xml:space="preserve">Artículo (…) 4.- Sujeto Pasivo.- </w:t>
      </w:r>
      <w:r w:rsidRPr="009849AB">
        <w:rPr>
          <w:rFonts w:ascii="Arial" w:eastAsia="Arial" w:hAnsi="Arial" w:cs="Arial"/>
          <w:sz w:val="24"/>
          <w:szCs w:val="24"/>
          <w:lang w:val="es-ES_tradnl"/>
        </w:rPr>
        <w:t>Son sujetos pasivos de la tasa de seguridad, convivencia ciudadana y gestión de riesgos, todas las personas naturales, sociedades y personas jurídicas públicas o privadas, que, al 31 de diciembre del año inmediato anterior al de tributación, la ley los repute propietarios de predios urbanos o rurales, en la circunscripción territorial del Distrito Metropolitano de Quito.</w:t>
      </w:r>
    </w:p>
    <w:p w14:paraId="25DE8248" w14:textId="77777777" w:rsidR="00AA156C" w:rsidRPr="009849AB" w:rsidRDefault="00AA156C" w:rsidP="00C660E1">
      <w:pPr>
        <w:spacing w:before="240" w:after="240" w:line="276" w:lineRule="auto"/>
        <w:jc w:val="both"/>
        <w:rPr>
          <w:rFonts w:ascii="Arial" w:eastAsia="Arial" w:hAnsi="Arial" w:cs="Arial"/>
          <w:sz w:val="24"/>
          <w:szCs w:val="24"/>
          <w:lang w:val="es-ES_tradnl"/>
        </w:rPr>
      </w:pPr>
      <w:r w:rsidRPr="009849AB">
        <w:rPr>
          <w:rFonts w:ascii="Arial" w:eastAsia="Arial" w:hAnsi="Arial" w:cs="Arial"/>
          <w:sz w:val="24"/>
          <w:szCs w:val="24"/>
          <w:lang w:val="es-ES_tradnl"/>
        </w:rPr>
        <w:t>Para efectos de este capítulo, el término sociedad, comprenderá el previsto en el artículo 98 de la Ley de Régimen Tributario Interno, sin la exclusión de aquellos entes constituidos por entidades públicas.</w:t>
      </w:r>
    </w:p>
    <w:p w14:paraId="471556BF" w14:textId="3EF98E67" w:rsidR="004F667A" w:rsidRPr="009849AB" w:rsidRDefault="004F667A" w:rsidP="00C660E1">
      <w:pPr>
        <w:spacing w:before="120" w:after="0" w:line="276" w:lineRule="auto"/>
        <w:jc w:val="both"/>
        <w:rPr>
          <w:rFonts w:ascii="Arial" w:eastAsia="Arial" w:hAnsi="Arial" w:cs="Arial"/>
          <w:sz w:val="24"/>
          <w:szCs w:val="24"/>
          <w:lang w:val="es-ES_tradnl"/>
        </w:rPr>
      </w:pPr>
      <w:r w:rsidRPr="009849AB">
        <w:rPr>
          <w:rFonts w:ascii="Arial" w:eastAsia="Arial" w:hAnsi="Arial" w:cs="Arial"/>
          <w:b/>
          <w:sz w:val="24"/>
          <w:szCs w:val="24"/>
          <w:lang w:val="es-ES_tradnl"/>
        </w:rPr>
        <w:t xml:space="preserve">Artículo (…) </w:t>
      </w:r>
      <w:r w:rsidR="00911FF1" w:rsidRPr="009849AB">
        <w:rPr>
          <w:rFonts w:ascii="Arial" w:eastAsia="Arial" w:hAnsi="Arial" w:cs="Arial"/>
          <w:b/>
          <w:sz w:val="24"/>
          <w:szCs w:val="24"/>
          <w:lang w:val="es-ES_tradnl"/>
        </w:rPr>
        <w:t>5</w:t>
      </w:r>
      <w:r w:rsidRPr="009849AB">
        <w:rPr>
          <w:rFonts w:ascii="Arial" w:eastAsia="Arial" w:hAnsi="Arial" w:cs="Arial"/>
          <w:b/>
          <w:sz w:val="24"/>
          <w:szCs w:val="24"/>
          <w:lang w:val="es-ES_tradnl"/>
        </w:rPr>
        <w:t xml:space="preserve">.- Base imponible.- </w:t>
      </w:r>
      <w:r w:rsidRPr="009849AB">
        <w:rPr>
          <w:rFonts w:ascii="Arial" w:eastAsia="Arial" w:hAnsi="Arial" w:cs="Arial"/>
          <w:sz w:val="24"/>
          <w:szCs w:val="24"/>
          <w:lang w:val="es-ES_tradnl"/>
        </w:rPr>
        <w:t>Constituye base imponible de la tasa regulada en el presente capítulo la sectorización que, la Dirección Metropolitana de Catastro, determine al 31 de diciembre de cada año en el  Sistema Integrado de Registro Catastral de Quito (SIREC-Q) .</w:t>
      </w:r>
    </w:p>
    <w:p w14:paraId="6438DC45" w14:textId="47E8A4EF" w:rsidR="00AA156C" w:rsidRPr="009849AB" w:rsidRDefault="00AA156C" w:rsidP="00C660E1">
      <w:pPr>
        <w:spacing w:before="240" w:after="240" w:line="276" w:lineRule="auto"/>
        <w:jc w:val="both"/>
        <w:rPr>
          <w:rFonts w:ascii="Arial" w:eastAsia="Arial" w:hAnsi="Arial" w:cs="Arial"/>
          <w:sz w:val="24"/>
          <w:szCs w:val="24"/>
          <w:lang w:val="es-ES_tradnl"/>
        </w:rPr>
      </w:pPr>
      <w:r w:rsidRPr="009849AB">
        <w:rPr>
          <w:rFonts w:ascii="Arial" w:eastAsia="Arial" w:hAnsi="Arial" w:cs="Arial"/>
          <w:b/>
          <w:sz w:val="24"/>
          <w:szCs w:val="24"/>
          <w:lang w:val="es-ES_tradnl"/>
        </w:rPr>
        <w:t xml:space="preserve">Artículo (…) </w:t>
      </w:r>
      <w:r w:rsidR="00911FF1" w:rsidRPr="009849AB">
        <w:rPr>
          <w:rFonts w:ascii="Arial" w:eastAsia="Arial" w:hAnsi="Arial" w:cs="Arial"/>
          <w:b/>
          <w:sz w:val="24"/>
          <w:szCs w:val="24"/>
          <w:lang w:val="es-ES_tradnl"/>
        </w:rPr>
        <w:t>6</w:t>
      </w:r>
      <w:r w:rsidRPr="009849AB">
        <w:rPr>
          <w:rFonts w:ascii="Arial" w:eastAsia="Arial" w:hAnsi="Arial" w:cs="Arial"/>
          <w:b/>
          <w:sz w:val="24"/>
          <w:szCs w:val="24"/>
          <w:lang w:val="es-ES_tradnl"/>
        </w:rPr>
        <w:t xml:space="preserve">.- Liquidación y pago del tributo.- </w:t>
      </w:r>
      <w:r w:rsidRPr="009849AB">
        <w:rPr>
          <w:rFonts w:ascii="Arial" w:eastAsia="Arial" w:hAnsi="Arial" w:cs="Arial"/>
          <w:sz w:val="24"/>
          <w:szCs w:val="24"/>
          <w:lang w:val="es-ES_tradnl"/>
        </w:rPr>
        <w:t>La tasa será liquidada por año anticipado y pagada de forma anual, como tributo adicional del impuesto predial, conforme el presente Código, con base en todas las modificaciones operadas en el catastro inmobiliario oficial hasta el 31 de diciembre de cada año.</w:t>
      </w:r>
    </w:p>
    <w:p w14:paraId="74673448" w14:textId="77777777" w:rsidR="00AA156C" w:rsidRPr="009849AB" w:rsidRDefault="00AA156C" w:rsidP="00C660E1">
      <w:pPr>
        <w:spacing w:before="240" w:after="240" w:line="276" w:lineRule="auto"/>
        <w:jc w:val="both"/>
        <w:rPr>
          <w:rFonts w:ascii="Arial" w:eastAsia="Arial" w:hAnsi="Arial" w:cs="Arial"/>
          <w:sz w:val="24"/>
          <w:szCs w:val="24"/>
          <w:lang w:val="es-ES_tradnl"/>
        </w:rPr>
      </w:pPr>
      <w:r w:rsidRPr="009849AB">
        <w:rPr>
          <w:rFonts w:ascii="Arial" w:eastAsia="Arial" w:hAnsi="Arial" w:cs="Arial"/>
          <w:sz w:val="24"/>
          <w:szCs w:val="24"/>
          <w:lang w:val="es-ES_tradnl"/>
        </w:rPr>
        <w:t xml:space="preserve">La tasa deberá pagarse en el curso del respectivo año, sin necesidad de que el Gobierno Autónomo Descentralizado del Distrito Metropolitano de Quito notifique </w:t>
      </w:r>
      <w:r w:rsidRPr="009849AB">
        <w:rPr>
          <w:rFonts w:ascii="Arial" w:eastAsia="Arial" w:hAnsi="Arial" w:cs="Arial"/>
          <w:sz w:val="24"/>
          <w:szCs w:val="24"/>
          <w:lang w:val="es-ES_tradnl"/>
        </w:rPr>
        <w:lastRenderedPageBreak/>
        <w:t>esta obligación, dado que la misma deberá constar en la misma orden de pago del impuesto predial correspondiente.</w:t>
      </w:r>
    </w:p>
    <w:p w14:paraId="364D999B" w14:textId="3425DA79" w:rsidR="00AA156C" w:rsidRPr="009849AB" w:rsidRDefault="00AA156C" w:rsidP="00C660E1">
      <w:pPr>
        <w:spacing w:before="240" w:after="240" w:line="276" w:lineRule="auto"/>
        <w:jc w:val="both"/>
        <w:rPr>
          <w:rFonts w:ascii="Arial" w:eastAsia="Arial" w:hAnsi="Arial" w:cs="Arial"/>
          <w:sz w:val="24"/>
          <w:szCs w:val="24"/>
          <w:lang w:val="es-ES_tradnl"/>
        </w:rPr>
      </w:pPr>
      <w:r w:rsidRPr="009849AB">
        <w:rPr>
          <w:rFonts w:ascii="Arial" w:eastAsia="Arial" w:hAnsi="Arial" w:cs="Arial"/>
          <w:sz w:val="24"/>
          <w:szCs w:val="24"/>
          <w:lang w:val="es-ES_tradnl"/>
        </w:rPr>
        <w:t>El tributo será exigible a partir del 01 de enero del año siguiente al de la tributación, en los mismos términos de exigibilidad del impuesto predial.</w:t>
      </w:r>
    </w:p>
    <w:p w14:paraId="38EDABCB" w14:textId="5F5D73C5" w:rsidR="00E240B4" w:rsidRPr="009849AB" w:rsidRDefault="0024038F" w:rsidP="00C660E1">
      <w:pPr>
        <w:spacing w:before="240" w:after="240" w:line="276" w:lineRule="auto"/>
        <w:jc w:val="both"/>
        <w:rPr>
          <w:rFonts w:ascii="Arial" w:eastAsia="Arial" w:hAnsi="Arial" w:cs="Arial"/>
          <w:sz w:val="24"/>
          <w:szCs w:val="24"/>
        </w:rPr>
      </w:pPr>
      <w:r w:rsidRPr="009849AB">
        <w:rPr>
          <w:rFonts w:ascii="Arial" w:eastAsia="Arial" w:hAnsi="Arial" w:cs="Arial"/>
          <w:b/>
          <w:sz w:val="24"/>
          <w:szCs w:val="24"/>
          <w:lang w:val="es-ES_tradnl"/>
        </w:rPr>
        <w:t xml:space="preserve">Artículo (…) 7.- VALORES.- </w:t>
      </w:r>
      <w:r w:rsidR="000E7F12" w:rsidRPr="009849AB">
        <w:rPr>
          <w:rFonts w:ascii="Arial" w:eastAsia="Arial" w:hAnsi="Arial" w:cs="Arial"/>
          <w:sz w:val="24"/>
          <w:szCs w:val="24"/>
        </w:rPr>
        <w:t xml:space="preserve">La tasa se pagará de acuerdo a los rangos de categorización y </w:t>
      </w:r>
      <w:r w:rsidR="00CE2B71" w:rsidRPr="009849AB">
        <w:rPr>
          <w:rFonts w:ascii="Arial" w:eastAsia="Arial" w:hAnsi="Arial" w:cs="Arial"/>
          <w:sz w:val="24"/>
          <w:szCs w:val="24"/>
        </w:rPr>
        <w:t>conforme</w:t>
      </w:r>
      <w:r w:rsidR="000E7F12" w:rsidRPr="009849AB">
        <w:rPr>
          <w:rFonts w:ascii="Arial" w:eastAsia="Arial" w:hAnsi="Arial" w:cs="Arial"/>
          <w:sz w:val="24"/>
          <w:szCs w:val="24"/>
        </w:rPr>
        <w:t xml:space="preserve"> al Salario Básico Unificado (SBU) del año del hecho generador, </w:t>
      </w:r>
      <w:r w:rsidR="00CE2B71" w:rsidRPr="009849AB">
        <w:rPr>
          <w:rFonts w:ascii="Arial" w:eastAsia="Arial" w:hAnsi="Arial" w:cs="Arial"/>
          <w:sz w:val="24"/>
          <w:szCs w:val="24"/>
        </w:rPr>
        <w:t>acorde</w:t>
      </w:r>
      <w:r w:rsidR="000E7F12" w:rsidRPr="009849AB">
        <w:rPr>
          <w:rFonts w:ascii="Arial" w:eastAsia="Arial" w:hAnsi="Arial" w:cs="Arial"/>
          <w:sz w:val="24"/>
          <w:szCs w:val="24"/>
        </w:rPr>
        <w:t xml:space="preserve"> </w:t>
      </w:r>
      <w:r w:rsidR="00CE2B71" w:rsidRPr="009849AB">
        <w:rPr>
          <w:rFonts w:ascii="Arial" w:eastAsia="Arial" w:hAnsi="Arial" w:cs="Arial"/>
          <w:sz w:val="24"/>
          <w:szCs w:val="24"/>
        </w:rPr>
        <w:t xml:space="preserve">a </w:t>
      </w:r>
      <w:r w:rsidR="000E7F12" w:rsidRPr="009849AB">
        <w:rPr>
          <w:rFonts w:ascii="Arial" w:eastAsia="Arial" w:hAnsi="Arial" w:cs="Arial"/>
          <w:sz w:val="24"/>
          <w:szCs w:val="24"/>
        </w:rPr>
        <w:t>la siguiente tabla:</w:t>
      </w:r>
      <w:r w:rsidR="00E240B4" w:rsidRPr="009849AB">
        <w:rPr>
          <w:rFonts w:ascii="Arial" w:eastAsia="Arial" w:hAnsi="Arial" w:cs="Arial"/>
          <w:sz w:val="24"/>
          <w:szCs w:val="24"/>
        </w:rPr>
        <w:t xml:space="preserve"> </w:t>
      </w:r>
    </w:p>
    <w:p w14:paraId="0ED796F2" w14:textId="77777777" w:rsidR="0024038F" w:rsidRPr="009849AB" w:rsidRDefault="0024038F" w:rsidP="00C660E1">
      <w:pPr>
        <w:spacing w:before="240" w:after="240" w:line="276" w:lineRule="auto"/>
        <w:jc w:val="both"/>
        <w:rPr>
          <w:rFonts w:ascii="Arial" w:eastAsia="Arial" w:hAnsi="Arial" w:cs="Arial"/>
          <w:sz w:val="24"/>
          <w:szCs w:val="24"/>
          <w:lang w:val="es-ES_tradnl"/>
        </w:rPr>
      </w:pPr>
      <w:r w:rsidRPr="009849AB">
        <w:rPr>
          <w:rFonts w:ascii="Arial" w:eastAsia="Arial" w:hAnsi="Arial" w:cs="Arial"/>
          <w:sz w:val="24"/>
          <w:szCs w:val="24"/>
          <w:lang w:val="es-ES_tradnl"/>
        </w:rPr>
        <w:t>a. Predios destinados preferentemente a vivienda:</w:t>
      </w:r>
    </w:p>
    <w:tbl>
      <w:tblPr>
        <w:tblStyle w:val="afff8"/>
        <w:tblW w:w="31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0"/>
        <w:gridCol w:w="1890"/>
      </w:tblGrid>
      <w:tr w:rsidR="0024038F" w:rsidRPr="009849AB" w14:paraId="09B9B1CB" w14:textId="77777777" w:rsidTr="00AF5671">
        <w:trPr>
          <w:trHeight w:val="705"/>
        </w:trPr>
        <w:tc>
          <w:tcPr>
            <w:tcW w:w="1290" w:type="dxa"/>
            <w:tcBorders>
              <w:top w:val="single" w:sz="8" w:space="0" w:color="000000"/>
              <w:left w:val="single" w:sz="8" w:space="0" w:color="000000"/>
              <w:bottom w:val="single" w:sz="8" w:space="0" w:color="000000"/>
              <w:right w:val="single" w:sz="8" w:space="0" w:color="000000"/>
            </w:tcBorders>
            <w:shd w:val="clear" w:color="auto" w:fill="1F3864"/>
            <w:tcMar>
              <w:top w:w="20" w:type="dxa"/>
              <w:left w:w="20" w:type="dxa"/>
              <w:bottom w:w="100" w:type="dxa"/>
              <w:right w:w="20" w:type="dxa"/>
            </w:tcMar>
            <w:vAlign w:val="center"/>
          </w:tcPr>
          <w:p w14:paraId="7FC671CA" w14:textId="77777777" w:rsidR="0024038F" w:rsidRPr="009849AB" w:rsidRDefault="0024038F" w:rsidP="00C660E1">
            <w:pPr>
              <w:spacing w:before="240" w:after="240" w:line="276" w:lineRule="auto"/>
              <w:jc w:val="center"/>
              <w:rPr>
                <w:rFonts w:ascii="Arial" w:eastAsia="Arial" w:hAnsi="Arial" w:cs="Arial"/>
                <w:sz w:val="24"/>
                <w:szCs w:val="24"/>
                <w:lang w:val="es-ES_tradnl"/>
              </w:rPr>
            </w:pPr>
            <w:r w:rsidRPr="009849AB">
              <w:rPr>
                <w:rFonts w:ascii="Arial" w:eastAsia="Arial" w:hAnsi="Arial" w:cs="Arial"/>
                <w:color w:val="FFFFFF"/>
                <w:sz w:val="20"/>
                <w:szCs w:val="20"/>
                <w:lang w:val="es-ES_tradnl"/>
              </w:rPr>
              <w:t>SECTOR</w:t>
            </w:r>
          </w:p>
        </w:tc>
        <w:tc>
          <w:tcPr>
            <w:tcW w:w="1890" w:type="dxa"/>
            <w:tcBorders>
              <w:top w:val="single" w:sz="8" w:space="0" w:color="000000"/>
              <w:left w:val="nil"/>
              <w:bottom w:val="single" w:sz="8" w:space="0" w:color="000000"/>
              <w:right w:val="single" w:sz="8" w:space="0" w:color="000000"/>
            </w:tcBorders>
            <w:shd w:val="clear" w:color="auto" w:fill="1F3864"/>
            <w:tcMar>
              <w:top w:w="20" w:type="dxa"/>
              <w:left w:w="20" w:type="dxa"/>
              <w:bottom w:w="100" w:type="dxa"/>
              <w:right w:w="20" w:type="dxa"/>
            </w:tcMar>
            <w:vAlign w:val="center"/>
          </w:tcPr>
          <w:p w14:paraId="7B085534" w14:textId="77777777" w:rsidR="0024038F" w:rsidRPr="009849AB" w:rsidRDefault="0024038F" w:rsidP="00C660E1">
            <w:pPr>
              <w:spacing w:before="240" w:after="240" w:line="276" w:lineRule="auto"/>
              <w:jc w:val="center"/>
              <w:rPr>
                <w:rFonts w:ascii="Arial" w:eastAsia="Arial" w:hAnsi="Arial" w:cs="Arial"/>
                <w:sz w:val="24"/>
                <w:szCs w:val="24"/>
                <w:lang w:val="es-ES_tradnl"/>
              </w:rPr>
            </w:pPr>
            <w:r w:rsidRPr="009849AB">
              <w:rPr>
                <w:rFonts w:ascii="Arial" w:eastAsia="Arial" w:hAnsi="Arial" w:cs="Arial"/>
                <w:color w:val="FFFFFF"/>
                <w:sz w:val="20"/>
                <w:szCs w:val="20"/>
                <w:lang w:val="es-ES_tradnl"/>
              </w:rPr>
              <w:t xml:space="preserve">TASA ANUAL </w:t>
            </w:r>
          </w:p>
        </w:tc>
      </w:tr>
      <w:tr w:rsidR="00A13B6B" w:rsidRPr="009849AB" w14:paraId="75F6915E" w14:textId="77777777" w:rsidTr="00AF5671">
        <w:trPr>
          <w:trHeight w:val="430"/>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33E65CA3" w14:textId="77777777"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eastAsia="Arial" w:hAnsi="Arial" w:cs="Arial"/>
                <w:sz w:val="20"/>
                <w:szCs w:val="20"/>
                <w:lang w:val="es-ES_tradnl"/>
              </w:rPr>
              <w:t>Sector 1</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277CB348" w14:textId="6FBE4AF8"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hAnsi="Arial" w:cs="Arial"/>
                <w:color w:val="000000"/>
                <w:sz w:val="20"/>
              </w:rPr>
              <w:t>6.760%</w:t>
            </w:r>
            <w:r w:rsidR="000E7F12" w:rsidRPr="009849AB">
              <w:rPr>
                <w:rFonts w:ascii="Arial" w:hAnsi="Arial" w:cs="Arial"/>
                <w:color w:val="000000"/>
                <w:sz w:val="20"/>
              </w:rPr>
              <w:t xml:space="preserve"> SBU</w:t>
            </w:r>
          </w:p>
        </w:tc>
      </w:tr>
      <w:tr w:rsidR="00A13B6B" w:rsidRPr="009849AB" w14:paraId="55CFA53C" w14:textId="77777777" w:rsidTr="00AF5671">
        <w:trPr>
          <w:trHeight w:val="430"/>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0F33B68B" w14:textId="77777777"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eastAsia="Arial" w:hAnsi="Arial" w:cs="Arial"/>
                <w:sz w:val="20"/>
                <w:szCs w:val="20"/>
                <w:lang w:val="es-ES_tradnl"/>
              </w:rPr>
              <w:t>Sector 2</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4DEE9B7B" w14:textId="573288EE"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hAnsi="Arial" w:cs="Arial"/>
                <w:color w:val="000000"/>
                <w:sz w:val="20"/>
              </w:rPr>
              <w:t>5.763%</w:t>
            </w:r>
            <w:r w:rsidR="000E7F12" w:rsidRPr="009849AB">
              <w:rPr>
                <w:rFonts w:ascii="Arial" w:hAnsi="Arial" w:cs="Arial"/>
                <w:color w:val="000000"/>
                <w:sz w:val="20"/>
              </w:rPr>
              <w:t xml:space="preserve"> SBU</w:t>
            </w:r>
          </w:p>
        </w:tc>
      </w:tr>
      <w:tr w:rsidR="00A13B6B" w:rsidRPr="009849AB" w14:paraId="389B3653" w14:textId="77777777" w:rsidTr="00AF5671">
        <w:trPr>
          <w:trHeight w:val="430"/>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1A02C9B0" w14:textId="77777777"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eastAsia="Arial" w:hAnsi="Arial" w:cs="Arial"/>
                <w:sz w:val="20"/>
                <w:szCs w:val="20"/>
                <w:lang w:val="es-ES_tradnl"/>
              </w:rPr>
              <w:t>Sector 3</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78002513" w14:textId="3E7A9A94"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hAnsi="Arial" w:cs="Arial"/>
                <w:color w:val="000000"/>
                <w:sz w:val="20"/>
              </w:rPr>
              <w:t>4.770%</w:t>
            </w:r>
            <w:r w:rsidR="000E7F12" w:rsidRPr="009849AB">
              <w:rPr>
                <w:rFonts w:ascii="Arial" w:hAnsi="Arial" w:cs="Arial"/>
                <w:color w:val="000000"/>
                <w:sz w:val="20"/>
              </w:rPr>
              <w:t xml:space="preserve"> SBU</w:t>
            </w:r>
          </w:p>
        </w:tc>
      </w:tr>
      <w:tr w:rsidR="00A13B6B" w:rsidRPr="009849AB" w14:paraId="22EF7A7D" w14:textId="77777777" w:rsidTr="00AF5671">
        <w:trPr>
          <w:trHeight w:val="430"/>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357FE1B3" w14:textId="77777777"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eastAsia="Arial" w:hAnsi="Arial" w:cs="Arial"/>
                <w:sz w:val="20"/>
                <w:szCs w:val="20"/>
                <w:lang w:val="es-ES_tradnl"/>
              </w:rPr>
              <w:t>Sector 4</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060257D0" w14:textId="42FFC7A9"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hAnsi="Arial" w:cs="Arial"/>
                <w:color w:val="000000"/>
                <w:sz w:val="20"/>
              </w:rPr>
              <w:t>3.748%</w:t>
            </w:r>
            <w:r w:rsidR="000E7F12" w:rsidRPr="009849AB">
              <w:rPr>
                <w:rFonts w:ascii="Arial" w:hAnsi="Arial" w:cs="Arial"/>
                <w:color w:val="000000"/>
                <w:sz w:val="20"/>
              </w:rPr>
              <w:t xml:space="preserve"> SBU </w:t>
            </w:r>
          </w:p>
        </w:tc>
      </w:tr>
      <w:tr w:rsidR="00A13B6B" w:rsidRPr="009849AB" w14:paraId="3E3A4F03" w14:textId="77777777" w:rsidTr="00AF5671">
        <w:trPr>
          <w:trHeight w:val="430"/>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583AE287" w14:textId="77777777"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eastAsia="Arial" w:hAnsi="Arial" w:cs="Arial"/>
                <w:sz w:val="20"/>
                <w:szCs w:val="20"/>
                <w:lang w:val="es-ES_tradnl"/>
              </w:rPr>
              <w:t>Sector 5</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66113C11" w14:textId="0A7E13B7"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hAnsi="Arial" w:cs="Arial"/>
                <w:color w:val="000000"/>
                <w:sz w:val="20"/>
              </w:rPr>
              <w:t>2.998%</w:t>
            </w:r>
            <w:r w:rsidR="000E7F12" w:rsidRPr="009849AB">
              <w:rPr>
                <w:rFonts w:ascii="Arial" w:hAnsi="Arial" w:cs="Arial"/>
                <w:color w:val="000000"/>
                <w:sz w:val="20"/>
              </w:rPr>
              <w:t xml:space="preserve"> SBU</w:t>
            </w:r>
          </w:p>
        </w:tc>
      </w:tr>
      <w:tr w:rsidR="00A13B6B" w:rsidRPr="009849AB" w14:paraId="6A0C9426" w14:textId="77777777" w:rsidTr="00AF5671">
        <w:trPr>
          <w:trHeight w:val="430"/>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5DF60313" w14:textId="77777777"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eastAsia="Arial" w:hAnsi="Arial" w:cs="Arial"/>
                <w:sz w:val="20"/>
                <w:szCs w:val="20"/>
                <w:lang w:val="es-ES_tradnl"/>
              </w:rPr>
              <w:t>Sector 6</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41E0D9B4" w14:textId="0C0C59C9"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hAnsi="Arial" w:cs="Arial"/>
                <w:color w:val="000000"/>
                <w:sz w:val="20"/>
              </w:rPr>
              <w:t>2.278%</w:t>
            </w:r>
            <w:r w:rsidR="000E7F12" w:rsidRPr="009849AB">
              <w:rPr>
                <w:rFonts w:ascii="Arial" w:hAnsi="Arial" w:cs="Arial"/>
                <w:color w:val="000000"/>
                <w:sz w:val="20"/>
              </w:rPr>
              <w:t xml:space="preserve"> SBU</w:t>
            </w:r>
          </w:p>
        </w:tc>
      </w:tr>
      <w:tr w:rsidR="00A13B6B" w:rsidRPr="009849AB" w14:paraId="4497A67C" w14:textId="77777777" w:rsidTr="00AF5671">
        <w:trPr>
          <w:trHeight w:val="430"/>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7F9C53C3" w14:textId="77777777"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eastAsia="Arial" w:hAnsi="Arial" w:cs="Arial"/>
                <w:sz w:val="20"/>
                <w:szCs w:val="20"/>
                <w:lang w:val="es-ES_tradnl"/>
              </w:rPr>
              <w:t>Sector 7</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2B465780" w14:textId="37AF4947"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hAnsi="Arial" w:cs="Arial"/>
                <w:color w:val="000000"/>
                <w:sz w:val="20"/>
              </w:rPr>
              <w:t>1.503%</w:t>
            </w:r>
            <w:r w:rsidR="000E7F12" w:rsidRPr="009849AB">
              <w:rPr>
                <w:rFonts w:ascii="Arial" w:hAnsi="Arial" w:cs="Arial"/>
                <w:color w:val="000000"/>
                <w:sz w:val="20"/>
              </w:rPr>
              <w:t xml:space="preserve"> SBU</w:t>
            </w:r>
          </w:p>
        </w:tc>
      </w:tr>
      <w:tr w:rsidR="00A13B6B" w:rsidRPr="009849AB" w14:paraId="63F98CD0" w14:textId="77777777" w:rsidTr="00AF5671">
        <w:trPr>
          <w:trHeight w:val="430"/>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08DACCD9" w14:textId="77777777"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eastAsia="Arial" w:hAnsi="Arial" w:cs="Arial"/>
                <w:sz w:val="20"/>
                <w:szCs w:val="20"/>
                <w:lang w:val="es-ES_tradnl"/>
              </w:rPr>
              <w:t>Sector 8</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4CF16697" w14:textId="1F37EC75"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hAnsi="Arial" w:cs="Arial"/>
                <w:color w:val="000000"/>
                <w:sz w:val="20"/>
              </w:rPr>
              <w:t>1.003%</w:t>
            </w:r>
            <w:r w:rsidR="000E7F12" w:rsidRPr="009849AB">
              <w:rPr>
                <w:rFonts w:ascii="Arial" w:hAnsi="Arial" w:cs="Arial"/>
                <w:color w:val="000000"/>
                <w:sz w:val="20"/>
              </w:rPr>
              <w:t xml:space="preserve"> SBU</w:t>
            </w:r>
          </w:p>
        </w:tc>
      </w:tr>
      <w:tr w:rsidR="00A13B6B" w:rsidRPr="009849AB" w14:paraId="74F3323A" w14:textId="77777777" w:rsidTr="00AF5671">
        <w:trPr>
          <w:trHeight w:val="375"/>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779BFF38" w14:textId="77777777"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eastAsia="Arial" w:hAnsi="Arial" w:cs="Arial"/>
                <w:sz w:val="20"/>
                <w:szCs w:val="20"/>
                <w:lang w:val="es-ES_tradnl"/>
              </w:rPr>
              <w:t>Sector 9</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369B0A9E" w14:textId="22F588DF" w:rsidR="00A13B6B" w:rsidRPr="009849AB" w:rsidRDefault="00A13B6B" w:rsidP="00C660E1">
            <w:pPr>
              <w:spacing w:before="240" w:after="240" w:line="276" w:lineRule="auto"/>
              <w:jc w:val="center"/>
              <w:rPr>
                <w:rFonts w:ascii="Arial" w:eastAsia="Arial" w:hAnsi="Arial" w:cs="Arial"/>
                <w:sz w:val="24"/>
                <w:szCs w:val="24"/>
                <w:lang w:val="es-ES_tradnl"/>
              </w:rPr>
            </w:pPr>
            <w:r w:rsidRPr="009849AB">
              <w:rPr>
                <w:rFonts w:ascii="Arial" w:hAnsi="Arial" w:cs="Arial"/>
                <w:color w:val="000000"/>
                <w:sz w:val="20"/>
              </w:rPr>
              <w:t>0.500%</w:t>
            </w:r>
            <w:r w:rsidR="000E7F12" w:rsidRPr="009849AB">
              <w:rPr>
                <w:rFonts w:ascii="Arial" w:hAnsi="Arial" w:cs="Arial"/>
                <w:color w:val="000000"/>
                <w:sz w:val="20"/>
              </w:rPr>
              <w:t xml:space="preserve"> SBU</w:t>
            </w:r>
          </w:p>
        </w:tc>
      </w:tr>
    </w:tbl>
    <w:p w14:paraId="30DACB50" w14:textId="77777777" w:rsidR="0024038F" w:rsidRPr="009849AB" w:rsidRDefault="0024038F" w:rsidP="00C660E1">
      <w:pPr>
        <w:spacing w:before="240" w:after="0" w:line="276" w:lineRule="auto"/>
        <w:jc w:val="both"/>
        <w:rPr>
          <w:rFonts w:ascii="Arial" w:eastAsia="Arial" w:hAnsi="Arial" w:cs="Arial"/>
          <w:sz w:val="24"/>
          <w:szCs w:val="24"/>
          <w:lang w:val="es-ES_tradnl"/>
        </w:rPr>
      </w:pPr>
    </w:p>
    <w:p w14:paraId="54B699CC" w14:textId="77777777" w:rsidR="0024038F" w:rsidRPr="009849AB" w:rsidRDefault="0024038F" w:rsidP="00C660E1">
      <w:pPr>
        <w:spacing w:before="240" w:after="0" w:line="276" w:lineRule="auto"/>
        <w:jc w:val="both"/>
        <w:rPr>
          <w:rFonts w:ascii="Arial" w:eastAsia="Arial" w:hAnsi="Arial" w:cs="Arial"/>
          <w:sz w:val="24"/>
          <w:szCs w:val="24"/>
          <w:lang w:val="es-ES_tradnl"/>
        </w:rPr>
      </w:pPr>
      <w:r w:rsidRPr="009849AB">
        <w:rPr>
          <w:rFonts w:ascii="Arial" w:eastAsia="Arial" w:hAnsi="Arial" w:cs="Arial"/>
          <w:sz w:val="24"/>
          <w:szCs w:val="24"/>
          <w:lang w:val="es-ES_tradnl"/>
        </w:rPr>
        <w:t>b. Predios destinados a actividades preferentemente económicas y de servicios:</w:t>
      </w:r>
    </w:p>
    <w:p w14:paraId="7C3709DD" w14:textId="77777777" w:rsidR="0024038F" w:rsidRPr="009849AB" w:rsidRDefault="0024038F" w:rsidP="00C660E1">
      <w:pPr>
        <w:spacing w:before="240" w:after="0" w:line="276" w:lineRule="auto"/>
        <w:jc w:val="both"/>
        <w:rPr>
          <w:rFonts w:ascii="Arial" w:eastAsia="Arial" w:hAnsi="Arial" w:cs="Arial"/>
          <w:sz w:val="24"/>
          <w:szCs w:val="24"/>
          <w:lang w:val="es-ES_tradnl"/>
        </w:rPr>
      </w:pPr>
      <w:r w:rsidRPr="009849AB">
        <w:rPr>
          <w:rFonts w:ascii="Arial" w:eastAsia="Arial" w:hAnsi="Arial" w:cs="Arial"/>
          <w:sz w:val="24"/>
          <w:szCs w:val="24"/>
          <w:lang w:val="es-ES_tradnl"/>
        </w:rPr>
        <w:lastRenderedPageBreak/>
        <w:t>​​</w:t>
      </w:r>
    </w:p>
    <w:tbl>
      <w:tblPr>
        <w:tblStyle w:val="afff9"/>
        <w:tblW w:w="31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20"/>
        <w:gridCol w:w="1830"/>
      </w:tblGrid>
      <w:tr w:rsidR="0024038F" w:rsidRPr="009849AB" w14:paraId="70C34058" w14:textId="77777777" w:rsidTr="00AF5671">
        <w:trPr>
          <w:trHeight w:val="720"/>
        </w:trPr>
        <w:tc>
          <w:tcPr>
            <w:tcW w:w="1320" w:type="dxa"/>
            <w:tcBorders>
              <w:top w:val="single" w:sz="8" w:space="0" w:color="000000"/>
              <w:left w:val="single" w:sz="8" w:space="0" w:color="000000"/>
              <w:bottom w:val="single" w:sz="8" w:space="0" w:color="000000"/>
              <w:right w:val="single" w:sz="8" w:space="0" w:color="000000"/>
            </w:tcBorders>
            <w:shd w:val="clear" w:color="auto" w:fill="1F3864"/>
            <w:tcMar>
              <w:top w:w="20" w:type="dxa"/>
              <w:left w:w="20" w:type="dxa"/>
              <w:bottom w:w="100" w:type="dxa"/>
              <w:right w:w="20" w:type="dxa"/>
            </w:tcMar>
            <w:vAlign w:val="center"/>
          </w:tcPr>
          <w:p w14:paraId="66824C8F" w14:textId="77777777" w:rsidR="0024038F" w:rsidRPr="009849AB" w:rsidRDefault="0024038F" w:rsidP="00C660E1">
            <w:pPr>
              <w:spacing w:before="240" w:after="0" w:line="276" w:lineRule="auto"/>
              <w:jc w:val="center"/>
              <w:rPr>
                <w:rFonts w:ascii="Arial" w:eastAsia="Arial" w:hAnsi="Arial" w:cs="Arial"/>
                <w:sz w:val="24"/>
                <w:szCs w:val="24"/>
                <w:lang w:val="es-ES_tradnl"/>
              </w:rPr>
            </w:pPr>
            <w:r w:rsidRPr="009849AB">
              <w:rPr>
                <w:rFonts w:ascii="Arial" w:eastAsia="Arial" w:hAnsi="Arial" w:cs="Arial"/>
                <w:b/>
                <w:color w:val="FFFFFF"/>
                <w:sz w:val="20"/>
                <w:szCs w:val="20"/>
                <w:lang w:val="es-ES_tradnl"/>
              </w:rPr>
              <w:t>SECTOR</w:t>
            </w:r>
          </w:p>
        </w:tc>
        <w:tc>
          <w:tcPr>
            <w:tcW w:w="1830" w:type="dxa"/>
            <w:tcBorders>
              <w:top w:val="single" w:sz="8" w:space="0" w:color="000000"/>
              <w:left w:val="nil"/>
              <w:bottom w:val="single" w:sz="8" w:space="0" w:color="000000"/>
              <w:right w:val="single" w:sz="8" w:space="0" w:color="000000"/>
            </w:tcBorders>
            <w:shd w:val="clear" w:color="auto" w:fill="1F3864"/>
            <w:tcMar>
              <w:top w:w="20" w:type="dxa"/>
              <w:left w:w="20" w:type="dxa"/>
              <w:bottom w:w="100" w:type="dxa"/>
              <w:right w:w="20" w:type="dxa"/>
            </w:tcMar>
            <w:vAlign w:val="center"/>
          </w:tcPr>
          <w:p w14:paraId="2FBFEBBB" w14:textId="77777777" w:rsidR="0024038F" w:rsidRPr="009849AB" w:rsidRDefault="0024038F" w:rsidP="00C660E1">
            <w:pPr>
              <w:spacing w:before="240" w:after="0" w:line="276" w:lineRule="auto"/>
              <w:jc w:val="center"/>
              <w:rPr>
                <w:rFonts w:ascii="Arial" w:eastAsia="Arial" w:hAnsi="Arial" w:cs="Arial"/>
                <w:sz w:val="24"/>
                <w:szCs w:val="24"/>
                <w:lang w:val="es-ES_tradnl"/>
              </w:rPr>
            </w:pPr>
            <w:r w:rsidRPr="009849AB">
              <w:rPr>
                <w:rFonts w:ascii="Arial" w:eastAsia="Arial" w:hAnsi="Arial" w:cs="Arial"/>
                <w:b/>
                <w:color w:val="FFFFFF"/>
                <w:sz w:val="20"/>
                <w:szCs w:val="20"/>
                <w:lang w:val="es-ES_tradnl"/>
              </w:rPr>
              <w:t>TASA ANUAL</w:t>
            </w:r>
          </w:p>
        </w:tc>
      </w:tr>
      <w:tr w:rsidR="00A13B6B" w:rsidRPr="009849AB" w14:paraId="5D7F9998" w14:textId="77777777" w:rsidTr="00AF5671">
        <w:trPr>
          <w:trHeight w:val="570"/>
        </w:trPr>
        <w:tc>
          <w:tcPr>
            <w:tcW w:w="132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0D8860E4" w14:textId="77777777" w:rsidR="00A13B6B" w:rsidRPr="009849AB" w:rsidRDefault="00A13B6B" w:rsidP="00C660E1">
            <w:pPr>
              <w:spacing w:before="240" w:after="0" w:line="276" w:lineRule="auto"/>
              <w:jc w:val="center"/>
              <w:rPr>
                <w:rFonts w:ascii="Arial" w:eastAsia="Arial" w:hAnsi="Arial" w:cs="Arial"/>
                <w:sz w:val="24"/>
                <w:szCs w:val="24"/>
                <w:lang w:val="es-ES_tradnl"/>
              </w:rPr>
            </w:pPr>
            <w:r w:rsidRPr="009849AB">
              <w:rPr>
                <w:rFonts w:ascii="Arial" w:eastAsia="Arial" w:hAnsi="Arial" w:cs="Arial"/>
                <w:sz w:val="20"/>
                <w:szCs w:val="20"/>
                <w:lang w:val="es-ES_tradnl"/>
              </w:rPr>
              <w:t>Sector 7,8,9</w:t>
            </w:r>
          </w:p>
        </w:tc>
        <w:tc>
          <w:tcPr>
            <w:tcW w:w="183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43F9B41D" w14:textId="3198D584" w:rsidR="00A13B6B" w:rsidRPr="009849AB" w:rsidRDefault="00A13B6B" w:rsidP="00C660E1">
            <w:pPr>
              <w:spacing w:before="240" w:after="0" w:line="276" w:lineRule="auto"/>
              <w:jc w:val="center"/>
              <w:rPr>
                <w:rFonts w:ascii="Arial" w:eastAsia="Arial" w:hAnsi="Arial" w:cs="Arial"/>
                <w:sz w:val="20"/>
                <w:szCs w:val="24"/>
                <w:lang w:val="es-ES_tradnl"/>
              </w:rPr>
            </w:pPr>
            <w:r w:rsidRPr="009849AB">
              <w:rPr>
                <w:rFonts w:ascii="Arial" w:eastAsia="Times New Roman" w:hAnsi="Arial" w:cs="Arial"/>
                <w:color w:val="000000"/>
                <w:sz w:val="20"/>
                <w:szCs w:val="20"/>
              </w:rPr>
              <w:t>4.5050%</w:t>
            </w:r>
            <w:r w:rsidR="000E7F12" w:rsidRPr="009849AB">
              <w:rPr>
                <w:rFonts w:ascii="Arial" w:hAnsi="Arial" w:cs="Arial"/>
                <w:color w:val="000000"/>
                <w:sz w:val="20"/>
              </w:rPr>
              <w:t xml:space="preserve"> SBU</w:t>
            </w:r>
          </w:p>
        </w:tc>
      </w:tr>
      <w:tr w:rsidR="00A13B6B" w:rsidRPr="009849AB" w14:paraId="5617A432" w14:textId="77777777" w:rsidTr="00AF5671">
        <w:trPr>
          <w:trHeight w:val="430"/>
        </w:trPr>
        <w:tc>
          <w:tcPr>
            <w:tcW w:w="132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03344CFD" w14:textId="77777777" w:rsidR="00A13B6B" w:rsidRPr="009849AB" w:rsidRDefault="00A13B6B" w:rsidP="00C660E1">
            <w:pPr>
              <w:spacing w:before="240" w:after="0" w:line="276" w:lineRule="auto"/>
              <w:jc w:val="center"/>
              <w:rPr>
                <w:rFonts w:ascii="Arial" w:eastAsia="Arial" w:hAnsi="Arial" w:cs="Arial"/>
                <w:sz w:val="24"/>
                <w:szCs w:val="24"/>
                <w:lang w:val="es-ES_tradnl"/>
              </w:rPr>
            </w:pPr>
            <w:r w:rsidRPr="009849AB">
              <w:rPr>
                <w:rFonts w:ascii="Arial" w:eastAsia="Arial" w:hAnsi="Arial" w:cs="Arial"/>
                <w:sz w:val="20"/>
                <w:szCs w:val="20"/>
                <w:lang w:val="es-ES_tradnl"/>
              </w:rPr>
              <w:t>Sector 4,5,6</w:t>
            </w:r>
          </w:p>
        </w:tc>
        <w:tc>
          <w:tcPr>
            <w:tcW w:w="183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087A478D" w14:textId="53552DA0" w:rsidR="00A13B6B" w:rsidRPr="009849AB" w:rsidRDefault="00A13B6B" w:rsidP="00C660E1">
            <w:pPr>
              <w:spacing w:before="240" w:after="0" w:line="276" w:lineRule="auto"/>
              <w:jc w:val="center"/>
              <w:rPr>
                <w:rFonts w:ascii="Arial" w:eastAsia="Arial" w:hAnsi="Arial" w:cs="Arial"/>
                <w:sz w:val="20"/>
                <w:szCs w:val="24"/>
                <w:lang w:val="es-ES_tradnl"/>
              </w:rPr>
            </w:pPr>
            <w:r w:rsidRPr="009849AB">
              <w:rPr>
                <w:rFonts w:ascii="Arial" w:eastAsia="Times New Roman" w:hAnsi="Arial" w:cs="Arial"/>
                <w:color w:val="000000"/>
                <w:sz w:val="20"/>
                <w:szCs w:val="20"/>
              </w:rPr>
              <w:t>6.0150%</w:t>
            </w:r>
            <w:r w:rsidR="000E7F12" w:rsidRPr="009849AB">
              <w:rPr>
                <w:rFonts w:ascii="Arial" w:hAnsi="Arial" w:cs="Arial"/>
                <w:color w:val="000000"/>
                <w:sz w:val="20"/>
              </w:rPr>
              <w:t xml:space="preserve"> SBU</w:t>
            </w:r>
          </w:p>
        </w:tc>
      </w:tr>
      <w:tr w:rsidR="00A13B6B" w:rsidRPr="009849AB" w14:paraId="747A1981" w14:textId="77777777" w:rsidTr="00AF5671">
        <w:trPr>
          <w:trHeight w:val="430"/>
        </w:trPr>
        <w:tc>
          <w:tcPr>
            <w:tcW w:w="132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6402F6EE" w14:textId="77777777" w:rsidR="00A13B6B" w:rsidRPr="009849AB" w:rsidRDefault="00A13B6B" w:rsidP="00C660E1">
            <w:pPr>
              <w:spacing w:before="240" w:after="0" w:line="276" w:lineRule="auto"/>
              <w:jc w:val="center"/>
              <w:rPr>
                <w:rFonts w:ascii="Arial" w:eastAsia="Arial" w:hAnsi="Arial" w:cs="Arial"/>
                <w:sz w:val="24"/>
                <w:szCs w:val="24"/>
                <w:lang w:val="es-ES_tradnl"/>
              </w:rPr>
            </w:pPr>
            <w:r w:rsidRPr="009849AB">
              <w:rPr>
                <w:rFonts w:ascii="Arial" w:eastAsia="Arial" w:hAnsi="Arial" w:cs="Arial"/>
                <w:sz w:val="20"/>
                <w:szCs w:val="20"/>
                <w:lang w:val="es-ES_tradnl"/>
              </w:rPr>
              <w:t>Sector 1,2,3</w:t>
            </w:r>
          </w:p>
        </w:tc>
        <w:tc>
          <w:tcPr>
            <w:tcW w:w="183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60C80524" w14:textId="5A62AC85" w:rsidR="00A13B6B" w:rsidRPr="009849AB" w:rsidRDefault="00A13B6B" w:rsidP="00C660E1">
            <w:pPr>
              <w:spacing w:before="240" w:after="0" w:line="276" w:lineRule="auto"/>
              <w:jc w:val="center"/>
              <w:rPr>
                <w:rFonts w:ascii="Arial" w:eastAsia="Arial" w:hAnsi="Arial" w:cs="Arial"/>
                <w:sz w:val="20"/>
                <w:szCs w:val="24"/>
                <w:lang w:val="es-ES_tradnl"/>
              </w:rPr>
            </w:pPr>
            <w:r w:rsidRPr="009849AB">
              <w:rPr>
                <w:rFonts w:ascii="Arial" w:eastAsia="Times New Roman" w:hAnsi="Arial" w:cs="Arial"/>
                <w:color w:val="000000"/>
                <w:sz w:val="20"/>
                <w:szCs w:val="20"/>
              </w:rPr>
              <w:t>7.5500%</w:t>
            </w:r>
            <w:r w:rsidR="000E7F12" w:rsidRPr="009849AB">
              <w:rPr>
                <w:rFonts w:ascii="Arial" w:hAnsi="Arial" w:cs="Arial"/>
                <w:color w:val="000000"/>
                <w:sz w:val="20"/>
              </w:rPr>
              <w:t xml:space="preserve"> SBU</w:t>
            </w:r>
          </w:p>
        </w:tc>
      </w:tr>
    </w:tbl>
    <w:p w14:paraId="2A5E3BC2" w14:textId="4E36EC32" w:rsidR="00AA156C" w:rsidRPr="009849AB" w:rsidRDefault="00AA156C" w:rsidP="00C660E1">
      <w:pPr>
        <w:spacing w:before="240" w:after="240" w:line="276" w:lineRule="auto"/>
        <w:jc w:val="both"/>
        <w:rPr>
          <w:rFonts w:ascii="Arial" w:eastAsia="Arial" w:hAnsi="Arial" w:cs="Arial"/>
          <w:bCs/>
          <w:sz w:val="24"/>
          <w:szCs w:val="24"/>
          <w:lang w:val="es-ES_tradnl"/>
        </w:rPr>
      </w:pPr>
      <w:r w:rsidRPr="009849AB">
        <w:rPr>
          <w:rFonts w:ascii="Arial" w:eastAsia="Arial" w:hAnsi="Arial" w:cs="Arial"/>
          <w:bCs/>
          <w:sz w:val="24"/>
          <w:szCs w:val="24"/>
          <w:lang w:val="es-ES_tradnl"/>
        </w:rPr>
        <w:t xml:space="preserve">Los predios identificados en el catastro oficial a la fecha del acaecimiento del hecho generador, como rurales, en los casos de uso preferente de vivienda, tributarán conforme al sector 9 de la tabla descrita en la letra a) de este artículo; y, en los casos de uso preferente de actividad económica, </w:t>
      </w:r>
      <w:r w:rsidR="00911FF1" w:rsidRPr="009849AB">
        <w:rPr>
          <w:rFonts w:ascii="Arial" w:eastAsia="Arial" w:hAnsi="Arial" w:cs="Arial"/>
          <w:bCs/>
          <w:sz w:val="24"/>
          <w:szCs w:val="24"/>
          <w:lang w:val="es-ES_tradnl"/>
        </w:rPr>
        <w:t>s</w:t>
      </w:r>
      <w:r w:rsidRPr="009849AB">
        <w:rPr>
          <w:rFonts w:ascii="Arial" w:eastAsia="Arial" w:hAnsi="Arial" w:cs="Arial"/>
          <w:bCs/>
          <w:sz w:val="24"/>
          <w:szCs w:val="24"/>
          <w:lang w:val="es-ES_tradnl"/>
        </w:rPr>
        <w:t xml:space="preserve">e aplicará la tasa prevista para </w:t>
      </w:r>
      <w:r w:rsidR="00911FF1" w:rsidRPr="009849AB">
        <w:rPr>
          <w:rFonts w:ascii="Arial" w:eastAsia="Arial" w:hAnsi="Arial" w:cs="Arial"/>
          <w:bCs/>
          <w:sz w:val="24"/>
          <w:szCs w:val="24"/>
          <w:lang w:val="es-ES_tradnl"/>
        </w:rPr>
        <w:t xml:space="preserve">el </w:t>
      </w:r>
      <w:r w:rsidRPr="009849AB">
        <w:rPr>
          <w:rFonts w:ascii="Arial" w:eastAsia="Arial" w:hAnsi="Arial" w:cs="Arial"/>
          <w:bCs/>
          <w:sz w:val="24"/>
          <w:szCs w:val="24"/>
          <w:lang w:val="es-ES_tradnl"/>
        </w:rPr>
        <w:t xml:space="preserve">sector 8 de la letra </w:t>
      </w:r>
      <w:r w:rsidR="00643D30" w:rsidRPr="009849AB">
        <w:rPr>
          <w:rFonts w:ascii="Arial" w:eastAsia="Arial" w:hAnsi="Arial" w:cs="Arial"/>
          <w:bCs/>
          <w:sz w:val="24"/>
          <w:szCs w:val="24"/>
          <w:lang w:val="es-ES_tradnl"/>
        </w:rPr>
        <w:t>a</w:t>
      </w:r>
      <w:r w:rsidRPr="009849AB">
        <w:rPr>
          <w:rFonts w:ascii="Arial" w:eastAsia="Arial" w:hAnsi="Arial" w:cs="Arial"/>
          <w:bCs/>
          <w:sz w:val="24"/>
          <w:szCs w:val="24"/>
          <w:lang w:val="es-ES_tradnl"/>
        </w:rPr>
        <w:t>) de este artículo.</w:t>
      </w:r>
    </w:p>
    <w:p w14:paraId="73C30230" w14:textId="19AB7496" w:rsidR="00AA156C" w:rsidRPr="009849AB" w:rsidRDefault="00AA156C" w:rsidP="00C660E1">
      <w:pPr>
        <w:spacing w:before="240" w:after="240" w:line="276" w:lineRule="auto"/>
        <w:jc w:val="both"/>
        <w:rPr>
          <w:rFonts w:ascii="Arial" w:eastAsia="Arial" w:hAnsi="Arial" w:cs="Arial"/>
          <w:b/>
          <w:sz w:val="24"/>
          <w:szCs w:val="24"/>
          <w:lang w:val="es-ES_tradnl"/>
        </w:rPr>
      </w:pPr>
      <w:r w:rsidRPr="009849AB">
        <w:rPr>
          <w:rFonts w:ascii="Arial" w:eastAsia="Arial" w:hAnsi="Arial" w:cs="Arial"/>
          <w:b/>
          <w:sz w:val="24"/>
          <w:szCs w:val="24"/>
          <w:lang w:val="es-ES_tradnl"/>
        </w:rPr>
        <w:t xml:space="preserve">Artículo (…) </w:t>
      </w:r>
      <w:r w:rsidR="00FB15BA" w:rsidRPr="009849AB">
        <w:rPr>
          <w:rFonts w:ascii="Arial" w:eastAsia="Arial" w:hAnsi="Arial" w:cs="Arial"/>
          <w:b/>
          <w:sz w:val="24"/>
          <w:szCs w:val="24"/>
          <w:lang w:val="es-ES_tradnl"/>
        </w:rPr>
        <w:t>8</w:t>
      </w:r>
      <w:r w:rsidRPr="009849AB">
        <w:rPr>
          <w:rFonts w:ascii="Arial" w:eastAsia="Arial" w:hAnsi="Arial" w:cs="Arial"/>
          <w:b/>
          <w:sz w:val="24"/>
          <w:szCs w:val="24"/>
          <w:lang w:val="es-ES_tradnl"/>
        </w:rPr>
        <w:t xml:space="preserve">.- Exención.- </w:t>
      </w:r>
      <w:r w:rsidRPr="009849AB">
        <w:rPr>
          <w:rFonts w:ascii="Arial" w:eastAsia="Arial" w:hAnsi="Arial" w:cs="Arial"/>
          <w:sz w:val="24"/>
          <w:szCs w:val="24"/>
          <w:lang w:val="es-ES_tradnl"/>
        </w:rPr>
        <w:t>Estarán exentos del pago de la tasa de seguridad, convivencia ciudadana y gestión de riesgos, los adultos mayores que reúnan las condiciones fijadas en el artículo 14 de la Ley del Adulto Mayor, y las personas con discapacidad, propietarios de bienes inmuebles ubicados en el Distrito Metropolitano de Quito.</w:t>
      </w:r>
    </w:p>
    <w:p w14:paraId="1B37E4E6" w14:textId="77777777" w:rsidR="00AA156C" w:rsidRPr="009849AB" w:rsidRDefault="00AA156C" w:rsidP="00C660E1">
      <w:pPr>
        <w:spacing w:before="240" w:after="240" w:line="276" w:lineRule="auto"/>
        <w:jc w:val="both"/>
        <w:rPr>
          <w:rFonts w:ascii="Arial" w:eastAsia="Arial" w:hAnsi="Arial" w:cs="Arial"/>
          <w:sz w:val="24"/>
          <w:szCs w:val="24"/>
          <w:lang w:val="es-ES_tradnl"/>
        </w:rPr>
      </w:pPr>
      <w:r w:rsidRPr="009849AB">
        <w:rPr>
          <w:rFonts w:ascii="Arial" w:eastAsia="Arial" w:hAnsi="Arial" w:cs="Arial"/>
          <w:sz w:val="24"/>
          <w:szCs w:val="24"/>
          <w:lang w:val="es-ES_tradnl"/>
        </w:rPr>
        <w:t xml:space="preserve">En el caso de las personas con discapacidad, la exención aplica siempre y cuando no tengan más de un inmueble en el Distrito Metropolitano de Quito y no estén obligados a llevar contabilidad. </w:t>
      </w:r>
    </w:p>
    <w:p w14:paraId="4A550FF7" w14:textId="77777777" w:rsidR="00AA156C" w:rsidRPr="009849AB" w:rsidRDefault="00AA156C" w:rsidP="00C660E1">
      <w:pPr>
        <w:spacing w:before="240" w:after="240" w:line="276" w:lineRule="auto"/>
        <w:jc w:val="both"/>
        <w:rPr>
          <w:rFonts w:ascii="Arial" w:eastAsia="Arial" w:hAnsi="Arial" w:cs="Arial"/>
          <w:sz w:val="24"/>
          <w:szCs w:val="24"/>
          <w:lang w:val="es-ES_tradnl"/>
        </w:rPr>
      </w:pPr>
      <w:r w:rsidRPr="009849AB">
        <w:rPr>
          <w:rFonts w:ascii="Arial" w:eastAsia="Arial" w:hAnsi="Arial" w:cs="Arial"/>
          <w:sz w:val="24"/>
          <w:szCs w:val="24"/>
          <w:lang w:val="es-ES_tradnl"/>
        </w:rPr>
        <w:t>Así mismo estarán exentos del pago de la tasa, los sustitutos que tengan bajo su responsabilidad y/o dependencia económica a una persona con discapacidad, bajo las mismas condiciones y requisitos referidos en el párrafo anterior.</w:t>
      </w:r>
    </w:p>
    <w:p w14:paraId="118D1E96" w14:textId="3C864C35" w:rsidR="004D3D97" w:rsidRPr="009849AB" w:rsidRDefault="004D3D97" w:rsidP="00C660E1">
      <w:pPr>
        <w:spacing w:before="240" w:after="240" w:line="276" w:lineRule="auto"/>
        <w:jc w:val="both"/>
        <w:rPr>
          <w:rFonts w:ascii="Arial" w:hAnsi="Arial" w:cs="Arial"/>
          <w:sz w:val="24"/>
          <w:szCs w:val="24"/>
        </w:rPr>
      </w:pPr>
      <w:r w:rsidRPr="009849AB">
        <w:rPr>
          <w:rFonts w:ascii="Arial" w:eastAsia="Arial" w:hAnsi="Arial" w:cs="Arial"/>
          <w:b/>
          <w:sz w:val="24"/>
          <w:szCs w:val="24"/>
          <w:lang w:val="es-ES_tradnl"/>
        </w:rPr>
        <w:t xml:space="preserve">Artículo (…) </w:t>
      </w:r>
      <w:r w:rsidR="00FB15BA" w:rsidRPr="009849AB">
        <w:rPr>
          <w:rFonts w:ascii="Arial" w:eastAsia="Arial" w:hAnsi="Arial" w:cs="Arial"/>
          <w:b/>
          <w:sz w:val="24"/>
          <w:szCs w:val="24"/>
          <w:lang w:val="es-ES_tradnl"/>
        </w:rPr>
        <w:t>9</w:t>
      </w:r>
      <w:r w:rsidRPr="009849AB">
        <w:rPr>
          <w:rFonts w:ascii="Arial" w:eastAsia="Arial" w:hAnsi="Arial" w:cs="Arial"/>
          <w:b/>
          <w:sz w:val="24"/>
          <w:szCs w:val="24"/>
          <w:lang w:val="es-ES_tradnl"/>
        </w:rPr>
        <w:t xml:space="preserve">.- </w:t>
      </w:r>
      <w:r w:rsidRPr="009849AB">
        <w:rPr>
          <w:rFonts w:ascii="Arial" w:hAnsi="Arial" w:cs="Arial"/>
          <w:b/>
          <w:sz w:val="24"/>
          <w:szCs w:val="24"/>
        </w:rPr>
        <w:t>Régimen de propiedad horizontal.-</w:t>
      </w:r>
      <w:r w:rsidRPr="009849AB">
        <w:rPr>
          <w:rFonts w:ascii="Arial" w:hAnsi="Arial" w:cs="Arial"/>
          <w:sz w:val="24"/>
          <w:szCs w:val="24"/>
        </w:rPr>
        <w:t xml:space="preserve"> Para el cobro de la tasa por servicios de seguridad ciudadana a los propietarios de inmuebles bajo el régimen de propiedad horizontal, se tomará en cuenta únicamente la unidad principal y no las complementarias, tales como parqueaderos, bodegas, secaderos, lavanderías, jardines, patios, balcones o terrazas.</w:t>
      </w:r>
    </w:p>
    <w:p w14:paraId="3BFB2D72" w14:textId="6525EE38" w:rsidR="00AA156C" w:rsidRPr="009849AB" w:rsidRDefault="00AA156C" w:rsidP="00C660E1">
      <w:pPr>
        <w:spacing w:before="240" w:after="240" w:line="276" w:lineRule="auto"/>
        <w:jc w:val="both"/>
        <w:rPr>
          <w:rFonts w:ascii="Arial" w:eastAsia="Arial" w:hAnsi="Arial" w:cs="Arial"/>
          <w:sz w:val="24"/>
          <w:szCs w:val="24"/>
          <w:lang w:val="es-ES_tradnl"/>
        </w:rPr>
      </w:pPr>
      <w:r w:rsidRPr="009849AB">
        <w:rPr>
          <w:rFonts w:ascii="Arial" w:eastAsia="Arial" w:hAnsi="Arial" w:cs="Arial"/>
          <w:b/>
          <w:sz w:val="24"/>
          <w:szCs w:val="24"/>
          <w:lang w:val="es-ES_tradnl"/>
        </w:rPr>
        <w:t>Artículo (…) 1</w:t>
      </w:r>
      <w:r w:rsidR="00FB15BA" w:rsidRPr="009849AB">
        <w:rPr>
          <w:rFonts w:ascii="Arial" w:eastAsia="Arial" w:hAnsi="Arial" w:cs="Arial"/>
          <w:b/>
          <w:sz w:val="24"/>
          <w:szCs w:val="24"/>
          <w:lang w:val="es-ES_tradnl"/>
        </w:rPr>
        <w:t>0</w:t>
      </w:r>
      <w:r w:rsidRPr="009849AB">
        <w:rPr>
          <w:rFonts w:ascii="Arial" w:eastAsia="Arial" w:hAnsi="Arial" w:cs="Arial"/>
          <w:b/>
          <w:sz w:val="24"/>
          <w:szCs w:val="24"/>
          <w:lang w:val="es-ES_tradnl"/>
        </w:rPr>
        <w:t>.- Administración y destino de los valores recaudados.-</w:t>
      </w:r>
      <w:r w:rsidRPr="009849AB">
        <w:rPr>
          <w:rFonts w:ascii="Arial" w:eastAsia="Arial" w:hAnsi="Arial" w:cs="Arial"/>
          <w:sz w:val="24"/>
          <w:szCs w:val="24"/>
          <w:lang w:val="es-ES_tradnl"/>
        </w:rPr>
        <w:t xml:space="preserve"> La tasa será administrada a través de una cuenta especial bajo la responsabilidad de la Empresa Pública Metropolitana de Logística para la Seguridad y la Convivencia Ciudadana EP EMSEGURIDAD, entidad que actuará bajo las políticas y lineamientos de la Secretaría de Seguridad del Gobierno Autónomo Descentralizado del Distrito Metropolitano de Quito. </w:t>
      </w:r>
    </w:p>
    <w:p w14:paraId="2E0B4495" w14:textId="1A03D824" w:rsidR="00AA156C" w:rsidRPr="009849AB" w:rsidRDefault="00AA156C" w:rsidP="00C660E1">
      <w:pPr>
        <w:spacing w:before="240" w:after="240" w:line="276" w:lineRule="auto"/>
        <w:jc w:val="both"/>
        <w:rPr>
          <w:rFonts w:ascii="Arial" w:eastAsia="Arial" w:hAnsi="Arial" w:cs="Arial"/>
          <w:sz w:val="24"/>
          <w:szCs w:val="24"/>
        </w:rPr>
      </w:pPr>
      <w:r w:rsidRPr="009849AB">
        <w:rPr>
          <w:rFonts w:ascii="Arial" w:eastAsia="Arial" w:hAnsi="Arial" w:cs="Arial"/>
          <w:b/>
          <w:sz w:val="24"/>
          <w:szCs w:val="24"/>
          <w:lang w:val="es-ES_tradnl"/>
        </w:rPr>
        <w:lastRenderedPageBreak/>
        <w:t>Artículo (…) 1</w:t>
      </w:r>
      <w:r w:rsidR="00FB15BA" w:rsidRPr="009849AB">
        <w:rPr>
          <w:rFonts w:ascii="Arial" w:eastAsia="Arial" w:hAnsi="Arial" w:cs="Arial"/>
          <w:b/>
          <w:sz w:val="24"/>
          <w:szCs w:val="24"/>
          <w:lang w:val="es-ES_tradnl"/>
        </w:rPr>
        <w:t>1</w:t>
      </w:r>
      <w:r w:rsidRPr="009849AB">
        <w:rPr>
          <w:rFonts w:ascii="Arial" w:eastAsia="Arial" w:hAnsi="Arial" w:cs="Arial"/>
          <w:b/>
          <w:sz w:val="24"/>
          <w:szCs w:val="24"/>
          <w:lang w:val="es-ES_tradnl"/>
        </w:rPr>
        <w:t>.-</w:t>
      </w:r>
      <w:r w:rsidRPr="009849AB">
        <w:rPr>
          <w:rFonts w:ascii="Arial" w:eastAsia="Arial" w:hAnsi="Arial" w:cs="Arial"/>
          <w:sz w:val="24"/>
          <w:szCs w:val="24"/>
          <w:lang w:val="es-ES_tradnl"/>
        </w:rPr>
        <w:t xml:space="preserve"> </w:t>
      </w:r>
      <w:r w:rsidRPr="009849AB">
        <w:rPr>
          <w:rFonts w:ascii="Arial" w:eastAsia="Arial" w:hAnsi="Arial" w:cs="Arial"/>
          <w:b/>
          <w:sz w:val="24"/>
          <w:szCs w:val="24"/>
          <w:lang w:val="es-ES_tradnl"/>
        </w:rPr>
        <w:t>Sistema de Medición de la Tasa de Seguridad y convivencia ciudadana del DMQ.</w:t>
      </w:r>
      <w:r w:rsidRPr="009849AB">
        <w:rPr>
          <w:rFonts w:ascii="Arial" w:eastAsia="Arial" w:hAnsi="Arial" w:cs="Arial"/>
          <w:sz w:val="24"/>
          <w:szCs w:val="24"/>
          <w:lang w:val="es-ES_tradnl"/>
        </w:rPr>
        <w:t xml:space="preserve">- </w:t>
      </w:r>
      <w:r w:rsidR="00B3554F" w:rsidRPr="009849AB">
        <w:rPr>
          <w:rFonts w:ascii="Arial" w:eastAsia="Arial" w:hAnsi="Arial" w:cs="Arial"/>
          <w:sz w:val="24"/>
          <w:szCs w:val="24"/>
        </w:rPr>
        <w:t xml:space="preserve">La Secretaría General de Seguridad y Gobernabilidad en coordinación con EP EMSEGURIDAD, es el ente técnico encargado para realizar el seguimiento y evaluación de la tasa de seguridad, convivencia ciudadana y gestión de riesgos, la cual ejecutará anualmente una encuesta de satisfacción a hogares, los cuales serán seleccionados de manera aleatoria y probabilística, mediante un diseño de muestra tomando como marco </w:t>
      </w:r>
      <w:r w:rsidR="00E240B4" w:rsidRPr="009849AB">
        <w:rPr>
          <w:rFonts w:ascii="Arial" w:eastAsia="Arial" w:hAnsi="Arial" w:cs="Arial"/>
          <w:sz w:val="24"/>
          <w:szCs w:val="24"/>
        </w:rPr>
        <w:t xml:space="preserve">muestral </w:t>
      </w:r>
      <w:r w:rsidR="00B3554F" w:rsidRPr="009849AB">
        <w:rPr>
          <w:rFonts w:ascii="Arial" w:eastAsia="Arial" w:hAnsi="Arial" w:cs="Arial"/>
          <w:sz w:val="24"/>
          <w:szCs w:val="24"/>
        </w:rPr>
        <w:t xml:space="preserve">las ubicaciones georreferenciadas de medidores de luz o agua de la ciudad de Quito Distrito Metropolitano y, se obtendrán los correspondientes indicadores de satisfacción del servicio relacionado con la presente tasa. </w:t>
      </w:r>
      <w:r w:rsidRPr="009849AB">
        <w:rPr>
          <w:rFonts w:ascii="Arial" w:eastAsia="Arial" w:hAnsi="Arial" w:cs="Arial"/>
          <w:sz w:val="24"/>
          <w:szCs w:val="24"/>
          <w:lang w:val="es-ES_tradnl"/>
        </w:rPr>
        <w:t>Presentará anualmente un informe de gestión y rendición de cuentas respecto al uso de los recursos de la tasa al Directorio de la EP EMSEGURIDAD y a la ciudadanía a través de la rendición pública de cuentas anual.</w:t>
      </w:r>
    </w:p>
    <w:p w14:paraId="0152DDA0" w14:textId="0D3CD831" w:rsidR="00AA156C" w:rsidRPr="009849AB" w:rsidRDefault="00AA156C" w:rsidP="00C660E1">
      <w:pPr>
        <w:spacing w:before="240" w:after="240" w:line="276" w:lineRule="auto"/>
        <w:jc w:val="both"/>
        <w:rPr>
          <w:rFonts w:ascii="Arial" w:eastAsia="Arial" w:hAnsi="Arial" w:cs="Arial"/>
          <w:sz w:val="24"/>
          <w:szCs w:val="24"/>
          <w:lang w:val="es-ES_tradnl"/>
        </w:rPr>
      </w:pPr>
      <w:r w:rsidRPr="009849AB">
        <w:rPr>
          <w:rFonts w:ascii="Arial" w:eastAsia="Arial" w:hAnsi="Arial" w:cs="Arial"/>
          <w:b/>
          <w:sz w:val="24"/>
          <w:szCs w:val="24"/>
          <w:lang w:val="es-ES_tradnl"/>
        </w:rPr>
        <w:t>Artículo (…) 1</w:t>
      </w:r>
      <w:r w:rsidR="00FB15BA" w:rsidRPr="009849AB">
        <w:rPr>
          <w:rFonts w:ascii="Arial" w:eastAsia="Arial" w:hAnsi="Arial" w:cs="Arial"/>
          <w:b/>
          <w:sz w:val="24"/>
          <w:szCs w:val="24"/>
          <w:lang w:val="es-ES_tradnl"/>
        </w:rPr>
        <w:t>2</w:t>
      </w:r>
      <w:r w:rsidRPr="009849AB">
        <w:rPr>
          <w:rFonts w:ascii="Arial" w:eastAsia="Arial" w:hAnsi="Arial" w:cs="Arial"/>
          <w:b/>
          <w:sz w:val="24"/>
          <w:szCs w:val="24"/>
          <w:lang w:val="es-ES_tradnl"/>
        </w:rPr>
        <w:t xml:space="preserve">.- Prohibición.- </w:t>
      </w:r>
      <w:r w:rsidRPr="009849AB">
        <w:rPr>
          <w:rFonts w:ascii="Arial" w:eastAsia="Arial" w:hAnsi="Arial" w:cs="Arial"/>
          <w:sz w:val="24"/>
          <w:szCs w:val="24"/>
          <w:lang w:val="es-ES_tradnl"/>
        </w:rPr>
        <w:t>Los valores recaudados por concepto de la tasa de seguridad, convivencia ciudadana y gestión de riesgos no se destinarán a otros fines que no sean los del objeto de su creación.</w:t>
      </w:r>
    </w:p>
    <w:p w14:paraId="630D0044" w14:textId="77777777" w:rsidR="00AA156C" w:rsidRPr="009849AB" w:rsidRDefault="00AA156C" w:rsidP="00C660E1">
      <w:pPr>
        <w:spacing w:before="240" w:after="240" w:line="276" w:lineRule="auto"/>
        <w:jc w:val="center"/>
        <w:rPr>
          <w:rFonts w:ascii="Arial" w:eastAsia="Arial" w:hAnsi="Arial" w:cs="Arial"/>
          <w:b/>
          <w:sz w:val="24"/>
          <w:szCs w:val="24"/>
          <w:lang w:val="es-ES_tradnl"/>
        </w:rPr>
      </w:pPr>
      <w:r w:rsidRPr="009849AB">
        <w:rPr>
          <w:rFonts w:ascii="Arial" w:eastAsia="Arial" w:hAnsi="Arial" w:cs="Arial"/>
          <w:b/>
          <w:sz w:val="24"/>
          <w:szCs w:val="24"/>
          <w:lang w:val="es-ES_tradnl"/>
        </w:rPr>
        <w:t>DISPOSICIÓN GENERAL</w:t>
      </w:r>
    </w:p>
    <w:p w14:paraId="04D012F0" w14:textId="77777777" w:rsidR="00AA156C" w:rsidRPr="009849AB" w:rsidRDefault="00AA156C" w:rsidP="00C660E1">
      <w:pPr>
        <w:spacing w:line="276" w:lineRule="auto"/>
        <w:jc w:val="both"/>
        <w:rPr>
          <w:rFonts w:ascii="Arial" w:eastAsia="Arial" w:hAnsi="Arial" w:cs="Arial"/>
          <w:sz w:val="24"/>
          <w:szCs w:val="24"/>
          <w:lang w:val="es-ES_tradnl"/>
        </w:rPr>
      </w:pPr>
      <w:r w:rsidRPr="009849AB">
        <w:rPr>
          <w:rFonts w:ascii="Arial" w:eastAsia="Arial" w:hAnsi="Arial" w:cs="Arial"/>
          <w:b/>
          <w:sz w:val="24"/>
          <w:szCs w:val="24"/>
          <w:lang w:val="es-ES_tradnl"/>
        </w:rPr>
        <w:t>ÚNICA.-</w:t>
      </w:r>
      <w:r w:rsidRPr="009849AB">
        <w:rPr>
          <w:rFonts w:ascii="Arial" w:eastAsia="Arial" w:hAnsi="Arial" w:cs="Arial"/>
          <w:sz w:val="24"/>
          <w:szCs w:val="24"/>
          <w:lang w:val="es-ES_tradnl"/>
        </w:rPr>
        <w:t xml:space="preserve"> La Dirección Metropolitana de Catastro será la encargada de la carga inicial, alimentación y administración de la información de sectorización bajo el nuevo esquema, en el sistema catastral municipal (SIREC – Q) para efectos del cálculo de tasa, con base en las directrices que para el efecto le otorgue EP EMSEGURIDAD.</w:t>
      </w:r>
    </w:p>
    <w:p w14:paraId="3D734526" w14:textId="77777777" w:rsidR="00AA156C" w:rsidRPr="009849AB" w:rsidRDefault="00AA156C" w:rsidP="00C660E1">
      <w:pPr>
        <w:spacing w:line="276" w:lineRule="auto"/>
        <w:jc w:val="center"/>
        <w:rPr>
          <w:rFonts w:ascii="Arial" w:eastAsia="Arial" w:hAnsi="Arial" w:cs="Arial"/>
          <w:b/>
          <w:bCs/>
          <w:sz w:val="24"/>
          <w:szCs w:val="24"/>
          <w:lang w:val="es-ES_tradnl"/>
        </w:rPr>
      </w:pPr>
      <w:r w:rsidRPr="009849AB">
        <w:rPr>
          <w:rFonts w:ascii="Arial" w:eastAsia="Arial" w:hAnsi="Arial" w:cs="Arial"/>
          <w:b/>
          <w:bCs/>
          <w:sz w:val="24"/>
          <w:szCs w:val="24"/>
          <w:lang w:val="es-ES_tradnl"/>
        </w:rPr>
        <w:t>DISPOSICIÓN TRANSITORIA</w:t>
      </w:r>
    </w:p>
    <w:p w14:paraId="0A3092FB" w14:textId="2D8F2DD8" w:rsidR="00AA156C" w:rsidRPr="009849AB" w:rsidRDefault="004D3D97" w:rsidP="00C660E1">
      <w:pPr>
        <w:spacing w:line="276" w:lineRule="auto"/>
        <w:jc w:val="both"/>
        <w:rPr>
          <w:rFonts w:ascii="Arial" w:eastAsia="Arial" w:hAnsi="Arial" w:cs="Arial"/>
          <w:sz w:val="24"/>
          <w:szCs w:val="24"/>
          <w:lang w:val="es-ES_tradnl"/>
        </w:rPr>
      </w:pPr>
      <w:r w:rsidRPr="009849AB">
        <w:rPr>
          <w:rFonts w:ascii="Arial" w:eastAsia="Arial" w:hAnsi="Arial" w:cs="Arial"/>
          <w:b/>
          <w:bCs/>
          <w:sz w:val="24"/>
          <w:szCs w:val="24"/>
          <w:lang w:val="es-ES_tradnl"/>
        </w:rPr>
        <w:t>UNICA</w:t>
      </w:r>
      <w:r w:rsidR="00AA156C" w:rsidRPr="009849AB">
        <w:rPr>
          <w:rFonts w:ascii="Arial" w:eastAsia="Arial" w:hAnsi="Arial" w:cs="Arial"/>
          <w:b/>
          <w:bCs/>
          <w:sz w:val="24"/>
          <w:szCs w:val="24"/>
          <w:lang w:val="es-ES_tradnl"/>
        </w:rPr>
        <w:t>.-</w:t>
      </w:r>
      <w:r w:rsidR="00AA156C" w:rsidRPr="009849AB">
        <w:rPr>
          <w:rFonts w:ascii="Arial" w:eastAsia="Arial" w:hAnsi="Arial" w:cs="Arial"/>
          <w:sz w:val="24"/>
          <w:szCs w:val="24"/>
          <w:lang w:val="es-ES_tradnl"/>
        </w:rPr>
        <w:t xml:space="preserve"> Únicamente para el ejercicio 2022 la determinación y emisión de la tasa se regirá por la carga de registros vigentes en el catastro oficial a 31 de diciembre de 2021 de sectorización de predios que realice la Dirección Metropolitana de Catastro. En los ejercicios fiscales subsiguientes se estará a lo dispuesto en el artículo (…) </w:t>
      </w:r>
      <w:r w:rsidR="00A35F53" w:rsidRPr="009849AB">
        <w:rPr>
          <w:rFonts w:ascii="Arial" w:eastAsia="Arial" w:hAnsi="Arial" w:cs="Arial"/>
          <w:sz w:val="24"/>
          <w:szCs w:val="24"/>
          <w:lang w:val="es-ES_tradnl"/>
        </w:rPr>
        <w:t>7</w:t>
      </w:r>
      <w:r w:rsidR="00AA156C" w:rsidRPr="009849AB">
        <w:rPr>
          <w:rFonts w:ascii="Arial" w:eastAsia="Arial" w:hAnsi="Arial" w:cs="Arial"/>
          <w:sz w:val="24"/>
          <w:szCs w:val="24"/>
          <w:lang w:val="es-ES_tradnl"/>
        </w:rPr>
        <w:t xml:space="preserve"> y Disposición General de esta ordenanza, para lo cual, la EP EMSEGURIDAD deberá realizar las coordinaciones necesarias con la Dirección Metropolitana de Catastro para la definición y actualización técnica de la sectorización que define la base imponible del tributo.</w:t>
      </w:r>
    </w:p>
    <w:p w14:paraId="0483684D" w14:textId="77777777" w:rsidR="00AA156C" w:rsidRPr="009849AB" w:rsidRDefault="00AA156C" w:rsidP="00C660E1">
      <w:pPr>
        <w:spacing w:before="240" w:after="240" w:line="276" w:lineRule="auto"/>
        <w:jc w:val="center"/>
        <w:rPr>
          <w:rFonts w:ascii="Arial" w:eastAsia="Arial" w:hAnsi="Arial" w:cs="Arial"/>
          <w:b/>
          <w:sz w:val="24"/>
          <w:szCs w:val="24"/>
          <w:lang w:val="es-ES_tradnl"/>
        </w:rPr>
      </w:pPr>
      <w:r w:rsidRPr="009849AB">
        <w:rPr>
          <w:rFonts w:ascii="Arial" w:eastAsia="Arial" w:hAnsi="Arial" w:cs="Arial"/>
          <w:b/>
          <w:sz w:val="24"/>
          <w:szCs w:val="24"/>
          <w:lang w:val="es-ES_tradnl"/>
        </w:rPr>
        <w:t xml:space="preserve">DISPOSICIÓN FINAL </w:t>
      </w:r>
    </w:p>
    <w:p w14:paraId="220F2759" w14:textId="021C9070" w:rsidR="00AA156C" w:rsidRPr="009849AB" w:rsidRDefault="00AA156C" w:rsidP="00C660E1">
      <w:pPr>
        <w:spacing w:before="240" w:after="240" w:line="276" w:lineRule="auto"/>
        <w:jc w:val="both"/>
        <w:rPr>
          <w:rFonts w:ascii="Arial" w:eastAsia="Arial" w:hAnsi="Arial" w:cs="Arial"/>
          <w:b/>
          <w:sz w:val="24"/>
          <w:szCs w:val="24"/>
          <w:lang w:val="es-ES_tradnl"/>
        </w:rPr>
      </w:pPr>
      <w:r w:rsidRPr="009849AB">
        <w:rPr>
          <w:rFonts w:ascii="Arial" w:eastAsia="Arial" w:hAnsi="Arial" w:cs="Arial"/>
          <w:sz w:val="24"/>
          <w:szCs w:val="24"/>
          <w:lang w:val="es-ES_tradnl"/>
        </w:rPr>
        <w:t xml:space="preserve">Sin perjuicio de lo dispuesto en el artículo 11 del Código Orgánico Tributario, la presente ordenanza entrará en vigencia a partir de su publicación en el Registro Oficial. </w:t>
      </w:r>
    </w:p>
    <w:sectPr w:rsidR="00AA156C" w:rsidRPr="009849AB">
      <w:headerReference w:type="default" r:id="rId8"/>
      <w:footerReference w:type="default" r:id="rId9"/>
      <w:pgSz w:w="11906" w:h="16838"/>
      <w:pgMar w:top="1790"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C8ED7" w14:textId="77777777" w:rsidR="001C72F9" w:rsidRDefault="001C72F9">
      <w:pPr>
        <w:spacing w:after="0" w:line="240" w:lineRule="auto"/>
      </w:pPr>
      <w:r>
        <w:separator/>
      </w:r>
    </w:p>
  </w:endnote>
  <w:endnote w:type="continuationSeparator" w:id="0">
    <w:p w14:paraId="4EF5DFA0" w14:textId="77777777" w:rsidR="001C72F9" w:rsidRDefault="001C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mbino-Light">
    <w:altName w:val="Calibri"/>
    <w:panose1 w:val="020B0604020202020204"/>
    <w:charset w:val="00"/>
    <w:family w:val="auto"/>
    <w:pitch w:val="variable"/>
    <w:sig w:usb0="00000007" w:usb1="00000000" w:usb2="00000000" w:usb3="00000000" w:csb0="00000093"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BB241" w14:textId="0CFDE501" w:rsidR="00341C9E" w:rsidRDefault="00760C65">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D6EB6">
      <w:rPr>
        <w:noProof/>
        <w:color w:val="000000"/>
      </w:rPr>
      <w:t>10</w:t>
    </w:r>
    <w:r>
      <w:rPr>
        <w:color w:val="000000"/>
      </w:rPr>
      <w:fldChar w:fldCharType="end"/>
    </w:r>
    <w:r>
      <w:rPr>
        <w:noProof/>
        <w:lang w:val="en-US" w:eastAsia="en-US"/>
      </w:rPr>
      <w:drawing>
        <wp:anchor distT="0" distB="0" distL="114300" distR="114300" simplePos="0" relativeHeight="251660288" behindDoc="0" locked="0" layoutInCell="1" hidden="0" allowOverlap="1" wp14:anchorId="65A4679B" wp14:editId="6F27A476">
          <wp:simplePos x="0" y="0"/>
          <wp:positionH relativeFrom="column">
            <wp:posOffset>-962023</wp:posOffset>
          </wp:positionH>
          <wp:positionV relativeFrom="paragraph">
            <wp:posOffset>-10158</wp:posOffset>
          </wp:positionV>
          <wp:extent cx="1280160" cy="719455"/>
          <wp:effectExtent l="0" t="0" r="0" b="0"/>
          <wp:wrapSquare wrapText="bothSides" distT="0" distB="0" distL="114300" distR="114300"/>
          <wp:docPr id="28824" name="image1.png" descr="C:\Users\jctoapanta\Desktop\LINEA GRÁFIC\MANUAL OCTUBRE\logos\Secretaría-de-Seguridad-Logo.png"/>
          <wp:cNvGraphicFramePr/>
          <a:graphic xmlns:a="http://schemas.openxmlformats.org/drawingml/2006/main">
            <a:graphicData uri="http://schemas.openxmlformats.org/drawingml/2006/picture">
              <pic:pic xmlns:pic="http://schemas.openxmlformats.org/drawingml/2006/picture">
                <pic:nvPicPr>
                  <pic:cNvPr id="0" name="image1.png" descr="C:\Users\jctoapanta\Desktop\LINEA GRÁFIC\MANUAL OCTUBRE\logos\Secretaría-de-Seguridad-Logo.png"/>
                  <pic:cNvPicPr preferRelativeResize="0"/>
                </pic:nvPicPr>
                <pic:blipFill>
                  <a:blip r:embed="rId1"/>
                  <a:srcRect/>
                  <a:stretch>
                    <a:fillRect/>
                  </a:stretch>
                </pic:blipFill>
                <pic:spPr>
                  <a:xfrm>
                    <a:off x="0" y="0"/>
                    <a:ext cx="1280160" cy="719455"/>
                  </a:xfrm>
                  <a:prstGeom prst="rect">
                    <a:avLst/>
                  </a:prstGeom>
                  <a:ln/>
                </pic:spPr>
              </pic:pic>
            </a:graphicData>
          </a:graphic>
        </wp:anchor>
      </w:drawing>
    </w:r>
  </w:p>
  <w:p w14:paraId="6CC24AAB" w14:textId="77777777" w:rsidR="00341C9E" w:rsidRDefault="00341C9E">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FCFAC" w14:textId="77777777" w:rsidR="001C72F9" w:rsidRDefault="001C72F9">
      <w:pPr>
        <w:spacing w:after="0" w:line="240" w:lineRule="auto"/>
      </w:pPr>
      <w:r>
        <w:separator/>
      </w:r>
    </w:p>
  </w:footnote>
  <w:footnote w:type="continuationSeparator" w:id="0">
    <w:p w14:paraId="1130A97E" w14:textId="77777777" w:rsidR="001C72F9" w:rsidRDefault="001C7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B53F" w14:textId="77777777" w:rsidR="00341C9E" w:rsidRDefault="00760C65">
    <w:pPr>
      <w:pBdr>
        <w:top w:val="nil"/>
        <w:left w:val="nil"/>
        <w:bottom w:val="nil"/>
        <w:right w:val="nil"/>
        <w:between w:val="nil"/>
      </w:pBdr>
      <w:tabs>
        <w:tab w:val="center" w:pos="4252"/>
        <w:tab w:val="right" w:pos="8504"/>
        <w:tab w:val="center" w:pos="3976"/>
      </w:tabs>
      <w:spacing w:after="0" w:line="240" w:lineRule="auto"/>
      <w:rPr>
        <w:color w:val="000000"/>
      </w:rPr>
    </w:pPr>
    <w:r>
      <w:rPr>
        <w:color w:val="000000"/>
      </w:rPr>
      <w:tab/>
    </w:r>
    <w:r>
      <w:rPr>
        <w:noProof/>
        <w:lang w:val="en-US" w:eastAsia="en-US"/>
      </w:rPr>
      <w:drawing>
        <wp:anchor distT="0" distB="0" distL="114300" distR="114300" simplePos="0" relativeHeight="251658240" behindDoc="0" locked="0" layoutInCell="1" hidden="0" allowOverlap="1" wp14:anchorId="31648BC1" wp14:editId="79522E8C">
          <wp:simplePos x="0" y="0"/>
          <wp:positionH relativeFrom="column">
            <wp:posOffset>-819148</wp:posOffset>
          </wp:positionH>
          <wp:positionV relativeFrom="paragraph">
            <wp:posOffset>-295908</wp:posOffset>
          </wp:positionV>
          <wp:extent cx="719455" cy="719455"/>
          <wp:effectExtent l="0" t="0" r="0" b="0"/>
          <wp:wrapSquare wrapText="bothSides" distT="0" distB="0" distL="114300" distR="114300"/>
          <wp:docPr id="28827" name="image3.png" descr="C:\Users\jctoapanta\Desktop\LINEA GRÁFIC\MANUAL OCTUBRE\logos\Escudo-Quito-transparencia.png"/>
          <wp:cNvGraphicFramePr/>
          <a:graphic xmlns:a="http://schemas.openxmlformats.org/drawingml/2006/main">
            <a:graphicData uri="http://schemas.openxmlformats.org/drawingml/2006/picture">
              <pic:pic xmlns:pic="http://schemas.openxmlformats.org/drawingml/2006/picture">
                <pic:nvPicPr>
                  <pic:cNvPr id="0" name="image3.png" descr="C:\Users\jctoapanta\Desktop\LINEA GRÁFIC\MANUAL OCTUBRE\logos\Escudo-Quito-transparencia.png"/>
                  <pic:cNvPicPr preferRelativeResize="0"/>
                </pic:nvPicPr>
                <pic:blipFill>
                  <a:blip r:embed="rId1"/>
                  <a:srcRect/>
                  <a:stretch>
                    <a:fillRect/>
                  </a:stretch>
                </pic:blipFill>
                <pic:spPr>
                  <a:xfrm>
                    <a:off x="0" y="0"/>
                    <a:ext cx="719455" cy="719455"/>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14:anchorId="60D09CFB" wp14:editId="3E232738">
          <wp:simplePos x="0" y="0"/>
          <wp:positionH relativeFrom="column">
            <wp:posOffset>5130165</wp:posOffset>
          </wp:positionH>
          <wp:positionV relativeFrom="paragraph">
            <wp:posOffset>-220978</wp:posOffset>
          </wp:positionV>
          <wp:extent cx="960847" cy="540000"/>
          <wp:effectExtent l="0" t="0" r="0" b="0"/>
          <wp:wrapSquare wrapText="bothSides" distT="0" distB="0" distL="114300" distR="114300"/>
          <wp:docPr id="28826" name="image2.png" descr="C:\Users\jctoapanta\Desktop\LINEA GRÁFIC\MANUAL OCTUBRE\logos\Quito-Digno-transparencia.png"/>
          <wp:cNvGraphicFramePr/>
          <a:graphic xmlns:a="http://schemas.openxmlformats.org/drawingml/2006/main">
            <a:graphicData uri="http://schemas.openxmlformats.org/drawingml/2006/picture">
              <pic:pic xmlns:pic="http://schemas.openxmlformats.org/drawingml/2006/picture">
                <pic:nvPicPr>
                  <pic:cNvPr id="0" name="image2.png" descr="C:\Users\jctoapanta\Desktop\LINEA GRÁFIC\MANUAL OCTUBRE\logos\Quito-Digno-transparencia.png"/>
                  <pic:cNvPicPr preferRelativeResize="0"/>
                </pic:nvPicPr>
                <pic:blipFill>
                  <a:blip r:embed="rId2"/>
                  <a:srcRect/>
                  <a:stretch>
                    <a:fillRect/>
                  </a:stretch>
                </pic:blipFill>
                <pic:spPr>
                  <a:xfrm>
                    <a:off x="0" y="0"/>
                    <a:ext cx="960847" cy="54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6B1F"/>
    <w:multiLevelType w:val="hybridMultilevel"/>
    <w:tmpl w:val="68F88AB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1A0557D"/>
    <w:multiLevelType w:val="hybridMultilevel"/>
    <w:tmpl w:val="68F88AB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5B374D2"/>
    <w:multiLevelType w:val="hybridMultilevel"/>
    <w:tmpl w:val="87E85CCE"/>
    <w:lvl w:ilvl="0" w:tplc="29F0382E">
      <w:start w:val="1"/>
      <w:numFmt w:val="decimal"/>
      <w:lvlText w:val="%1."/>
      <w:lvlJc w:val="left"/>
      <w:pPr>
        <w:ind w:left="720" w:hanging="360"/>
      </w:pPr>
      <w:rPr>
        <w:rFonts w:hint="default"/>
      </w:rPr>
    </w:lvl>
    <w:lvl w:ilvl="1" w:tplc="300A0001">
      <w:start w:val="1"/>
      <w:numFmt w:val="bullet"/>
      <w:lvlText w:val=""/>
      <w:lvlJc w:val="left"/>
      <w:pPr>
        <w:ind w:left="1470" w:hanging="390"/>
      </w:pPr>
      <w:rPr>
        <w:rFonts w:ascii="Symbol" w:hAnsi="Symbol" w:hint="default"/>
      </w:rPr>
    </w:lvl>
    <w:lvl w:ilvl="2" w:tplc="AF584084">
      <w:start w:val="4"/>
      <w:numFmt w:val="bullet"/>
      <w:lvlText w:val="-"/>
      <w:lvlJc w:val="left"/>
      <w:pPr>
        <w:ind w:left="2340" w:hanging="360"/>
      </w:pPr>
      <w:rPr>
        <w:rFonts w:ascii="Bambino-Light" w:eastAsiaTheme="minorHAnsi" w:hAnsi="Bambino-Light" w:cs="Times New Roman" w:hint="default"/>
      </w:r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619A138E"/>
    <w:multiLevelType w:val="hybridMultilevel"/>
    <w:tmpl w:val="BD588CA4"/>
    <w:lvl w:ilvl="0" w:tplc="300A0017">
      <w:start w:val="1"/>
      <w:numFmt w:val="lowerLetter"/>
      <w:lvlText w:val="%1)"/>
      <w:lvlJc w:val="left"/>
      <w:pPr>
        <w:ind w:left="792" w:hanging="360"/>
      </w:pPr>
    </w:lvl>
    <w:lvl w:ilvl="1" w:tplc="300A0019" w:tentative="1">
      <w:start w:val="1"/>
      <w:numFmt w:val="lowerLetter"/>
      <w:lvlText w:val="%2."/>
      <w:lvlJc w:val="left"/>
      <w:pPr>
        <w:ind w:left="1512" w:hanging="360"/>
      </w:pPr>
    </w:lvl>
    <w:lvl w:ilvl="2" w:tplc="300A001B" w:tentative="1">
      <w:start w:val="1"/>
      <w:numFmt w:val="lowerRoman"/>
      <w:lvlText w:val="%3."/>
      <w:lvlJc w:val="right"/>
      <w:pPr>
        <w:ind w:left="2232" w:hanging="180"/>
      </w:pPr>
    </w:lvl>
    <w:lvl w:ilvl="3" w:tplc="300A000F" w:tentative="1">
      <w:start w:val="1"/>
      <w:numFmt w:val="decimal"/>
      <w:lvlText w:val="%4."/>
      <w:lvlJc w:val="left"/>
      <w:pPr>
        <w:ind w:left="2952" w:hanging="360"/>
      </w:pPr>
    </w:lvl>
    <w:lvl w:ilvl="4" w:tplc="300A0019" w:tentative="1">
      <w:start w:val="1"/>
      <w:numFmt w:val="lowerLetter"/>
      <w:lvlText w:val="%5."/>
      <w:lvlJc w:val="left"/>
      <w:pPr>
        <w:ind w:left="3672" w:hanging="360"/>
      </w:pPr>
    </w:lvl>
    <w:lvl w:ilvl="5" w:tplc="300A001B" w:tentative="1">
      <w:start w:val="1"/>
      <w:numFmt w:val="lowerRoman"/>
      <w:lvlText w:val="%6."/>
      <w:lvlJc w:val="right"/>
      <w:pPr>
        <w:ind w:left="4392" w:hanging="180"/>
      </w:pPr>
    </w:lvl>
    <w:lvl w:ilvl="6" w:tplc="300A000F" w:tentative="1">
      <w:start w:val="1"/>
      <w:numFmt w:val="decimal"/>
      <w:lvlText w:val="%7."/>
      <w:lvlJc w:val="left"/>
      <w:pPr>
        <w:ind w:left="5112" w:hanging="360"/>
      </w:pPr>
    </w:lvl>
    <w:lvl w:ilvl="7" w:tplc="300A0019" w:tentative="1">
      <w:start w:val="1"/>
      <w:numFmt w:val="lowerLetter"/>
      <w:lvlText w:val="%8."/>
      <w:lvlJc w:val="left"/>
      <w:pPr>
        <w:ind w:left="5832" w:hanging="360"/>
      </w:pPr>
    </w:lvl>
    <w:lvl w:ilvl="8" w:tplc="300A001B" w:tentative="1">
      <w:start w:val="1"/>
      <w:numFmt w:val="lowerRoman"/>
      <w:lvlText w:val="%9."/>
      <w:lvlJc w:val="right"/>
      <w:pPr>
        <w:ind w:left="6552" w:hanging="180"/>
      </w:pPr>
    </w:lvl>
  </w:abstractNum>
  <w:abstractNum w:abstractNumId="4" w15:restartNumberingAfterBreak="0">
    <w:nsid w:val="64BB2AE2"/>
    <w:multiLevelType w:val="hybridMultilevel"/>
    <w:tmpl w:val="0E7C04E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9E"/>
    <w:rsid w:val="00052D51"/>
    <w:rsid w:val="00071A1A"/>
    <w:rsid w:val="0009483F"/>
    <w:rsid w:val="000C7A1E"/>
    <w:rsid w:val="000D05DD"/>
    <w:rsid w:val="000D1C56"/>
    <w:rsid w:val="000E7F12"/>
    <w:rsid w:val="00134F95"/>
    <w:rsid w:val="00137EFB"/>
    <w:rsid w:val="00145641"/>
    <w:rsid w:val="001957BE"/>
    <w:rsid w:val="001B669D"/>
    <w:rsid w:val="001C72F9"/>
    <w:rsid w:val="001D6EB6"/>
    <w:rsid w:val="0024038F"/>
    <w:rsid w:val="002C7171"/>
    <w:rsid w:val="00341C9E"/>
    <w:rsid w:val="00366A2E"/>
    <w:rsid w:val="003700B8"/>
    <w:rsid w:val="003E42FD"/>
    <w:rsid w:val="0041099F"/>
    <w:rsid w:val="00451BCA"/>
    <w:rsid w:val="00487449"/>
    <w:rsid w:val="004A213B"/>
    <w:rsid w:val="004C2A34"/>
    <w:rsid w:val="004D3D97"/>
    <w:rsid w:val="004E6B88"/>
    <w:rsid w:val="004F667A"/>
    <w:rsid w:val="00522201"/>
    <w:rsid w:val="0052646D"/>
    <w:rsid w:val="005507E2"/>
    <w:rsid w:val="0057245D"/>
    <w:rsid w:val="00573E54"/>
    <w:rsid w:val="005B0756"/>
    <w:rsid w:val="00611A78"/>
    <w:rsid w:val="00622E5E"/>
    <w:rsid w:val="00643D30"/>
    <w:rsid w:val="00694174"/>
    <w:rsid w:val="0069679F"/>
    <w:rsid w:val="006F592E"/>
    <w:rsid w:val="007240F5"/>
    <w:rsid w:val="00760C65"/>
    <w:rsid w:val="00761A2D"/>
    <w:rsid w:val="0076482B"/>
    <w:rsid w:val="00765D42"/>
    <w:rsid w:val="007B4694"/>
    <w:rsid w:val="008029F4"/>
    <w:rsid w:val="00840E15"/>
    <w:rsid w:val="00890BCC"/>
    <w:rsid w:val="00911FF1"/>
    <w:rsid w:val="00946963"/>
    <w:rsid w:val="00952042"/>
    <w:rsid w:val="009849AB"/>
    <w:rsid w:val="009B0E95"/>
    <w:rsid w:val="009E4595"/>
    <w:rsid w:val="009F6542"/>
    <w:rsid w:val="00A13B6B"/>
    <w:rsid w:val="00A24883"/>
    <w:rsid w:val="00A35F53"/>
    <w:rsid w:val="00A65676"/>
    <w:rsid w:val="00AA156C"/>
    <w:rsid w:val="00AC29B9"/>
    <w:rsid w:val="00AF04D6"/>
    <w:rsid w:val="00AF20F2"/>
    <w:rsid w:val="00B00535"/>
    <w:rsid w:val="00B06B6D"/>
    <w:rsid w:val="00B34249"/>
    <w:rsid w:val="00B3554F"/>
    <w:rsid w:val="00B4299F"/>
    <w:rsid w:val="00B86BFF"/>
    <w:rsid w:val="00B9577E"/>
    <w:rsid w:val="00C06497"/>
    <w:rsid w:val="00C24002"/>
    <w:rsid w:val="00C24983"/>
    <w:rsid w:val="00C32301"/>
    <w:rsid w:val="00C5796B"/>
    <w:rsid w:val="00C65FC2"/>
    <w:rsid w:val="00C660E1"/>
    <w:rsid w:val="00C97D2A"/>
    <w:rsid w:val="00CE0095"/>
    <w:rsid w:val="00CE2B12"/>
    <w:rsid w:val="00CE2B71"/>
    <w:rsid w:val="00CF1D29"/>
    <w:rsid w:val="00D14E3D"/>
    <w:rsid w:val="00D1790D"/>
    <w:rsid w:val="00D95186"/>
    <w:rsid w:val="00DB10FD"/>
    <w:rsid w:val="00DF22EF"/>
    <w:rsid w:val="00DF7C7D"/>
    <w:rsid w:val="00E239C1"/>
    <w:rsid w:val="00E240B4"/>
    <w:rsid w:val="00E512E6"/>
    <w:rsid w:val="00E95AFA"/>
    <w:rsid w:val="00EC5187"/>
    <w:rsid w:val="00EF523E"/>
    <w:rsid w:val="00F07BE7"/>
    <w:rsid w:val="00F413D3"/>
    <w:rsid w:val="00F44CBE"/>
    <w:rsid w:val="00FB15BA"/>
    <w:rsid w:val="00FF239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A87B"/>
  <w15:docId w15:val="{05254950-D6AE-654A-8F17-7CDCBDDA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F2A"/>
  </w:style>
  <w:style w:type="paragraph" w:styleId="Ttulo1">
    <w:name w:val="heading 1"/>
    <w:basedOn w:val="Normal"/>
    <w:next w:val="Normal"/>
    <w:link w:val="Ttulo1Car"/>
    <w:uiPriority w:val="9"/>
    <w:qFormat/>
    <w:rsid w:val="00FF2A7B"/>
    <w:pPr>
      <w:keepNext/>
      <w:keepLines/>
      <w:spacing w:before="240" w:after="0" w:line="276" w:lineRule="auto"/>
      <w:jc w:val="both"/>
      <w:outlineLvl w:val="0"/>
    </w:pPr>
    <w:rPr>
      <w:rFonts w:ascii="Times New Roman" w:eastAsiaTheme="majorEastAsia" w:hAnsi="Times New Roman" w:cstheme="majorBidi"/>
      <w:b/>
      <w:color w:val="2E74B5" w:themeColor="accent1" w:themeShade="BF"/>
      <w:sz w:val="24"/>
      <w:szCs w:val="32"/>
      <w:lang w:val="es-EC"/>
    </w:rPr>
  </w:style>
  <w:style w:type="paragraph" w:styleId="Ttulo2">
    <w:name w:val="heading 2"/>
    <w:basedOn w:val="Normal"/>
    <w:next w:val="Normal"/>
    <w:link w:val="Ttulo2Car"/>
    <w:uiPriority w:val="9"/>
    <w:semiHidden/>
    <w:unhideWhenUsed/>
    <w:qFormat/>
    <w:rsid w:val="009C1F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A15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notapie">
    <w:name w:val="footnote text"/>
    <w:aliases w:val="Footnote Text Char1,Footnote Text Char Char1,Footnote Text Char Char Char,Footnote Text Char Char,single space,Texto nota pie IIRSA Car,Texto nota pie IIRSA,FOOTNOTES,fn,Footnote reference,FA Fu,Footnote Text Char Char Char Char Char,ft"/>
    <w:basedOn w:val="Normal"/>
    <w:link w:val="TextonotapieCar"/>
    <w:uiPriority w:val="99"/>
    <w:unhideWhenUsed/>
    <w:rsid w:val="006120FA"/>
    <w:pPr>
      <w:spacing w:after="0" w:line="240" w:lineRule="auto"/>
    </w:pPr>
    <w:rPr>
      <w:sz w:val="20"/>
      <w:szCs w:val="20"/>
    </w:rPr>
  </w:style>
  <w:style w:type="character" w:customStyle="1" w:styleId="TextonotapieCar">
    <w:name w:val="Texto nota pie Car"/>
    <w:aliases w:val="Footnote Text Char1 Car,Footnote Text Char Char1 Car,Footnote Text Char Char Char Car,Footnote Text Char Char Car,single space Car,Texto nota pie IIRSA Car Car,Texto nota pie IIRSA Car1,FOOTNOTES Car,fn Car,Footnote reference Car"/>
    <w:basedOn w:val="Fuentedeprrafopredeter"/>
    <w:link w:val="Textonotapie"/>
    <w:uiPriority w:val="99"/>
    <w:rsid w:val="006120FA"/>
    <w:rPr>
      <w:sz w:val="20"/>
      <w:szCs w:val="20"/>
    </w:rPr>
  </w:style>
  <w:style w:type="character" w:styleId="Refdenotaalpie">
    <w:name w:val="footnote reference"/>
    <w:aliases w:val="Appel note de bas de page,BVI fnr,(Ref. de nota al pie),4_G"/>
    <w:basedOn w:val="Fuentedeprrafopredeter"/>
    <w:uiPriority w:val="99"/>
    <w:unhideWhenUsed/>
    <w:rsid w:val="006120FA"/>
    <w:rPr>
      <w:vertAlign w:val="superscript"/>
    </w:rPr>
  </w:style>
  <w:style w:type="paragraph" w:styleId="Descripcin">
    <w:name w:val="caption"/>
    <w:basedOn w:val="Normal"/>
    <w:next w:val="Normal"/>
    <w:uiPriority w:val="35"/>
    <w:unhideWhenUsed/>
    <w:qFormat/>
    <w:rsid w:val="00C348A8"/>
    <w:pPr>
      <w:spacing w:after="200" w:line="240" w:lineRule="auto"/>
      <w:jc w:val="both"/>
    </w:pPr>
    <w:rPr>
      <w:rFonts w:asciiTheme="minorHAnsi" w:hAnsiTheme="minorHAnsi" w:cstheme="minorHAnsi"/>
      <w:i/>
      <w:iCs/>
      <w:color w:val="44546A" w:themeColor="text2"/>
      <w:sz w:val="18"/>
      <w:szCs w:val="18"/>
      <w:lang w:val="es-EC"/>
    </w:rPr>
  </w:style>
  <w:style w:type="paragraph" w:styleId="Encabezado">
    <w:name w:val="header"/>
    <w:basedOn w:val="Normal"/>
    <w:link w:val="EncabezadoCar"/>
    <w:uiPriority w:val="99"/>
    <w:unhideWhenUsed/>
    <w:rsid w:val="00BA18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1829"/>
  </w:style>
  <w:style w:type="paragraph" w:styleId="Piedepgina">
    <w:name w:val="footer"/>
    <w:basedOn w:val="Normal"/>
    <w:link w:val="PiedepginaCar"/>
    <w:uiPriority w:val="99"/>
    <w:unhideWhenUsed/>
    <w:rsid w:val="00BA18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1829"/>
  </w:style>
  <w:style w:type="table" w:styleId="Tablaconcuadrcula">
    <w:name w:val="Table Grid"/>
    <w:basedOn w:val="Tablanormal"/>
    <w:uiPriority w:val="39"/>
    <w:rsid w:val="0084242D"/>
    <w:pPr>
      <w:spacing w:after="0" w:line="240" w:lineRule="auto"/>
    </w:pPr>
    <w:rPr>
      <w:rFonts w:asciiTheme="minorHAnsi" w:hAnsiTheme="minorHAns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Texto,TIT 2 IND,List Paragraph,Capítulo,List Paragraph1,Párrafo 3,Subtitulo1,AATITULO,Párrafo de lista SUBCAPITULO,Párrafo de lista1"/>
    <w:basedOn w:val="Normal"/>
    <w:link w:val="PrrafodelistaCar"/>
    <w:uiPriority w:val="34"/>
    <w:qFormat/>
    <w:rsid w:val="0084242D"/>
    <w:pPr>
      <w:ind w:left="720"/>
      <w:contextualSpacing/>
    </w:pPr>
  </w:style>
  <w:style w:type="paragraph" w:styleId="NormalWeb">
    <w:name w:val="Normal (Web)"/>
    <w:basedOn w:val="Normal"/>
    <w:uiPriority w:val="99"/>
    <w:unhideWhenUsed/>
    <w:rsid w:val="009F14A4"/>
    <w:pPr>
      <w:spacing w:before="100" w:beforeAutospacing="1" w:after="100" w:afterAutospacing="1" w:line="240" w:lineRule="auto"/>
    </w:pPr>
    <w:rPr>
      <w:rFonts w:ascii="Times New Roman" w:eastAsia="Times New Roman" w:hAnsi="Times New Roman" w:cs="Times New Roman"/>
      <w:i/>
      <w:sz w:val="24"/>
      <w:szCs w:val="24"/>
      <w:lang w:val="es-EC" w:eastAsia="es-EC"/>
    </w:rPr>
  </w:style>
  <w:style w:type="table" w:customStyle="1" w:styleId="Tablaconcuadrcula1">
    <w:name w:val="Tabla con cuadrícula1"/>
    <w:basedOn w:val="Tablanormal"/>
    <w:next w:val="Tablaconcuadrcula"/>
    <w:uiPriority w:val="39"/>
    <w:rsid w:val="00727845"/>
    <w:pPr>
      <w:spacing w:after="0" w:line="240" w:lineRule="auto"/>
      <w:jc w:val="both"/>
    </w:pPr>
    <w:rPr>
      <w:rFonts w:asciiTheme="minorHAnsi" w:hAnsiTheme="minorHAnsi" w:cstheme="minorHAnsi"/>
      <w:i/>
      <w:sz w:val="20"/>
      <w:szCs w:val="20"/>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26322"/>
    <w:pPr>
      <w:spacing w:after="0" w:line="240" w:lineRule="auto"/>
      <w:jc w:val="both"/>
    </w:pPr>
    <w:rPr>
      <w:rFonts w:asciiTheme="minorHAnsi" w:hAnsiTheme="minorHAnsi" w:cstheme="minorHAnsi"/>
      <w:i/>
      <w:sz w:val="20"/>
      <w:szCs w:val="20"/>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7B3134"/>
    <w:pPr>
      <w:spacing w:after="0" w:line="240" w:lineRule="auto"/>
      <w:jc w:val="both"/>
    </w:pPr>
    <w:rPr>
      <w:rFonts w:asciiTheme="minorHAnsi" w:hAnsiTheme="minorHAnsi" w:cstheme="minorHAnsi"/>
      <w:sz w:val="20"/>
      <w:szCs w:val="20"/>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10625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6257"/>
    <w:rPr>
      <w:sz w:val="20"/>
      <w:szCs w:val="20"/>
    </w:rPr>
  </w:style>
  <w:style w:type="character" w:styleId="Refdenotaalfinal">
    <w:name w:val="endnote reference"/>
    <w:basedOn w:val="Fuentedeprrafopredeter"/>
    <w:uiPriority w:val="99"/>
    <w:semiHidden/>
    <w:unhideWhenUsed/>
    <w:rsid w:val="00106257"/>
    <w:rPr>
      <w:vertAlign w:val="superscript"/>
    </w:rPr>
  </w:style>
  <w:style w:type="character" w:styleId="Refdecomentario">
    <w:name w:val="annotation reference"/>
    <w:basedOn w:val="Fuentedeprrafopredeter"/>
    <w:uiPriority w:val="99"/>
    <w:semiHidden/>
    <w:unhideWhenUsed/>
    <w:rsid w:val="00856D76"/>
    <w:rPr>
      <w:sz w:val="16"/>
      <w:szCs w:val="16"/>
    </w:rPr>
  </w:style>
  <w:style w:type="paragraph" w:styleId="Textocomentario">
    <w:name w:val="annotation text"/>
    <w:basedOn w:val="Normal"/>
    <w:link w:val="TextocomentarioCar"/>
    <w:uiPriority w:val="99"/>
    <w:semiHidden/>
    <w:unhideWhenUsed/>
    <w:rsid w:val="00856D76"/>
    <w:pPr>
      <w:spacing w:after="200" w:line="240" w:lineRule="auto"/>
      <w:jc w:val="both"/>
    </w:pPr>
    <w:rPr>
      <w:rFonts w:asciiTheme="minorHAnsi" w:hAnsiTheme="minorHAnsi" w:cstheme="minorHAnsi"/>
      <w:sz w:val="20"/>
      <w:szCs w:val="20"/>
      <w:lang w:val="es-EC"/>
    </w:rPr>
  </w:style>
  <w:style w:type="character" w:customStyle="1" w:styleId="TextocomentarioCar">
    <w:name w:val="Texto comentario Car"/>
    <w:basedOn w:val="Fuentedeprrafopredeter"/>
    <w:link w:val="Textocomentario"/>
    <w:uiPriority w:val="99"/>
    <w:semiHidden/>
    <w:rsid w:val="00856D76"/>
    <w:rPr>
      <w:rFonts w:asciiTheme="minorHAnsi" w:hAnsiTheme="minorHAnsi" w:cstheme="minorHAnsi"/>
      <w:sz w:val="20"/>
      <w:szCs w:val="20"/>
      <w:lang w:val="es-EC"/>
    </w:rPr>
  </w:style>
  <w:style w:type="paragraph" w:styleId="Textodeglobo">
    <w:name w:val="Balloon Text"/>
    <w:basedOn w:val="Normal"/>
    <w:link w:val="TextodegloboCar"/>
    <w:uiPriority w:val="99"/>
    <w:semiHidden/>
    <w:unhideWhenUsed/>
    <w:rsid w:val="00856D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D7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856D76"/>
    <w:pPr>
      <w:spacing w:after="160"/>
      <w:jc w:val="left"/>
    </w:pPr>
    <w:rPr>
      <w:rFonts w:ascii="Century Gothic" w:hAnsi="Century Gothic" w:cstheme="minorBidi"/>
      <w:b/>
      <w:bCs/>
      <w:lang w:val="es-ES"/>
    </w:rPr>
  </w:style>
  <w:style w:type="character" w:customStyle="1" w:styleId="AsuntodelcomentarioCar">
    <w:name w:val="Asunto del comentario Car"/>
    <w:basedOn w:val="TextocomentarioCar"/>
    <w:link w:val="Asuntodelcomentario"/>
    <w:uiPriority w:val="99"/>
    <w:semiHidden/>
    <w:rsid w:val="00856D76"/>
    <w:rPr>
      <w:rFonts w:asciiTheme="minorHAnsi" w:hAnsiTheme="minorHAnsi" w:cstheme="minorHAnsi"/>
      <w:b/>
      <w:bCs/>
      <w:sz w:val="20"/>
      <w:szCs w:val="20"/>
      <w:lang w:val="es-EC"/>
    </w:rPr>
  </w:style>
  <w:style w:type="paragraph" w:styleId="Sinespaciado">
    <w:name w:val="No Spacing"/>
    <w:link w:val="SinespaciadoCar"/>
    <w:uiPriority w:val="1"/>
    <w:qFormat/>
    <w:rsid w:val="00194448"/>
    <w:pPr>
      <w:spacing w:after="0" w:line="240" w:lineRule="auto"/>
      <w:jc w:val="both"/>
    </w:pPr>
    <w:rPr>
      <w:rFonts w:asciiTheme="minorHAnsi" w:hAnsiTheme="minorHAnsi" w:cstheme="minorHAnsi"/>
      <w:sz w:val="20"/>
      <w:szCs w:val="20"/>
      <w:lang w:val="es-EC"/>
    </w:rPr>
  </w:style>
  <w:style w:type="character" w:customStyle="1" w:styleId="SinespaciadoCar">
    <w:name w:val="Sin espaciado Car"/>
    <w:basedOn w:val="Fuentedeprrafopredeter"/>
    <w:link w:val="Sinespaciado"/>
    <w:uiPriority w:val="1"/>
    <w:rsid w:val="00194448"/>
    <w:rPr>
      <w:rFonts w:asciiTheme="minorHAnsi" w:hAnsiTheme="minorHAnsi" w:cstheme="minorHAnsi"/>
      <w:sz w:val="20"/>
      <w:szCs w:val="20"/>
      <w:lang w:val="es-EC"/>
    </w:rPr>
  </w:style>
  <w:style w:type="character" w:customStyle="1" w:styleId="PrrafodelistaCar">
    <w:name w:val="Párrafo de lista Car"/>
    <w:aliases w:val="Titulo 3 Car,Texto Car,TIT 2 IND Car,List Paragraph Car,Capítulo Car,List Paragraph1 Car,Párrafo 3 Car,Subtitulo1 Car,AATITULO Car,Párrafo de lista SUBCAPITULO Car,Párrafo de lista1 Car"/>
    <w:link w:val="Prrafodelista"/>
    <w:uiPriority w:val="34"/>
    <w:locked/>
    <w:rsid w:val="00AC3BFC"/>
  </w:style>
  <w:style w:type="paragraph" w:customStyle="1" w:styleId="Listavistosa-nfasis11">
    <w:name w:val="Lista vistosa - Énfasis 11"/>
    <w:basedOn w:val="Normal"/>
    <w:uiPriority w:val="34"/>
    <w:qFormat/>
    <w:rsid w:val="001900F3"/>
    <w:pPr>
      <w:spacing w:after="0" w:line="240" w:lineRule="auto"/>
      <w:ind w:left="720"/>
      <w:contextualSpacing/>
    </w:pPr>
    <w:rPr>
      <w:rFonts w:ascii="Calibri" w:eastAsia="Calibri" w:hAnsi="Calibri" w:cs="Times New Roman"/>
      <w:sz w:val="24"/>
      <w:szCs w:val="24"/>
      <w:lang w:val="en-US"/>
    </w:rPr>
  </w:style>
  <w:style w:type="table" w:styleId="Tablaconcuadrculaclara">
    <w:name w:val="Grid Table Light"/>
    <w:basedOn w:val="Tablanormal"/>
    <w:uiPriority w:val="40"/>
    <w:rsid w:val="001900F3"/>
    <w:pPr>
      <w:spacing w:after="0" w:line="240" w:lineRule="auto"/>
    </w:pPr>
    <w:rPr>
      <w:rFonts w:asciiTheme="minorHAnsi" w:hAnsiTheme="minorHAnsi"/>
      <w:lang w:val="es-EC"/>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FF2A7B"/>
    <w:rPr>
      <w:color w:val="0563C1" w:themeColor="hyperlink"/>
      <w:u w:val="single"/>
    </w:rPr>
  </w:style>
  <w:style w:type="paragraph" w:styleId="Bibliografa">
    <w:name w:val="Bibliography"/>
    <w:basedOn w:val="Normal"/>
    <w:next w:val="Normal"/>
    <w:uiPriority w:val="37"/>
    <w:unhideWhenUsed/>
    <w:rsid w:val="00FF2A7B"/>
  </w:style>
  <w:style w:type="character" w:customStyle="1" w:styleId="Ttulo1Car">
    <w:name w:val="Título 1 Car"/>
    <w:basedOn w:val="Fuentedeprrafopredeter"/>
    <w:link w:val="Ttulo1"/>
    <w:uiPriority w:val="9"/>
    <w:rsid w:val="00FF2A7B"/>
    <w:rPr>
      <w:rFonts w:ascii="Times New Roman" w:eastAsiaTheme="majorEastAsia" w:hAnsi="Times New Roman" w:cstheme="majorBidi"/>
      <w:b/>
      <w:color w:val="2E74B5" w:themeColor="accent1" w:themeShade="BF"/>
      <w:sz w:val="24"/>
      <w:szCs w:val="32"/>
      <w:lang w:val="es-EC"/>
    </w:rPr>
  </w:style>
  <w:style w:type="character" w:customStyle="1" w:styleId="Ttulo3Car">
    <w:name w:val="Título 3 Car"/>
    <w:basedOn w:val="Fuentedeprrafopredeter"/>
    <w:link w:val="Ttulo3"/>
    <w:uiPriority w:val="9"/>
    <w:rsid w:val="002A15D7"/>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rsid w:val="009C1FF3"/>
    <w:rPr>
      <w:rFonts w:asciiTheme="majorHAnsi" w:eastAsiaTheme="majorEastAsia" w:hAnsiTheme="majorHAnsi" w:cstheme="majorBidi"/>
      <w:color w:val="2E74B5" w:themeColor="accent1" w:themeShade="BF"/>
      <w:sz w:val="26"/>
      <w:szCs w:val="26"/>
    </w:rPr>
  </w:style>
  <w:style w:type="paragraph" w:customStyle="1" w:styleId="Default">
    <w:name w:val="Default"/>
    <w:rsid w:val="009E0A73"/>
    <w:pPr>
      <w:autoSpaceDE w:val="0"/>
      <w:autoSpaceDN w:val="0"/>
      <w:adjustRightInd w:val="0"/>
      <w:spacing w:after="0" w:line="240" w:lineRule="auto"/>
    </w:pPr>
    <w:rPr>
      <w:rFonts w:ascii="Palatino Linotype" w:hAnsi="Palatino Linotype" w:cs="Palatino Linotype"/>
      <w:color w:val="000000"/>
      <w:sz w:val="24"/>
      <w:szCs w:val="24"/>
      <w:lang w:val="es-EC"/>
    </w:rPr>
  </w:style>
  <w:style w:type="table" w:styleId="Tabladelista3-nfasis3">
    <w:name w:val="List Table 3 Accent 3"/>
    <w:basedOn w:val="Tablanormal"/>
    <w:uiPriority w:val="48"/>
    <w:rsid w:val="00224571"/>
    <w:pPr>
      <w:spacing w:after="0" w:line="240" w:lineRule="auto"/>
    </w:pPr>
    <w:rPr>
      <w:rFonts w:asciiTheme="minorHAnsi" w:hAnsiTheme="minorHAnsi"/>
      <w:lang w:val="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style>
  <w:style w:type="table" w:customStyle="1" w:styleId="ae">
    <w:basedOn w:val="TableNormal0"/>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style>
  <w:style w:type="table" w:customStyle="1" w:styleId="af">
    <w:basedOn w:val="TableNormal0"/>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style>
  <w:style w:type="table" w:customStyle="1" w:styleId="af0">
    <w:basedOn w:val="TableNormal0"/>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style>
  <w:style w:type="table" w:customStyle="1" w:styleId="af1">
    <w:basedOn w:val="TableNormal0"/>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tblPr>
      <w:tblStyleRowBandSize w:val="1"/>
      <w:tblStyleColBandSize w:val="1"/>
      <w:tblCellMar>
        <w:left w:w="70" w:type="dxa"/>
        <w:right w:w="70" w:type="dxa"/>
      </w:tblCellMar>
    </w:tblPr>
  </w:style>
  <w:style w:type="table" w:customStyle="1" w:styleId="afd">
    <w:basedOn w:val="TableNormal0"/>
    <w:tblPr>
      <w:tblStyleRowBandSize w:val="1"/>
      <w:tblStyleColBandSize w:val="1"/>
      <w:tblCellMar>
        <w:left w:w="70" w:type="dxa"/>
        <w:right w:w="70" w:type="dxa"/>
      </w:tblCellMar>
    </w:tblPr>
  </w:style>
  <w:style w:type="table" w:customStyle="1" w:styleId="afe">
    <w:basedOn w:val="TableNormal0"/>
    <w:tblPr>
      <w:tblStyleRowBandSize w:val="1"/>
      <w:tblStyleColBandSize w:val="1"/>
      <w:tblCellMar>
        <w:left w:w="70" w:type="dxa"/>
        <w:right w:w="70"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70" w:type="dxa"/>
        <w:right w:w="70" w:type="dxa"/>
      </w:tblCellMar>
    </w:tblPr>
  </w:style>
  <w:style w:type="table" w:customStyle="1" w:styleId="aff2">
    <w:basedOn w:val="TableNormal0"/>
    <w:tblPr>
      <w:tblStyleRowBandSize w:val="1"/>
      <w:tblStyleColBandSize w:val="1"/>
      <w:tblCellMar>
        <w:left w:w="70" w:type="dxa"/>
        <w:right w:w="70" w:type="dxa"/>
      </w:tblCellMar>
    </w:tblPr>
  </w:style>
  <w:style w:type="table" w:customStyle="1" w:styleId="aff3">
    <w:basedOn w:val="TableNormal0"/>
    <w:tblPr>
      <w:tblStyleRowBandSize w:val="1"/>
      <w:tblStyleColBandSize w:val="1"/>
      <w:tblCellMar>
        <w:left w:w="70" w:type="dxa"/>
        <w:right w:w="70"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70" w:type="dxa"/>
        <w:right w:w="70" w:type="dxa"/>
      </w:tblCellMar>
    </w:tblPr>
  </w:style>
  <w:style w:type="table" w:customStyle="1" w:styleId="aff6">
    <w:basedOn w:val="TableNormal0"/>
    <w:tblPr>
      <w:tblStyleRowBandSize w:val="1"/>
      <w:tblStyleColBandSize w:val="1"/>
      <w:tblCellMar>
        <w:left w:w="70" w:type="dxa"/>
        <w:right w:w="70" w:type="dxa"/>
      </w:tblCellMar>
    </w:tblPr>
  </w:style>
  <w:style w:type="table" w:customStyle="1" w:styleId="aff7">
    <w:basedOn w:val="TableNormal0"/>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70" w:type="dxa"/>
        <w:right w:w="70" w:type="dxa"/>
      </w:tblCellMar>
    </w:tblPr>
  </w:style>
  <w:style w:type="table" w:customStyle="1" w:styleId="aff9">
    <w:basedOn w:val="TableNormal0"/>
    <w:tblPr>
      <w:tblStyleRowBandSize w:val="1"/>
      <w:tblStyleColBandSize w:val="1"/>
      <w:tblCellMar>
        <w:left w:w="70" w:type="dxa"/>
        <w:right w:w="70" w:type="dxa"/>
      </w:tblCellMar>
    </w:tblPr>
  </w:style>
  <w:style w:type="table" w:customStyle="1" w:styleId="affa">
    <w:basedOn w:val="TableNormal0"/>
    <w:tblPr>
      <w:tblStyleRowBandSize w:val="1"/>
      <w:tblStyleColBandSize w:val="1"/>
      <w:tblCellMar>
        <w:left w:w="70" w:type="dxa"/>
        <w:right w:w="70" w:type="dxa"/>
      </w:tblCellMar>
    </w:tblPr>
  </w:style>
  <w:style w:type="table" w:customStyle="1" w:styleId="affb">
    <w:basedOn w:val="TableNormal0"/>
    <w:tblPr>
      <w:tblStyleRowBandSize w:val="1"/>
      <w:tblStyleColBandSize w:val="1"/>
      <w:tblCellMar>
        <w:left w:w="70" w:type="dxa"/>
        <w:right w:w="70" w:type="dxa"/>
      </w:tblCellMar>
    </w:tblPr>
  </w:style>
  <w:style w:type="table" w:customStyle="1" w:styleId="affc">
    <w:basedOn w:val="TableNormal0"/>
    <w:tblPr>
      <w:tblStyleRowBandSize w:val="1"/>
      <w:tblStyleColBandSize w:val="1"/>
      <w:tblCellMar>
        <w:left w:w="70" w:type="dxa"/>
        <w:right w:w="70" w:type="dxa"/>
      </w:tblCellMar>
    </w:tblPr>
  </w:style>
  <w:style w:type="table" w:customStyle="1" w:styleId="affd">
    <w:basedOn w:val="TableNormal0"/>
    <w:tblPr>
      <w:tblStyleRowBandSize w:val="1"/>
      <w:tblStyleColBandSize w:val="1"/>
      <w:tblCellMar>
        <w:left w:w="70" w:type="dxa"/>
        <w:right w:w="70"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fff0">
    <w:basedOn w:val="TableNormal0"/>
    <w:tblPr>
      <w:tblStyleRowBandSize w:val="1"/>
      <w:tblStyleColBandSize w:val="1"/>
      <w:tblCellMar>
        <w:left w:w="70" w:type="dxa"/>
        <w:right w:w="70" w:type="dxa"/>
      </w:tblCellMar>
    </w:tblPr>
  </w:style>
  <w:style w:type="table" w:customStyle="1" w:styleId="afff1">
    <w:basedOn w:val="TableNormal0"/>
    <w:tblPr>
      <w:tblStyleRowBandSize w:val="1"/>
      <w:tblStyleColBandSize w:val="1"/>
      <w:tblCellMar>
        <w:left w:w="70" w:type="dxa"/>
        <w:right w:w="70" w:type="dxa"/>
      </w:tblCellMar>
    </w:tblPr>
  </w:style>
  <w:style w:type="table" w:customStyle="1" w:styleId="afff2">
    <w:basedOn w:val="TableNormal0"/>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fff3">
    <w:basedOn w:val="TableNormal0"/>
    <w:tblPr>
      <w:tblStyleRowBandSize w:val="1"/>
      <w:tblStyleColBandSize w:val="1"/>
      <w:tblCellMar>
        <w:left w:w="70" w:type="dxa"/>
        <w:right w:w="70" w:type="dxa"/>
      </w:tblCellMar>
    </w:tblPr>
  </w:style>
  <w:style w:type="table" w:customStyle="1" w:styleId="afff4">
    <w:basedOn w:val="TableNormal0"/>
    <w:tblPr>
      <w:tblStyleRowBandSize w:val="1"/>
      <w:tblStyleColBandSize w:val="1"/>
      <w:tblCellMar>
        <w:left w:w="70" w:type="dxa"/>
        <w:right w:w="70"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table" w:customStyle="1" w:styleId="afff6">
    <w:basedOn w:val="TableNormal0"/>
    <w:tblPr>
      <w:tblStyleRowBandSize w:val="1"/>
      <w:tblStyleColBandSize w:val="1"/>
      <w:tblCellMar>
        <w:top w:w="100" w:type="dxa"/>
        <w:left w:w="100" w:type="dxa"/>
        <w:bottom w:w="100" w:type="dxa"/>
        <w:right w:w="100" w:type="dxa"/>
      </w:tblCellMar>
    </w:tblPr>
  </w:style>
  <w:style w:type="table" w:customStyle="1" w:styleId="afff7">
    <w:basedOn w:val="TableNormal0"/>
    <w:tblPr>
      <w:tblStyleRowBandSize w:val="1"/>
      <w:tblStyleColBandSize w:val="1"/>
      <w:tblCellMar>
        <w:top w:w="100" w:type="dxa"/>
        <w:left w:w="100" w:type="dxa"/>
        <w:bottom w:w="100" w:type="dxa"/>
        <w:right w:w="100" w:type="dxa"/>
      </w:tblCellMar>
    </w:tblPr>
  </w:style>
  <w:style w:type="table" w:customStyle="1" w:styleId="afff8">
    <w:basedOn w:val="TableNormal0"/>
    <w:tblPr>
      <w:tblStyleRowBandSize w:val="1"/>
      <w:tblStyleColBandSize w:val="1"/>
      <w:tblCellMar>
        <w:top w:w="100" w:type="dxa"/>
        <w:left w:w="100" w:type="dxa"/>
        <w:bottom w:w="100" w:type="dxa"/>
        <w:right w:w="100" w:type="dxa"/>
      </w:tblCellMar>
    </w:tblPr>
  </w:style>
  <w:style w:type="table" w:customStyle="1" w:styleId="afff9">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579460">
      <w:bodyDiv w:val="1"/>
      <w:marLeft w:val="0"/>
      <w:marRight w:val="0"/>
      <w:marTop w:val="0"/>
      <w:marBottom w:val="0"/>
      <w:divBdr>
        <w:top w:val="none" w:sz="0" w:space="0" w:color="auto"/>
        <w:left w:val="none" w:sz="0" w:space="0" w:color="auto"/>
        <w:bottom w:val="none" w:sz="0" w:space="0" w:color="auto"/>
        <w:right w:val="none" w:sz="0" w:space="0" w:color="auto"/>
      </w:divBdr>
      <w:divsChild>
        <w:div w:id="298340300">
          <w:marLeft w:val="0"/>
          <w:marRight w:val="0"/>
          <w:marTop w:val="0"/>
          <w:marBottom w:val="0"/>
          <w:divBdr>
            <w:top w:val="none" w:sz="0" w:space="0" w:color="auto"/>
            <w:left w:val="none" w:sz="0" w:space="0" w:color="auto"/>
            <w:bottom w:val="none" w:sz="0" w:space="0" w:color="auto"/>
            <w:right w:val="none" w:sz="0" w:space="0" w:color="auto"/>
          </w:divBdr>
        </w:div>
        <w:div w:id="1383167011">
          <w:marLeft w:val="0"/>
          <w:marRight w:val="0"/>
          <w:marTop w:val="0"/>
          <w:marBottom w:val="0"/>
          <w:divBdr>
            <w:top w:val="none" w:sz="0" w:space="0" w:color="auto"/>
            <w:left w:val="none" w:sz="0" w:space="0" w:color="auto"/>
            <w:bottom w:val="none" w:sz="0" w:space="0" w:color="auto"/>
            <w:right w:val="none" w:sz="0" w:space="0" w:color="auto"/>
          </w:divBdr>
        </w:div>
        <w:div w:id="37898317">
          <w:marLeft w:val="0"/>
          <w:marRight w:val="0"/>
          <w:marTop w:val="0"/>
          <w:marBottom w:val="0"/>
          <w:divBdr>
            <w:top w:val="none" w:sz="0" w:space="0" w:color="auto"/>
            <w:left w:val="none" w:sz="0" w:space="0" w:color="auto"/>
            <w:bottom w:val="none" w:sz="0" w:space="0" w:color="auto"/>
            <w:right w:val="none" w:sz="0" w:space="0" w:color="auto"/>
          </w:divBdr>
        </w:div>
        <w:div w:id="1312371231">
          <w:marLeft w:val="0"/>
          <w:marRight w:val="0"/>
          <w:marTop w:val="0"/>
          <w:marBottom w:val="0"/>
          <w:divBdr>
            <w:top w:val="none" w:sz="0" w:space="0" w:color="auto"/>
            <w:left w:val="none" w:sz="0" w:space="0" w:color="auto"/>
            <w:bottom w:val="none" w:sz="0" w:space="0" w:color="auto"/>
            <w:right w:val="none" w:sz="0" w:space="0" w:color="auto"/>
          </w:divBdr>
        </w:div>
        <w:div w:id="1462655715">
          <w:marLeft w:val="0"/>
          <w:marRight w:val="0"/>
          <w:marTop w:val="0"/>
          <w:marBottom w:val="0"/>
          <w:divBdr>
            <w:top w:val="none" w:sz="0" w:space="0" w:color="auto"/>
            <w:left w:val="none" w:sz="0" w:space="0" w:color="auto"/>
            <w:bottom w:val="none" w:sz="0" w:space="0" w:color="auto"/>
            <w:right w:val="none" w:sz="0" w:space="0" w:color="auto"/>
          </w:divBdr>
        </w:div>
        <w:div w:id="1787695514">
          <w:marLeft w:val="0"/>
          <w:marRight w:val="0"/>
          <w:marTop w:val="0"/>
          <w:marBottom w:val="0"/>
          <w:divBdr>
            <w:top w:val="none" w:sz="0" w:space="0" w:color="auto"/>
            <w:left w:val="none" w:sz="0" w:space="0" w:color="auto"/>
            <w:bottom w:val="none" w:sz="0" w:space="0" w:color="auto"/>
            <w:right w:val="none" w:sz="0" w:space="0" w:color="auto"/>
          </w:divBdr>
        </w:div>
        <w:div w:id="1356662028">
          <w:marLeft w:val="0"/>
          <w:marRight w:val="0"/>
          <w:marTop w:val="0"/>
          <w:marBottom w:val="0"/>
          <w:divBdr>
            <w:top w:val="none" w:sz="0" w:space="0" w:color="auto"/>
            <w:left w:val="none" w:sz="0" w:space="0" w:color="auto"/>
            <w:bottom w:val="none" w:sz="0" w:space="0" w:color="auto"/>
            <w:right w:val="none" w:sz="0" w:space="0" w:color="auto"/>
          </w:divBdr>
        </w:div>
        <w:div w:id="6330267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c9WUH2XGzp4Q9oCfu8g7xhPteQ==">AMUW2mV5NkbqDz0Kda3Q9leaFwmfkNPHNSnK6uGfmkmqjZbPFIQ/0hTFcjzVzhrZ+siwaOJJQJ1YVdrubo0ZJIUynkP+3xkwPrzi1Qwuad20t0ZuNdTEeTc=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6297</Words>
  <Characters>34638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Calixto Toapanta Delgado</dc:creator>
  <cp:lastModifiedBy>KARINA PATRICIA TELLO TORAL</cp:lastModifiedBy>
  <cp:revision>2</cp:revision>
  <cp:lastPrinted>2021-11-22T19:19:00Z</cp:lastPrinted>
  <dcterms:created xsi:type="dcterms:W3CDTF">2021-11-29T22:11:00Z</dcterms:created>
  <dcterms:modified xsi:type="dcterms:W3CDTF">2021-11-29T22:11:00Z</dcterms:modified>
</cp:coreProperties>
</file>