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4CED9" w14:textId="77777777" w:rsidR="00EA6CE8" w:rsidRPr="00047A81" w:rsidRDefault="00EA6CE8" w:rsidP="00EA6CE8">
      <w:pPr>
        <w:autoSpaceDE w:val="0"/>
        <w:autoSpaceDN w:val="0"/>
        <w:adjustRightInd w:val="0"/>
        <w:spacing w:line="276" w:lineRule="auto"/>
        <w:jc w:val="center"/>
        <w:rPr>
          <w:rFonts w:ascii="Palatino Linotype" w:hAnsi="Palatino Linotype"/>
          <w:b/>
          <w:sz w:val="22"/>
          <w:szCs w:val="22"/>
          <w:lang w:val="es-EC"/>
        </w:rPr>
      </w:pPr>
      <w:r w:rsidRPr="00047A81">
        <w:rPr>
          <w:rFonts w:ascii="Palatino Linotype" w:hAnsi="Palatino Linotype"/>
          <w:b/>
          <w:sz w:val="22"/>
          <w:szCs w:val="22"/>
          <w:lang w:val="es-EC"/>
        </w:rPr>
        <w:t>EL CONCEJO METROPOLITANO DE QUITO</w:t>
      </w:r>
    </w:p>
    <w:p w14:paraId="5DB0271C" w14:textId="77777777" w:rsidR="00EA6CE8" w:rsidRPr="00047A81" w:rsidRDefault="00EA6CE8" w:rsidP="00EA6CE8">
      <w:pPr>
        <w:autoSpaceDE w:val="0"/>
        <w:autoSpaceDN w:val="0"/>
        <w:adjustRightInd w:val="0"/>
        <w:spacing w:line="276" w:lineRule="auto"/>
        <w:jc w:val="center"/>
        <w:rPr>
          <w:rFonts w:ascii="Palatino Linotype" w:hAnsi="Palatino Linotype"/>
          <w:b/>
          <w:sz w:val="22"/>
          <w:szCs w:val="22"/>
          <w:lang w:val="es-EC"/>
        </w:rPr>
      </w:pPr>
    </w:p>
    <w:p w14:paraId="1652B2BA" w14:textId="22E37FF0" w:rsidR="28D3DB25" w:rsidRPr="00485CE5" w:rsidRDefault="003F05C9" w:rsidP="00485CE5">
      <w:pPr>
        <w:autoSpaceDE w:val="0"/>
        <w:autoSpaceDN w:val="0"/>
        <w:adjustRightInd w:val="0"/>
        <w:spacing w:line="276" w:lineRule="auto"/>
        <w:jc w:val="center"/>
        <w:rPr>
          <w:rFonts w:ascii="Palatino Linotype" w:hAnsi="Palatino Linotype"/>
          <w:b/>
          <w:sz w:val="22"/>
          <w:szCs w:val="22"/>
          <w:lang w:val="es-EC"/>
        </w:rPr>
      </w:pPr>
      <w:r w:rsidRPr="28D3DB25">
        <w:rPr>
          <w:rFonts w:ascii="Palatino Linotype" w:hAnsi="Palatino Linotype"/>
          <w:b/>
          <w:bCs/>
          <w:sz w:val="22"/>
          <w:szCs w:val="22"/>
          <w:lang w:val="es-EC"/>
        </w:rPr>
        <w:t>EXPOSICIÓN DE MOTIVOS</w:t>
      </w:r>
    </w:p>
    <w:p w14:paraId="073AA3C7" w14:textId="3C4E94E5" w:rsidR="28D3DB25" w:rsidRPr="00485CE5" w:rsidRDefault="00EA6CE8" w:rsidP="28D3DB25">
      <w:pPr>
        <w:pStyle w:val="NormalWeb"/>
        <w:jc w:val="both"/>
        <w:rPr>
          <w:rFonts w:ascii="Palatino Linotype" w:hAnsi="Palatino Linotype"/>
        </w:rPr>
      </w:pPr>
      <w:r w:rsidRPr="28D3DB25">
        <w:rPr>
          <w:rFonts w:ascii="Palatino Linotype" w:hAnsi="Palatino Linotype" w:cs="Calibri"/>
          <w:sz w:val="22"/>
          <w:szCs w:val="22"/>
        </w:rPr>
        <w:t xml:space="preserve">Mediante </w:t>
      </w:r>
      <w:proofErr w:type="spellStart"/>
      <w:r w:rsidRPr="28D3DB25">
        <w:rPr>
          <w:rFonts w:ascii="Palatino Linotype" w:hAnsi="Palatino Linotype" w:cs="Calibri"/>
          <w:sz w:val="22"/>
          <w:szCs w:val="22"/>
        </w:rPr>
        <w:t>Resolución</w:t>
      </w:r>
      <w:proofErr w:type="spellEnd"/>
      <w:r w:rsidRPr="28D3DB25">
        <w:rPr>
          <w:rFonts w:ascii="Palatino Linotype" w:hAnsi="Palatino Linotype" w:cs="Calibri"/>
          <w:sz w:val="22"/>
          <w:szCs w:val="22"/>
        </w:rPr>
        <w:t xml:space="preserve"> del Concejo Metropolitano N</w:t>
      </w:r>
      <w:r w:rsidR="00485CE5">
        <w:rPr>
          <w:rFonts w:ascii="Palatino Linotype" w:hAnsi="Palatino Linotype" w:cs="Calibri"/>
          <w:sz w:val="22"/>
          <w:szCs w:val="22"/>
        </w:rPr>
        <w:t>r</w:t>
      </w:r>
      <w:r w:rsidRPr="28D3DB25">
        <w:rPr>
          <w:rFonts w:ascii="Palatino Linotype" w:hAnsi="Palatino Linotype" w:cs="Calibri"/>
          <w:sz w:val="22"/>
          <w:szCs w:val="22"/>
        </w:rPr>
        <w:t xml:space="preserve">o. C 248 del 07 de mayo del 2019, se establecieron las asignaciones de </w:t>
      </w:r>
      <w:proofErr w:type="spellStart"/>
      <w:r w:rsidRPr="28D3DB25">
        <w:rPr>
          <w:rFonts w:ascii="Palatino Linotype" w:hAnsi="Palatino Linotype" w:cs="Calibri"/>
          <w:sz w:val="22"/>
          <w:szCs w:val="22"/>
        </w:rPr>
        <w:t>clasificación</w:t>
      </w:r>
      <w:proofErr w:type="spellEnd"/>
      <w:r w:rsidRPr="28D3DB25">
        <w:rPr>
          <w:rFonts w:ascii="Palatino Linotype" w:hAnsi="Palatino Linotype" w:cs="Calibri"/>
          <w:sz w:val="22"/>
          <w:szCs w:val="22"/>
        </w:rPr>
        <w:t xml:space="preserve">, uso de suelo y forma de </w:t>
      </w:r>
      <w:proofErr w:type="spellStart"/>
      <w:r w:rsidRPr="28D3DB25">
        <w:rPr>
          <w:rFonts w:ascii="Palatino Linotype" w:hAnsi="Palatino Linotype" w:cs="Calibri"/>
          <w:sz w:val="22"/>
          <w:szCs w:val="22"/>
        </w:rPr>
        <w:t>ocupación</w:t>
      </w:r>
      <w:proofErr w:type="spellEnd"/>
      <w:r w:rsidRPr="28D3DB25">
        <w:rPr>
          <w:rFonts w:ascii="Palatino Linotype" w:hAnsi="Palatino Linotype" w:cs="Calibri"/>
          <w:sz w:val="22"/>
          <w:szCs w:val="22"/>
        </w:rPr>
        <w:t xml:space="preserve"> y edificabilidad al lote con </w:t>
      </w:r>
      <w:proofErr w:type="spellStart"/>
      <w:r w:rsidRPr="28D3DB25">
        <w:rPr>
          <w:rFonts w:ascii="Palatino Linotype" w:hAnsi="Palatino Linotype" w:cs="Calibri"/>
          <w:sz w:val="22"/>
          <w:szCs w:val="22"/>
        </w:rPr>
        <w:t>número</w:t>
      </w:r>
      <w:proofErr w:type="spellEnd"/>
      <w:r w:rsidRPr="28D3DB25">
        <w:rPr>
          <w:rFonts w:ascii="Palatino Linotype" w:hAnsi="Palatino Linotype" w:cs="Calibri"/>
          <w:sz w:val="22"/>
          <w:szCs w:val="22"/>
        </w:rPr>
        <w:t xml:space="preserve"> de predio N</w:t>
      </w:r>
      <w:r w:rsidR="00485CE5">
        <w:rPr>
          <w:rFonts w:ascii="Palatino Linotype" w:hAnsi="Palatino Linotype" w:cs="Calibri"/>
          <w:sz w:val="22"/>
          <w:szCs w:val="22"/>
        </w:rPr>
        <w:t>r</w:t>
      </w:r>
      <w:r w:rsidRPr="28D3DB25">
        <w:rPr>
          <w:rFonts w:ascii="Palatino Linotype" w:hAnsi="Palatino Linotype" w:cs="Calibri"/>
          <w:sz w:val="22"/>
          <w:szCs w:val="22"/>
        </w:rPr>
        <w:t xml:space="preserve">o. 5782698. </w:t>
      </w:r>
    </w:p>
    <w:p w14:paraId="61E079AC" w14:textId="492DF313" w:rsidR="003F05C9" w:rsidRPr="003F05C9" w:rsidRDefault="003F05C9" w:rsidP="003F05C9">
      <w:pPr>
        <w:jc w:val="both"/>
        <w:rPr>
          <w:rFonts w:ascii="Palatino Linotype" w:eastAsia="Calibri" w:hAnsi="Palatino Linotype" w:cs="Calibri"/>
          <w:color w:val="000000"/>
          <w:sz w:val="22"/>
          <w:szCs w:val="22"/>
        </w:rPr>
      </w:pPr>
      <w:r w:rsidRPr="003F05C9">
        <w:rPr>
          <w:rFonts w:ascii="Palatino Linotype" w:eastAsia="Calibri" w:hAnsi="Palatino Linotype" w:cs="Calibri"/>
          <w:color w:val="000000"/>
          <w:sz w:val="22"/>
          <w:szCs w:val="22"/>
        </w:rPr>
        <w:t xml:space="preserve">Conforme el literal a) del art. 2100 del Código Municipal, el suelo urbano puede ser determinado únicamente en el Plan de Desarrollo y Ordenamiento Territorial, o en uno de los instrumentos de planificación. Al respecto, el procedimiento contenido en el literal g) del numeral 1 del art. </w:t>
      </w:r>
      <w:r w:rsidRPr="003F05C9">
        <w:rPr>
          <w:rFonts w:ascii="Palatino Linotype" w:eastAsia="Palatino Linotype" w:hAnsi="Palatino Linotype" w:cs="Times New Roman"/>
          <w:sz w:val="22"/>
          <w:szCs w:val="22"/>
        </w:rPr>
        <w:t xml:space="preserve">2158 </w:t>
      </w:r>
      <w:r w:rsidRPr="003F05C9">
        <w:rPr>
          <w:rFonts w:ascii="Palatino Linotype" w:eastAsia="Calibri" w:hAnsi="Palatino Linotype" w:cs="Calibri"/>
          <w:color w:val="000000"/>
          <w:sz w:val="22"/>
          <w:szCs w:val="22"/>
        </w:rPr>
        <w:t>del código Municipal mediante el cual procede la asignación de datos a un predio con zonificación ZC, a través de la presentación de un Proyecto Urbanístico Arquitectónico (PUA), no es considerado un instrumento de planificación ni un instrumento complementario de planificación.</w:t>
      </w:r>
    </w:p>
    <w:p w14:paraId="7BA8AE32" w14:textId="77777777" w:rsidR="003F05C9" w:rsidRPr="003F05C9" w:rsidRDefault="003F05C9" w:rsidP="003F05C9">
      <w:pPr>
        <w:jc w:val="both"/>
        <w:rPr>
          <w:rFonts w:ascii="Palatino Linotype" w:eastAsia="Calibri" w:hAnsi="Palatino Linotype" w:cs="Calibri"/>
          <w:color w:val="000000"/>
          <w:sz w:val="22"/>
          <w:szCs w:val="22"/>
        </w:rPr>
      </w:pPr>
    </w:p>
    <w:p w14:paraId="112FB7E4" w14:textId="6F554ECC" w:rsidR="003F05C9" w:rsidRPr="003F05C9" w:rsidRDefault="00485CE5" w:rsidP="003F05C9">
      <w:pPr>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 xml:space="preserve">La </w:t>
      </w:r>
      <w:r w:rsidRPr="0033693E">
        <w:rPr>
          <w:rFonts w:ascii="Palatino Linotype" w:eastAsia="Palatino Linotype" w:hAnsi="Palatino Linotype" w:cs="Times New Roman"/>
          <w:color w:val="000000"/>
          <w:sz w:val="22"/>
          <w:szCs w:val="22"/>
        </w:rPr>
        <w:t xml:space="preserve">Ley </w:t>
      </w:r>
      <w:proofErr w:type="spellStart"/>
      <w:r w:rsidRPr="0033693E">
        <w:rPr>
          <w:rFonts w:ascii="Palatino Linotype" w:eastAsia="Palatino Linotype" w:hAnsi="Palatino Linotype" w:cs="Times New Roman"/>
          <w:color w:val="000000"/>
          <w:sz w:val="22"/>
          <w:szCs w:val="22"/>
        </w:rPr>
        <w:t>Orgánica</w:t>
      </w:r>
      <w:proofErr w:type="spellEnd"/>
      <w:r w:rsidRPr="0033693E">
        <w:rPr>
          <w:rFonts w:ascii="Palatino Linotype" w:eastAsia="Palatino Linotype" w:hAnsi="Palatino Linotype" w:cs="Times New Roman"/>
          <w:color w:val="000000"/>
          <w:sz w:val="22"/>
          <w:szCs w:val="22"/>
        </w:rPr>
        <w:t xml:space="preserve"> de Ordenamiento Territorial, Uso y </w:t>
      </w:r>
      <w:proofErr w:type="spellStart"/>
      <w:r w:rsidRPr="0033693E">
        <w:rPr>
          <w:rFonts w:ascii="Palatino Linotype" w:eastAsia="Palatino Linotype" w:hAnsi="Palatino Linotype" w:cs="Times New Roman"/>
          <w:color w:val="000000"/>
          <w:sz w:val="22"/>
          <w:szCs w:val="22"/>
        </w:rPr>
        <w:t>Gestión</w:t>
      </w:r>
      <w:proofErr w:type="spellEnd"/>
      <w:r w:rsidRPr="0033693E">
        <w:rPr>
          <w:rFonts w:ascii="Palatino Linotype" w:eastAsia="Palatino Linotype" w:hAnsi="Palatino Linotype" w:cs="Times New Roman"/>
          <w:color w:val="000000"/>
          <w:sz w:val="22"/>
          <w:szCs w:val="22"/>
        </w:rPr>
        <w:t xml:space="preserve"> del Suelo</w:t>
      </w:r>
      <w:r w:rsidR="003F05C9" w:rsidRPr="003F05C9">
        <w:rPr>
          <w:rFonts w:ascii="Palatino Linotype" w:eastAsia="Calibri" w:hAnsi="Palatino Linotype" w:cs="Calibri"/>
          <w:color w:val="000000"/>
          <w:sz w:val="22"/>
          <w:szCs w:val="22"/>
        </w:rPr>
        <w:t xml:space="preserve"> determina en los artículos 28 y 34 que</w:t>
      </w:r>
      <w:r>
        <w:rPr>
          <w:rFonts w:ascii="Palatino Linotype" w:eastAsia="Calibri" w:hAnsi="Palatino Linotype" w:cs="Calibri"/>
          <w:color w:val="000000"/>
          <w:sz w:val="22"/>
          <w:szCs w:val="22"/>
        </w:rPr>
        <w:t>,</w:t>
      </w:r>
      <w:r w:rsidR="003F05C9" w:rsidRPr="003F05C9">
        <w:rPr>
          <w:rFonts w:ascii="Palatino Linotype" w:eastAsia="Calibri" w:hAnsi="Palatino Linotype" w:cs="Calibri"/>
          <w:color w:val="000000"/>
          <w:sz w:val="22"/>
          <w:szCs w:val="22"/>
        </w:rPr>
        <w:t xml:space="preserve"> únicamente el Plan de Uso y Gestión de Suelo (instrumento que aún no entra en vigencia) y los planes parciales de expansión urbana</w:t>
      </w:r>
      <w:r>
        <w:rPr>
          <w:rFonts w:ascii="Palatino Linotype" w:eastAsia="Calibri" w:hAnsi="Palatino Linotype" w:cs="Calibri"/>
          <w:color w:val="000000"/>
          <w:sz w:val="22"/>
          <w:szCs w:val="22"/>
        </w:rPr>
        <w:t>,</w:t>
      </w:r>
      <w:r w:rsidR="003F05C9" w:rsidRPr="003F05C9">
        <w:rPr>
          <w:rFonts w:ascii="Palatino Linotype" w:eastAsia="Calibri" w:hAnsi="Palatino Linotype" w:cs="Calibri"/>
          <w:color w:val="000000"/>
          <w:sz w:val="22"/>
          <w:szCs w:val="22"/>
        </w:rPr>
        <w:t xml:space="preserve"> son los instrumentos que permiten un cambio de clasificación de </w:t>
      </w:r>
      <w:r>
        <w:rPr>
          <w:rFonts w:ascii="Palatino Linotype" w:eastAsia="Calibri" w:hAnsi="Palatino Linotype" w:cs="Calibri"/>
          <w:color w:val="000000"/>
          <w:sz w:val="22"/>
          <w:szCs w:val="22"/>
        </w:rPr>
        <w:t xml:space="preserve">suelo </w:t>
      </w:r>
      <w:r w:rsidR="003F05C9" w:rsidRPr="003F05C9">
        <w:rPr>
          <w:rFonts w:ascii="Palatino Linotype" w:eastAsia="Calibri" w:hAnsi="Palatino Linotype" w:cs="Calibri"/>
          <w:color w:val="000000"/>
          <w:sz w:val="22"/>
          <w:szCs w:val="22"/>
        </w:rPr>
        <w:t xml:space="preserve">rural a urbano. </w:t>
      </w:r>
    </w:p>
    <w:p w14:paraId="6EAE65E4" w14:textId="77777777" w:rsidR="003F05C9" w:rsidRPr="003F05C9" w:rsidRDefault="003F05C9" w:rsidP="003F05C9">
      <w:pPr>
        <w:jc w:val="both"/>
        <w:rPr>
          <w:rFonts w:ascii="Palatino Linotype" w:eastAsia="Calibri" w:hAnsi="Palatino Linotype" w:cs="Calibri"/>
          <w:color w:val="000000"/>
          <w:sz w:val="22"/>
          <w:szCs w:val="22"/>
        </w:rPr>
      </w:pPr>
    </w:p>
    <w:p w14:paraId="3387C148" w14:textId="102D142F" w:rsidR="003F05C9" w:rsidRPr="003F05C9" w:rsidRDefault="003F05C9" w:rsidP="003F05C9">
      <w:pPr>
        <w:jc w:val="both"/>
        <w:rPr>
          <w:rFonts w:ascii="Palatino Linotype" w:eastAsia="Calibri" w:hAnsi="Palatino Linotype" w:cs="Calibri"/>
          <w:color w:val="000000"/>
          <w:sz w:val="22"/>
          <w:szCs w:val="22"/>
        </w:rPr>
      </w:pPr>
      <w:r w:rsidRPr="003F05C9">
        <w:rPr>
          <w:rFonts w:ascii="Palatino Linotype" w:eastAsia="Calibri" w:hAnsi="Palatino Linotype" w:cs="Calibri"/>
          <w:color w:val="000000"/>
          <w:sz w:val="22"/>
          <w:szCs w:val="22"/>
        </w:rPr>
        <w:t xml:space="preserve">Conforme la </w:t>
      </w:r>
      <w:r w:rsidR="00485CE5" w:rsidRPr="003F05C9">
        <w:rPr>
          <w:rFonts w:ascii="Palatino Linotype" w:eastAsia="Calibri" w:hAnsi="Palatino Linotype" w:cs="Calibri"/>
          <w:color w:val="000000"/>
          <w:sz w:val="22"/>
          <w:szCs w:val="22"/>
        </w:rPr>
        <w:t xml:space="preserve">Disposición General Segunda </w:t>
      </w:r>
      <w:r w:rsidRPr="003F05C9">
        <w:rPr>
          <w:rFonts w:ascii="Palatino Linotype" w:eastAsia="Calibri" w:hAnsi="Palatino Linotype" w:cs="Calibri"/>
          <w:color w:val="000000"/>
          <w:sz w:val="22"/>
          <w:szCs w:val="22"/>
        </w:rPr>
        <w:t>de la Resolución C248, la autorización del cambio de clasificación de</w:t>
      </w:r>
      <w:r w:rsidR="00485CE5">
        <w:rPr>
          <w:rFonts w:ascii="Palatino Linotype" w:eastAsia="Calibri" w:hAnsi="Palatino Linotype" w:cs="Calibri"/>
          <w:color w:val="000000"/>
          <w:sz w:val="22"/>
          <w:szCs w:val="22"/>
        </w:rPr>
        <w:t xml:space="preserve"> suelo</w:t>
      </w:r>
      <w:r w:rsidRPr="003F05C9">
        <w:rPr>
          <w:rFonts w:ascii="Palatino Linotype" w:eastAsia="Calibri" w:hAnsi="Palatino Linotype" w:cs="Calibri"/>
          <w:color w:val="000000"/>
          <w:sz w:val="22"/>
          <w:szCs w:val="22"/>
        </w:rPr>
        <w:t xml:space="preserve"> rural a urbano en el predio N</w:t>
      </w:r>
      <w:r w:rsidR="00485CE5">
        <w:rPr>
          <w:rFonts w:ascii="Palatino Linotype" w:eastAsia="Calibri" w:hAnsi="Palatino Linotype" w:cs="Calibri"/>
          <w:color w:val="000000"/>
          <w:sz w:val="22"/>
          <w:szCs w:val="22"/>
        </w:rPr>
        <w:t>r</w:t>
      </w:r>
      <w:r w:rsidRPr="003F05C9">
        <w:rPr>
          <w:rFonts w:ascii="Palatino Linotype" w:eastAsia="Calibri" w:hAnsi="Palatino Linotype" w:cs="Calibri"/>
          <w:color w:val="000000"/>
          <w:sz w:val="22"/>
          <w:szCs w:val="22"/>
        </w:rPr>
        <w:t>o. 5782698, no es procedente por las razones antes descritas, al no haberse instrumentado este cambio en uno de los instrumentos complementarios de planificación que sirven para el efecto.</w:t>
      </w:r>
    </w:p>
    <w:p w14:paraId="7A0EBEE5" w14:textId="77777777" w:rsidR="003F05C9" w:rsidRPr="003F05C9" w:rsidRDefault="003F05C9" w:rsidP="003F05C9">
      <w:pPr>
        <w:jc w:val="both"/>
        <w:rPr>
          <w:rFonts w:ascii="Palatino Linotype" w:eastAsia="Calibri" w:hAnsi="Palatino Linotype" w:cs="Calibri"/>
          <w:color w:val="000000"/>
          <w:sz w:val="22"/>
          <w:szCs w:val="22"/>
        </w:rPr>
      </w:pPr>
    </w:p>
    <w:p w14:paraId="22BE4BEF" w14:textId="77777777" w:rsidR="003F05C9" w:rsidRPr="003F05C9" w:rsidRDefault="003F05C9" w:rsidP="003F05C9">
      <w:pPr>
        <w:jc w:val="both"/>
        <w:rPr>
          <w:rFonts w:ascii="Palatino Linotype" w:eastAsia="Calibri" w:hAnsi="Palatino Linotype" w:cs="Calibri"/>
          <w:color w:val="000000"/>
          <w:sz w:val="22"/>
          <w:szCs w:val="22"/>
        </w:rPr>
      </w:pPr>
      <w:r w:rsidRPr="28D3DB25">
        <w:rPr>
          <w:rFonts w:ascii="Palatino Linotype" w:eastAsia="Calibri" w:hAnsi="Palatino Linotype" w:cs="Calibri"/>
          <w:color w:val="000000" w:themeColor="text1"/>
          <w:sz w:val="22"/>
          <w:szCs w:val="22"/>
        </w:rPr>
        <w:t xml:space="preserve">En este sentido, en el Mapa PUOS vigente, el predio en mención sigue teniendo asignada la clasificación de suelo rural y la zonificación ZC en la parte correspondiente al cambio de rural a urbano. </w:t>
      </w:r>
    </w:p>
    <w:p w14:paraId="4B3D9A29" w14:textId="25E4F42F" w:rsidR="28D3DB25" w:rsidRDefault="28D3DB25" w:rsidP="28D3DB25">
      <w:pPr>
        <w:jc w:val="both"/>
        <w:rPr>
          <w:rFonts w:ascii="Palatino Linotype" w:eastAsia="Calibri" w:hAnsi="Palatino Linotype" w:cs="Calibri"/>
          <w:color w:val="000000" w:themeColor="text1"/>
          <w:sz w:val="22"/>
          <w:szCs w:val="22"/>
        </w:rPr>
      </w:pPr>
    </w:p>
    <w:p w14:paraId="3D96453D" w14:textId="2C6C0865" w:rsidR="003F05C9" w:rsidRPr="003F05C9" w:rsidRDefault="003F05C9" w:rsidP="003F05C9">
      <w:pPr>
        <w:pStyle w:val="NormalWeb"/>
        <w:jc w:val="both"/>
        <w:rPr>
          <w:rFonts w:ascii="Palatino Linotype" w:hAnsi="Palatino Linotype"/>
          <w:i/>
          <w:sz w:val="22"/>
          <w:szCs w:val="22"/>
        </w:rPr>
      </w:pPr>
      <w:r w:rsidRPr="003F05C9">
        <w:rPr>
          <w:rFonts w:ascii="Palatino Linotype" w:hAnsi="Palatino Linotype" w:cs="Calibri"/>
          <w:sz w:val="22"/>
          <w:szCs w:val="22"/>
        </w:rPr>
        <w:t xml:space="preserve">Con oficio s/n de 04 de junio de 2021, el Sr. </w:t>
      </w:r>
      <w:proofErr w:type="spellStart"/>
      <w:r w:rsidRPr="003F05C9">
        <w:rPr>
          <w:rFonts w:ascii="Palatino Linotype" w:hAnsi="Palatino Linotype" w:cs="Calibri"/>
          <w:sz w:val="22"/>
          <w:szCs w:val="22"/>
        </w:rPr>
        <w:t>Jose</w:t>
      </w:r>
      <w:proofErr w:type="spellEnd"/>
      <w:r w:rsidRPr="003F05C9">
        <w:rPr>
          <w:rFonts w:ascii="Palatino Linotype" w:hAnsi="Palatino Linotype" w:cs="Calibri"/>
          <w:sz w:val="22"/>
          <w:szCs w:val="22"/>
        </w:rPr>
        <w:t xml:space="preserve">́ Samaniego, en su calidad de representante legal de ANEFI S.A. Administradora de Fondos y Fideicomisos que representa al Fideicomiso San </w:t>
      </w:r>
      <w:proofErr w:type="spellStart"/>
      <w:r w:rsidRPr="003F05C9">
        <w:rPr>
          <w:rFonts w:ascii="Palatino Linotype" w:hAnsi="Palatino Linotype" w:cs="Calibri"/>
          <w:sz w:val="22"/>
          <w:szCs w:val="22"/>
        </w:rPr>
        <w:t>Sebastián</w:t>
      </w:r>
      <w:proofErr w:type="spellEnd"/>
      <w:r w:rsidRPr="003F05C9">
        <w:rPr>
          <w:rFonts w:ascii="Palatino Linotype" w:hAnsi="Palatino Linotype" w:cs="Calibri"/>
          <w:sz w:val="22"/>
          <w:szCs w:val="22"/>
        </w:rPr>
        <w:t>, propietario del predio N</w:t>
      </w:r>
      <w:r w:rsidR="00485CE5">
        <w:rPr>
          <w:rFonts w:ascii="Palatino Linotype" w:hAnsi="Palatino Linotype" w:cs="Calibri"/>
          <w:sz w:val="22"/>
          <w:szCs w:val="22"/>
        </w:rPr>
        <w:t>r</w:t>
      </w:r>
      <w:r w:rsidRPr="003F05C9">
        <w:rPr>
          <w:rFonts w:ascii="Palatino Linotype" w:hAnsi="Palatino Linotype" w:cs="Calibri"/>
          <w:sz w:val="22"/>
          <w:szCs w:val="22"/>
        </w:rPr>
        <w:t xml:space="preserve">o. 5782698 solicita: </w:t>
      </w:r>
      <w:r w:rsidRPr="003F05C9">
        <w:rPr>
          <w:rFonts w:ascii="Palatino Linotype" w:hAnsi="Palatino Linotype" w:cs="Calibri"/>
          <w:i/>
          <w:sz w:val="22"/>
          <w:szCs w:val="22"/>
        </w:rPr>
        <w:t xml:space="preserve">“ </w:t>
      </w:r>
      <w:r w:rsidRPr="003F05C9">
        <w:rPr>
          <w:rFonts w:ascii="Palatino Linotype" w:hAnsi="Palatino Linotype"/>
          <w:i/>
          <w:sz w:val="22"/>
          <w:szCs w:val="22"/>
        </w:rPr>
        <w:t xml:space="preserve">(...) se digne poner en </w:t>
      </w:r>
      <w:proofErr w:type="spellStart"/>
      <w:r w:rsidRPr="003F05C9">
        <w:rPr>
          <w:rFonts w:ascii="Palatino Linotype" w:hAnsi="Palatino Linotype"/>
          <w:i/>
          <w:sz w:val="22"/>
          <w:szCs w:val="22"/>
        </w:rPr>
        <w:t>consideración</w:t>
      </w:r>
      <w:proofErr w:type="spellEnd"/>
      <w:r w:rsidRPr="003F05C9">
        <w:rPr>
          <w:rFonts w:ascii="Palatino Linotype" w:hAnsi="Palatino Linotype"/>
          <w:i/>
          <w:sz w:val="22"/>
          <w:szCs w:val="22"/>
        </w:rPr>
        <w:t xml:space="preserve"> de Concejo Metropolitano una reforma o derogatoria a la </w:t>
      </w:r>
      <w:proofErr w:type="spellStart"/>
      <w:r w:rsidRPr="003F05C9">
        <w:rPr>
          <w:rFonts w:ascii="Palatino Linotype" w:hAnsi="Palatino Linotype"/>
          <w:i/>
          <w:sz w:val="22"/>
          <w:szCs w:val="22"/>
        </w:rPr>
        <w:t>Resolución</w:t>
      </w:r>
      <w:proofErr w:type="spellEnd"/>
      <w:r w:rsidRPr="003F05C9">
        <w:rPr>
          <w:rFonts w:ascii="Palatino Linotype" w:hAnsi="Palatino Linotype"/>
          <w:i/>
          <w:sz w:val="22"/>
          <w:szCs w:val="22"/>
        </w:rPr>
        <w:t xml:space="preserve"> de </w:t>
      </w:r>
      <w:proofErr w:type="spellStart"/>
      <w:r w:rsidRPr="003F05C9">
        <w:rPr>
          <w:rFonts w:ascii="Palatino Linotype" w:hAnsi="Palatino Linotype"/>
          <w:i/>
          <w:sz w:val="22"/>
          <w:szCs w:val="22"/>
        </w:rPr>
        <w:t>Asignación</w:t>
      </w:r>
      <w:proofErr w:type="spellEnd"/>
      <w:r w:rsidRPr="003F05C9">
        <w:rPr>
          <w:rFonts w:ascii="Palatino Linotype" w:hAnsi="Palatino Linotype"/>
          <w:i/>
          <w:sz w:val="22"/>
          <w:szCs w:val="22"/>
        </w:rPr>
        <w:t xml:space="preserve"> de datos de </w:t>
      </w:r>
      <w:proofErr w:type="spellStart"/>
      <w:r w:rsidRPr="003F05C9">
        <w:rPr>
          <w:rFonts w:ascii="Palatino Linotype" w:hAnsi="Palatino Linotype"/>
          <w:i/>
          <w:sz w:val="22"/>
          <w:szCs w:val="22"/>
        </w:rPr>
        <w:t>zonificación</w:t>
      </w:r>
      <w:proofErr w:type="spellEnd"/>
      <w:r w:rsidRPr="003F05C9">
        <w:rPr>
          <w:rFonts w:ascii="Palatino Linotype" w:hAnsi="Palatino Linotype"/>
          <w:i/>
          <w:sz w:val="22"/>
          <w:szCs w:val="22"/>
        </w:rPr>
        <w:t xml:space="preserve"> a </w:t>
      </w:r>
      <w:proofErr w:type="spellStart"/>
      <w:r w:rsidRPr="003F05C9">
        <w:rPr>
          <w:rFonts w:ascii="Palatino Linotype" w:hAnsi="Palatino Linotype"/>
          <w:i/>
          <w:sz w:val="22"/>
          <w:szCs w:val="22"/>
        </w:rPr>
        <w:t>través</w:t>
      </w:r>
      <w:proofErr w:type="spellEnd"/>
      <w:r w:rsidRPr="003F05C9">
        <w:rPr>
          <w:rFonts w:ascii="Palatino Linotype" w:hAnsi="Palatino Linotype"/>
          <w:i/>
          <w:sz w:val="22"/>
          <w:szCs w:val="22"/>
        </w:rPr>
        <w:t xml:space="preserve"> de una nueva propuesta que permita la </w:t>
      </w:r>
      <w:proofErr w:type="spellStart"/>
      <w:r w:rsidRPr="003F05C9">
        <w:rPr>
          <w:rFonts w:ascii="Palatino Linotype" w:hAnsi="Palatino Linotype"/>
          <w:i/>
          <w:sz w:val="22"/>
          <w:szCs w:val="22"/>
        </w:rPr>
        <w:t>aplicación</w:t>
      </w:r>
      <w:proofErr w:type="spellEnd"/>
      <w:r w:rsidRPr="003F05C9">
        <w:rPr>
          <w:rFonts w:ascii="Palatino Linotype" w:hAnsi="Palatino Linotype"/>
          <w:i/>
          <w:sz w:val="22"/>
          <w:szCs w:val="22"/>
        </w:rPr>
        <w:t xml:space="preserve"> de las resoluciones de </w:t>
      </w:r>
      <w:proofErr w:type="spellStart"/>
      <w:r w:rsidRPr="003F05C9">
        <w:rPr>
          <w:rFonts w:ascii="Palatino Linotype" w:hAnsi="Palatino Linotype"/>
          <w:i/>
          <w:sz w:val="22"/>
          <w:szCs w:val="22"/>
        </w:rPr>
        <w:t>aplicación</w:t>
      </w:r>
      <w:proofErr w:type="spellEnd"/>
      <w:r w:rsidRPr="003F05C9">
        <w:rPr>
          <w:rFonts w:ascii="Palatino Linotype" w:hAnsi="Palatino Linotype"/>
          <w:i/>
          <w:sz w:val="22"/>
          <w:szCs w:val="22"/>
        </w:rPr>
        <w:t xml:space="preserve"> de datos de </w:t>
      </w:r>
      <w:proofErr w:type="spellStart"/>
      <w:r w:rsidRPr="003F05C9">
        <w:rPr>
          <w:rFonts w:ascii="Palatino Linotype" w:hAnsi="Palatino Linotype"/>
          <w:i/>
          <w:sz w:val="22"/>
          <w:szCs w:val="22"/>
        </w:rPr>
        <w:t>zonificación</w:t>
      </w:r>
      <w:proofErr w:type="spellEnd"/>
      <w:r w:rsidRPr="003F05C9">
        <w:rPr>
          <w:rFonts w:ascii="Palatino Linotype" w:hAnsi="Palatino Linotype"/>
          <w:i/>
          <w:sz w:val="22"/>
          <w:szCs w:val="22"/>
        </w:rPr>
        <w:t xml:space="preserve"> vigentes con la finalidad de generar una </w:t>
      </w:r>
      <w:proofErr w:type="spellStart"/>
      <w:r w:rsidRPr="003F05C9">
        <w:rPr>
          <w:rFonts w:ascii="Palatino Linotype" w:hAnsi="Palatino Linotype"/>
          <w:i/>
          <w:sz w:val="22"/>
          <w:szCs w:val="22"/>
        </w:rPr>
        <w:t>lógica</w:t>
      </w:r>
      <w:proofErr w:type="spellEnd"/>
      <w:r w:rsidRPr="003F05C9">
        <w:rPr>
          <w:rFonts w:ascii="Palatino Linotype" w:hAnsi="Palatino Linotype"/>
          <w:i/>
          <w:sz w:val="22"/>
          <w:szCs w:val="22"/>
        </w:rPr>
        <w:t xml:space="preserve"> de determinantes </w:t>
      </w:r>
      <w:proofErr w:type="spellStart"/>
      <w:r w:rsidRPr="003F05C9">
        <w:rPr>
          <w:rFonts w:ascii="Palatino Linotype" w:hAnsi="Palatino Linotype"/>
          <w:i/>
          <w:sz w:val="22"/>
          <w:szCs w:val="22"/>
        </w:rPr>
        <w:t>urbanísticos</w:t>
      </w:r>
      <w:proofErr w:type="spellEnd"/>
      <w:r w:rsidRPr="003F05C9">
        <w:rPr>
          <w:rFonts w:ascii="Palatino Linotype" w:hAnsi="Palatino Linotype"/>
          <w:i/>
          <w:sz w:val="22"/>
          <w:szCs w:val="22"/>
        </w:rPr>
        <w:t xml:space="preserve"> que </w:t>
      </w:r>
      <w:proofErr w:type="spellStart"/>
      <w:r w:rsidRPr="003F05C9">
        <w:rPr>
          <w:rFonts w:ascii="Palatino Linotype" w:hAnsi="Palatino Linotype"/>
          <w:i/>
          <w:sz w:val="22"/>
          <w:szCs w:val="22"/>
        </w:rPr>
        <w:t>estén</w:t>
      </w:r>
      <w:proofErr w:type="spellEnd"/>
      <w:r w:rsidRPr="003F05C9">
        <w:rPr>
          <w:rFonts w:ascii="Palatino Linotype" w:hAnsi="Palatino Linotype"/>
          <w:i/>
          <w:sz w:val="22"/>
          <w:szCs w:val="22"/>
        </w:rPr>
        <w:t xml:space="preserve"> en </w:t>
      </w:r>
      <w:proofErr w:type="spellStart"/>
      <w:r w:rsidRPr="003F05C9">
        <w:rPr>
          <w:rFonts w:ascii="Palatino Linotype" w:hAnsi="Palatino Linotype"/>
          <w:i/>
          <w:sz w:val="22"/>
          <w:szCs w:val="22"/>
        </w:rPr>
        <w:t>relación</w:t>
      </w:r>
      <w:proofErr w:type="spellEnd"/>
      <w:r w:rsidRPr="003F05C9">
        <w:rPr>
          <w:rFonts w:ascii="Palatino Linotype" w:hAnsi="Palatino Linotype"/>
          <w:i/>
          <w:sz w:val="22"/>
          <w:szCs w:val="22"/>
        </w:rPr>
        <w:t xml:space="preserve"> con la realidad rural del entorno y que permita inmediatamente hacer un fraccionamiento rural que incorpore nuevos macro lotes </w:t>
      </w:r>
      <w:proofErr w:type="spellStart"/>
      <w:r w:rsidRPr="003F05C9">
        <w:rPr>
          <w:rFonts w:ascii="Palatino Linotype" w:hAnsi="Palatino Linotype"/>
          <w:i/>
          <w:sz w:val="22"/>
          <w:szCs w:val="22"/>
        </w:rPr>
        <w:t>agrícolas</w:t>
      </w:r>
      <w:proofErr w:type="spellEnd"/>
      <w:r w:rsidRPr="003F05C9">
        <w:rPr>
          <w:rFonts w:ascii="Palatino Linotype" w:hAnsi="Palatino Linotype"/>
          <w:i/>
          <w:sz w:val="22"/>
          <w:szCs w:val="22"/>
        </w:rPr>
        <w:t xml:space="preserve"> a la trama del sector (...) Solicitamos </w:t>
      </w:r>
      <w:proofErr w:type="spellStart"/>
      <w:r w:rsidRPr="003F05C9">
        <w:rPr>
          <w:rFonts w:ascii="Palatino Linotype" w:hAnsi="Palatino Linotype"/>
          <w:i/>
          <w:sz w:val="22"/>
          <w:szCs w:val="22"/>
        </w:rPr>
        <w:t>también</w:t>
      </w:r>
      <w:proofErr w:type="spellEnd"/>
      <w:r w:rsidRPr="003F05C9">
        <w:rPr>
          <w:rFonts w:ascii="Palatino Linotype" w:hAnsi="Palatino Linotype"/>
          <w:i/>
          <w:sz w:val="22"/>
          <w:szCs w:val="22"/>
        </w:rPr>
        <w:t xml:space="preserve"> a Usted se digne considerar el predio motivo de la presente solicitud dentro de la propuesta del Plan de Uso y </w:t>
      </w:r>
      <w:proofErr w:type="spellStart"/>
      <w:r w:rsidRPr="003F05C9">
        <w:rPr>
          <w:rFonts w:ascii="Palatino Linotype" w:hAnsi="Palatino Linotype"/>
          <w:i/>
          <w:sz w:val="22"/>
          <w:szCs w:val="22"/>
        </w:rPr>
        <w:t>Gestión</w:t>
      </w:r>
      <w:proofErr w:type="spellEnd"/>
      <w:r w:rsidRPr="003F05C9">
        <w:rPr>
          <w:rFonts w:ascii="Palatino Linotype" w:hAnsi="Palatino Linotype"/>
          <w:i/>
          <w:sz w:val="22"/>
          <w:szCs w:val="22"/>
        </w:rPr>
        <w:t xml:space="preserve"> de Suelo a fin de que sea evaluado como futuro suelo de </w:t>
      </w:r>
      <w:proofErr w:type="spellStart"/>
      <w:r w:rsidRPr="003F05C9">
        <w:rPr>
          <w:rFonts w:ascii="Palatino Linotype" w:hAnsi="Palatino Linotype"/>
          <w:i/>
          <w:sz w:val="22"/>
          <w:szCs w:val="22"/>
        </w:rPr>
        <w:t>expansión</w:t>
      </w:r>
      <w:proofErr w:type="spellEnd"/>
      <w:r w:rsidRPr="003F05C9">
        <w:rPr>
          <w:rFonts w:ascii="Palatino Linotype" w:hAnsi="Palatino Linotype"/>
          <w:i/>
          <w:sz w:val="22"/>
          <w:szCs w:val="22"/>
        </w:rPr>
        <w:t xml:space="preserve"> urbana y poder desarrollar una propuesta urbana coherente y que implique un desarrollo sostenido del DMQ.” </w:t>
      </w:r>
    </w:p>
    <w:p w14:paraId="23A54B78" w14:textId="612B5893" w:rsidR="00EA6CE8" w:rsidRDefault="00EA6CE8" w:rsidP="00EA6CE8">
      <w:pPr>
        <w:pStyle w:val="NormalWeb"/>
        <w:jc w:val="both"/>
        <w:rPr>
          <w:rFonts w:ascii="Calibri,Italic" w:hAnsi="Calibri,Italic"/>
          <w:sz w:val="22"/>
          <w:szCs w:val="22"/>
        </w:rPr>
      </w:pPr>
    </w:p>
    <w:p w14:paraId="56F1DFC2" w14:textId="182205F2" w:rsidR="003F05C9" w:rsidRDefault="003F05C9" w:rsidP="00EA6CE8">
      <w:pPr>
        <w:pStyle w:val="NormalWeb"/>
        <w:jc w:val="both"/>
        <w:rPr>
          <w:rFonts w:ascii="Calibri,Italic" w:hAnsi="Calibri,Italic"/>
          <w:sz w:val="22"/>
          <w:szCs w:val="22"/>
        </w:rPr>
      </w:pPr>
    </w:p>
    <w:p w14:paraId="6C4AE10A" w14:textId="77777777" w:rsidR="003F05C9" w:rsidRDefault="003F05C9" w:rsidP="00EA6CE8">
      <w:pPr>
        <w:pStyle w:val="NormalWeb"/>
        <w:jc w:val="both"/>
        <w:rPr>
          <w:rFonts w:ascii="Calibri,Italic" w:hAnsi="Calibri,Italic"/>
          <w:sz w:val="22"/>
          <w:szCs w:val="22"/>
        </w:rPr>
      </w:pPr>
    </w:p>
    <w:p w14:paraId="3ECE7757" w14:textId="7A0F79AA" w:rsidR="00EA6CE8" w:rsidRDefault="00EA6CE8" w:rsidP="00EA6CE8">
      <w:pPr>
        <w:pBdr>
          <w:top w:val="nil"/>
          <w:left w:val="nil"/>
          <w:bottom w:val="nil"/>
          <w:right w:val="nil"/>
          <w:between w:val="nil"/>
        </w:pBdr>
        <w:jc w:val="center"/>
        <w:rPr>
          <w:rFonts w:ascii="Palatino Linotype" w:eastAsia="Palatino Linotype" w:hAnsi="Palatino Linotype"/>
          <w:b/>
          <w:color w:val="000000"/>
          <w:sz w:val="22"/>
          <w:szCs w:val="22"/>
        </w:rPr>
      </w:pPr>
      <w:r w:rsidRPr="0033693E">
        <w:rPr>
          <w:rFonts w:ascii="Palatino Linotype" w:eastAsia="Palatino Linotype" w:hAnsi="Palatino Linotype"/>
          <w:b/>
          <w:color w:val="000000"/>
          <w:sz w:val="22"/>
          <w:szCs w:val="22"/>
        </w:rPr>
        <w:t>CONSIDERANDOS</w:t>
      </w:r>
    </w:p>
    <w:p w14:paraId="3EBB7747" w14:textId="77777777" w:rsidR="00EA6CE8" w:rsidRPr="0033693E" w:rsidRDefault="00EA6CE8" w:rsidP="00EA6CE8">
      <w:pPr>
        <w:pBdr>
          <w:top w:val="nil"/>
          <w:left w:val="nil"/>
          <w:bottom w:val="nil"/>
          <w:right w:val="nil"/>
          <w:between w:val="nil"/>
        </w:pBdr>
        <w:jc w:val="center"/>
        <w:rPr>
          <w:rFonts w:ascii="Palatino Linotype" w:eastAsia="Palatino Linotype" w:hAnsi="Palatino Linotype" w:cs="Times New Roman"/>
          <w:b/>
          <w:color w:val="000000"/>
          <w:sz w:val="22"/>
          <w:szCs w:val="22"/>
        </w:rPr>
      </w:pPr>
    </w:p>
    <w:p w14:paraId="7ECB9B32" w14:textId="3E717A19"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color w:val="222222"/>
          <w:sz w:val="22"/>
          <w:szCs w:val="22"/>
          <w:highlight w:val="white"/>
        </w:rPr>
      </w:pPr>
      <w:r w:rsidRPr="0033693E">
        <w:rPr>
          <w:rFonts w:ascii="Palatino Linotype" w:eastAsia="Palatino Linotype" w:hAnsi="Palatino Linotype" w:cs="Times New Roman"/>
          <w:b/>
          <w:color w:val="222222"/>
          <w:sz w:val="22"/>
          <w:szCs w:val="22"/>
          <w:highlight w:val="white"/>
        </w:rPr>
        <w:t>Que,</w:t>
      </w:r>
      <w:r w:rsidRPr="0033693E">
        <w:rPr>
          <w:rFonts w:ascii="Palatino Linotype" w:eastAsia="Palatino Linotype" w:hAnsi="Palatino Linotype" w:cs="Times New Roman"/>
          <w:color w:val="222222"/>
          <w:sz w:val="22"/>
          <w:szCs w:val="22"/>
          <w:highlight w:val="white"/>
        </w:rPr>
        <w:t xml:space="preserve"> el artículo 240 de la Constitución de la República </w:t>
      </w:r>
      <w:r>
        <w:rPr>
          <w:rFonts w:ascii="Palatino Linotype" w:eastAsia="Palatino Linotype" w:hAnsi="Palatino Linotype" w:cs="Times New Roman"/>
          <w:color w:val="222222"/>
          <w:sz w:val="22"/>
          <w:szCs w:val="22"/>
          <w:highlight w:val="white"/>
        </w:rPr>
        <w:t xml:space="preserve">del Ecuador, en adelante “Constitución”, </w:t>
      </w:r>
      <w:r w:rsidRPr="0033693E">
        <w:rPr>
          <w:rFonts w:ascii="Palatino Linotype" w:eastAsia="Palatino Linotype" w:hAnsi="Palatino Linotype" w:cs="Times New Roman"/>
          <w:color w:val="222222"/>
          <w:sz w:val="22"/>
          <w:szCs w:val="22"/>
          <w:highlight w:val="white"/>
        </w:rPr>
        <w:t xml:space="preserve">menciona que: </w:t>
      </w:r>
      <w:r w:rsidRPr="0033693E">
        <w:rPr>
          <w:rFonts w:ascii="Palatino Linotype" w:eastAsia="Palatino Linotype" w:hAnsi="Palatino Linotype" w:cs="Times New Roman"/>
          <w:i/>
          <w:color w:val="222222"/>
          <w:sz w:val="22"/>
          <w:szCs w:val="22"/>
          <w:highlight w:val="white"/>
        </w:rPr>
        <w:t>“los gobiernos autónomos descentralizados de las regiones, distritos metropolitanos, provincias y cantones tendrán facultades legislativas en el ámbito de sus competencias y jurisdicciones territoriales”;</w:t>
      </w:r>
      <w:r w:rsidRPr="0033693E">
        <w:rPr>
          <w:rFonts w:ascii="Palatino Linotype" w:eastAsia="Palatino Linotype" w:hAnsi="Palatino Linotype" w:cs="Times New Roman"/>
          <w:color w:val="222222"/>
          <w:sz w:val="22"/>
          <w:szCs w:val="22"/>
          <w:highlight w:val="white"/>
        </w:rPr>
        <w:t> </w:t>
      </w:r>
    </w:p>
    <w:p w14:paraId="640DD5D5"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i/>
          <w:color w:val="222222"/>
          <w:sz w:val="22"/>
          <w:szCs w:val="22"/>
          <w:highlight w:val="white"/>
        </w:rPr>
      </w:pPr>
    </w:p>
    <w:p w14:paraId="01D13236"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i/>
          <w:color w:val="000000"/>
          <w:sz w:val="22"/>
          <w:szCs w:val="22"/>
        </w:rPr>
      </w:pPr>
      <w:r w:rsidRPr="0033693E">
        <w:rPr>
          <w:rFonts w:ascii="Palatino Linotype" w:eastAsia="Palatino Linotype" w:hAnsi="Palatino Linotype" w:cs="Times New Roman"/>
          <w:b/>
          <w:color w:val="000000"/>
          <w:sz w:val="22"/>
          <w:szCs w:val="22"/>
        </w:rPr>
        <w:t>Que,</w:t>
      </w:r>
      <w:r w:rsidRPr="0033693E">
        <w:rPr>
          <w:rFonts w:ascii="Palatino Linotype" w:eastAsia="Palatino Linotype" w:hAnsi="Palatino Linotype" w:cs="Times New Roman"/>
          <w:color w:val="000000"/>
          <w:sz w:val="22"/>
          <w:szCs w:val="22"/>
        </w:rPr>
        <w:t xml:space="preserve"> el </w:t>
      </w:r>
      <w:proofErr w:type="spellStart"/>
      <w:r w:rsidRPr="0033693E">
        <w:rPr>
          <w:rFonts w:ascii="Palatino Linotype" w:eastAsia="Palatino Linotype" w:hAnsi="Palatino Linotype" w:cs="Times New Roman"/>
          <w:color w:val="000000"/>
          <w:sz w:val="22"/>
          <w:szCs w:val="22"/>
        </w:rPr>
        <w:t>artículo</w:t>
      </w:r>
      <w:proofErr w:type="spellEnd"/>
      <w:r w:rsidRPr="0033693E">
        <w:rPr>
          <w:rFonts w:ascii="Palatino Linotype" w:eastAsia="Palatino Linotype" w:hAnsi="Palatino Linotype" w:cs="Times New Roman"/>
          <w:color w:val="000000"/>
          <w:sz w:val="22"/>
          <w:szCs w:val="22"/>
        </w:rPr>
        <w:t xml:space="preserve"> 241 de la </w:t>
      </w:r>
      <w:proofErr w:type="spellStart"/>
      <w:r w:rsidRPr="0033693E">
        <w:rPr>
          <w:rFonts w:ascii="Palatino Linotype" w:eastAsia="Palatino Linotype" w:hAnsi="Palatino Linotype" w:cs="Times New Roman"/>
          <w:color w:val="000000"/>
          <w:sz w:val="22"/>
          <w:szCs w:val="22"/>
        </w:rPr>
        <w:t>Constitución</w:t>
      </w:r>
      <w:proofErr w:type="spellEnd"/>
      <w:r w:rsidRPr="0033693E">
        <w:rPr>
          <w:rFonts w:ascii="Palatino Linotype" w:eastAsia="Palatino Linotype" w:hAnsi="Palatino Linotype" w:cs="Times New Roman"/>
          <w:color w:val="000000"/>
          <w:sz w:val="22"/>
          <w:szCs w:val="22"/>
        </w:rPr>
        <w:t xml:space="preserve"> </w:t>
      </w:r>
      <w:proofErr w:type="spellStart"/>
      <w:r w:rsidRPr="0033693E">
        <w:rPr>
          <w:rFonts w:ascii="Palatino Linotype" w:eastAsia="Palatino Linotype" w:hAnsi="Palatino Linotype" w:cs="Times New Roman"/>
          <w:color w:val="000000"/>
          <w:sz w:val="22"/>
          <w:szCs w:val="22"/>
        </w:rPr>
        <w:t>señala</w:t>
      </w:r>
      <w:proofErr w:type="spellEnd"/>
      <w:r w:rsidRPr="0033693E">
        <w:rPr>
          <w:rFonts w:ascii="Palatino Linotype" w:eastAsia="Palatino Linotype" w:hAnsi="Palatino Linotype" w:cs="Times New Roman"/>
          <w:color w:val="000000"/>
          <w:sz w:val="22"/>
          <w:szCs w:val="22"/>
        </w:rPr>
        <w:t xml:space="preserve"> que: </w:t>
      </w:r>
      <w:r w:rsidRPr="0033693E">
        <w:rPr>
          <w:rFonts w:ascii="Palatino Linotype" w:eastAsia="Palatino Linotype" w:hAnsi="Palatino Linotype" w:cs="Times New Roman"/>
          <w:i/>
          <w:color w:val="000000"/>
          <w:sz w:val="22"/>
          <w:szCs w:val="22"/>
        </w:rPr>
        <w:t xml:space="preserve">"La </w:t>
      </w:r>
      <w:proofErr w:type="spellStart"/>
      <w:r w:rsidRPr="0033693E">
        <w:rPr>
          <w:rFonts w:ascii="Palatino Linotype" w:eastAsia="Palatino Linotype" w:hAnsi="Palatino Linotype" w:cs="Times New Roman"/>
          <w:i/>
          <w:color w:val="000000"/>
          <w:sz w:val="22"/>
          <w:szCs w:val="22"/>
        </w:rPr>
        <w:t>planificación</w:t>
      </w:r>
      <w:proofErr w:type="spellEnd"/>
      <w:r w:rsidRPr="0033693E">
        <w:rPr>
          <w:rFonts w:ascii="Palatino Linotype" w:eastAsia="Palatino Linotype" w:hAnsi="Palatino Linotype" w:cs="Times New Roman"/>
          <w:i/>
          <w:color w:val="000000"/>
          <w:sz w:val="22"/>
          <w:szCs w:val="22"/>
        </w:rPr>
        <w:t xml:space="preserve"> garantizará el ordenamiento territorial y </w:t>
      </w:r>
      <w:proofErr w:type="spellStart"/>
      <w:r w:rsidRPr="0033693E">
        <w:rPr>
          <w:rFonts w:ascii="Palatino Linotype" w:eastAsia="Palatino Linotype" w:hAnsi="Palatino Linotype" w:cs="Times New Roman"/>
          <w:i/>
          <w:color w:val="000000"/>
          <w:sz w:val="22"/>
          <w:szCs w:val="22"/>
        </w:rPr>
        <w:t>sera</w:t>
      </w:r>
      <w:proofErr w:type="spellEnd"/>
      <w:r w:rsidRPr="0033693E">
        <w:rPr>
          <w:rFonts w:ascii="Palatino Linotype" w:eastAsia="Palatino Linotype" w:hAnsi="Palatino Linotype" w:cs="Times New Roman"/>
          <w:i/>
          <w:color w:val="000000"/>
          <w:sz w:val="22"/>
          <w:szCs w:val="22"/>
        </w:rPr>
        <w:t xml:space="preserve">́ obligatoria en todos los gobiernos </w:t>
      </w:r>
      <w:proofErr w:type="spellStart"/>
      <w:r w:rsidRPr="0033693E">
        <w:rPr>
          <w:rFonts w:ascii="Palatino Linotype" w:eastAsia="Palatino Linotype" w:hAnsi="Palatino Linotype" w:cs="Times New Roman"/>
          <w:i/>
          <w:color w:val="000000"/>
          <w:sz w:val="22"/>
          <w:szCs w:val="22"/>
        </w:rPr>
        <w:t>autónomos</w:t>
      </w:r>
      <w:proofErr w:type="spellEnd"/>
      <w:r w:rsidRPr="0033693E">
        <w:rPr>
          <w:rFonts w:ascii="Palatino Linotype" w:eastAsia="Palatino Linotype" w:hAnsi="Palatino Linotype" w:cs="Times New Roman"/>
          <w:i/>
          <w:color w:val="000000"/>
          <w:sz w:val="22"/>
          <w:szCs w:val="22"/>
        </w:rPr>
        <w:t xml:space="preserve"> descentralizados"; </w:t>
      </w:r>
    </w:p>
    <w:p w14:paraId="517FEF53"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340D155A"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i/>
          <w:color w:val="000000"/>
          <w:sz w:val="22"/>
          <w:szCs w:val="22"/>
        </w:rPr>
      </w:pPr>
      <w:r w:rsidRPr="0033693E">
        <w:rPr>
          <w:rFonts w:ascii="Palatino Linotype" w:eastAsia="Palatino Linotype" w:hAnsi="Palatino Linotype" w:cs="Times New Roman"/>
          <w:b/>
          <w:color w:val="000000"/>
          <w:sz w:val="22"/>
          <w:szCs w:val="22"/>
        </w:rPr>
        <w:t>Que,</w:t>
      </w:r>
      <w:r w:rsidRPr="0033693E">
        <w:rPr>
          <w:rFonts w:ascii="Palatino Linotype" w:eastAsia="Palatino Linotype" w:hAnsi="Palatino Linotype" w:cs="Times New Roman"/>
          <w:color w:val="000000"/>
          <w:sz w:val="22"/>
          <w:szCs w:val="22"/>
        </w:rPr>
        <w:t xml:space="preserve"> los numerales 1 y 2 del </w:t>
      </w:r>
      <w:proofErr w:type="spellStart"/>
      <w:r w:rsidRPr="0033693E">
        <w:rPr>
          <w:rFonts w:ascii="Palatino Linotype" w:eastAsia="Palatino Linotype" w:hAnsi="Palatino Linotype" w:cs="Times New Roman"/>
          <w:color w:val="000000"/>
          <w:sz w:val="22"/>
          <w:szCs w:val="22"/>
        </w:rPr>
        <w:t>artículo</w:t>
      </w:r>
      <w:proofErr w:type="spellEnd"/>
      <w:r w:rsidRPr="0033693E">
        <w:rPr>
          <w:rFonts w:ascii="Palatino Linotype" w:eastAsia="Palatino Linotype" w:hAnsi="Palatino Linotype" w:cs="Times New Roman"/>
          <w:color w:val="000000"/>
          <w:sz w:val="22"/>
          <w:szCs w:val="22"/>
        </w:rPr>
        <w:t xml:space="preserve"> 264 de la </w:t>
      </w:r>
      <w:proofErr w:type="spellStart"/>
      <w:r w:rsidRPr="0033693E">
        <w:rPr>
          <w:rFonts w:ascii="Palatino Linotype" w:eastAsia="Palatino Linotype" w:hAnsi="Palatino Linotype" w:cs="Times New Roman"/>
          <w:color w:val="000000"/>
          <w:sz w:val="22"/>
          <w:szCs w:val="22"/>
        </w:rPr>
        <w:t>Constitución</w:t>
      </w:r>
      <w:proofErr w:type="spellEnd"/>
      <w:r w:rsidRPr="0033693E">
        <w:rPr>
          <w:rFonts w:ascii="Palatino Linotype" w:eastAsia="Palatino Linotype" w:hAnsi="Palatino Linotype" w:cs="Times New Roman"/>
          <w:color w:val="000000"/>
          <w:sz w:val="22"/>
          <w:szCs w:val="22"/>
        </w:rPr>
        <w:t xml:space="preserve"> </w:t>
      </w:r>
      <w:proofErr w:type="spellStart"/>
      <w:r w:rsidRPr="0033693E">
        <w:rPr>
          <w:rFonts w:ascii="Palatino Linotype" w:eastAsia="Palatino Linotype" w:hAnsi="Palatino Linotype" w:cs="Times New Roman"/>
          <w:color w:val="000000"/>
          <w:sz w:val="22"/>
          <w:szCs w:val="22"/>
        </w:rPr>
        <w:t>señalan</w:t>
      </w:r>
      <w:proofErr w:type="spellEnd"/>
      <w:r w:rsidRPr="0033693E">
        <w:rPr>
          <w:rFonts w:ascii="Palatino Linotype" w:eastAsia="Palatino Linotype" w:hAnsi="Palatino Linotype" w:cs="Times New Roman"/>
          <w:color w:val="000000"/>
          <w:sz w:val="22"/>
          <w:szCs w:val="22"/>
        </w:rPr>
        <w:t xml:space="preserve"> como competencias exclusivas de los gobiernos municipales las siguientes: "</w:t>
      </w:r>
      <w:r w:rsidRPr="0033693E">
        <w:rPr>
          <w:rFonts w:ascii="Palatino Linotype" w:eastAsia="Palatino Linotype" w:hAnsi="Palatino Linotype" w:cs="Times New Roman"/>
          <w:i/>
          <w:color w:val="000000"/>
          <w:sz w:val="22"/>
          <w:szCs w:val="22"/>
        </w:rPr>
        <w:t>1</w:t>
      </w:r>
      <w:r w:rsidRPr="0033693E">
        <w:rPr>
          <w:rFonts w:ascii="Palatino Linotype" w:eastAsia="Palatino Linotype" w:hAnsi="Palatino Linotype" w:cs="Times New Roman"/>
          <w:color w:val="000000"/>
          <w:sz w:val="22"/>
          <w:szCs w:val="22"/>
        </w:rPr>
        <w:t xml:space="preserve">. </w:t>
      </w:r>
      <w:r w:rsidRPr="0033693E">
        <w:rPr>
          <w:rFonts w:ascii="Palatino Linotype" w:eastAsia="Palatino Linotype" w:hAnsi="Palatino Linotype" w:cs="Times New Roman"/>
          <w:i/>
          <w:color w:val="000000"/>
          <w:sz w:val="22"/>
          <w:szCs w:val="22"/>
        </w:rPr>
        <w:t xml:space="preserve">Planificar el desarrollo cantonal y formular los correspondientes planes de ordenamiento territorial, de manera articulada con la </w:t>
      </w:r>
      <w:proofErr w:type="spellStart"/>
      <w:r w:rsidRPr="0033693E">
        <w:rPr>
          <w:rFonts w:ascii="Palatino Linotype" w:eastAsia="Palatino Linotype" w:hAnsi="Palatino Linotype" w:cs="Times New Roman"/>
          <w:i/>
          <w:color w:val="000000"/>
          <w:sz w:val="22"/>
          <w:szCs w:val="22"/>
        </w:rPr>
        <w:t>planificación</w:t>
      </w:r>
      <w:proofErr w:type="spellEnd"/>
      <w:r w:rsidRPr="0033693E">
        <w:rPr>
          <w:rFonts w:ascii="Palatino Linotype" w:eastAsia="Palatino Linotype" w:hAnsi="Palatino Linotype" w:cs="Times New Roman"/>
          <w:i/>
          <w:color w:val="000000"/>
          <w:sz w:val="22"/>
          <w:szCs w:val="22"/>
        </w:rPr>
        <w:t xml:space="preserve"> nacional, regional, provincial y parroquial, con el fin de regular el uso y la </w:t>
      </w:r>
      <w:proofErr w:type="spellStart"/>
      <w:r w:rsidRPr="0033693E">
        <w:rPr>
          <w:rFonts w:ascii="Palatino Linotype" w:eastAsia="Palatino Linotype" w:hAnsi="Palatino Linotype" w:cs="Times New Roman"/>
          <w:i/>
          <w:color w:val="000000"/>
          <w:sz w:val="22"/>
          <w:szCs w:val="22"/>
        </w:rPr>
        <w:t>ocupación</w:t>
      </w:r>
      <w:proofErr w:type="spellEnd"/>
      <w:r w:rsidRPr="0033693E">
        <w:rPr>
          <w:rFonts w:ascii="Palatino Linotype" w:eastAsia="Palatino Linotype" w:hAnsi="Palatino Linotype" w:cs="Times New Roman"/>
          <w:i/>
          <w:color w:val="000000"/>
          <w:sz w:val="22"/>
          <w:szCs w:val="22"/>
        </w:rPr>
        <w:t xml:space="preserve"> del suelo urbano y rural; 2. Ejercer el control sobre el uso y </w:t>
      </w:r>
      <w:proofErr w:type="spellStart"/>
      <w:r w:rsidRPr="0033693E">
        <w:rPr>
          <w:rFonts w:ascii="Palatino Linotype" w:eastAsia="Palatino Linotype" w:hAnsi="Palatino Linotype" w:cs="Times New Roman"/>
          <w:i/>
          <w:color w:val="000000"/>
          <w:sz w:val="22"/>
          <w:szCs w:val="22"/>
        </w:rPr>
        <w:t>ocupación</w:t>
      </w:r>
      <w:proofErr w:type="spellEnd"/>
      <w:r w:rsidRPr="0033693E">
        <w:rPr>
          <w:rFonts w:ascii="Palatino Linotype" w:eastAsia="Palatino Linotype" w:hAnsi="Palatino Linotype" w:cs="Times New Roman"/>
          <w:i/>
          <w:color w:val="000000"/>
          <w:sz w:val="22"/>
          <w:szCs w:val="22"/>
        </w:rPr>
        <w:t xml:space="preserve"> del suelo en el </w:t>
      </w:r>
      <w:proofErr w:type="spellStart"/>
      <w:r w:rsidRPr="0033693E">
        <w:rPr>
          <w:rFonts w:ascii="Palatino Linotype" w:eastAsia="Palatino Linotype" w:hAnsi="Palatino Linotype" w:cs="Times New Roman"/>
          <w:i/>
          <w:color w:val="000000"/>
          <w:sz w:val="22"/>
          <w:szCs w:val="22"/>
        </w:rPr>
        <w:t>cantón</w:t>
      </w:r>
      <w:proofErr w:type="spellEnd"/>
      <w:r w:rsidRPr="0033693E">
        <w:rPr>
          <w:rFonts w:ascii="Palatino Linotype" w:eastAsia="Palatino Linotype" w:hAnsi="Palatino Linotype" w:cs="Times New Roman"/>
          <w:i/>
          <w:color w:val="000000"/>
          <w:sz w:val="22"/>
          <w:szCs w:val="22"/>
        </w:rPr>
        <w:t xml:space="preserve">"; </w:t>
      </w:r>
    </w:p>
    <w:p w14:paraId="74F8F223"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0D6E1DC2"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r w:rsidRPr="0033693E">
        <w:rPr>
          <w:rFonts w:ascii="Palatino Linotype" w:eastAsia="Palatino Linotype" w:hAnsi="Palatino Linotype" w:cs="Times New Roman"/>
          <w:b/>
          <w:color w:val="000000"/>
          <w:sz w:val="22"/>
          <w:szCs w:val="22"/>
        </w:rPr>
        <w:t>Que,</w:t>
      </w:r>
      <w:r w:rsidRPr="0033693E">
        <w:rPr>
          <w:rFonts w:ascii="Palatino Linotype" w:eastAsia="Palatino Linotype" w:hAnsi="Palatino Linotype" w:cs="Times New Roman"/>
          <w:color w:val="000000"/>
          <w:sz w:val="22"/>
          <w:szCs w:val="22"/>
        </w:rPr>
        <w:t xml:space="preserve"> el </w:t>
      </w:r>
      <w:proofErr w:type="spellStart"/>
      <w:r w:rsidRPr="0033693E">
        <w:rPr>
          <w:rFonts w:ascii="Palatino Linotype" w:eastAsia="Palatino Linotype" w:hAnsi="Palatino Linotype" w:cs="Times New Roman"/>
          <w:color w:val="000000"/>
          <w:sz w:val="22"/>
          <w:szCs w:val="22"/>
        </w:rPr>
        <w:t>artículo</w:t>
      </w:r>
      <w:proofErr w:type="spellEnd"/>
      <w:r w:rsidRPr="0033693E">
        <w:rPr>
          <w:rFonts w:ascii="Palatino Linotype" w:eastAsia="Palatino Linotype" w:hAnsi="Palatino Linotype" w:cs="Times New Roman"/>
          <w:color w:val="000000"/>
          <w:sz w:val="22"/>
          <w:szCs w:val="22"/>
        </w:rPr>
        <w:t xml:space="preserve"> 266 de la </w:t>
      </w:r>
      <w:proofErr w:type="spellStart"/>
      <w:r w:rsidRPr="0033693E">
        <w:rPr>
          <w:rFonts w:ascii="Palatino Linotype" w:eastAsia="Palatino Linotype" w:hAnsi="Palatino Linotype" w:cs="Times New Roman"/>
          <w:color w:val="000000"/>
          <w:sz w:val="22"/>
          <w:szCs w:val="22"/>
        </w:rPr>
        <w:t>Constitución</w:t>
      </w:r>
      <w:proofErr w:type="spellEnd"/>
      <w:r w:rsidRPr="0033693E">
        <w:rPr>
          <w:rFonts w:ascii="Palatino Linotype" w:eastAsia="Palatino Linotype" w:hAnsi="Palatino Linotype" w:cs="Times New Roman"/>
          <w:color w:val="000000"/>
          <w:sz w:val="22"/>
          <w:szCs w:val="22"/>
        </w:rPr>
        <w:t xml:space="preserve"> determina: </w:t>
      </w:r>
      <w:r w:rsidRPr="0033693E">
        <w:rPr>
          <w:rFonts w:ascii="Palatino Linotype" w:eastAsia="Palatino Linotype" w:hAnsi="Palatino Linotype" w:cs="Times New Roman"/>
          <w:i/>
          <w:color w:val="000000"/>
          <w:sz w:val="22"/>
          <w:szCs w:val="22"/>
        </w:rPr>
        <w:t xml:space="preserve">"Los gobiernos de los distritos metropolitanos </w:t>
      </w:r>
      <w:proofErr w:type="spellStart"/>
      <w:r w:rsidRPr="0033693E">
        <w:rPr>
          <w:rFonts w:ascii="Palatino Linotype" w:eastAsia="Palatino Linotype" w:hAnsi="Palatino Linotype" w:cs="Times New Roman"/>
          <w:i/>
          <w:color w:val="000000"/>
          <w:sz w:val="22"/>
          <w:szCs w:val="22"/>
        </w:rPr>
        <w:t>autónomos</w:t>
      </w:r>
      <w:proofErr w:type="spellEnd"/>
      <w:r w:rsidRPr="0033693E">
        <w:rPr>
          <w:rFonts w:ascii="Palatino Linotype" w:eastAsia="Palatino Linotype" w:hAnsi="Palatino Linotype" w:cs="Times New Roman"/>
          <w:i/>
          <w:color w:val="000000"/>
          <w:sz w:val="22"/>
          <w:szCs w:val="22"/>
        </w:rPr>
        <w:t xml:space="preserve"> </w:t>
      </w:r>
      <w:proofErr w:type="spellStart"/>
      <w:r w:rsidRPr="0033693E">
        <w:rPr>
          <w:rFonts w:ascii="Palatino Linotype" w:eastAsia="Palatino Linotype" w:hAnsi="Palatino Linotype" w:cs="Times New Roman"/>
          <w:i/>
          <w:color w:val="000000"/>
          <w:sz w:val="22"/>
          <w:szCs w:val="22"/>
        </w:rPr>
        <w:t>ejercerán</w:t>
      </w:r>
      <w:proofErr w:type="spellEnd"/>
      <w:r w:rsidRPr="0033693E">
        <w:rPr>
          <w:rFonts w:ascii="Palatino Linotype" w:eastAsia="Palatino Linotype" w:hAnsi="Palatino Linotype" w:cs="Times New Roman"/>
          <w:i/>
          <w:color w:val="000000"/>
          <w:sz w:val="22"/>
          <w:szCs w:val="22"/>
        </w:rPr>
        <w:t xml:space="preserve"> las competencias que corresponden a los gobiernos cantonales y todas las que sean aplicables a los gobiernos provinciales y regionales, sin perjuicio de las adicionales que determine la ley que regule el sistema nacional de competencias </w:t>
      </w:r>
      <w:r w:rsidRPr="0033693E">
        <w:rPr>
          <w:rFonts w:ascii="Palatino Linotype" w:eastAsia="Palatino Linotype" w:hAnsi="Palatino Linotype" w:cs="Times New Roman"/>
          <w:color w:val="000000"/>
          <w:sz w:val="22"/>
          <w:szCs w:val="22"/>
        </w:rPr>
        <w:t>(...);</w:t>
      </w:r>
    </w:p>
    <w:p w14:paraId="54784476"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7FE3F102" w14:textId="77777777" w:rsidR="005C2009" w:rsidRPr="005C2009" w:rsidRDefault="005C2009" w:rsidP="005C2009">
      <w:pPr>
        <w:jc w:val="both"/>
        <w:rPr>
          <w:rFonts w:ascii="Palatino Linotype" w:eastAsia="Palatino Linotype" w:hAnsi="Palatino Linotype" w:cs="Times New Roman"/>
          <w:color w:val="000000"/>
          <w:sz w:val="22"/>
          <w:szCs w:val="22"/>
        </w:rPr>
      </w:pPr>
      <w:r w:rsidRPr="005C2009">
        <w:rPr>
          <w:rFonts w:ascii="Palatino Linotype" w:eastAsia="Palatino Linotype" w:hAnsi="Palatino Linotype" w:cs="Times New Roman"/>
          <w:b/>
          <w:color w:val="000000"/>
          <w:sz w:val="22"/>
          <w:szCs w:val="22"/>
        </w:rPr>
        <w:t>Que,</w:t>
      </w:r>
      <w:r w:rsidRPr="005C2009">
        <w:rPr>
          <w:rFonts w:ascii="Palatino Linotype" w:eastAsia="Palatino Linotype" w:hAnsi="Palatino Linotype" w:cs="Times New Roman"/>
          <w:color w:val="000000"/>
          <w:sz w:val="22"/>
          <w:szCs w:val="22"/>
        </w:rPr>
        <w:t xml:space="preserve"> el literal b) del artículo 55, en concordancia con el artículo 85 del Código Orgánico de Organización Territorial, Autonomía y Descentralización, en adelante COOTAD, señala como una competencia exclusiva del gobierno autónomo descentralizado municipal la de ejercer el control sobre el uso y ocupación del suelo en el cantón; </w:t>
      </w:r>
    </w:p>
    <w:p w14:paraId="3C5B800D" w14:textId="6C31FA2F" w:rsidR="00EA6CE8"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4A189B3B" w14:textId="77777777" w:rsidR="005C2009" w:rsidRPr="005C2009" w:rsidRDefault="005C2009" w:rsidP="005C2009">
      <w:pPr>
        <w:jc w:val="both"/>
        <w:rPr>
          <w:rFonts w:ascii="Palatino Linotype" w:eastAsia="Palatino Linotype" w:hAnsi="Palatino Linotype" w:cs="Times New Roman"/>
          <w:color w:val="000000"/>
          <w:sz w:val="22"/>
          <w:szCs w:val="22"/>
        </w:rPr>
      </w:pPr>
      <w:r w:rsidRPr="005C2009">
        <w:rPr>
          <w:rFonts w:ascii="Palatino Linotype" w:eastAsia="Palatino Linotype" w:hAnsi="Palatino Linotype" w:cs="Times New Roman"/>
          <w:b/>
          <w:color w:val="000000"/>
          <w:sz w:val="22"/>
          <w:szCs w:val="22"/>
        </w:rPr>
        <w:t>Que,</w:t>
      </w:r>
      <w:r w:rsidRPr="005C2009">
        <w:rPr>
          <w:rFonts w:ascii="Palatino Linotype" w:eastAsia="Palatino Linotype" w:hAnsi="Palatino Linotype" w:cs="Times New Roman"/>
          <w:color w:val="000000"/>
          <w:sz w:val="22"/>
          <w:szCs w:val="22"/>
        </w:rPr>
        <w:t xml:space="preserve"> el literal c) del artículo 84 del COOTAD, entre las funciones del gobierno del distrito autónomo metropolitano, es la de establecer el uso del suelo y urbanístico, para lo cual determinará las condiciones de urbanización, parcelación, lotización, división o cualquier otra forma de fraccionamiento de conformidad con la planificación metropolitana, asegurando porcentajes para zonas verdes y áreas comunales; </w:t>
      </w:r>
    </w:p>
    <w:p w14:paraId="5457DF26" w14:textId="77777777" w:rsidR="005C2009" w:rsidRPr="0033693E" w:rsidRDefault="005C2009"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1D4C5927"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i/>
          <w:color w:val="000000"/>
          <w:sz w:val="22"/>
          <w:szCs w:val="22"/>
        </w:rPr>
      </w:pPr>
      <w:r w:rsidRPr="0033693E">
        <w:rPr>
          <w:rFonts w:ascii="Palatino Linotype" w:eastAsia="Palatino Linotype" w:hAnsi="Palatino Linotype" w:cs="Times New Roman"/>
          <w:b/>
          <w:color w:val="000000"/>
          <w:sz w:val="22"/>
          <w:szCs w:val="22"/>
        </w:rPr>
        <w:t>Que,</w:t>
      </w:r>
      <w:r w:rsidRPr="0033693E">
        <w:rPr>
          <w:rFonts w:ascii="Palatino Linotype" w:eastAsia="Palatino Linotype" w:hAnsi="Palatino Linotype" w:cs="Times New Roman"/>
          <w:color w:val="000000"/>
          <w:sz w:val="22"/>
          <w:szCs w:val="22"/>
        </w:rPr>
        <w:t xml:space="preserve"> el artículo 87 literal a) del COOTAD establece como atribuciones del Concejo Metropolitano: </w:t>
      </w:r>
      <w:r w:rsidRPr="0033693E">
        <w:rPr>
          <w:rFonts w:ascii="Palatino Linotype" w:eastAsia="Palatino Linotype" w:hAnsi="Palatino Linotype" w:cs="Times New Roman"/>
          <w:i/>
          <w:color w:val="000000"/>
          <w:sz w:val="22"/>
          <w:szCs w:val="22"/>
        </w:rPr>
        <w:t xml:space="preserve">"Ejercer la facultad normativa en las materias de competencia del gobierno </w:t>
      </w:r>
      <w:proofErr w:type="spellStart"/>
      <w:r w:rsidRPr="0033693E">
        <w:rPr>
          <w:rFonts w:ascii="Palatino Linotype" w:eastAsia="Palatino Linotype" w:hAnsi="Palatino Linotype" w:cs="Times New Roman"/>
          <w:i/>
          <w:color w:val="000000"/>
          <w:sz w:val="22"/>
          <w:szCs w:val="22"/>
        </w:rPr>
        <w:t>autónomo</w:t>
      </w:r>
      <w:proofErr w:type="spellEnd"/>
      <w:r w:rsidRPr="0033693E">
        <w:rPr>
          <w:rFonts w:ascii="Palatino Linotype" w:eastAsia="Palatino Linotype" w:hAnsi="Palatino Linotype" w:cs="Times New Roman"/>
          <w:i/>
          <w:color w:val="000000"/>
          <w:sz w:val="22"/>
          <w:szCs w:val="22"/>
        </w:rPr>
        <w:t xml:space="preserve"> descentralizado metropolitano, mediante la </w:t>
      </w:r>
      <w:proofErr w:type="spellStart"/>
      <w:r w:rsidRPr="0033693E">
        <w:rPr>
          <w:rFonts w:ascii="Palatino Linotype" w:eastAsia="Palatino Linotype" w:hAnsi="Palatino Linotype" w:cs="Times New Roman"/>
          <w:i/>
          <w:color w:val="000000"/>
          <w:sz w:val="22"/>
          <w:szCs w:val="22"/>
        </w:rPr>
        <w:t>expedición</w:t>
      </w:r>
      <w:proofErr w:type="spellEnd"/>
      <w:r w:rsidRPr="0033693E">
        <w:rPr>
          <w:rFonts w:ascii="Palatino Linotype" w:eastAsia="Palatino Linotype" w:hAnsi="Palatino Linotype" w:cs="Times New Roman"/>
          <w:i/>
          <w:color w:val="000000"/>
          <w:sz w:val="22"/>
          <w:szCs w:val="22"/>
        </w:rPr>
        <w:t xml:space="preserve"> de ordenanzas metropolitanas, acuerdos y resoluciones"; </w:t>
      </w:r>
    </w:p>
    <w:p w14:paraId="1504EC43"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78E87791"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i/>
          <w:color w:val="000000"/>
          <w:sz w:val="22"/>
          <w:szCs w:val="22"/>
        </w:rPr>
      </w:pPr>
      <w:r w:rsidRPr="0033693E">
        <w:rPr>
          <w:rFonts w:ascii="Palatino Linotype" w:eastAsia="Palatino Linotype" w:hAnsi="Palatino Linotype" w:cs="Times New Roman"/>
          <w:b/>
          <w:color w:val="000000"/>
          <w:sz w:val="22"/>
          <w:szCs w:val="22"/>
        </w:rPr>
        <w:t xml:space="preserve">Que, </w:t>
      </w:r>
      <w:r w:rsidRPr="0033693E">
        <w:rPr>
          <w:rFonts w:ascii="Palatino Linotype" w:eastAsia="Palatino Linotype" w:hAnsi="Palatino Linotype" w:cs="Times New Roman"/>
          <w:color w:val="000000"/>
          <w:sz w:val="22"/>
          <w:szCs w:val="22"/>
        </w:rPr>
        <w:t xml:space="preserve">conforme lo establece el </w:t>
      </w:r>
      <w:proofErr w:type="spellStart"/>
      <w:r w:rsidRPr="0033693E">
        <w:rPr>
          <w:rFonts w:ascii="Palatino Linotype" w:eastAsia="Palatino Linotype" w:hAnsi="Palatino Linotype" w:cs="Times New Roman"/>
          <w:color w:val="000000"/>
          <w:sz w:val="22"/>
          <w:szCs w:val="22"/>
        </w:rPr>
        <w:t>artículo</w:t>
      </w:r>
      <w:proofErr w:type="spellEnd"/>
      <w:r w:rsidRPr="0033693E">
        <w:rPr>
          <w:rFonts w:ascii="Palatino Linotype" w:eastAsia="Palatino Linotype" w:hAnsi="Palatino Linotype" w:cs="Times New Roman"/>
          <w:color w:val="000000"/>
          <w:sz w:val="22"/>
          <w:szCs w:val="22"/>
        </w:rPr>
        <w:t xml:space="preserve"> 87, literal v) del COOTAD, al Concejo Metropolitano le corresponde: "...v) </w:t>
      </w:r>
      <w:r w:rsidRPr="0033693E">
        <w:rPr>
          <w:rFonts w:ascii="Palatino Linotype" w:eastAsia="Palatino Linotype" w:hAnsi="Palatino Linotype" w:cs="Times New Roman"/>
          <w:i/>
          <w:color w:val="000000"/>
          <w:sz w:val="22"/>
          <w:szCs w:val="22"/>
        </w:rPr>
        <w:t xml:space="preserve">Regular y controlar el uso del suelo en el territorio del distrito metropolitano, de conformidad con las leyes sobre la materia, y establecer el </w:t>
      </w:r>
      <w:proofErr w:type="spellStart"/>
      <w:r w:rsidRPr="0033693E">
        <w:rPr>
          <w:rFonts w:ascii="Palatino Linotype" w:eastAsia="Palatino Linotype" w:hAnsi="Palatino Linotype" w:cs="Times New Roman"/>
          <w:i/>
          <w:color w:val="000000"/>
          <w:sz w:val="22"/>
          <w:szCs w:val="22"/>
        </w:rPr>
        <w:t>régimen</w:t>
      </w:r>
      <w:proofErr w:type="spellEnd"/>
      <w:r w:rsidRPr="0033693E">
        <w:rPr>
          <w:rFonts w:ascii="Palatino Linotype" w:eastAsia="Palatino Linotype" w:hAnsi="Palatino Linotype" w:cs="Times New Roman"/>
          <w:i/>
          <w:color w:val="000000"/>
          <w:sz w:val="22"/>
          <w:szCs w:val="22"/>
        </w:rPr>
        <w:t xml:space="preserve"> </w:t>
      </w:r>
      <w:proofErr w:type="spellStart"/>
      <w:r w:rsidRPr="0033693E">
        <w:rPr>
          <w:rFonts w:ascii="Palatino Linotype" w:eastAsia="Palatino Linotype" w:hAnsi="Palatino Linotype" w:cs="Times New Roman"/>
          <w:i/>
          <w:color w:val="000000"/>
          <w:sz w:val="22"/>
          <w:szCs w:val="22"/>
        </w:rPr>
        <w:t>urbanístico</w:t>
      </w:r>
      <w:proofErr w:type="spellEnd"/>
      <w:r w:rsidRPr="0033693E">
        <w:rPr>
          <w:rFonts w:ascii="Palatino Linotype" w:eastAsia="Palatino Linotype" w:hAnsi="Palatino Linotype" w:cs="Times New Roman"/>
          <w:i/>
          <w:color w:val="000000"/>
          <w:sz w:val="22"/>
          <w:szCs w:val="22"/>
        </w:rPr>
        <w:t xml:space="preserve"> de la tierra"; </w:t>
      </w:r>
    </w:p>
    <w:p w14:paraId="6722200A"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i/>
          <w:color w:val="000000"/>
          <w:sz w:val="22"/>
          <w:szCs w:val="22"/>
        </w:rPr>
      </w:pPr>
    </w:p>
    <w:p w14:paraId="23340CCE" w14:textId="3DD0CEB1" w:rsidR="00EA6CE8" w:rsidRDefault="00EA6CE8" w:rsidP="00EA6CE8">
      <w:pPr>
        <w:jc w:val="both"/>
        <w:rPr>
          <w:rFonts w:ascii="Palatino Linotype" w:eastAsia="Palatino Linotype" w:hAnsi="Palatino Linotype" w:cs="Times New Roman"/>
          <w:i/>
          <w:sz w:val="22"/>
          <w:szCs w:val="22"/>
        </w:rPr>
      </w:pPr>
      <w:r w:rsidRPr="0033693E">
        <w:rPr>
          <w:rFonts w:ascii="Palatino Linotype" w:eastAsia="Palatino Linotype" w:hAnsi="Palatino Linotype" w:cs="Times New Roman"/>
          <w:b/>
          <w:sz w:val="22"/>
          <w:szCs w:val="22"/>
        </w:rPr>
        <w:lastRenderedPageBreak/>
        <w:t xml:space="preserve">Que, </w:t>
      </w:r>
      <w:r>
        <w:rPr>
          <w:rFonts w:ascii="Palatino Linotype" w:eastAsia="Palatino Linotype" w:hAnsi="Palatino Linotype" w:cs="Times New Roman"/>
          <w:sz w:val="22"/>
          <w:szCs w:val="22"/>
        </w:rPr>
        <w:t xml:space="preserve">el </w:t>
      </w:r>
      <w:r w:rsidRPr="0033693E">
        <w:rPr>
          <w:rFonts w:ascii="Palatino Linotype" w:eastAsia="Palatino Linotype" w:hAnsi="Palatino Linotype" w:cs="Times New Roman"/>
          <w:color w:val="222222"/>
          <w:sz w:val="22"/>
          <w:szCs w:val="22"/>
          <w:highlight w:val="white"/>
        </w:rPr>
        <w:t>numeral 1 d</w:t>
      </w:r>
      <w:r w:rsidRPr="0033693E">
        <w:rPr>
          <w:rFonts w:ascii="Palatino Linotype" w:eastAsia="Palatino Linotype" w:hAnsi="Palatino Linotype" w:cs="Times New Roman"/>
          <w:sz w:val="22"/>
          <w:szCs w:val="22"/>
        </w:rPr>
        <w:t xml:space="preserve">el </w:t>
      </w:r>
      <w:proofErr w:type="spellStart"/>
      <w:r w:rsidRPr="0033693E">
        <w:rPr>
          <w:rFonts w:ascii="Palatino Linotype" w:eastAsia="Palatino Linotype" w:hAnsi="Palatino Linotype" w:cs="Times New Roman"/>
          <w:sz w:val="22"/>
          <w:szCs w:val="22"/>
        </w:rPr>
        <w:t>artículo</w:t>
      </w:r>
      <w:proofErr w:type="spellEnd"/>
      <w:r w:rsidRPr="0033693E">
        <w:rPr>
          <w:rFonts w:ascii="Palatino Linotype" w:eastAsia="Palatino Linotype" w:hAnsi="Palatino Linotype" w:cs="Times New Roman"/>
          <w:sz w:val="22"/>
          <w:szCs w:val="22"/>
        </w:rPr>
        <w:t xml:space="preserve"> 2 de la Ley </w:t>
      </w:r>
      <w:proofErr w:type="spellStart"/>
      <w:r w:rsidRPr="0033693E">
        <w:rPr>
          <w:rFonts w:ascii="Palatino Linotype" w:eastAsia="Palatino Linotype" w:hAnsi="Palatino Linotype" w:cs="Times New Roman"/>
          <w:sz w:val="22"/>
          <w:szCs w:val="22"/>
        </w:rPr>
        <w:t>Orgánica</w:t>
      </w:r>
      <w:proofErr w:type="spellEnd"/>
      <w:r w:rsidRPr="0033693E">
        <w:rPr>
          <w:rFonts w:ascii="Palatino Linotype" w:eastAsia="Palatino Linotype" w:hAnsi="Palatino Linotype" w:cs="Times New Roman"/>
          <w:sz w:val="22"/>
          <w:szCs w:val="22"/>
        </w:rPr>
        <w:t xml:space="preserve"> de </w:t>
      </w:r>
      <w:proofErr w:type="spellStart"/>
      <w:r w:rsidRPr="0033693E">
        <w:rPr>
          <w:rFonts w:ascii="Palatino Linotype" w:eastAsia="Palatino Linotype" w:hAnsi="Palatino Linotype" w:cs="Times New Roman"/>
          <w:sz w:val="22"/>
          <w:szCs w:val="22"/>
        </w:rPr>
        <w:t>Régimen</w:t>
      </w:r>
      <w:proofErr w:type="spellEnd"/>
      <w:r w:rsidRPr="0033693E">
        <w:rPr>
          <w:rFonts w:ascii="Palatino Linotype" w:eastAsia="Palatino Linotype" w:hAnsi="Palatino Linotype" w:cs="Times New Roman"/>
          <w:sz w:val="22"/>
          <w:szCs w:val="22"/>
        </w:rPr>
        <w:t xml:space="preserve"> para el Distrito Metropolitano de Quito establecen: "</w:t>
      </w:r>
      <w:r w:rsidRPr="0033693E">
        <w:rPr>
          <w:rFonts w:ascii="Palatino Linotype" w:eastAsia="Palatino Linotype" w:hAnsi="Palatino Linotype" w:cs="Times New Roman"/>
          <w:i/>
          <w:sz w:val="22"/>
          <w:szCs w:val="22"/>
        </w:rPr>
        <w:t xml:space="preserve">1. Regulará el uso y la adecuada </w:t>
      </w:r>
      <w:proofErr w:type="spellStart"/>
      <w:r w:rsidRPr="0033693E">
        <w:rPr>
          <w:rFonts w:ascii="Palatino Linotype" w:eastAsia="Palatino Linotype" w:hAnsi="Palatino Linotype" w:cs="Times New Roman"/>
          <w:i/>
          <w:sz w:val="22"/>
          <w:szCs w:val="22"/>
        </w:rPr>
        <w:t>ocupación</w:t>
      </w:r>
      <w:proofErr w:type="spellEnd"/>
      <w:r w:rsidRPr="0033693E">
        <w:rPr>
          <w:rFonts w:ascii="Palatino Linotype" w:eastAsia="Palatino Linotype" w:hAnsi="Palatino Linotype" w:cs="Times New Roman"/>
          <w:i/>
          <w:sz w:val="22"/>
          <w:szCs w:val="22"/>
        </w:rPr>
        <w:t xml:space="preserve"> del suelo y </w:t>
      </w:r>
      <w:r w:rsidR="005C2009" w:rsidRPr="0033693E">
        <w:rPr>
          <w:rFonts w:ascii="Palatino Linotype" w:eastAsia="Palatino Linotype" w:hAnsi="Palatino Linotype" w:cs="Times New Roman"/>
          <w:i/>
          <w:sz w:val="22"/>
          <w:szCs w:val="22"/>
        </w:rPr>
        <w:t>ejercerá control</w:t>
      </w:r>
      <w:r w:rsidRPr="0033693E">
        <w:rPr>
          <w:rFonts w:ascii="Palatino Linotype" w:eastAsia="Palatino Linotype" w:hAnsi="Palatino Linotype" w:cs="Times New Roman"/>
          <w:i/>
          <w:sz w:val="22"/>
          <w:szCs w:val="22"/>
        </w:rPr>
        <w:t xml:space="preserve"> sobre el mismo con competencia exclusiva y privativa (...)</w:t>
      </w:r>
      <w:r>
        <w:rPr>
          <w:rFonts w:ascii="Palatino Linotype" w:eastAsia="Palatino Linotype" w:hAnsi="Palatino Linotype" w:cs="Times New Roman"/>
          <w:i/>
          <w:sz w:val="22"/>
          <w:szCs w:val="22"/>
        </w:rPr>
        <w:t>”;</w:t>
      </w:r>
    </w:p>
    <w:p w14:paraId="702C8EE3" w14:textId="78727C65" w:rsidR="005C2009" w:rsidRDefault="005C2009" w:rsidP="00EA6CE8">
      <w:pPr>
        <w:jc w:val="both"/>
        <w:rPr>
          <w:rFonts w:ascii="Palatino Linotype" w:eastAsia="Palatino Linotype" w:hAnsi="Palatino Linotype" w:cs="Times New Roman"/>
          <w:i/>
          <w:sz w:val="22"/>
          <w:szCs w:val="22"/>
        </w:rPr>
      </w:pPr>
    </w:p>
    <w:p w14:paraId="5B1B181D" w14:textId="478AE2CF" w:rsidR="005C2009" w:rsidRPr="005C2009" w:rsidRDefault="005C2009" w:rsidP="005C2009">
      <w:pPr>
        <w:jc w:val="both"/>
        <w:rPr>
          <w:rFonts w:ascii="Palatino Linotype" w:eastAsia="Palatino Linotype" w:hAnsi="Palatino Linotype" w:cs="Times New Roman"/>
          <w:sz w:val="22"/>
          <w:szCs w:val="22"/>
        </w:rPr>
      </w:pPr>
      <w:r w:rsidRPr="005C2009">
        <w:rPr>
          <w:rFonts w:ascii="Palatino Linotype" w:eastAsia="Palatino Linotype" w:hAnsi="Palatino Linotype" w:cs="Times New Roman"/>
          <w:b/>
          <w:sz w:val="22"/>
          <w:szCs w:val="22"/>
        </w:rPr>
        <w:t>Que,</w:t>
      </w:r>
      <w:r w:rsidRPr="005C2009">
        <w:rPr>
          <w:rFonts w:ascii="Palatino Linotype" w:eastAsia="Palatino Linotype" w:hAnsi="Palatino Linotype" w:cs="Times New Roman"/>
          <w:sz w:val="22"/>
          <w:szCs w:val="22"/>
        </w:rPr>
        <w:t xml:space="preserve"> mediante Ordenanza Metropolitana N</w:t>
      </w:r>
      <w:r w:rsidR="00485CE5">
        <w:rPr>
          <w:rFonts w:ascii="Palatino Linotype" w:eastAsia="Palatino Linotype" w:hAnsi="Palatino Linotype" w:cs="Times New Roman"/>
          <w:sz w:val="22"/>
          <w:szCs w:val="22"/>
        </w:rPr>
        <w:t>r</w:t>
      </w:r>
      <w:r w:rsidRPr="005C2009">
        <w:rPr>
          <w:rFonts w:ascii="Palatino Linotype" w:eastAsia="Palatino Linotype" w:hAnsi="Palatino Linotype" w:cs="Times New Roman"/>
          <w:sz w:val="22"/>
          <w:szCs w:val="22"/>
        </w:rPr>
        <w:t xml:space="preserve">o. 127 de fecha 25 de julio de 2016, fue aprobado el Plan de Uso y Ocupación del Suelo (PUOS) y sus anexos; </w:t>
      </w:r>
    </w:p>
    <w:p w14:paraId="0055BEEF" w14:textId="77777777" w:rsidR="005C2009" w:rsidRPr="005C2009" w:rsidRDefault="005C2009" w:rsidP="005C2009">
      <w:pPr>
        <w:jc w:val="both"/>
        <w:rPr>
          <w:rFonts w:ascii="Palatino Linotype" w:eastAsia="Palatino Linotype" w:hAnsi="Palatino Linotype" w:cs="Times New Roman"/>
          <w:sz w:val="22"/>
          <w:szCs w:val="22"/>
        </w:rPr>
      </w:pPr>
    </w:p>
    <w:p w14:paraId="46938AAC" w14:textId="362BEA0E" w:rsidR="005C2009" w:rsidRPr="005C2009" w:rsidRDefault="005C2009" w:rsidP="005C2009">
      <w:pPr>
        <w:jc w:val="both"/>
        <w:rPr>
          <w:rFonts w:ascii="Palatino Linotype" w:eastAsia="Palatino Linotype" w:hAnsi="Palatino Linotype" w:cs="Times New Roman"/>
          <w:sz w:val="22"/>
          <w:szCs w:val="22"/>
        </w:rPr>
      </w:pPr>
      <w:r w:rsidRPr="005C2009">
        <w:rPr>
          <w:rFonts w:ascii="Palatino Linotype" w:eastAsia="Palatino Linotype" w:hAnsi="Palatino Linotype" w:cs="Times New Roman"/>
          <w:b/>
          <w:sz w:val="22"/>
          <w:szCs w:val="22"/>
        </w:rPr>
        <w:t>Que,</w:t>
      </w:r>
      <w:r w:rsidRPr="005C2009">
        <w:rPr>
          <w:rFonts w:ascii="Palatino Linotype" w:eastAsia="Palatino Linotype" w:hAnsi="Palatino Linotype" w:cs="Times New Roman"/>
          <w:sz w:val="22"/>
          <w:szCs w:val="22"/>
        </w:rPr>
        <w:t xml:space="preserve"> mediante Ordenanza Metropolitana N</w:t>
      </w:r>
      <w:r w:rsidR="00485CE5">
        <w:rPr>
          <w:rFonts w:ascii="Palatino Linotype" w:eastAsia="Palatino Linotype" w:hAnsi="Palatino Linotype" w:cs="Times New Roman"/>
          <w:sz w:val="22"/>
          <w:szCs w:val="22"/>
        </w:rPr>
        <w:t>r</w:t>
      </w:r>
      <w:r w:rsidRPr="005C2009">
        <w:rPr>
          <w:rFonts w:ascii="Palatino Linotype" w:eastAsia="Palatino Linotype" w:hAnsi="Palatino Linotype" w:cs="Times New Roman"/>
          <w:sz w:val="22"/>
          <w:szCs w:val="22"/>
        </w:rPr>
        <w:t xml:space="preserve">o. 192, de 20 de diciembre de 2017, fue aprobada la Ordenanza Reformatoria de la Ordenanza Metropolitana No. 127, que contiene el Plan de Uso y Ocupación del Suelo (PUOS) y sus anexos; </w:t>
      </w:r>
    </w:p>
    <w:p w14:paraId="185F7156" w14:textId="77777777" w:rsidR="005C2009" w:rsidRDefault="005C2009" w:rsidP="005C2009">
      <w:pPr>
        <w:jc w:val="both"/>
      </w:pPr>
    </w:p>
    <w:p w14:paraId="15B11C33" w14:textId="4DBEE02B" w:rsidR="005C2009" w:rsidRPr="005C2009" w:rsidRDefault="005C2009" w:rsidP="005C2009">
      <w:pPr>
        <w:jc w:val="both"/>
        <w:rPr>
          <w:rFonts w:ascii="Palatino Linotype" w:eastAsia="Palatino Linotype" w:hAnsi="Palatino Linotype" w:cs="Times New Roman"/>
          <w:sz w:val="22"/>
          <w:szCs w:val="22"/>
        </w:rPr>
      </w:pPr>
      <w:r w:rsidRPr="005C2009">
        <w:rPr>
          <w:rFonts w:ascii="Palatino Linotype" w:eastAsia="Palatino Linotype" w:hAnsi="Palatino Linotype" w:cs="Times New Roman"/>
          <w:b/>
          <w:sz w:val="22"/>
          <w:szCs w:val="22"/>
        </w:rPr>
        <w:t>Que,</w:t>
      </w:r>
      <w:r w:rsidRPr="005C2009">
        <w:rPr>
          <w:rFonts w:ascii="Palatino Linotype" w:eastAsia="Palatino Linotype" w:hAnsi="Palatino Linotype" w:cs="Times New Roman"/>
          <w:sz w:val="22"/>
          <w:szCs w:val="22"/>
        </w:rPr>
        <w:t xml:space="preserve"> mediante Ordenanza Metropolitana N</w:t>
      </w:r>
      <w:r w:rsidR="00485CE5">
        <w:rPr>
          <w:rFonts w:ascii="Palatino Linotype" w:eastAsia="Palatino Linotype" w:hAnsi="Palatino Linotype" w:cs="Times New Roman"/>
          <w:sz w:val="22"/>
          <w:szCs w:val="22"/>
        </w:rPr>
        <w:t>r</w:t>
      </w:r>
      <w:r w:rsidRPr="005C2009">
        <w:rPr>
          <w:rFonts w:ascii="Palatino Linotype" w:eastAsia="Palatino Linotype" w:hAnsi="Palatino Linotype" w:cs="Times New Roman"/>
          <w:sz w:val="22"/>
          <w:szCs w:val="22"/>
        </w:rPr>
        <w:t xml:space="preserve">o. 210 de fecha 12 de abril de 2018, luego de su tratamiento en segundo debate, fue aprobada la Ordenanza Modificatoria de las Ordenanzas Metropolitanas Nro. 127, 192, 172, 432 y 060 que contiene el Plan de Uso y Ocupación del Suelo (PUOS) y sus anexos; </w:t>
      </w:r>
    </w:p>
    <w:p w14:paraId="15901D77" w14:textId="54C7172D" w:rsidR="005C2009" w:rsidRDefault="005C2009" w:rsidP="005C2009">
      <w:pPr>
        <w:jc w:val="both"/>
      </w:pPr>
    </w:p>
    <w:p w14:paraId="0F534702" w14:textId="6738403D" w:rsidR="005C2009" w:rsidRPr="00485CE5" w:rsidRDefault="005C2009" w:rsidP="005C2009">
      <w:pPr>
        <w:jc w:val="both"/>
        <w:rPr>
          <w:rFonts w:ascii="Palatino Linotype" w:eastAsia="Palatino Linotype" w:hAnsi="Palatino Linotype" w:cs="Times New Roman"/>
          <w:i/>
          <w:iCs/>
          <w:sz w:val="22"/>
          <w:szCs w:val="22"/>
        </w:rPr>
      </w:pPr>
      <w:r w:rsidRPr="005C2009">
        <w:rPr>
          <w:rFonts w:ascii="Palatino Linotype" w:eastAsia="Palatino Linotype" w:hAnsi="Palatino Linotype" w:cs="Times New Roman"/>
          <w:b/>
          <w:sz w:val="22"/>
          <w:szCs w:val="22"/>
        </w:rPr>
        <w:t>Que,</w:t>
      </w:r>
      <w:r w:rsidRPr="005C2009">
        <w:rPr>
          <w:rFonts w:ascii="Palatino Linotype" w:eastAsia="Palatino Linotype" w:hAnsi="Palatino Linotype" w:cs="Times New Roman"/>
          <w:sz w:val="22"/>
          <w:szCs w:val="22"/>
        </w:rPr>
        <w:t xml:space="preserve"> el artículo 21 de la Ordenanza Metropolitana N</w:t>
      </w:r>
      <w:r w:rsidR="00485CE5">
        <w:rPr>
          <w:rFonts w:ascii="Palatino Linotype" w:eastAsia="Palatino Linotype" w:hAnsi="Palatino Linotype" w:cs="Times New Roman"/>
          <w:sz w:val="22"/>
          <w:szCs w:val="22"/>
        </w:rPr>
        <w:t>r</w:t>
      </w:r>
      <w:r w:rsidRPr="005C2009">
        <w:rPr>
          <w:rFonts w:ascii="Palatino Linotype" w:eastAsia="Palatino Linotype" w:hAnsi="Palatino Linotype" w:cs="Times New Roman"/>
          <w:sz w:val="22"/>
          <w:szCs w:val="22"/>
        </w:rPr>
        <w:t>o. 210 agrega a continuación del literal g) del artículo... (66) de la Ordenanza Metropolitana No. 172 y su reforma contenida en la Ordenanza Metropolitana N</w:t>
      </w:r>
      <w:r w:rsidR="00485CE5">
        <w:rPr>
          <w:rFonts w:ascii="Palatino Linotype" w:eastAsia="Palatino Linotype" w:hAnsi="Palatino Linotype" w:cs="Times New Roman"/>
          <w:sz w:val="22"/>
          <w:szCs w:val="22"/>
        </w:rPr>
        <w:t>r</w:t>
      </w:r>
      <w:r w:rsidRPr="005C2009">
        <w:rPr>
          <w:rFonts w:ascii="Palatino Linotype" w:eastAsia="Palatino Linotype" w:hAnsi="Palatino Linotype" w:cs="Times New Roman"/>
          <w:sz w:val="22"/>
          <w:szCs w:val="22"/>
        </w:rPr>
        <w:t xml:space="preserve">o. 432 </w:t>
      </w:r>
      <w:proofErr w:type="gramStart"/>
      <w:r w:rsidRPr="005C2009">
        <w:rPr>
          <w:rFonts w:ascii="Palatino Linotype" w:eastAsia="Palatino Linotype" w:hAnsi="Palatino Linotype" w:cs="Times New Roman"/>
          <w:sz w:val="22"/>
          <w:szCs w:val="22"/>
        </w:rPr>
        <w:t>que</w:t>
      </w:r>
      <w:proofErr w:type="gramEnd"/>
      <w:r w:rsidRPr="005C2009">
        <w:rPr>
          <w:rFonts w:ascii="Palatino Linotype" w:eastAsia="Palatino Linotype" w:hAnsi="Palatino Linotype" w:cs="Times New Roman"/>
          <w:sz w:val="22"/>
          <w:szCs w:val="22"/>
        </w:rPr>
        <w:t>: "</w:t>
      </w:r>
      <w:r w:rsidRPr="00485CE5">
        <w:rPr>
          <w:rFonts w:ascii="Palatino Linotype" w:eastAsia="Palatino Linotype" w:hAnsi="Palatino Linotype" w:cs="Times New Roman"/>
          <w:i/>
          <w:iCs/>
          <w:sz w:val="22"/>
          <w:szCs w:val="22"/>
        </w:rPr>
        <w:t xml:space="preserve">Los predios con zonificación ZC, cuya superficie sea inferior a 10.000 m2o inferior a 3.000 m2para predios ubicados en áreas de centralidades debidamente establecidas en el PMDOT, podrán solicitar a la entidad encargada del Territorio, Hábitat y Vivienda la asignación de datos de zonificación mediante la presentación de un proyecto urbano - arquitectónico que establezca las condiciones de integración urbanística y vial al entorno. El proyecto </w:t>
      </w:r>
      <w:r w:rsidR="00502ADE" w:rsidRPr="00485CE5">
        <w:rPr>
          <w:rFonts w:ascii="Palatino Linotype" w:eastAsia="Palatino Linotype" w:hAnsi="Palatino Linotype" w:cs="Times New Roman"/>
          <w:i/>
          <w:iCs/>
          <w:sz w:val="22"/>
          <w:szCs w:val="22"/>
        </w:rPr>
        <w:t xml:space="preserve">contendrá </w:t>
      </w:r>
      <w:r w:rsidRPr="00485CE5">
        <w:rPr>
          <w:rFonts w:ascii="Palatino Linotype" w:eastAsia="Palatino Linotype" w:hAnsi="Palatino Linotype" w:cs="Times New Roman"/>
          <w:i/>
          <w:iCs/>
          <w:sz w:val="22"/>
          <w:szCs w:val="22"/>
        </w:rPr>
        <w:t>la propuesta de asignación de datos de uso y ocupación del suelo, derivado de un análisis urbanístico del entorno. Dichos datos serán asignados en concordancia con los requerimientos del proyecto y del entorno, siempre y cuando el proyecto prevea aportes urbanísticos en uno o varios de los siguientes aspectos, en función de las particularidades de cada caso: Áreas verdes, Equipamientos públicos o privados y/o espacio público y vías que aseguren o mejoren la conectividad del sector. Los coeficientes resultantes de la asignación de datos podrán ser objeto de redistribución sin superar el COS Total. En caso de que el proyecto prevea el fraccionamiento del suelo o requiera la apertura de nuevas vías, se garantizará que estas cesiones de suelo se hagan de forma gratuita y obligatoria a favor del municipio, observando los porcentajes de áreas verdes y equipamiento previstos en la normativa. La entidad encargada del Territorio, Hábitat y Vivienda emitirá un informe técnico del proyecto, el cual contendrá las asignaciones de zonificación propuestas para el predio. Este informe sustentará un proyecto de resolución que será remitido a la Comisión de Uso de Suelo previo a la aprobación por parte del Concejo Metropolitano. El término máximo para la elaboración, envío del informe a la Comisión de Uso de Suelo, resolución y asignación de datos, será de treinta (30) días contados a partir del ingreso de la solicitud a la entidad encargada del territorio, hábitat y vivienda. (…)";</w:t>
      </w:r>
    </w:p>
    <w:p w14:paraId="0A642D87" w14:textId="77777777" w:rsidR="005C2009" w:rsidRPr="005C2009" w:rsidRDefault="005C2009" w:rsidP="005C2009">
      <w:pPr>
        <w:jc w:val="both"/>
        <w:rPr>
          <w:rFonts w:ascii="Palatino Linotype" w:eastAsia="Palatino Linotype" w:hAnsi="Palatino Linotype" w:cs="Times New Roman"/>
          <w:sz w:val="22"/>
          <w:szCs w:val="22"/>
        </w:rPr>
      </w:pPr>
    </w:p>
    <w:p w14:paraId="74D0F4FB" w14:textId="7405640F" w:rsidR="005C2009" w:rsidRPr="005C2009" w:rsidRDefault="005C2009" w:rsidP="005C2009">
      <w:pPr>
        <w:jc w:val="both"/>
        <w:rPr>
          <w:rFonts w:ascii="Palatino Linotype" w:eastAsia="Palatino Linotype" w:hAnsi="Palatino Linotype" w:cs="Times New Roman"/>
          <w:sz w:val="22"/>
          <w:szCs w:val="22"/>
        </w:rPr>
      </w:pPr>
      <w:r w:rsidRPr="005C2009">
        <w:rPr>
          <w:rFonts w:ascii="Palatino Linotype" w:eastAsia="Palatino Linotype" w:hAnsi="Palatino Linotype" w:cs="Times New Roman"/>
          <w:b/>
          <w:sz w:val="22"/>
          <w:szCs w:val="22"/>
        </w:rPr>
        <w:t xml:space="preserve">Que, </w:t>
      </w:r>
      <w:r w:rsidRPr="005C2009">
        <w:rPr>
          <w:rFonts w:ascii="Palatino Linotype" w:eastAsia="Palatino Linotype" w:hAnsi="Palatino Linotype" w:cs="Times New Roman"/>
          <w:sz w:val="22"/>
          <w:szCs w:val="22"/>
        </w:rPr>
        <w:t>mediante Ordenanza Metropolitana N</w:t>
      </w:r>
      <w:r w:rsidR="00485CE5">
        <w:rPr>
          <w:rFonts w:ascii="Palatino Linotype" w:eastAsia="Palatino Linotype" w:hAnsi="Palatino Linotype" w:cs="Times New Roman"/>
          <w:sz w:val="22"/>
          <w:szCs w:val="22"/>
        </w:rPr>
        <w:t>r</w:t>
      </w:r>
      <w:r w:rsidRPr="005C2009">
        <w:rPr>
          <w:rFonts w:ascii="Palatino Linotype" w:eastAsia="Palatino Linotype" w:hAnsi="Palatino Linotype" w:cs="Times New Roman"/>
          <w:sz w:val="22"/>
          <w:szCs w:val="22"/>
        </w:rPr>
        <w:t xml:space="preserve">o. 001, de 29 de marzo de 2019, el Concejo Metropolitano de Quito, aprueba el Código Municipal para el Distrito Metropolitano de Quito, el cual en su </w:t>
      </w:r>
      <w:r w:rsidRPr="00502ADE">
        <w:rPr>
          <w:rFonts w:ascii="Palatino Linotype" w:eastAsia="Palatino Linotype" w:hAnsi="Palatino Linotype" w:cs="Times New Roman"/>
          <w:sz w:val="22"/>
          <w:szCs w:val="22"/>
        </w:rPr>
        <w:t xml:space="preserve">artículo </w:t>
      </w:r>
      <w:r w:rsidR="00502ADE" w:rsidRPr="00502ADE">
        <w:rPr>
          <w:rFonts w:ascii="Palatino Linotype" w:eastAsia="Palatino Linotype" w:hAnsi="Palatino Linotype" w:cs="Times New Roman"/>
          <w:sz w:val="22"/>
          <w:szCs w:val="22"/>
        </w:rPr>
        <w:t>2158</w:t>
      </w:r>
      <w:r w:rsidRPr="00502ADE">
        <w:rPr>
          <w:rFonts w:ascii="Palatino Linotype" w:eastAsia="Palatino Linotype" w:hAnsi="Palatino Linotype" w:cs="Times New Roman"/>
          <w:sz w:val="22"/>
          <w:szCs w:val="22"/>
        </w:rPr>
        <w:t>, numeral 1), literal</w:t>
      </w:r>
      <w:r w:rsidRPr="005C2009">
        <w:rPr>
          <w:rFonts w:ascii="Palatino Linotype" w:eastAsia="Palatino Linotype" w:hAnsi="Palatino Linotype" w:cs="Times New Roman"/>
          <w:sz w:val="22"/>
          <w:szCs w:val="22"/>
        </w:rPr>
        <w:t xml:space="preserve"> g) recoge el contenido del antiguo artículo 66 de la Ordenanza Metropolitana No. 172, referida en el numeral precedente;</w:t>
      </w:r>
    </w:p>
    <w:p w14:paraId="4254185F" w14:textId="2F37BD45" w:rsidR="005C2009" w:rsidRDefault="005C2009" w:rsidP="005C2009">
      <w:pPr>
        <w:jc w:val="both"/>
      </w:pPr>
    </w:p>
    <w:p w14:paraId="1C6DB478" w14:textId="2FA87FA8" w:rsidR="005C2009" w:rsidRPr="005C2009" w:rsidRDefault="005C2009" w:rsidP="005C2009">
      <w:pPr>
        <w:jc w:val="both"/>
        <w:rPr>
          <w:rFonts w:ascii="Palatino Linotype" w:eastAsia="Palatino Linotype" w:hAnsi="Palatino Linotype" w:cs="Times New Roman"/>
          <w:sz w:val="22"/>
          <w:szCs w:val="22"/>
        </w:rPr>
      </w:pPr>
      <w:r w:rsidRPr="005C2009">
        <w:rPr>
          <w:rFonts w:ascii="Palatino Linotype" w:eastAsia="Palatino Linotype" w:hAnsi="Palatino Linotype" w:cs="Times New Roman"/>
          <w:b/>
          <w:sz w:val="22"/>
          <w:szCs w:val="22"/>
        </w:rPr>
        <w:lastRenderedPageBreak/>
        <w:t>Que</w:t>
      </w:r>
      <w:r w:rsidRPr="005C2009">
        <w:rPr>
          <w:rFonts w:ascii="Palatino Linotype" w:eastAsia="Palatino Linotype" w:hAnsi="Palatino Linotype" w:cs="Times New Roman"/>
          <w:sz w:val="22"/>
          <w:szCs w:val="22"/>
        </w:rPr>
        <w:t>, el 6 de septiembre de 2019, mediante Resolución Administrativa Nro. STHV-031-2019 emitida por el Secretario de Territorio, Hábitat y Vivienda, se expidió la Norma Técnica para determinar la asignación de uso de suelo y aprovechamiento de los lotes con zonificación ZC mediante un Proyecto Urbano Arquitectónico;</w:t>
      </w:r>
    </w:p>
    <w:p w14:paraId="6E362BD1" w14:textId="77777777" w:rsidR="005C2009" w:rsidRPr="005C2009" w:rsidRDefault="005C2009" w:rsidP="005C2009">
      <w:pPr>
        <w:jc w:val="both"/>
        <w:rPr>
          <w:rFonts w:ascii="Palatino Linotype" w:eastAsia="Palatino Linotype" w:hAnsi="Palatino Linotype" w:cs="Times New Roman"/>
          <w:sz w:val="22"/>
          <w:szCs w:val="22"/>
        </w:rPr>
      </w:pPr>
    </w:p>
    <w:p w14:paraId="0864C1DB" w14:textId="0A33120C" w:rsidR="005C2009" w:rsidRDefault="005C2009" w:rsidP="005C2009">
      <w:pPr>
        <w:jc w:val="both"/>
        <w:rPr>
          <w:rFonts w:ascii="Palatino Linotype" w:eastAsia="Palatino Linotype" w:hAnsi="Palatino Linotype" w:cs="Times New Roman"/>
          <w:sz w:val="22"/>
          <w:szCs w:val="22"/>
        </w:rPr>
      </w:pPr>
      <w:r w:rsidRPr="005C2009">
        <w:rPr>
          <w:rFonts w:ascii="Palatino Linotype" w:eastAsia="Palatino Linotype" w:hAnsi="Palatino Linotype" w:cs="Times New Roman"/>
          <w:b/>
          <w:sz w:val="22"/>
          <w:szCs w:val="22"/>
        </w:rPr>
        <w:t>Que,</w:t>
      </w:r>
      <w:r w:rsidRPr="005C2009">
        <w:rPr>
          <w:rFonts w:ascii="Palatino Linotype" w:eastAsia="Palatino Linotype" w:hAnsi="Palatino Linotype" w:cs="Times New Roman"/>
          <w:sz w:val="22"/>
          <w:szCs w:val="22"/>
        </w:rPr>
        <w:t xml:space="preserve"> el 31 de agosto de 2020, mediante Resolución Administrativa Nro. STHV-2020-054 emitida por el Secretario de Territorio, Hábitat y Vivienda, se reformó la Resolución Administrativa No. STHV-031-2019 en la que se establece la Norma Técnica para determinar la asignación de uso de suelo y aprovechamiento de los lotes con zonificación ZC mediante un Proyecto Urbano Arquitectónico;</w:t>
      </w:r>
    </w:p>
    <w:p w14:paraId="64481140" w14:textId="77777777" w:rsidR="009431E0" w:rsidRPr="005C2009" w:rsidRDefault="009431E0" w:rsidP="005C2009">
      <w:pPr>
        <w:jc w:val="both"/>
        <w:rPr>
          <w:rFonts w:ascii="Palatino Linotype" w:eastAsia="Palatino Linotype" w:hAnsi="Palatino Linotype" w:cs="Times New Roman"/>
          <w:sz w:val="22"/>
          <w:szCs w:val="22"/>
        </w:rPr>
      </w:pPr>
    </w:p>
    <w:p w14:paraId="12B970F1" w14:textId="0DDC95FA" w:rsidR="00EA6CE8" w:rsidRDefault="00EA6CE8" w:rsidP="005C2009">
      <w:pPr>
        <w:jc w:val="both"/>
        <w:rPr>
          <w:rFonts w:ascii="Palatino Linotype" w:eastAsia="Palatino Linotype" w:hAnsi="Palatino Linotype" w:cs="Times New Roman"/>
          <w:sz w:val="22"/>
          <w:szCs w:val="22"/>
        </w:rPr>
      </w:pPr>
      <w:r w:rsidRPr="009431E0">
        <w:rPr>
          <w:rFonts w:ascii="Palatino Linotype" w:eastAsia="Palatino Linotype" w:hAnsi="Palatino Linotype" w:cs="Times New Roman"/>
          <w:b/>
          <w:sz w:val="22"/>
          <w:szCs w:val="22"/>
        </w:rPr>
        <w:t>Que,</w:t>
      </w:r>
      <w:r w:rsidRPr="005C2009">
        <w:rPr>
          <w:rFonts w:ascii="Palatino Linotype" w:eastAsia="Palatino Linotype" w:hAnsi="Palatino Linotype" w:cs="Times New Roman"/>
          <w:sz w:val="22"/>
          <w:szCs w:val="22"/>
        </w:rPr>
        <w:t xml:space="preserve"> el Concejo Metropolitano, mediante </w:t>
      </w:r>
      <w:proofErr w:type="spellStart"/>
      <w:r w:rsidRPr="005C2009">
        <w:rPr>
          <w:rFonts w:ascii="Palatino Linotype" w:eastAsia="Palatino Linotype" w:hAnsi="Palatino Linotype" w:cs="Times New Roman"/>
          <w:sz w:val="22"/>
          <w:szCs w:val="22"/>
        </w:rPr>
        <w:t>Resolución</w:t>
      </w:r>
      <w:proofErr w:type="spellEnd"/>
      <w:r w:rsidRPr="005C2009">
        <w:rPr>
          <w:rFonts w:ascii="Palatino Linotype" w:eastAsia="Palatino Linotype" w:hAnsi="Palatino Linotype" w:cs="Times New Roman"/>
          <w:sz w:val="22"/>
          <w:szCs w:val="22"/>
        </w:rPr>
        <w:t xml:space="preserve"> Nro. C 248, del 07 de mayo del 2019, estableció las asignaciones de </w:t>
      </w:r>
      <w:proofErr w:type="spellStart"/>
      <w:r w:rsidRPr="005C2009">
        <w:rPr>
          <w:rFonts w:ascii="Palatino Linotype" w:eastAsia="Palatino Linotype" w:hAnsi="Palatino Linotype" w:cs="Times New Roman"/>
          <w:sz w:val="22"/>
          <w:szCs w:val="22"/>
        </w:rPr>
        <w:t>clasificación</w:t>
      </w:r>
      <w:proofErr w:type="spellEnd"/>
      <w:r w:rsidRPr="005C2009">
        <w:rPr>
          <w:rFonts w:ascii="Palatino Linotype" w:eastAsia="Palatino Linotype" w:hAnsi="Palatino Linotype" w:cs="Times New Roman"/>
          <w:sz w:val="22"/>
          <w:szCs w:val="22"/>
        </w:rPr>
        <w:t xml:space="preserve">, uso de suelo y forma de </w:t>
      </w:r>
      <w:proofErr w:type="spellStart"/>
      <w:r w:rsidRPr="005C2009">
        <w:rPr>
          <w:rFonts w:ascii="Palatino Linotype" w:eastAsia="Palatino Linotype" w:hAnsi="Palatino Linotype" w:cs="Times New Roman"/>
          <w:sz w:val="22"/>
          <w:szCs w:val="22"/>
        </w:rPr>
        <w:t>ocupación</w:t>
      </w:r>
      <w:proofErr w:type="spellEnd"/>
      <w:r w:rsidRPr="005C2009">
        <w:rPr>
          <w:rFonts w:ascii="Palatino Linotype" w:eastAsia="Palatino Linotype" w:hAnsi="Palatino Linotype" w:cs="Times New Roman"/>
          <w:sz w:val="22"/>
          <w:szCs w:val="22"/>
        </w:rPr>
        <w:t xml:space="preserve"> y edificabilidad al lote con </w:t>
      </w:r>
      <w:proofErr w:type="spellStart"/>
      <w:r w:rsidRPr="005C2009">
        <w:rPr>
          <w:rFonts w:ascii="Palatino Linotype" w:eastAsia="Palatino Linotype" w:hAnsi="Palatino Linotype" w:cs="Times New Roman"/>
          <w:sz w:val="22"/>
          <w:szCs w:val="22"/>
        </w:rPr>
        <w:t>número</w:t>
      </w:r>
      <w:proofErr w:type="spellEnd"/>
      <w:r w:rsidRPr="005C2009">
        <w:rPr>
          <w:rFonts w:ascii="Palatino Linotype" w:eastAsia="Palatino Linotype" w:hAnsi="Palatino Linotype" w:cs="Times New Roman"/>
          <w:sz w:val="22"/>
          <w:szCs w:val="22"/>
        </w:rPr>
        <w:t xml:space="preserve"> de predio N</w:t>
      </w:r>
      <w:r w:rsidR="00485CE5">
        <w:rPr>
          <w:rFonts w:ascii="Palatino Linotype" w:eastAsia="Palatino Linotype" w:hAnsi="Palatino Linotype" w:cs="Times New Roman"/>
          <w:sz w:val="22"/>
          <w:szCs w:val="22"/>
        </w:rPr>
        <w:t>r</w:t>
      </w:r>
      <w:r w:rsidRPr="005C2009">
        <w:rPr>
          <w:rFonts w:ascii="Palatino Linotype" w:eastAsia="Palatino Linotype" w:hAnsi="Palatino Linotype" w:cs="Times New Roman"/>
          <w:sz w:val="22"/>
          <w:szCs w:val="22"/>
        </w:rPr>
        <w:t xml:space="preserve">o. 5782698. </w:t>
      </w:r>
    </w:p>
    <w:p w14:paraId="48AC957C" w14:textId="77777777" w:rsidR="005C2009" w:rsidRPr="005C2009" w:rsidRDefault="005C2009" w:rsidP="005C2009">
      <w:pPr>
        <w:jc w:val="both"/>
        <w:rPr>
          <w:rFonts w:ascii="Palatino Linotype" w:eastAsia="Palatino Linotype" w:hAnsi="Palatino Linotype" w:cs="Times New Roman"/>
          <w:sz w:val="22"/>
          <w:szCs w:val="22"/>
        </w:rPr>
      </w:pPr>
    </w:p>
    <w:p w14:paraId="4E436D1D" w14:textId="5F59CFB6" w:rsidR="0028410C" w:rsidRDefault="005C2009" w:rsidP="0028410C">
      <w:pPr>
        <w:jc w:val="both"/>
        <w:rPr>
          <w:rFonts w:ascii="Calibri,Italic" w:hAnsi="Calibri,Italic"/>
          <w:i/>
          <w:sz w:val="22"/>
          <w:szCs w:val="22"/>
        </w:rPr>
      </w:pPr>
      <w:r w:rsidRPr="005C2009">
        <w:rPr>
          <w:rFonts w:ascii="Palatino Linotype" w:eastAsia="Palatino Linotype" w:hAnsi="Palatino Linotype" w:cs="Times New Roman"/>
          <w:b/>
          <w:sz w:val="22"/>
          <w:szCs w:val="22"/>
        </w:rPr>
        <w:t>Que,</w:t>
      </w:r>
      <w:r w:rsidRPr="005C2009">
        <w:rPr>
          <w:rFonts w:ascii="Palatino Linotype" w:eastAsia="Palatino Linotype" w:hAnsi="Palatino Linotype" w:cs="Times New Roman"/>
          <w:sz w:val="22"/>
          <w:szCs w:val="22"/>
        </w:rPr>
        <w:t xml:space="preserve"> el </w:t>
      </w:r>
      <w:r w:rsidR="0028410C">
        <w:rPr>
          <w:rFonts w:ascii="Palatino Linotype" w:eastAsia="Palatino Linotype" w:hAnsi="Palatino Linotype" w:cs="Times New Roman"/>
          <w:sz w:val="22"/>
          <w:szCs w:val="22"/>
        </w:rPr>
        <w:t>0</w:t>
      </w:r>
      <w:r w:rsidRPr="005C2009">
        <w:rPr>
          <w:rFonts w:ascii="Palatino Linotype" w:eastAsia="Palatino Linotype" w:hAnsi="Palatino Linotype" w:cs="Times New Roman"/>
          <w:sz w:val="22"/>
          <w:szCs w:val="22"/>
        </w:rPr>
        <w:t xml:space="preserve">4 de </w:t>
      </w:r>
      <w:r w:rsidR="0028410C">
        <w:rPr>
          <w:rFonts w:ascii="Palatino Linotype" w:eastAsia="Palatino Linotype" w:hAnsi="Palatino Linotype" w:cs="Times New Roman"/>
          <w:sz w:val="22"/>
          <w:szCs w:val="22"/>
        </w:rPr>
        <w:t>junio de 2021</w:t>
      </w:r>
      <w:r w:rsidRPr="005C2009">
        <w:rPr>
          <w:rFonts w:ascii="Palatino Linotype" w:eastAsia="Palatino Linotype" w:hAnsi="Palatino Linotype" w:cs="Times New Roman"/>
          <w:sz w:val="22"/>
          <w:szCs w:val="22"/>
        </w:rPr>
        <w:t xml:space="preserve">, el señor </w:t>
      </w:r>
      <w:r w:rsidR="0028410C">
        <w:rPr>
          <w:rFonts w:ascii="Palatino Linotype" w:eastAsia="Palatino Linotype" w:hAnsi="Palatino Linotype" w:cs="Times New Roman"/>
          <w:sz w:val="22"/>
          <w:szCs w:val="22"/>
        </w:rPr>
        <w:t>José Eduardo Samaniego Ponce</w:t>
      </w:r>
      <w:r w:rsidRPr="005C2009">
        <w:rPr>
          <w:rFonts w:ascii="Palatino Linotype" w:eastAsia="Palatino Linotype" w:hAnsi="Palatino Linotype" w:cs="Times New Roman"/>
          <w:sz w:val="22"/>
          <w:szCs w:val="22"/>
        </w:rPr>
        <w:t xml:space="preserve">, en su calidad de </w:t>
      </w:r>
      <w:r w:rsidR="0028410C">
        <w:rPr>
          <w:rFonts w:ascii="Palatino Linotype" w:eastAsia="Palatino Linotype" w:hAnsi="Palatino Linotype" w:cs="Times New Roman"/>
          <w:sz w:val="22"/>
          <w:szCs w:val="22"/>
        </w:rPr>
        <w:t xml:space="preserve">Gerente General </w:t>
      </w:r>
      <w:proofErr w:type="spellStart"/>
      <w:r w:rsidR="0028410C">
        <w:rPr>
          <w:rFonts w:ascii="Palatino Linotype" w:eastAsia="Palatino Linotype" w:hAnsi="Palatino Linotype" w:cs="Times New Roman"/>
          <w:sz w:val="22"/>
          <w:szCs w:val="22"/>
        </w:rPr>
        <w:t>Anefi</w:t>
      </w:r>
      <w:proofErr w:type="spellEnd"/>
      <w:r w:rsidR="0028410C">
        <w:rPr>
          <w:rFonts w:ascii="Palatino Linotype" w:eastAsia="Palatino Linotype" w:hAnsi="Palatino Linotype" w:cs="Times New Roman"/>
          <w:sz w:val="22"/>
          <w:szCs w:val="22"/>
        </w:rPr>
        <w:t xml:space="preserve"> S.A., Fideicomiso Jardines de San Sebastián, solicita </w:t>
      </w:r>
      <w:r w:rsidR="0028410C" w:rsidRPr="0028410C">
        <w:rPr>
          <w:rFonts w:ascii="Palatino Linotype" w:eastAsia="Palatino Linotype" w:hAnsi="Palatino Linotype" w:cs="Times New Roman"/>
          <w:i/>
          <w:sz w:val="22"/>
          <w:szCs w:val="22"/>
        </w:rPr>
        <w:t xml:space="preserve">“poner en </w:t>
      </w:r>
      <w:proofErr w:type="spellStart"/>
      <w:r w:rsidR="0028410C" w:rsidRPr="0028410C">
        <w:rPr>
          <w:rFonts w:ascii="Palatino Linotype" w:eastAsia="Palatino Linotype" w:hAnsi="Palatino Linotype" w:cs="Times New Roman"/>
          <w:i/>
          <w:sz w:val="22"/>
          <w:szCs w:val="22"/>
        </w:rPr>
        <w:t>consideración</w:t>
      </w:r>
      <w:proofErr w:type="spellEnd"/>
      <w:r w:rsidR="0028410C" w:rsidRPr="0028410C">
        <w:rPr>
          <w:rFonts w:ascii="Palatino Linotype" w:eastAsia="Palatino Linotype" w:hAnsi="Palatino Linotype" w:cs="Times New Roman"/>
          <w:i/>
          <w:sz w:val="22"/>
          <w:szCs w:val="22"/>
        </w:rPr>
        <w:t xml:space="preserve"> de Concejo Metropolitano una reforma o derogatoria a la </w:t>
      </w:r>
      <w:proofErr w:type="spellStart"/>
      <w:r w:rsidR="0028410C" w:rsidRPr="0028410C">
        <w:rPr>
          <w:rFonts w:ascii="Palatino Linotype" w:eastAsia="Palatino Linotype" w:hAnsi="Palatino Linotype" w:cs="Times New Roman"/>
          <w:i/>
          <w:sz w:val="22"/>
          <w:szCs w:val="22"/>
        </w:rPr>
        <w:t>Resolución</w:t>
      </w:r>
      <w:proofErr w:type="spellEnd"/>
      <w:r w:rsidR="0028410C" w:rsidRPr="0028410C">
        <w:rPr>
          <w:rFonts w:ascii="Palatino Linotype" w:eastAsia="Palatino Linotype" w:hAnsi="Palatino Linotype" w:cs="Times New Roman"/>
          <w:i/>
          <w:sz w:val="22"/>
          <w:szCs w:val="22"/>
        </w:rPr>
        <w:t xml:space="preserve"> de </w:t>
      </w:r>
      <w:proofErr w:type="spellStart"/>
      <w:r w:rsidR="0028410C" w:rsidRPr="0028410C">
        <w:rPr>
          <w:rFonts w:ascii="Palatino Linotype" w:eastAsia="Palatino Linotype" w:hAnsi="Palatino Linotype" w:cs="Times New Roman"/>
          <w:i/>
          <w:sz w:val="22"/>
          <w:szCs w:val="22"/>
        </w:rPr>
        <w:t>Asignación</w:t>
      </w:r>
      <w:proofErr w:type="spellEnd"/>
      <w:r w:rsidR="0028410C" w:rsidRPr="0028410C">
        <w:rPr>
          <w:rFonts w:ascii="Palatino Linotype" w:eastAsia="Palatino Linotype" w:hAnsi="Palatino Linotype" w:cs="Times New Roman"/>
          <w:i/>
          <w:sz w:val="22"/>
          <w:szCs w:val="22"/>
        </w:rPr>
        <w:t xml:space="preserve"> de datos de </w:t>
      </w:r>
      <w:proofErr w:type="spellStart"/>
      <w:r w:rsidR="0028410C" w:rsidRPr="0028410C">
        <w:rPr>
          <w:rFonts w:ascii="Palatino Linotype" w:eastAsia="Palatino Linotype" w:hAnsi="Palatino Linotype" w:cs="Times New Roman"/>
          <w:i/>
          <w:sz w:val="22"/>
          <w:szCs w:val="22"/>
        </w:rPr>
        <w:t>zonificación</w:t>
      </w:r>
      <w:proofErr w:type="spellEnd"/>
      <w:r w:rsidR="0028410C" w:rsidRPr="0028410C">
        <w:rPr>
          <w:rFonts w:ascii="Palatino Linotype" w:eastAsia="Palatino Linotype" w:hAnsi="Palatino Linotype" w:cs="Times New Roman"/>
          <w:i/>
          <w:sz w:val="22"/>
          <w:szCs w:val="22"/>
        </w:rPr>
        <w:t xml:space="preserve"> a </w:t>
      </w:r>
      <w:proofErr w:type="spellStart"/>
      <w:r w:rsidR="0028410C" w:rsidRPr="0028410C">
        <w:rPr>
          <w:rFonts w:ascii="Palatino Linotype" w:eastAsia="Palatino Linotype" w:hAnsi="Palatino Linotype" w:cs="Times New Roman"/>
          <w:i/>
          <w:sz w:val="22"/>
          <w:szCs w:val="22"/>
        </w:rPr>
        <w:t>través</w:t>
      </w:r>
      <w:proofErr w:type="spellEnd"/>
      <w:r w:rsidR="0028410C" w:rsidRPr="0028410C">
        <w:rPr>
          <w:rFonts w:ascii="Palatino Linotype" w:eastAsia="Palatino Linotype" w:hAnsi="Palatino Linotype" w:cs="Times New Roman"/>
          <w:i/>
          <w:sz w:val="22"/>
          <w:szCs w:val="22"/>
        </w:rPr>
        <w:t xml:space="preserve"> de una nueva propuesta que permita la </w:t>
      </w:r>
      <w:proofErr w:type="spellStart"/>
      <w:r w:rsidR="0028410C" w:rsidRPr="0028410C">
        <w:rPr>
          <w:rFonts w:ascii="Palatino Linotype" w:eastAsia="Palatino Linotype" w:hAnsi="Palatino Linotype" w:cs="Times New Roman"/>
          <w:i/>
          <w:sz w:val="22"/>
          <w:szCs w:val="22"/>
        </w:rPr>
        <w:t>aplicación</w:t>
      </w:r>
      <w:proofErr w:type="spellEnd"/>
      <w:r w:rsidR="0028410C" w:rsidRPr="0028410C">
        <w:rPr>
          <w:rFonts w:ascii="Palatino Linotype" w:eastAsia="Palatino Linotype" w:hAnsi="Palatino Linotype" w:cs="Times New Roman"/>
          <w:i/>
          <w:sz w:val="22"/>
          <w:szCs w:val="22"/>
        </w:rPr>
        <w:t xml:space="preserve"> de las resoluciones de </w:t>
      </w:r>
      <w:proofErr w:type="spellStart"/>
      <w:r w:rsidR="0028410C" w:rsidRPr="0028410C">
        <w:rPr>
          <w:rFonts w:ascii="Palatino Linotype" w:eastAsia="Palatino Linotype" w:hAnsi="Palatino Linotype" w:cs="Times New Roman"/>
          <w:i/>
          <w:sz w:val="22"/>
          <w:szCs w:val="22"/>
        </w:rPr>
        <w:t>aplicación</w:t>
      </w:r>
      <w:proofErr w:type="spellEnd"/>
      <w:r w:rsidR="0028410C" w:rsidRPr="0028410C">
        <w:rPr>
          <w:rFonts w:ascii="Palatino Linotype" w:eastAsia="Palatino Linotype" w:hAnsi="Palatino Linotype" w:cs="Times New Roman"/>
          <w:i/>
          <w:sz w:val="22"/>
          <w:szCs w:val="22"/>
        </w:rPr>
        <w:t xml:space="preserve"> de datos de </w:t>
      </w:r>
      <w:proofErr w:type="spellStart"/>
      <w:r w:rsidR="0028410C" w:rsidRPr="0028410C">
        <w:rPr>
          <w:rFonts w:ascii="Palatino Linotype" w:eastAsia="Palatino Linotype" w:hAnsi="Palatino Linotype" w:cs="Times New Roman"/>
          <w:i/>
          <w:sz w:val="22"/>
          <w:szCs w:val="22"/>
        </w:rPr>
        <w:t>zonificación</w:t>
      </w:r>
      <w:proofErr w:type="spellEnd"/>
      <w:r w:rsidR="0028410C" w:rsidRPr="0028410C">
        <w:rPr>
          <w:rFonts w:ascii="Palatino Linotype" w:eastAsia="Palatino Linotype" w:hAnsi="Palatino Linotype" w:cs="Times New Roman"/>
          <w:i/>
          <w:sz w:val="22"/>
          <w:szCs w:val="22"/>
        </w:rPr>
        <w:t xml:space="preserve"> vigentes con la finalidad de generar una </w:t>
      </w:r>
      <w:proofErr w:type="spellStart"/>
      <w:r w:rsidR="0028410C" w:rsidRPr="0028410C">
        <w:rPr>
          <w:rFonts w:ascii="Palatino Linotype" w:eastAsia="Palatino Linotype" w:hAnsi="Palatino Linotype" w:cs="Times New Roman"/>
          <w:i/>
          <w:sz w:val="22"/>
          <w:szCs w:val="22"/>
        </w:rPr>
        <w:t>lógica</w:t>
      </w:r>
      <w:proofErr w:type="spellEnd"/>
      <w:r w:rsidR="0028410C" w:rsidRPr="0028410C">
        <w:rPr>
          <w:rFonts w:ascii="Palatino Linotype" w:eastAsia="Palatino Linotype" w:hAnsi="Palatino Linotype" w:cs="Times New Roman"/>
          <w:i/>
          <w:sz w:val="22"/>
          <w:szCs w:val="22"/>
        </w:rPr>
        <w:t xml:space="preserve"> de determinantes </w:t>
      </w:r>
      <w:proofErr w:type="spellStart"/>
      <w:r w:rsidR="0028410C" w:rsidRPr="0028410C">
        <w:rPr>
          <w:rFonts w:ascii="Palatino Linotype" w:eastAsia="Palatino Linotype" w:hAnsi="Palatino Linotype" w:cs="Times New Roman"/>
          <w:i/>
          <w:sz w:val="22"/>
          <w:szCs w:val="22"/>
        </w:rPr>
        <w:t>urbanísticos</w:t>
      </w:r>
      <w:proofErr w:type="spellEnd"/>
      <w:r w:rsidR="0028410C" w:rsidRPr="0028410C">
        <w:rPr>
          <w:rFonts w:ascii="Palatino Linotype" w:eastAsia="Palatino Linotype" w:hAnsi="Palatino Linotype" w:cs="Times New Roman"/>
          <w:i/>
          <w:sz w:val="22"/>
          <w:szCs w:val="22"/>
        </w:rPr>
        <w:t xml:space="preserve"> que </w:t>
      </w:r>
      <w:proofErr w:type="spellStart"/>
      <w:r w:rsidR="0028410C" w:rsidRPr="0028410C">
        <w:rPr>
          <w:rFonts w:ascii="Palatino Linotype" w:eastAsia="Palatino Linotype" w:hAnsi="Palatino Linotype" w:cs="Times New Roman"/>
          <w:i/>
          <w:sz w:val="22"/>
          <w:szCs w:val="22"/>
        </w:rPr>
        <w:t>estén</w:t>
      </w:r>
      <w:proofErr w:type="spellEnd"/>
      <w:r w:rsidR="0028410C" w:rsidRPr="0028410C">
        <w:rPr>
          <w:rFonts w:ascii="Palatino Linotype" w:eastAsia="Palatino Linotype" w:hAnsi="Palatino Linotype" w:cs="Times New Roman"/>
          <w:i/>
          <w:sz w:val="22"/>
          <w:szCs w:val="22"/>
        </w:rPr>
        <w:t xml:space="preserve"> en </w:t>
      </w:r>
      <w:proofErr w:type="spellStart"/>
      <w:r w:rsidR="0028410C" w:rsidRPr="0028410C">
        <w:rPr>
          <w:rFonts w:ascii="Palatino Linotype" w:eastAsia="Palatino Linotype" w:hAnsi="Palatino Linotype" w:cs="Times New Roman"/>
          <w:i/>
          <w:sz w:val="22"/>
          <w:szCs w:val="22"/>
        </w:rPr>
        <w:t>relación</w:t>
      </w:r>
      <w:proofErr w:type="spellEnd"/>
      <w:r w:rsidR="0028410C" w:rsidRPr="0028410C">
        <w:rPr>
          <w:rFonts w:ascii="Palatino Linotype" w:eastAsia="Palatino Linotype" w:hAnsi="Palatino Linotype" w:cs="Times New Roman"/>
          <w:i/>
          <w:sz w:val="22"/>
          <w:szCs w:val="22"/>
        </w:rPr>
        <w:t xml:space="preserve"> con la realidad rural del entorno y que permita inmediatamente hacer un fraccionamiento rural que incorpore nuevos macro lotes </w:t>
      </w:r>
      <w:proofErr w:type="spellStart"/>
      <w:r w:rsidR="0028410C" w:rsidRPr="0028410C">
        <w:rPr>
          <w:rFonts w:ascii="Palatino Linotype" w:eastAsia="Palatino Linotype" w:hAnsi="Palatino Linotype" w:cs="Times New Roman"/>
          <w:i/>
          <w:sz w:val="22"/>
          <w:szCs w:val="22"/>
        </w:rPr>
        <w:t>agrícolas</w:t>
      </w:r>
      <w:proofErr w:type="spellEnd"/>
      <w:r w:rsidR="0028410C" w:rsidRPr="0028410C">
        <w:rPr>
          <w:rFonts w:ascii="Palatino Linotype" w:eastAsia="Palatino Linotype" w:hAnsi="Palatino Linotype" w:cs="Times New Roman"/>
          <w:i/>
          <w:sz w:val="22"/>
          <w:szCs w:val="22"/>
        </w:rPr>
        <w:t xml:space="preserve"> a la trama del sector (...)”</w:t>
      </w:r>
    </w:p>
    <w:p w14:paraId="0AA5F9C2" w14:textId="77777777" w:rsidR="0028410C" w:rsidRDefault="0028410C" w:rsidP="0028410C">
      <w:pPr>
        <w:jc w:val="both"/>
        <w:rPr>
          <w:rFonts w:ascii="Calibri,Italic" w:hAnsi="Calibri,Italic"/>
          <w:i/>
          <w:sz w:val="22"/>
          <w:szCs w:val="22"/>
        </w:rPr>
      </w:pPr>
    </w:p>
    <w:p w14:paraId="6618D309" w14:textId="7543BFE1" w:rsidR="005C2009" w:rsidRPr="005C2009" w:rsidRDefault="005C2009" w:rsidP="0028410C">
      <w:pPr>
        <w:jc w:val="both"/>
        <w:rPr>
          <w:rFonts w:ascii="Palatino Linotype" w:eastAsia="Palatino Linotype" w:hAnsi="Palatino Linotype"/>
          <w:sz w:val="22"/>
          <w:szCs w:val="22"/>
        </w:rPr>
      </w:pPr>
      <w:r w:rsidRPr="28D3DB25">
        <w:rPr>
          <w:rFonts w:ascii="Palatino Linotype" w:eastAsia="Palatino Linotype" w:hAnsi="Palatino Linotype"/>
          <w:b/>
          <w:bCs/>
          <w:sz w:val="22"/>
          <w:szCs w:val="22"/>
        </w:rPr>
        <w:t>Que,</w:t>
      </w:r>
      <w:r w:rsidRPr="28D3DB25">
        <w:rPr>
          <w:rFonts w:ascii="Palatino Linotype" w:eastAsia="Palatino Linotype" w:hAnsi="Palatino Linotype"/>
          <w:sz w:val="22"/>
          <w:szCs w:val="22"/>
        </w:rPr>
        <w:t xml:space="preserve"> el 06 de julio de 2021 mediante </w:t>
      </w:r>
      <w:r w:rsidR="00485CE5">
        <w:rPr>
          <w:rFonts w:ascii="Palatino Linotype" w:eastAsia="Palatino Linotype" w:hAnsi="Palatino Linotype"/>
          <w:sz w:val="22"/>
          <w:szCs w:val="22"/>
        </w:rPr>
        <w:t>o</w:t>
      </w:r>
      <w:r w:rsidRPr="28D3DB25">
        <w:rPr>
          <w:rFonts w:ascii="Palatino Linotype" w:eastAsia="Palatino Linotype" w:hAnsi="Palatino Linotype"/>
          <w:sz w:val="22"/>
          <w:szCs w:val="22"/>
        </w:rPr>
        <w:t>ficio Nro. STHV-2021-0708-O</w:t>
      </w:r>
      <w:r w:rsidR="00485CE5">
        <w:rPr>
          <w:rFonts w:ascii="Palatino Linotype" w:eastAsia="Palatino Linotype" w:hAnsi="Palatino Linotype"/>
          <w:sz w:val="22"/>
          <w:szCs w:val="22"/>
        </w:rPr>
        <w:t>,</w:t>
      </w:r>
      <w:r w:rsidRPr="28D3DB25">
        <w:rPr>
          <w:rFonts w:ascii="Palatino Linotype" w:eastAsia="Palatino Linotype" w:hAnsi="Palatino Linotype"/>
          <w:sz w:val="22"/>
          <w:szCs w:val="22"/>
        </w:rPr>
        <w:t xml:space="preserve"> la Secretaría de Territorio, Hábitat y Vivienda</w:t>
      </w:r>
      <w:r w:rsidR="00485CE5">
        <w:rPr>
          <w:rFonts w:ascii="Palatino Linotype" w:eastAsia="Palatino Linotype" w:hAnsi="Palatino Linotype"/>
          <w:sz w:val="22"/>
          <w:szCs w:val="22"/>
        </w:rPr>
        <w:t>,</w:t>
      </w:r>
      <w:r w:rsidRPr="28D3DB25">
        <w:rPr>
          <w:rFonts w:ascii="Palatino Linotype" w:eastAsia="Palatino Linotype" w:hAnsi="Palatino Linotype"/>
          <w:sz w:val="22"/>
          <w:szCs w:val="22"/>
        </w:rPr>
        <w:t xml:space="preserve"> remite a la Secretaría General del Concejo Metropolitano, el informe técnico para el predio 5782698</w:t>
      </w:r>
      <w:r w:rsidR="00273B4C" w:rsidRPr="28D3DB25">
        <w:rPr>
          <w:rFonts w:ascii="Palatino Linotype" w:eastAsia="Palatino Linotype" w:hAnsi="Palatino Linotype"/>
          <w:sz w:val="22"/>
          <w:szCs w:val="22"/>
        </w:rPr>
        <w:t>.</w:t>
      </w:r>
    </w:p>
    <w:p w14:paraId="60C82148" w14:textId="19791AB2" w:rsidR="28D3DB25" w:rsidRDefault="28D3DB25" w:rsidP="28D3DB25">
      <w:pPr>
        <w:jc w:val="both"/>
        <w:rPr>
          <w:rFonts w:ascii="Palatino Linotype" w:eastAsia="Palatino Linotype" w:hAnsi="Palatino Linotype"/>
          <w:sz w:val="22"/>
          <w:szCs w:val="22"/>
        </w:rPr>
      </w:pPr>
    </w:p>
    <w:p w14:paraId="53E20DAE" w14:textId="6621FB44" w:rsidR="00EA6CE8" w:rsidRPr="005C2009" w:rsidRDefault="00EA6CE8" w:rsidP="00EA6CE8">
      <w:pPr>
        <w:pBdr>
          <w:top w:val="nil"/>
          <w:left w:val="nil"/>
          <w:bottom w:val="nil"/>
          <w:right w:val="nil"/>
          <w:between w:val="nil"/>
        </w:pBdr>
        <w:jc w:val="both"/>
        <w:rPr>
          <w:rFonts w:ascii="Calibri" w:eastAsia="Times New Roman" w:hAnsi="Calibri" w:cs="Calibri"/>
          <w:sz w:val="22"/>
          <w:szCs w:val="22"/>
          <w:highlight w:val="yellow"/>
          <w:lang w:val="es-EC" w:eastAsia="es-ES_tradnl"/>
        </w:rPr>
      </w:pPr>
      <w:r w:rsidRPr="0033693E">
        <w:rPr>
          <w:rFonts w:ascii="Palatino Linotype" w:eastAsia="Palatino Linotype" w:hAnsi="Palatino Linotype" w:cs="Times New Roman"/>
          <w:b/>
          <w:color w:val="000000"/>
          <w:sz w:val="22"/>
          <w:szCs w:val="22"/>
        </w:rPr>
        <w:t>Que</w:t>
      </w:r>
      <w:r w:rsidRPr="005C2009">
        <w:rPr>
          <w:rFonts w:ascii="Palatino Linotype" w:eastAsia="Palatino Linotype" w:hAnsi="Palatino Linotype" w:cs="Times New Roman"/>
          <w:b/>
          <w:color w:val="000000"/>
          <w:sz w:val="22"/>
          <w:szCs w:val="22"/>
        </w:rPr>
        <w:t>,</w:t>
      </w:r>
      <w:r w:rsidRPr="005C2009">
        <w:rPr>
          <w:rFonts w:ascii="Palatino Linotype" w:eastAsia="Palatino Linotype" w:hAnsi="Palatino Linotype" w:cs="Times New Roman"/>
          <w:color w:val="000000"/>
          <w:sz w:val="22"/>
          <w:szCs w:val="22"/>
        </w:rPr>
        <w:t xml:space="preserve"> </w:t>
      </w:r>
      <w:r w:rsidRPr="0033693E">
        <w:rPr>
          <w:rFonts w:ascii="Palatino Linotype" w:eastAsia="Palatino Linotype" w:hAnsi="Palatino Linotype" w:cs="Times New Roman"/>
          <w:color w:val="000000"/>
          <w:sz w:val="22"/>
          <w:szCs w:val="22"/>
        </w:rPr>
        <w:t>m</w:t>
      </w:r>
      <w:r w:rsidRPr="005C2009">
        <w:rPr>
          <w:rFonts w:ascii="Palatino Linotype" w:eastAsia="Palatino Linotype" w:hAnsi="Palatino Linotype" w:cs="Times New Roman"/>
          <w:color w:val="000000"/>
          <w:sz w:val="22"/>
          <w:szCs w:val="22"/>
        </w:rPr>
        <w:t xml:space="preserve">ediante Ordenanza Metropolitana </w:t>
      </w:r>
      <w:r w:rsidR="005C2009" w:rsidRPr="005C2009">
        <w:rPr>
          <w:rFonts w:ascii="Palatino Linotype" w:eastAsia="Palatino Linotype" w:hAnsi="Palatino Linotype" w:cs="Times New Roman"/>
          <w:color w:val="000000"/>
          <w:sz w:val="22"/>
          <w:szCs w:val="22"/>
        </w:rPr>
        <w:t>PMDOT-PUGS No. 001 - 2021</w:t>
      </w:r>
      <w:r w:rsidRPr="005C2009">
        <w:rPr>
          <w:rFonts w:ascii="Palatino Linotype" w:eastAsia="Palatino Linotype" w:hAnsi="Palatino Linotype" w:cs="Times New Roman"/>
          <w:color w:val="000000"/>
          <w:sz w:val="22"/>
          <w:szCs w:val="22"/>
        </w:rPr>
        <w:t xml:space="preserve"> sancionada el </w:t>
      </w:r>
      <w:r w:rsidR="005C2009" w:rsidRPr="005C2009">
        <w:rPr>
          <w:rFonts w:ascii="Palatino Linotype" w:eastAsia="Palatino Linotype" w:hAnsi="Palatino Linotype" w:cs="Times New Roman"/>
          <w:color w:val="000000"/>
          <w:sz w:val="22"/>
          <w:szCs w:val="22"/>
        </w:rPr>
        <w:t>13 de septiembre de 2021</w:t>
      </w:r>
      <w:r w:rsidRPr="005C2009">
        <w:rPr>
          <w:rFonts w:ascii="Palatino Linotype" w:eastAsia="Palatino Linotype" w:hAnsi="Palatino Linotype" w:cs="Times New Roman"/>
          <w:color w:val="000000"/>
          <w:sz w:val="22"/>
          <w:szCs w:val="22"/>
        </w:rPr>
        <w:t xml:space="preserve">, </w:t>
      </w:r>
      <w:r w:rsidR="00485CE5">
        <w:rPr>
          <w:color w:val="000000"/>
          <w:sz w:val="21"/>
          <w:szCs w:val="21"/>
        </w:rPr>
        <w:t>se</w:t>
      </w:r>
      <w:r w:rsidR="00485CE5" w:rsidRPr="00E353A5">
        <w:rPr>
          <w:sz w:val="21"/>
          <w:szCs w:val="21"/>
        </w:rPr>
        <w:t xml:space="preserve"> apr</w:t>
      </w:r>
      <w:r w:rsidR="00485CE5">
        <w:rPr>
          <w:sz w:val="21"/>
          <w:szCs w:val="21"/>
        </w:rPr>
        <w:t xml:space="preserve">ueba </w:t>
      </w:r>
      <w:r w:rsidR="00485CE5" w:rsidRPr="00E353A5">
        <w:rPr>
          <w:sz w:val="21"/>
          <w:szCs w:val="21"/>
        </w:rPr>
        <w:t xml:space="preserve">la </w:t>
      </w:r>
      <w:proofErr w:type="spellStart"/>
      <w:r w:rsidR="00485CE5" w:rsidRPr="00E353A5">
        <w:rPr>
          <w:sz w:val="21"/>
          <w:szCs w:val="21"/>
        </w:rPr>
        <w:t>actualización</w:t>
      </w:r>
      <w:proofErr w:type="spellEnd"/>
      <w:r w:rsidR="00485CE5" w:rsidRPr="00E353A5">
        <w:rPr>
          <w:sz w:val="21"/>
          <w:szCs w:val="21"/>
        </w:rPr>
        <w:t xml:space="preserve"> del Plan Metropolitano de Desarrollo y Ordenamiento Territorial y la </w:t>
      </w:r>
      <w:proofErr w:type="spellStart"/>
      <w:r w:rsidR="00485CE5" w:rsidRPr="00E353A5">
        <w:rPr>
          <w:sz w:val="21"/>
          <w:szCs w:val="21"/>
        </w:rPr>
        <w:t>aprobación</w:t>
      </w:r>
      <w:proofErr w:type="spellEnd"/>
      <w:r w:rsidR="00485CE5" w:rsidRPr="00E353A5">
        <w:rPr>
          <w:sz w:val="21"/>
          <w:szCs w:val="21"/>
        </w:rPr>
        <w:t xml:space="preserve"> del Plan de Uso y </w:t>
      </w:r>
      <w:proofErr w:type="spellStart"/>
      <w:r w:rsidR="00485CE5" w:rsidRPr="00E353A5">
        <w:rPr>
          <w:sz w:val="21"/>
          <w:szCs w:val="21"/>
        </w:rPr>
        <w:t>Gestión</w:t>
      </w:r>
      <w:proofErr w:type="spellEnd"/>
      <w:r w:rsidR="00485CE5" w:rsidRPr="00E353A5">
        <w:rPr>
          <w:sz w:val="21"/>
          <w:szCs w:val="21"/>
        </w:rPr>
        <w:t xml:space="preserve"> del Suelo del Distrito Metropolitano de Quit</w:t>
      </w:r>
      <w:r w:rsidR="00485CE5">
        <w:rPr>
          <w:sz w:val="21"/>
          <w:szCs w:val="21"/>
        </w:rPr>
        <w:t>o</w:t>
      </w:r>
      <w:r w:rsidR="005C2009" w:rsidRPr="005C2009">
        <w:rPr>
          <w:rFonts w:ascii="Palatino Linotype" w:eastAsia="Palatino Linotype" w:hAnsi="Palatino Linotype" w:cs="Times New Roman"/>
          <w:color w:val="000000"/>
          <w:sz w:val="22"/>
          <w:szCs w:val="22"/>
        </w:rPr>
        <w:t>.</w:t>
      </w:r>
    </w:p>
    <w:p w14:paraId="7B1D0BC4" w14:textId="24596A05" w:rsidR="00EA6CE8"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2233A05C" w14:textId="77777777" w:rsidR="00EA6CE8" w:rsidRPr="0033693E" w:rsidRDefault="00EA6CE8" w:rsidP="00EA6CE8">
      <w:pPr>
        <w:pBdr>
          <w:top w:val="nil"/>
          <w:left w:val="nil"/>
          <w:bottom w:val="nil"/>
          <w:right w:val="nil"/>
          <w:between w:val="nil"/>
        </w:pBdr>
        <w:jc w:val="both"/>
        <w:rPr>
          <w:rFonts w:ascii="Palatino Linotype" w:eastAsia="Palatino Linotype" w:hAnsi="Palatino Linotype" w:cs="Times New Roman"/>
          <w:color w:val="000000"/>
          <w:sz w:val="22"/>
          <w:szCs w:val="22"/>
        </w:rPr>
      </w:pPr>
    </w:p>
    <w:p w14:paraId="77032B97" w14:textId="77777777" w:rsidR="00EA6CE8" w:rsidRPr="00047A81" w:rsidRDefault="00EA6CE8" w:rsidP="00EA6CE8">
      <w:pPr>
        <w:autoSpaceDE w:val="0"/>
        <w:autoSpaceDN w:val="0"/>
        <w:adjustRightInd w:val="0"/>
        <w:spacing w:line="276" w:lineRule="auto"/>
        <w:jc w:val="both"/>
        <w:rPr>
          <w:rFonts w:ascii="Palatino Linotype" w:hAnsi="Palatino Linotype"/>
          <w:b/>
          <w:bCs/>
          <w:sz w:val="22"/>
          <w:szCs w:val="22"/>
          <w:lang w:val="es-EC"/>
        </w:rPr>
      </w:pPr>
      <w:r w:rsidRPr="00047A81">
        <w:rPr>
          <w:rFonts w:ascii="Palatino Linotype" w:hAnsi="Palatino Linotype"/>
          <w:b/>
          <w:bCs/>
          <w:sz w:val="22"/>
          <w:szCs w:val="22"/>
          <w:lang w:val="es-EC"/>
        </w:rPr>
        <w:t xml:space="preserve">En ejercicio de las atribuciones previstas en el artículo 240 de la Constitución de la República; y artículos 87 literal a) y 323 del Código Orgánico de Organización Territorial, Autonomía y Descentralización. </w:t>
      </w:r>
    </w:p>
    <w:p w14:paraId="4FAC4959" w14:textId="77777777" w:rsidR="00EA6CE8" w:rsidRPr="00047A81" w:rsidRDefault="00EA6CE8" w:rsidP="00EA6CE8">
      <w:pPr>
        <w:autoSpaceDE w:val="0"/>
        <w:autoSpaceDN w:val="0"/>
        <w:adjustRightInd w:val="0"/>
        <w:spacing w:line="276" w:lineRule="auto"/>
        <w:jc w:val="both"/>
        <w:rPr>
          <w:rFonts w:ascii="Palatino Linotype" w:hAnsi="Palatino Linotype"/>
          <w:b/>
          <w:bCs/>
          <w:sz w:val="22"/>
          <w:szCs w:val="22"/>
          <w:lang w:val="es-EC"/>
        </w:rPr>
      </w:pPr>
    </w:p>
    <w:p w14:paraId="1F86C129" w14:textId="77777777" w:rsidR="00EA6CE8" w:rsidRPr="00047A81" w:rsidRDefault="00EA6CE8" w:rsidP="00EA6CE8">
      <w:pPr>
        <w:autoSpaceDE w:val="0"/>
        <w:autoSpaceDN w:val="0"/>
        <w:adjustRightInd w:val="0"/>
        <w:spacing w:line="276" w:lineRule="auto"/>
        <w:jc w:val="center"/>
        <w:rPr>
          <w:rFonts w:ascii="Palatino Linotype" w:hAnsi="Palatino Linotype"/>
          <w:b/>
          <w:bCs/>
          <w:sz w:val="22"/>
          <w:szCs w:val="22"/>
          <w:lang w:val="es-EC"/>
        </w:rPr>
      </w:pPr>
      <w:r w:rsidRPr="00047A81">
        <w:rPr>
          <w:rFonts w:ascii="Palatino Linotype" w:hAnsi="Palatino Linotype"/>
          <w:b/>
          <w:bCs/>
          <w:sz w:val="22"/>
          <w:szCs w:val="22"/>
          <w:lang w:val="es-EC"/>
        </w:rPr>
        <w:t>RESUELVE:</w:t>
      </w:r>
    </w:p>
    <w:p w14:paraId="0FAD15F8" w14:textId="77777777" w:rsidR="00EA6CE8" w:rsidRPr="005C2009" w:rsidRDefault="00EA6CE8" w:rsidP="00EA6CE8">
      <w:pPr>
        <w:autoSpaceDE w:val="0"/>
        <w:autoSpaceDN w:val="0"/>
        <w:adjustRightInd w:val="0"/>
        <w:spacing w:line="276" w:lineRule="auto"/>
        <w:jc w:val="center"/>
        <w:rPr>
          <w:rFonts w:ascii="Palatino Linotype" w:eastAsia="Palatino Linotype" w:hAnsi="Palatino Linotype" w:cs="Times New Roman"/>
          <w:color w:val="222222"/>
          <w:sz w:val="22"/>
          <w:szCs w:val="22"/>
          <w:highlight w:val="white"/>
        </w:rPr>
      </w:pPr>
    </w:p>
    <w:p w14:paraId="781605FD" w14:textId="215D0327" w:rsidR="005C2009" w:rsidRDefault="005C2009" w:rsidP="005C2009">
      <w:pPr>
        <w:jc w:val="both"/>
        <w:rPr>
          <w:rFonts w:ascii="Palatino Linotype" w:eastAsia="Palatino Linotype" w:hAnsi="Palatino Linotype" w:cs="Times New Roman"/>
          <w:color w:val="222222"/>
          <w:sz w:val="22"/>
          <w:szCs w:val="22"/>
          <w:highlight w:val="white"/>
        </w:rPr>
      </w:pPr>
      <w:r w:rsidRPr="005C2009">
        <w:rPr>
          <w:rFonts w:ascii="Palatino Linotype" w:eastAsia="Palatino Linotype" w:hAnsi="Palatino Linotype" w:cs="Times New Roman"/>
          <w:b/>
          <w:color w:val="222222"/>
          <w:sz w:val="22"/>
          <w:szCs w:val="22"/>
          <w:highlight w:val="white"/>
        </w:rPr>
        <w:t>Artículo 1.-</w:t>
      </w:r>
      <w:r w:rsidRPr="005C2009">
        <w:rPr>
          <w:rFonts w:ascii="Palatino Linotype" w:eastAsia="Palatino Linotype" w:hAnsi="Palatino Linotype" w:cs="Times New Roman"/>
          <w:color w:val="222222"/>
          <w:sz w:val="22"/>
          <w:szCs w:val="22"/>
          <w:highlight w:val="white"/>
        </w:rPr>
        <w:t xml:space="preserve"> Deróguese la Resolución </w:t>
      </w:r>
      <w:r w:rsidR="00485CE5">
        <w:rPr>
          <w:rFonts w:ascii="Palatino Linotype" w:eastAsia="Palatino Linotype" w:hAnsi="Palatino Linotype" w:cs="Times New Roman"/>
          <w:color w:val="222222"/>
          <w:sz w:val="22"/>
          <w:szCs w:val="22"/>
          <w:highlight w:val="white"/>
        </w:rPr>
        <w:t xml:space="preserve">Nro. </w:t>
      </w:r>
      <w:r w:rsidRPr="005C2009">
        <w:rPr>
          <w:rFonts w:ascii="Palatino Linotype" w:eastAsia="Palatino Linotype" w:hAnsi="Palatino Linotype" w:cs="Times New Roman"/>
          <w:color w:val="222222"/>
          <w:sz w:val="22"/>
          <w:szCs w:val="22"/>
          <w:highlight w:val="white"/>
        </w:rPr>
        <w:t>C</w:t>
      </w:r>
      <w:r w:rsidR="00485CE5">
        <w:rPr>
          <w:rFonts w:ascii="Palatino Linotype" w:eastAsia="Palatino Linotype" w:hAnsi="Palatino Linotype" w:cs="Times New Roman"/>
          <w:color w:val="222222"/>
          <w:sz w:val="22"/>
          <w:szCs w:val="22"/>
          <w:highlight w:val="white"/>
        </w:rPr>
        <w:t xml:space="preserve"> </w:t>
      </w:r>
      <w:r w:rsidRPr="005C2009">
        <w:rPr>
          <w:rFonts w:ascii="Palatino Linotype" w:eastAsia="Palatino Linotype" w:hAnsi="Palatino Linotype" w:cs="Times New Roman"/>
          <w:color w:val="222222"/>
          <w:sz w:val="22"/>
          <w:szCs w:val="22"/>
          <w:highlight w:val="white"/>
        </w:rPr>
        <w:t>248 de 07 de mayo de 2019.</w:t>
      </w:r>
    </w:p>
    <w:p w14:paraId="6AA24B37" w14:textId="77777777" w:rsidR="005C2009" w:rsidRPr="005C2009" w:rsidRDefault="005C2009" w:rsidP="005C2009">
      <w:pPr>
        <w:jc w:val="both"/>
        <w:rPr>
          <w:rFonts w:ascii="Palatino Linotype" w:eastAsia="Palatino Linotype" w:hAnsi="Palatino Linotype" w:cs="Times New Roman"/>
          <w:color w:val="222222"/>
          <w:sz w:val="22"/>
          <w:szCs w:val="22"/>
          <w:highlight w:val="white"/>
        </w:rPr>
      </w:pPr>
    </w:p>
    <w:p w14:paraId="253F08D2" w14:textId="30904078" w:rsidR="577AEEF6" w:rsidRDefault="577AEEF6" w:rsidP="00E10B66">
      <w:pPr>
        <w:jc w:val="both"/>
        <w:rPr>
          <w:rFonts w:ascii="Palatino Linotype" w:eastAsia="Palatino Linotype" w:hAnsi="Palatino Linotype" w:cs="Palatino Linotype"/>
          <w:color w:val="222222"/>
          <w:sz w:val="22"/>
          <w:szCs w:val="22"/>
          <w:lang w:val="es-ES"/>
        </w:rPr>
      </w:pPr>
      <w:r w:rsidRPr="4949E02A">
        <w:rPr>
          <w:rFonts w:ascii="Palatino Linotype" w:eastAsia="Palatino Linotype" w:hAnsi="Palatino Linotype" w:cs="Palatino Linotype"/>
          <w:b/>
          <w:bCs/>
          <w:color w:val="222222"/>
          <w:sz w:val="22"/>
          <w:szCs w:val="22"/>
          <w:lang w:val="es-ES"/>
        </w:rPr>
        <w:t>Artículo 2.-</w:t>
      </w:r>
      <w:r w:rsidRPr="4949E02A">
        <w:rPr>
          <w:rFonts w:ascii="Palatino Linotype" w:eastAsia="Palatino Linotype" w:hAnsi="Palatino Linotype" w:cs="Palatino Linotype"/>
          <w:color w:val="222222"/>
          <w:sz w:val="22"/>
          <w:szCs w:val="22"/>
          <w:lang w:val="es-ES"/>
        </w:rPr>
        <w:t xml:space="preserve"> Los datos de clasificación, uso de suelo y edificabilidad del predio Nro. 5782698 serán los establecidos en el Plan de </w:t>
      </w:r>
      <w:r w:rsidR="00713599">
        <w:rPr>
          <w:rFonts w:ascii="Palatino Linotype" w:eastAsia="Palatino Linotype" w:hAnsi="Palatino Linotype" w:cs="Palatino Linotype"/>
          <w:color w:val="222222"/>
          <w:sz w:val="22"/>
          <w:szCs w:val="22"/>
          <w:lang w:val="es-ES"/>
        </w:rPr>
        <w:t>U</w:t>
      </w:r>
      <w:r w:rsidR="008642E0">
        <w:rPr>
          <w:rFonts w:ascii="Palatino Linotype" w:eastAsia="Palatino Linotype" w:hAnsi="Palatino Linotype" w:cs="Palatino Linotype"/>
          <w:color w:val="222222"/>
          <w:sz w:val="22"/>
          <w:szCs w:val="22"/>
          <w:lang w:val="es-ES"/>
        </w:rPr>
        <w:t>so y Ocupación de Suelo (PUOS) vigente</w:t>
      </w:r>
      <w:r w:rsidR="00976D1A">
        <w:rPr>
          <w:rFonts w:ascii="Palatino Linotype" w:eastAsia="Palatino Linotype" w:hAnsi="Palatino Linotype" w:cs="Palatino Linotype"/>
          <w:color w:val="222222"/>
          <w:sz w:val="22"/>
          <w:szCs w:val="22"/>
          <w:lang w:val="es-ES"/>
        </w:rPr>
        <w:t>.</w:t>
      </w:r>
      <w:bookmarkStart w:id="0" w:name="_GoBack"/>
      <w:bookmarkEnd w:id="0"/>
      <w:r w:rsidR="008642E0">
        <w:rPr>
          <w:rFonts w:ascii="Palatino Linotype" w:eastAsia="Palatino Linotype" w:hAnsi="Palatino Linotype" w:cs="Palatino Linotype"/>
          <w:color w:val="222222"/>
          <w:sz w:val="22"/>
          <w:szCs w:val="22"/>
          <w:lang w:val="es-ES"/>
        </w:rPr>
        <w:t xml:space="preserve"> </w:t>
      </w:r>
    </w:p>
    <w:p w14:paraId="1BFFB932" w14:textId="6E8C711C" w:rsidR="4949E02A" w:rsidRDefault="4949E02A" w:rsidP="4949E02A">
      <w:pPr>
        <w:jc w:val="both"/>
        <w:rPr>
          <w:rFonts w:ascii="Palatino Linotype" w:eastAsia="Palatino Linotype" w:hAnsi="Palatino Linotype" w:cs="Palatino Linotype"/>
          <w:color w:val="222222"/>
          <w:sz w:val="22"/>
          <w:szCs w:val="22"/>
          <w:lang w:val="es-ES"/>
        </w:rPr>
      </w:pPr>
    </w:p>
    <w:p w14:paraId="5790CE71" w14:textId="268A6893" w:rsidR="577AEEF6" w:rsidRDefault="577AEEF6" w:rsidP="4949E02A">
      <w:pPr>
        <w:jc w:val="both"/>
        <w:rPr>
          <w:rFonts w:ascii="Palatino Linotype" w:eastAsia="Palatino Linotype" w:hAnsi="Palatino Linotype" w:cs="Palatino Linotype"/>
          <w:color w:val="222222"/>
          <w:sz w:val="22"/>
          <w:szCs w:val="22"/>
          <w:lang w:val="es-ES"/>
        </w:rPr>
      </w:pPr>
      <w:r w:rsidRPr="4949E02A">
        <w:rPr>
          <w:rFonts w:ascii="Palatino Linotype" w:eastAsia="Palatino Linotype" w:hAnsi="Palatino Linotype" w:cs="Palatino Linotype"/>
          <w:b/>
          <w:bCs/>
          <w:color w:val="222222"/>
          <w:sz w:val="22"/>
          <w:szCs w:val="22"/>
          <w:lang w:val="es-ES"/>
        </w:rPr>
        <w:lastRenderedPageBreak/>
        <w:t>Artículo 3.-</w:t>
      </w:r>
      <w:r w:rsidRPr="4949E02A">
        <w:rPr>
          <w:rFonts w:ascii="Palatino Linotype" w:eastAsia="Palatino Linotype" w:hAnsi="Palatino Linotype" w:cs="Palatino Linotype"/>
          <w:color w:val="222222"/>
          <w:sz w:val="22"/>
          <w:szCs w:val="22"/>
          <w:lang w:val="es-ES"/>
        </w:rPr>
        <w:t xml:space="preserve"> Una vez sancionada la Ordenanza Metropolitana que contendrá la reforma del Régimen Administrativo de Suelo las asignaciones de aprovechamiento urbanístico serán las establecidas en el Plan de Uso y Gestión de Suelo (PUGS).</w:t>
      </w:r>
    </w:p>
    <w:p w14:paraId="2A5A8EDC" w14:textId="77777777" w:rsidR="005C2009" w:rsidRPr="005C2009" w:rsidRDefault="005C2009" w:rsidP="005C2009">
      <w:pPr>
        <w:jc w:val="both"/>
        <w:rPr>
          <w:rFonts w:ascii="Palatino Linotype" w:eastAsia="Palatino Linotype" w:hAnsi="Palatino Linotype" w:cs="Times New Roman"/>
          <w:color w:val="222222"/>
          <w:sz w:val="22"/>
          <w:szCs w:val="22"/>
          <w:highlight w:val="white"/>
        </w:rPr>
      </w:pPr>
    </w:p>
    <w:p w14:paraId="7D4016C1" w14:textId="502A6199" w:rsidR="005C2009" w:rsidRDefault="005C2009" w:rsidP="005C2009">
      <w:pPr>
        <w:jc w:val="both"/>
        <w:rPr>
          <w:rFonts w:ascii="Palatino Linotype" w:eastAsia="Palatino Linotype" w:hAnsi="Palatino Linotype" w:cs="Times New Roman"/>
          <w:b/>
          <w:color w:val="222222"/>
          <w:sz w:val="22"/>
          <w:szCs w:val="22"/>
          <w:highlight w:val="white"/>
        </w:rPr>
      </w:pPr>
      <w:r w:rsidRPr="005C2009">
        <w:rPr>
          <w:rFonts w:ascii="Palatino Linotype" w:eastAsia="Palatino Linotype" w:hAnsi="Palatino Linotype" w:cs="Times New Roman"/>
          <w:b/>
          <w:color w:val="222222"/>
          <w:sz w:val="22"/>
          <w:szCs w:val="22"/>
          <w:highlight w:val="white"/>
        </w:rPr>
        <w:t xml:space="preserve">Disposiciones generales. </w:t>
      </w:r>
      <w:r>
        <w:rPr>
          <w:rFonts w:ascii="Palatino Linotype" w:eastAsia="Palatino Linotype" w:hAnsi="Palatino Linotype" w:cs="Times New Roman"/>
          <w:b/>
          <w:color w:val="222222"/>
          <w:sz w:val="22"/>
          <w:szCs w:val="22"/>
          <w:highlight w:val="white"/>
        </w:rPr>
        <w:t>–</w:t>
      </w:r>
      <w:r w:rsidRPr="005C2009">
        <w:rPr>
          <w:rFonts w:ascii="Palatino Linotype" w:eastAsia="Palatino Linotype" w:hAnsi="Palatino Linotype" w:cs="Times New Roman"/>
          <w:b/>
          <w:color w:val="222222"/>
          <w:sz w:val="22"/>
          <w:szCs w:val="22"/>
          <w:highlight w:val="white"/>
        </w:rPr>
        <w:t xml:space="preserve"> </w:t>
      </w:r>
    </w:p>
    <w:p w14:paraId="50D96E28" w14:textId="77777777" w:rsidR="005C2009" w:rsidRPr="005C2009" w:rsidRDefault="005C2009" w:rsidP="005C2009">
      <w:pPr>
        <w:jc w:val="both"/>
        <w:rPr>
          <w:rFonts w:ascii="Palatino Linotype" w:eastAsia="Palatino Linotype" w:hAnsi="Palatino Linotype" w:cs="Times New Roman"/>
          <w:b/>
          <w:color w:val="222222"/>
          <w:sz w:val="22"/>
          <w:szCs w:val="22"/>
          <w:highlight w:val="white"/>
        </w:rPr>
      </w:pPr>
    </w:p>
    <w:p w14:paraId="1EB5DE68" w14:textId="084EA7BE" w:rsidR="005C2009" w:rsidRDefault="005C2009" w:rsidP="005C2009">
      <w:pPr>
        <w:jc w:val="both"/>
        <w:rPr>
          <w:rFonts w:ascii="Palatino Linotype" w:eastAsia="Palatino Linotype" w:hAnsi="Palatino Linotype" w:cs="Times New Roman"/>
          <w:color w:val="222222"/>
          <w:sz w:val="22"/>
          <w:szCs w:val="22"/>
          <w:highlight w:val="white"/>
        </w:rPr>
      </w:pPr>
      <w:r w:rsidRPr="28D3DB25">
        <w:rPr>
          <w:rFonts w:ascii="Palatino Linotype" w:eastAsia="Palatino Linotype" w:hAnsi="Palatino Linotype" w:cs="Times New Roman"/>
          <w:b/>
          <w:bCs/>
          <w:color w:val="222222"/>
          <w:sz w:val="22"/>
          <w:szCs w:val="22"/>
          <w:highlight w:val="white"/>
        </w:rPr>
        <w:t>Primera. -</w:t>
      </w:r>
      <w:r w:rsidRPr="28D3DB25">
        <w:rPr>
          <w:rFonts w:ascii="Palatino Linotype" w:eastAsia="Palatino Linotype" w:hAnsi="Palatino Linotype" w:cs="Times New Roman"/>
          <w:color w:val="222222"/>
          <w:sz w:val="22"/>
          <w:szCs w:val="22"/>
          <w:highlight w:val="white"/>
        </w:rPr>
        <w:t xml:space="preserve"> La Secretaría de Territorio, Hábitat y Vivienda, </w:t>
      </w:r>
      <w:r w:rsidR="73312176" w:rsidRPr="28D3DB25">
        <w:rPr>
          <w:rFonts w:ascii="Palatino Linotype" w:eastAsia="Palatino Linotype" w:hAnsi="Palatino Linotype" w:cs="Times New Roman"/>
          <w:color w:val="222222"/>
          <w:sz w:val="22"/>
          <w:szCs w:val="22"/>
          <w:highlight w:val="white"/>
        </w:rPr>
        <w:t xml:space="preserve">asignará </w:t>
      </w:r>
      <w:r w:rsidR="6C0B4F2F" w:rsidRPr="28D3DB25">
        <w:rPr>
          <w:rFonts w:ascii="Palatino Linotype" w:eastAsia="Palatino Linotype" w:hAnsi="Palatino Linotype" w:cs="Times New Roman"/>
          <w:color w:val="222222"/>
          <w:sz w:val="22"/>
          <w:szCs w:val="22"/>
          <w:highlight w:val="white"/>
        </w:rPr>
        <w:t>l</w:t>
      </w:r>
      <w:r w:rsidR="4ACF6B7B" w:rsidRPr="28D3DB25">
        <w:rPr>
          <w:rFonts w:ascii="Palatino Linotype" w:eastAsia="Palatino Linotype" w:hAnsi="Palatino Linotype" w:cs="Times New Roman"/>
          <w:color w:val="222222"/>
          <w:sz w:val="22"/>
          <w:szCs w:val="22"/>
          <w:highlight w:val="white"/>
        </w:rPr>
        <w:t xml:space="preserve">os datos </w:t>
      </w:r>
      <w:r w:rsidR="6C0B4F2F" w:rsidRPr="28D3DB25">
        <w:rPr>
          <w:rFonts w:ascii="Palatino Linotype" w:eastAsia="Palatino Linotype" w:hAnsi="Palatino Linotype" w:cs="Times New Roman"/>
          <w:color w:val="222222"/>
          <w:sz w:val="22"/>
          <w:szCs w:val="22"/>
          <w:highlight w:val="white"/>
        </w:rPr>
        <w:t>de aprovechamiento urbanístico</w:t>
      </w:r>
      <w:r w:rsidR="6F377DD4" w:rsidRPr="28D3DB25">
        <w:rPr>
          <w:rFonts w:ascii="Palatino Linotype" w:eastAsia="Palatino Linotype" w:hAnsi="Palatino Linotype" w:cs="Times New Roman"/>
          <w:color w:val="222222"/>
          <w:sz w:val="22"/>
          <w:szCs w:val="22"/>
          <w:highlight w:val="white"/>
        </w:rPr>
        <w:t>,</w:t>
      </w:r>
      <w:r w:rsidR="6C0B4F2F" w:rsidRPr="28D3DB25">
        <w:rPr>
          <w:rFonts w:ascii="Palatino Linotype" w:eastAsia="Palatino Linotype" w:hAnsi="Palatino Linotype" w:cs="Times New Roman"/>
          <w:color w:val="222222"/>
          <w:sz w:val="22"/>
          <w:szCs w:val="22"/>
          <w:highlight w:val="white"/>
        </w:rPr>
        <w:t xml:space="preserve"> según lo establecido en la presente resolución en la cartografía </w:t>
      </w:r>
      <w:r w:rsidR="457B5D86" w:rsidRPr="28D3DB25">
        <w:rPr>
          <w:rFonts w:ascii="Palatino Linotype" w:eastAsia="Palatino Linotype" w:hAnsi="Palatino Linotype" w:cs="Times New Roman"/>
          <w:color w:val="222222"/>
          <w:sz w:val="22"/>
          <w:szCs w:val="22"/>
          <w:highlight w:val="white"/>
        </w:rPr>
        <w:t>oficial del Distrito Metropolitano de Quito e Informes de Regulación Metropolitana (IRM) de los predios en mención.</w:t>
      </w:r>
    </w:p>
    <w:p w14:paraId="4C85DCD2" w14:textId="467531FD" w:rsidR="00485CE5" w:rsidRDefault="00485CE5" w:rsidP="005C2009">
      <w:pPr>
        <w:jc w:val="both"/>
        <w:rPr>
          <w:rFonts w:ascii="Palatino Linotype" w:eastAsia="Palatino Linotype" w:hAnsi="Palatino Linotype" w:cs="Times New Roman"/>
          <w:color w:val="222222"/>
          <w:sz w:val="22"/>
          <w:szCs w:val="22"/>
          <w:highlight w:val="white"/>
        </w:rPr>
      </w:pPr>
    </w:p>
    <w:p w14:paraId="190B9E9D" w14:textId="2211EF96" w:rsidR="00485CE5" w:rsidRPr="00485CE5" w:rsidRDefault="00485CE5" w:rsidP="005C2009">
      <w:pPr>
        <w:jc w:val="both"/>
        <w:rPr>
          <w:rFonts w:ascii="Palatino Linotype" w:eastAsia="Palatino Linotype" w:hAnsi="Palatino Linotype" w:cs="Times New Roman"/>
          <w:b/>
          <w:bCs/>
          <w:color w:val="222222"/>
          <w:sz w:val="22"/>
          <w:szCs w:val="22"/>
          <w:highlight w:val="white"/>
        </w:rPr>
      </w:pPr>
      <w:r w:rsidRPr="00485CE5">
        <w:rPr>
          <w:rFonts w:ascii="Palatino Linotype" w:eastAsia="Palatino Linotype" w:hAnsi="Palatino Linotype" w:cs="Times New Roman"/>
          <w:b/>
          <w:bCs/>
          <w:color w:val="222222"/>
          <w:sz w:val="22"/>
          <w:szCs w:val="22"/>
          <w:highlight w:val="white"/>
        </w:rPr>
        <w:t>Segunda.-</w:t>
      </w:r>
      <w:r>
        <w:rPr>
          <w:rFonts w:ascii="Palatino Linotype" w:eastAsia="Palatino Linotype" w:hAnsi="Palatino Linotype" w:cs="Times New Roman"/>
          <w:b/>
          <w:bCs/>
          <w:color w:val="222222"/>
          <w:sz w:val="22"/>
          <w:szCs w:val="22"/>
          <w:highlight w:val="white"/>
        </w:rPr>
        <w:t xml:space="preserve"> </w:t>
      </w:r>
      <w:r w:rsidRPr="00DA6485">
        <w:rPr>
          <w:rFonts w:ascii="Palatino Linotype" w:hAnsi="Palatino Linotype"/>
          <w:color w:val="000000"/>
          <w:sz w:val="22"/>
          <w:szCs w:val="22"/>
        </w:rPr>
        <w:t xml:space="preserve">La presente </w:t>
      </w:r>
      <w:r w:rsidR="00675577">
        <w:rPr>
          <w:rFonts w:ascii="Palatino Linotype" w:hAnsi="Palatino Linotype"/>
          <w:color w:val="000000"/>
          <w:sz w:val="22"/>
          <w:szCs w:val="22"/>
        </w:rPr>
        <w:t xml:space="preserve">resolución </w:t>
      </w:r>
      <w:r w:rsidRPr="00DA6485">
        <w:rPr>
          <w:rFonts w:ascii="Palatino Linotype" w:hAnsi="Palatino Linotype"/>
          <w:color w:val="000000"/>
          <w:sz w:val="22"/>
          <w:szCs w:val="22"/>
        </w:rPr>
        <w:t>se aprueba en base a los informes que son de exclusiva responsabilidad de los funcionarios</w:t>
      </w:r>
      <w:r>
        <w:rPr>
          <w:rFonts w:ascii="Palatino Linotype" w:hAnsi="Palatino Linotype"/>
          <w:color w:val="000000"/>
          <w:sz w:val="22"/>
          <w:szCs w:val="22"/>
        </w:rPr>
        <w:t xml:space="preserve"> del Distrito Metropolitano Quito</w:t>
      </w:r>
      <w:r w:rsidR="008D31BD">
        <w:rPr>
          <w:rFonts w:ascii="Palatino Linotype" w:hAnsi="Palatino Linotype"/>
          <w:color w:val="000000"/>
          <w:sz w:val="22"/>
          <w:szCs w:val="22"/>
        </w:rPr>
        <w:t xml:space="preserve"> que</w:t>
      </w:r>
      <w:r w:rsidRPr="00DA6485">
        <w:rPr>
          <w:rFonts w:ascii="Palatino Linotype" w:hAnsi="Palatino Linotype"/>
          <w:color w:val="000000"/>
          <w:sz w:val="22"/>
          <w:szCs w:val="22"/>
        </w:rPr>
        <w:t xml:space="preserve"> </w:t>
      </w:r>
      <w:r>
        <w:rPr>
          <w:rFonts w:ascii="Palatino Linotype" w:hAnsi="Palatino Linotype"/>
          <w:color w:val="000000"/>
          <w:sz w:val="22"/>
          <w:szCs w:val="22"/>
        </w:rPr>
        <w:t xml:space="preserve"> lo realizan y lo </w:t>
      </w:r>
      <w:r w:rsidRPr="00DA6485">
        <w:rPr>
          <w:rFonts w:ascii="Palatino Linotype" w:hAnsi="Palatino Linotype"/>
          <w:color w:val="000000"/>
          <w:sz w:val="22"/>
          <w:szCs w:val="22"/>
        </w:rPr>
        <w:t>suscriben</w:t>
      </w:r>
      <w:r>
        <w:rPr>
          <w:rFonts w:ascii="Palatino Linotype" w:hAnsi="Palatino Linotype"/>
          <w:color w:val="000000"/>
          <w:sz w:val="22"/>
          <w:szCs w:val="22"/>
        </w:rPr>
        <w:t>.</w:t>
      </w:r>
    </w:p>
    <w:p w14:paraId="06182F75" w14:textId="77777777" w:rsidR="00EA6CE8" w:rsidRPr="00047A81" w:rsidRDefault="00EA6CE8" w:rsidP="00EA6CE8">
      <w:pPr>
        <w:autoSpaceDE w:val="0"/>
        <w:autoSpaceDN w:val="0"/>
        <w:adjustRightInd w:val="0"/>
        <w:spacing w:line="276" w:lineRule="auto"/>
        <w:rPr>
          <w:rFonts w:ascii="Palatino Linotype" w:hAnsi="Palatino Linotype"/>
          <w:sz w:val="22"/>
          <w:szCs w:val="22"/>
          <w:lang w:val="es-EC"/>
        </w:rPr>
      </w:pPr>
    </w:p>
    <w:p w14:paraId="68E15A71" w14:textId="77777777" w:rsidR="00EA6CE8" w:rsidRPr="00047A81" w:rsidRDefault="00EA6CE8" w:rsidP="00EA6CE8">
      <w:pPr>
        <w:autoSpaceDE w:val="0"/>
        <w:autoSpaceDN w:val="0"/>
        <w:adjustRightInd w:val="0"/>
        <w:spacing w:line="276" w:lineRule="auto"/>
        <w:jc w:val="both"/>
        <w:rPr>
          <w:rFonts w:ascii="Palatino Linotype" w:hAnsi="Palatino Linotype"/>
          <w:sz w:val="22"/>
          <w:szCs w:val="22"/>
          <w:lang w:val="es-EC"/>
        </w:rPr>
      </w:pPr>
      <w:r w:rsidRPr="00047A81">
        <w:rPr>
          <w:rFonts w:ascii="Palatino Linotype" w:hAnsi="Palatino Linotype"/>
          <w:b/>
          <w:sz w:val="22"/>
          <w:szCs w:val="22"/>
          <w:lang w:val="es-EC"/>
        </w:rPr>
        <w:t>Disposición Final.-</w:t>
      </w:r>
      <w:r w:rsidRPr="00047A81">
        <w:rPr>
          <w:rFonts w:ascii="Palatino Linotype" w:hAnsi="Palatino Linotype"/>
          <w:sz w:val="22"/>
          <w:szCs w:val="22"/>
          <w:lang w:val="es-EC"/>
        </w:rPr>
        <w:t xml:space="preserve"> La presente resolución entrará en vigencia a partir de su suscripción sin perjuicio de su publicación.</w:t>
      </w:r>
    </w:p>
    <w:p w14:paraId="28579112" w14:textId="77777777" w:rsidR="00EA6CE8" w:rsidRPr="00047A81" w:rsidRDefault="00EA6CE8" w:rsidP="00EA6CE8">
      <w:pPr>
        <w:autoSpaceDE w:val="0"/>
        <w:autoSpaceDN w:val="0"/>
        <w:adjustRightInd w:val="0"/>
        <w:spacing w:line="276" w:lineRule="auto"/>
        <w:jc w:val="both"/>
        <w:rPr>
          <w:rFonts w:ascii="Palatino Linotype" w:hAnsi="Palatino Linotype"/>
          <w:sz w:val="22"/>
          <w:szCs w:val="22"/>
          <w:lang w:val="es-EC"/>
        </w:rPr>
      </w:pPr>
    </w:p>
    <w:p w14:paraId="42652838" w14:textId="77777777" w:rsidR="00EA6CE8" w:rsidRPr="00047A81" w:rsidRDefault="00EA6CE8" w:rsidP="00EA6CE8">
      <w:pPr>
        <w:spacing w:line="276" w:lineRule="auto"/>
        <w:ind w:left="-5"/>
        <w:jc w:val="both"/>
        <w:rPr>
          <w:rFonts w:ascii="Palatino Linotype" w:hAnsi="Palatino Linotype"/>
          <w:sz w:val="22"/>
          <w:szCs w:val="22"/>
        </w:rPr>
      </w:pPr>
      <w:r w:rsidRPr="00047A81">
        <w:rPr>
          <w:rFonts w:ascii="Palatino Linotype" w:hAnsi="Palatino Linotype"/>
          <w:sz w:val="22"/>
          <w:szCs w:val="22"/>
        </w:rPr>
        <w:t xml:space="preserve">Dada en la sesión del Concejo Metropolitano de Quito, el </w:t>
      </w:r>
    </w:p>
    <w:p w14:paraId="3DC4CD87" w14:textId="77777777" w:rsidR="00EA6CE8" w:rsidRPr="00047A81" w:rsidRDefault="00EA6CE8" w:rsidP="00EA6CE8">
      <w:pPr>
        <w:spacing w:line="276" w:lineRule="auto"/>
        <w:ind w:left="-5"/>
        <w:jc w:val="both"/>
        <w:rPr>
          <w:rFonts w:ascii="Palatino Linotype" w:hAnsi="Palatino Linotype"/>
          <w:sz w:val="22"/>
          <w:szCs w:val="22"/>
        </w:rPr>
      </w:pPr>
    </w:p>
    <w:p w14:paraId="420D7E13" w14:textId="77777777" w:rsidR="00EA6CE8" w:rsidRPr="00047A81" w:rsidRDefault="00EA6CE8" w:rsidP="00EA6CE8">
      <w:pPr>
        <w:spacing w:line="276" w:lineRule="auto"/>
        <w:ind w:left="-5" w:right="-143"/>
        <w:jc w:val="both"/>
        <w:rPr>
          <w:rFonts w:ascii="Palatino Linotype" w:hAnsi="Palatino Linotype"/>
          <w:sz w:val="22"/>
          <w:szCs w:val="22"/>
        </w:rPr>
      </w:pPr>
      <w:r w:rsidRPr="00047A81">
        <w:rPr>
          <w:rFonts w:ascii="Palatino Linotype" w:hAnsi="Palatino Linotype"/>
          <w:b/>
          <w:sz w:val="22"/>
          <w:szCs w:val="22"/>
        </w:rPr>
        <w:t xml:space="preserve">Alcaldía del Distrito Metropolitano. - </w:t>
      </w:r>
      <w:r w:rsidRPr="00047A81">
        <w:rPr>
          <w:rFonts w:ascii="Palatino Linotype" w:hAnsi="Palatino Linotype"/>
          <w:sz w:val="22"/>
          <w:szCs w:val="22"/>
        </w:rPr>
        <w:t xml:space="preserve">Distrito Metropolitano de Quito, </w:t>
      </w:r>
    </w:p>
    <w:p w14:paraId="1AAA6410" w14:textId="77777777" w:rsidR="00EA6CE8" w:rsidRPr="00047A81" w:rsidRDefault="00EA6CE8" w:rsidP="00EA6CE8">
      <w:pPr>
        <w:spacing w:line="276" w:lineRule="auto"/>
        <w:jc w:val="both"/>
        <w:rPr>
          <w:rFonts w:ascii="Palatino Linotype" w:hAnsi="Palatino Linotype"/>
          <w:sz w:val="22"/>
          <w:szCs w:val="22"/>
        </w:rPr>
      </w:pPr>
    </w:p>
    <w:p w14:paraId="15CD8664" w14:textId="77777777" w:rsidR="00EA6CE8" w:rsidRPr="00047A81" w:rsidRDefault="00EA6CE8" w:rsidP="00EA6CE8">
      <w:pPr>
        <w:spacing w:line="276" w:lineRule="auto"/>
        <w:jc w:val="center"/>
        <w:rPr>
          <w:rFonts w:ascii="Palatino Linotype" w:hAnsi="Palatino Linotype"/>
          <w:sz w:val="22"/>
          <w:szCs w:val="22"/>
        </w:rPr>
      </w:pPr>
      <w:r w:rsidRPr="00047A81">
        <w:rPr>
          <w:rFonts w:ascii="Palatino Linotype" w:hAnsi="Palatino Linotype"/>
          <w:b/>
          <w:sz w:val="22"/>
          <w:szCs w:val="22"/>
        </w:rPr>
        <w:t>EJECÚTESE:</w:t>
      </w:r>
    </w:p>
    <w:p w14:paraId="08A9763C" w14:textId="77777777" w:rsidR="00EA6CE8" w:rsidRPr="00047A81" w:rsidRDefault="00EA6CE8" w:rsidP="00EA6CE8">
      <w:pPr>
        <w:spacing w:line="276" w:lineRule="auto"/>
        <w:ind w:left="51"/>
        <w:jc w:val="center"/>
        <w:rPr>
          <w:rFonts w:ascii="Palatino Linotype" w:hAnsi="Palatino Linotype"/>
          <w:sz w:val="22"/>
          <w:szCs w:val="22"/>
        </w:rPr>
      </w:pPr>
    </w:p>
    <w:p w14:paraId="567B55B0" w14:textId="77777777" w:rsidR="00EA6CE8" w:rsidRDefault="00EA6CE8" w:rsidP="00EA6CE8">
      <w:pPr>
        <w:pStyle w:val="NormalWeb"/>
        <w:jc w:val="both"/>
        <w:rPr>
          <w:rFonts w:ascii="Palatino Linotype" w:eastAsiaTheme="minorHAnsi" w:hAnsi="Palatino Linotype"/>
          <w:b/>
          <w:sz w:val="22"/>
          <w:szCs w:val="22"/>
          <w:lang w:eastAsia="en-US"/>
        </w:rPr>
      </w:pPr>
    </w:p>
    <w:p w14:paraId="103986AA" w14:textId="09EFCFC6" w:rsidR="00EA6CE8" w:rsidRDefault="00EA6CE8" w:rsidP="00EA6CE8">
      <w:pPr>
        <w:pStyle w:val="NormalWeb"/>
        <w:jc w:val="both"/>
        <w:rPr>
          <w:rFonts w:ascii="Palatino Linotype" w:eastAsiaTheme="minorHAnsi" w:hAnsi="Palatino Linotype"/>
          <w:b/>
          <w:sz w:val="22"/>
          <w:szCs w:val="22"/>
          <w:lang w:eastAsia="en-US"/>
        </w:rPr>
      </w:pPr>
    </w:p>
    <w:p w14:paraId="50029241" w14:textId="77777777" w:rsidR="00EA6CE8" w:rsidRPr="00EA6CE8" w:rsidRDefault="00EA6CE8" w:rsidP="00EA6CE8">
      <w:pPr>
        <w:pStyle w:val="NormalWeb"/>
        <w:jc w:val="both"/>
        <w:rPr>
          <w:lang w:val="es-ES_tradnl"/>
        </w:rPr>
      </w:pPr>
    </w:p>
    <w:p w14:paraId="1B544119" w14:textId="77777777" w:rsidR="0050643B" w:rsidRPr="00EA6CE8" w:rsidRDefault="00976D1A">
      <w:pPr>
        <w:rPr>
          <w:lang w:val="es-EC"/>
        </w:rPr>
      </w:pPr>
    </w:p>
    <w:sectPr w:rsidR="0050643B" w:rsidRPr="00EA6CE8" w:rsidSect="00F83E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E8"/>
    <w:rsid w:val="00273B4C"/>
    <w:rsid w:val="0028410C"/>
    <w:rsid w:val="002F4142"/>
    <w:rsid w:val="00335253"/>
    <w:rsid w:val="003F05C9"/>
    <w:rsid w:val="00485CE5"/>
    <w:rsid w:val="00502ADE"/>
    <w:rsid w:val="00507B69"/>
    <w:rsid w:val="00592909"/>
    <w:rsid w:val="005C02BC"/>
    <w:rsid w:val="005C2009"/>
    <w:rsid w:val="0067451D"/>
    <w:rsid w:val="00675577"/>
    <w:rsid w:val="006D062A"/>
    <w:rsid w:val="00713599"/>
    <w:rsid w:val="0076566C"/>
    <w:rsid w:val="00787CBB"/>
    <w:rsid w:val="007A610F"/>
    <w:rsid w:val="007E6184"/>
    <w:rsid w:val="008642E0"/>
    <w:rsid w:val="00874AB1"/>
    <w:rsid w:val="008D27F5"/>
    <w:rsid w:val="008D31BD"/>
    <w:rsid w:val="008D66BF"/>
    <w:rsid w:val="009431E0"/>
    <w:rsid w:val="00955188"/>
    <w:rsid w:val="00976D1A"/>
    <w:rsid w:val="00977FF2"/>
    <w:rsid w:val="00A16B91"/>
    <w:rsid w:val="00B14409"/>
    <w:rsid w:val="00B655C6"/>
    <w:rsid w:val="00B74970"/>
    <w:rsid w:val="00BD1EE9"/>
    <w:rsid w:val="00CD5834"/>
    <w:rsid w:val="00D42A23"/>
    <w:rsid w:val="00E039C3"/>
    <w:rsid w:val="00E10B66"/>
    <w:rsid w:val="00E95F88"/>
    <w:rsid w:val="00EA6CE8"/>
    <w:rsid w:val="00EB6E51"/>
    <w:rsid w:val="00EF4EEB"/>
    <w:rsid w:val="00F83EAB"/>
    <w:rsid w:val="00F96D73"/>
    <w:rsid w:val="013841D9"/>
    <w:rsid w:val="067DC551"/>
    <w:rsid w:val="0EA4ADD3"/>
    <w:rsid w:val="12CEE298"/>
    <w:rsid w:val="133CB8FF"/>
    <w:rsid w:val="158E28FB"/>
    <w:rsid w:val="1AC33D55"/>
    <w:rsid w:val="1BBCE140"/>
    <w:rsid w:val="1E12C42F"/>
    <w:rsid w:val="1F007216"/>
    <w:rsid w:val="21329E55"/>
    <w:rsid w:val="22CD0CF5"/>
    <w:rsid w:val="28D3DB25"/>
    <w:rsid w:val="29430E6F"/>
    <w:rsid w:val="2A2EE27C"/>
    <w:rsid w:val="33CD0062"/>
    <w:rsid w:val="457B5D86"/>
    <w:rsid w:val="48AE1ED8"/>
    <w:rsid w:val="4949E02A"/>
    <w:rsid w:val="4ACF6B7B"/>
    <w:rsid w:val="4E313D69"/>
    <w:rsid w:val="5255011E"/>
    <w:rsid w:val="5256300E"/>
    <w:rsid w:val="574E096A"/>
    <w:rsid w:val="577AEEF6"/>
    <w:rsid w:val="58AC175F"/>
    <w:rsid w:val="5C9B91FD"/>
    <w:rsid w:val="5DAAE64A"/>
    <w:rsid w:val="61C4466A"/>
    <w:rsid w:val="6571720A"/>
    <w:rsid w:val="65AAB330"/>
    <w:rsid w:val="672D5B34"/>
    <w:rsid w:val="6784D1AB"/>
    <w:rsid w:val="6C0B4F2F"/>
    <w:rsid w:val="6C5A09DB"/>
    <w:rsid w:val="6F377DD4"/>
    <w:rsid w:val="7204D800"/>
    <w:rsid w:val="73312176"/>
    <w:rsid w:val="74DF8866"/>
    <w:rsid w:val="7B27C576"/>
    <w:rsid w:val="7B6EE2B3"/>
    <w:rsid w:val="7E5B52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6CE8"/>
    <w:pPr>
      <w:spacing w:before="100" w:beforeAutospacing="1" w:after="100" w:afterAutospacing="1"/>
    </w:pPr>
    <w:rPr>
      <w:rFonts w:ascii="Times New Roman" w:eastAsia="Times New Roman" w:hAnsi="Times New Roman" w:cs="Times New Roman"/>
      <w:lang w:val="es-EC" w:eastAsia="es-ES_tradnl"/>
    </w:rPr>
  </w:style>
  <w:style w:type="paragraph" w:styleId="Piedepgina">
    <w:name w:val="footer"/>
    <w:basedOn w:val="Normal"/>
    <w:link w:val="PiedepginaCar"/>
    <w:uiPriority w:val="99"/>
    <w:unhideWhenUsed/>
    <w:rsid w:val="00EA6CE8"/>
    <w:pPr>
      <w:tabs>
        <w:tab w:val="center" w:pos="4252"/>
        <w:tab w:val="right" w:pos="8504"/>
      </w:tabs>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uiPriority w:val="99"/>
    <w:rsid w:val="00EA6CE8"/>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6CE8"/>
    <w:pPr>
      <w:spacing w:before="100" w:beforeAutospacing="1" w:after="100" w:afterAutospacing="1"/>
    </w:pPr>
    <w:rPr>
      <w:rFonts w:ascii="Times New Roman" w:eastAsia="Times New Roman" w:hAnsi="Times New Roman" w:cs="Times New Roman"/>
      <w:lang w:val="es-EC" w:eastAsia="es-ES_tradnl"/>
    </w:rPr>
  </w:style>
  <w:style w:type="paragraph" w:styleId="Piedepgina">
    <w:name w:val="footer"/>
    <w:basedOn w:val="Normal"/>
    <w:link w:val="PiedepginaCar"/>
    <w:uiPriority w:val="99"/>
    <w:unhideWhenUsed/>
    <w:rsid w:val="00EA6CE8"/>
    <w:pPr>
      <w:tabs>
        <w:tab w:val="center" w:pos="4252"/>
        <w:tab w:val="right" w:pos="8504"/>
      </w:tabs>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uiPriority w:val="99"/>
    <w:rsid w:val="00EA6CE8"/>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74039">
      <w:bodyDiv w:val="1"/>
      <w:marLeft w:val="0"/>
      <w:marRight w:val="0"/>
      <w:marTop w:val="0"/>
      <w:marBottom w:val="0"/>
      <w:divBdr>
        <w:top w:val="none" w:sz="0" w:space="0" w:color="auto"/>
        <w:left w:val="none" w:sz="0" w:space="0" w:color="auto"/>
        <w:bottom w:val="none" w:sz="0" w:space="0" w:color="auto"/>
        <w:right w:val="none" w:sz="0" w:space="0" w:color="auto"/>
      </w:divBdr>
      <w:divsChild>
        <w:div w:id="1528984050">
          <w:marLeft w:val="0"/>
          <w:marRight w:val="0"/>
          <w:marTop w:val="0"/>
          <w:marBottom w:val="0"/>
          <w:divBdr>
            <w:top w:val="none" w:sz="0" w:space="0" w:color="auto"/>
            <w:left w:val="none" w:sz="0" w:space="0" w:color="auto"/>
            <w:bottom w:val="none" w:sz="0" w:space="0" w:color="auto"/>
            <w:right w:val="none" w:sz="0" w:space="0" w:color="auto"/>
          </w:divBdr>
          <w:divsChild>
            <w:div w:id="2075737551">
              <w:marLeft w:val="0"/>
              <w:marRight w:val="0"/>
              <w:marTop w:val="0"/>
              <w:marBottom w:val="0"/>
              <w:divBdr>
                <w:top w:val="none" w:sz="0" w:space="0" w:color="auto"/>
                <w:left w:val="none" w:sz="0" w:space="0" w:color="auto"/>
                <w:bottom w:val="none" w:sz="0" w:space="0" w:color="auto"/>
                <w:right w:val="none" w:sz="0" w:space="0" w:color="auto"/>
              </w:divBdr>
              <w:divsChild>
                <w:div w:id="13635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1943</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Crisita Martinez</dc:creator>
  <cp:lastModifiedBy>Secretaria de Concejo</cp:lastModifiedBy>
  <cp:revision>118</cp:revision>
  <dcterms:created xsi:type="dcterms:W3CDTF">2021-10-18T15:58:00Z</dcterms:created>
  <dcterms:modified xsi:type="dcterms:W3CDTF">2021-11-11T23:52:00Z</dcterms:modified>
</cp:coreProperties>
</file>