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D9" w:rsidRPr="00AB7F29" w:rsidRDefault="003F50D9" w:rsidP="00D80A29">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RESOLUCIÓN No. C XXX - 202</w:t>
      </w:r>
      <w:r w:rsidR="004137B7">
        <w:rPr>
          <w:rFonts w:ascii="Palatino Linotype" w:hAnsi="Palatino Linotype"/>
          <w:sz w:val="28"/>
          <w:szCs w:val="28"/>
        </w:rPr>
        <w:t>1</w:t>
      </w:r>
      <w:r w:rsidRPr="00AB7F29">
        <w:rPr>
          <w:rFonts w:ascii="Palatino Linotype" w:hAnsi="Palatino Linotype"/>
          <w:sz w:val="28"/>
          <w:szCs w:val="28"/>
        </w:rPr>
        <w:t xml:space="preserve"> </w:t>
      </w:r>
    </w:p>
    <w:p w:rsidR="003F50D9" w:rsidRPr="00AB7F29" w:rsidRDefault="003F50D9" w:rsidP="00E175D0">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EL CONCEJO METROPOLITANO DE QUITO</w:t>
      </w:r>
    </w:p>
    <w:p w:rsidR="003F50D9" w:rsidRPr="00AB7F29" w:rsidRDefault="003F50D9" w:rsidP="00D80A29">
      <w:pPr>
        <w:autoSpaceDE w:val="0"/>
        <w:autoSpaceDN w:val="0"/>
        <w:adjustRightInd w:val="0"/>
        <w:jc w:val="center"/>
        <w:rPr>
          <w:rFonts w:ascii="Palatino Linotype" w:hAnsi="Palatino Linotype"/>
          <w:sz w:val="28"/>
          <w:szCs w:val="28"/>
        </w:rPr>
      </w:pPr>
    </w:p>
    <w:p w:rsidR="008F63DA" w:rsidRPr="003F50D9" w:rsidRDefault="003F50D9" w:rsidP="00D80A29">
      <w:pPr>
        <w:autoSpaceDE w:val="0"/>
        <w:autoSpaceDN w:val="0"/>
        <w:adjustRightInd w:val="0"/>
        <w:jc w:val="center"/>
        <w:rPr>
          <w:rFonts w:ascii="Palatino Linotype" w:hAnsi="Palatino Linotype"/>
          <w:sz w:val="36"/>
          <w:szCs w:val="36"/>
        </w:rPr>
      </w:pPr>
      <w:r w:rsidRPr="00AB7F29">
        <w:rPr>
          <w:rFonts w:ascii="Palatino Linotype" w:hAnsi="Palatino Linotype"/>
          <w:sz w:val="28"/>
          <w:szCs w:val="28"/>
        </w:rPr>
        <w:t xml:space="preserve"> CONSIDERANDO</w:t>
      </w:r>
      <w:r w:rsidR="00AB7F29">
        <w:rPr>
          <w:rFonts w:ascii="Palatino Linotype" w:hAnsi="Palatino Linotype"/>
          <w:sz w:val="36"/>
          <w:szCs w:val="36"/>
        </w:rPr>
        <w:t>:</w:t>
      </w:r>
    </w:p>
    <w:p w:rsidR="003F50D9" w:rsidRPr="003F50D9" w:rsidRDefault="003F50D9" w:rsidP="00D80A29">
      <w:pPr>
        <w:autoSpaceDE w:val="0"/>
        <w:autoSpaceDN w:val="0"/>
        <w:adjustRightInd w:val="0"/>
        <w:jc w:val="center"/>
        <w:rPr>
          <w:rFonts w:ascii="Palatino Linotype" w:hAnsi="Palatino Linotype"/>
          <w:sz w:val="36"/>
          <w:szCs w:val="36"/>
        </w:rPr>
      </w:pPr>
    </w:p>
    <w:p w:rsidR="00D80A29" w:rsidRPr="00974EE8" w:rsidRDefault="00D80A29" w:rsidP="00625A1B">
      <w:pPr>
        <w:autoSpaceDE w:val="0"/>
        <w:autoSpaceDN w:val="0"/>
        <w:adjustRightInd w:val="0"/>
        <w:ind w:left="709" w:hanging="709"/>
        <w:jc w:val="both"/>
        <w:rPr>
          <w:rFonts w:ascii="Palatino Linotype" w:eastAsiaTheme="minorHAnsi" w:hAnsi="Palatino Linotype"/>
          <w:sz w:val="22"/>
          <w:szCs w:val="22"/>
          <w:lang w:val="es-EC" w:eastAsia="en-US"/>
        </w:rPr>
      </w:pPr>
    </w:p>
    <w:p w:rsidR="001C2838" w:rsidRPr="00974EE8" w:rsidRDefault="001C2838" w:rsidP="001C2838">
      <w:pPr>
        <w:autoSpaceDE w:val="0"/>
        <w:autoSpaceDN w:val="0"/>
        <w:adjustRightInd w:val="0"/>
        <w:ind w:left="709" w:hanging="709"/>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la Constitución en su artículo 264, numeral 1, </w:t>
      </w:r>
      <w:r w:rsidR="003C4C4F" w:rsidRPr="00974EE8">
        <w:rPr>
          <w:rFonts w:ascii="Palatino Linotype" w:eastAsiaTheme="minorHAnsi" w:hAnsi="Palatino Linotype"/>
          <w:sz w:val="22"/>
          <w:szCs w:val="22"/>
          <w:lang w:val="es-EC" w:eastAsia="en-US"/>
        </w:rPr>
        <w:t>establece que</w:t>
      </w:r>
      <w:r w:rsidRPr="00974EE8">
        <w:rPr>
          <w:rFonts w:ascii="Palatino Linotype" w:eastAsiaTheme="minorHAnsi" w:hAnsi="Palatino Linotype"/>
          <w:sz w:val="22"/>
          <w:szCs w:val="22"/>
          <w:lang w:val="es-EC" w:eastAsia="en-US"/>
        </w:rPr>
        <w:t xml:space="preserve"> serán competencias exclusivas de los gobiernos municipales, sin perjuicio de otras que determine la ley: </w:t>
      </w:r>
      <w:r w:rsidRPr="00974EE8">
        <w:rPr>
          <w:rFonts w:ascii="Palatino Linotype" w:eastAsiaTheme="minorHAnsi" w:hAnsi="Palatino Linotype"/>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946371" w:rsidRPr="00974EE8" w:rsidRDefault="00946371" w:rsidP="001C2838">
      <w:pPr>
        <w:autoSpaceDE w:val="0"/>
        <w:autoSpaceDN w:val="0"/>
        <w:adjustRightInd w:val="0"/>
        <w:ind w:left="709" w:hanging="709"/>
        <w:jc w:val="both"/>
        <w:rPr>
          <w:rFonts w:ascii="Palatino Linotype" w:eastAsiaTheme="minorHAnsi" w:hAnsi="Palatino Linotype"/>
          <w:i/>
          <w:sz w:val="22"/>
          <w:szCs w:val="22"/>
          <w:lang w:val="es-EC" w:eastAsia="en-US"/>
        </w:rPr>
      </w:pPr>
    </w:p>
    <w:p w:rsidR="00946371" w:rsidRDefault="00946371" w:rsidP="001C2838">
      <w:pPr>
        <w:autoSpaceDE w:val="0"/>
        <w:autoSpaceDN w:val="0"/>
        <w:adjustRightInd w:val="0"/>
        <w:ind w:left="709" w:hanging="709"/>
        <w:jc w:val="both"/>
        <w:rPr>
          <w:rFonts w:ascii="Arial" w:hAnsi="Arial" w:cs="Arial"/>
          <w:sz w:val="30"/>
          <w:szCs w:val="30"/>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el artículo 266 de la Constitución dispone</w:t>
      </w:r>
      <w:r w:rsidR="003C4C4F" w:rsidRPr="00974EE8">
        <w:rPr>
          <w:rFonts w:ascii="Palatino Linotype" w:eastAsiaTheme="minorHAnsi" w:hAnsi="Palatino Linotype"/>
          <w:sz w:val="22"/>
          <w:szCs w:val="22"/>
          <w:lang w:val="es-EC" w:eastAsia="en-US"/>
        </w:rPr>
        <w:t>: “</w:t>
      </w:r>
      <w:r w:rsidRPr="00974EE8">
        <w:rPr>
          <w:rFonts w:ascii="Palatino Linotype" w:eastAsiaTheme="minorHAnsi" w:hAnsi="Palatino Linotype"/>
          <w:i/>
          <w:sz w:val="22"/>
          <w:szCs w:val="22"/>
          <w:lang w:val="es-EC" w:eastAsia="en-US"/>
        </w:rPr>
        <w:t>Los gobiernos de los distritos</w:t>
      </w:r>
      <w:r w:rsidR="007D2A9C" w:rsidRPr="00974EE8">
        <w:rPr>
          <w:rFonts w:ascii="Palatino Linotype" w:eastAsiaTheme="minorHAnsi" w:hAnsi="Palatino Linotype"/>
          <w:i/>
          <w:sz w:val="22"/>
          <w:szCs w:val="22"/>
          <w:lang w:val="es-EC" w:eastAsia="en-US"/>
        </w:rPr>
        <w:t xml:space="preserve"> metropolitanos autónomos ejercerán las competencias que corresponden a los gobiernos cantonales y todas las que sean aplicables de los gobiernos provinciales y regionales, sin perjuicio de las adicionales que determine la ley que regule el sistema nacional </w:t>
      </w:r>
      <w:r w:rsidR="003C4C4F" w:rsidRPr="00974EE8">
        <w:rPr>
          <w:rFonts w:ascii="Palatino Linotype" w:eastAsiaTheme="minorHAnsi" w:hAnsi="Palatino Linotype"/>
          <w:i/>
          <w:sz w:val="22"/>
          <w:szCs w:val="22"/>
          <w:lang w:val="es-EC" w:eastAsia="en-US"/>
        </w:rPr>
        <w:t>de competencias</w:t>
      </w:r>
      <w:r w:rsidR="007D2A9C" w:rsidRPr="00974EE8">
        <w:rPr>
          <w:rFonts w:ascii="Palatino Linotype" w:eastAsiaTheme="minorHAnsi" w:hAnsi="Palatino Linotype"/>
          <w:i/>
          <w:sz w:val="22"/>
          <w:szCs w:val="22"/>
          <w:lang w:val="es-EC" w:eastAsia="en-US"/>
        </w:rPr>
        <w:t xml:space="preserve">.”; </w:t>
      </w:r>
    </w:p>
    <w:p w:rsidR="00DB1E50" w:rsidRDefault="00DB1E50" w:rsidP="001C2838">
      <w:pPr>
        <w:autoSpaceDE w:val="0"/>
        <w:autoSpaceDN w:val="0"/>
        <w:adjustRightInd w:val="0"/>
        <w:ind w:left="709" w:hanging="709"/>
        <w:jc w:val="both"/>
        <w:rPr>
          <w:rFonts w:ascii="Arial" w:hAnsi="Arial" w:cs="Arial"/>
          <w:sz w:val="30"/>
          <w:szCs w:val="30"/>
        </w:rPr>
      </w:pPr>
    </w:p>
    <w:p w:rsidR="00625A1B" w:rsidRDefault="00DB1E50" w:rsidP="00625A1B">
      <w:pPr>
        <w:pStyle w:val="Sinespaciado"/>
        <w:ind w:left="709" w:hanging="709"/>
      </w:pPr>
      <w:r w:rsidRPr="00974EE8">
        <w:rPr>
          <w:rFonts w:ascii="Palatino Linotype" w:hAnsi="Palatino Linotype"/>
          <w:sz w:val="22"/>
          <w:szCs w:val="22"/>
        </w:rPr>
        <w:t xml:space="preserve">Que, </w:t>
      </w:r>
      <w:r w:rsidRPr="00974EE8">
        <w:rPr>
          <w:rFonts w:ascii="Palatino Linotype" w:hAnsi="Palatino Linotype"/>
          <w:sz w:val="22"/>
          <w:szCs w:val="22"/>
        </w:rPr>
        <w:tab/>
      </w:r>
      <w:r w:rsidR="00625A1B" w:rsidRPr="00625A1B">
        <w:rPr>
          <w:rFonts w:ascii="Palatino Linotype" w:hAnsi="Palatino Linotype"/>
          <w:sz w:val="22"/>
          <w:szCs w:val="22"/>
        </w:rPr>
        <w:t xml:space="preserve">el artículo 7 del Código Orgánico de Organización Territorial, Autonomía y Descentralización, en adelante “COOTAD”, señala: </w:t>
      </w:r>
      <w:r w:rsidR="00625A1B" w:rsidRPr="00DC788E">
        <w:rPr>
          <w:rFonts w:ascii="Palatino Linotype" w:hAnsi="Palatino Linotype"/>
          <w:i/>
          <w:sz w:val="22"/>
          <w:szCs w:val="22"/>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w:t>
      </w:r>
      <w:r w:rsidR="00DC788E">
        <w:rPr>
          <w:rFonts w:ascii="Palatino Linotype" w:hAnsi="Palatino Linotype"/>
          <w:i/>
          <w:sz w:val="22"/>
          <w:szCs w:val="22"/>
        </w:rPr>
        <w:t>to en la Constitución y la Ley</w:t>
      </w:r>
      <w:r w:rsidR="00625A1B" w:rsidRPr="00DC788E">
        <w:rPr>
          <w:rFonts w:ascii="Palatino Linotype" w:hAnsi="Palatino Linotype"/>
          <w:i/>
          <w:sz w:val="22"/>
          <w:szCs w:val="22"/>
        </w:rPr>
        <w:t>”</w:t>
      </w:r>
      <w:r w:rsidR="00625A1B" w:rsidRPr="00625A1B">
        <w:rPr>
          <w:rFonts w:ascii="Palatino Linotype" w:hAnsi="Palatino Linotype"/>
          <w:sz w:val="22"/>
          <w:szCs w:val="22"/>
        </w:rPr>
        <w:t>;</w:t>
      </w:r>
      <w:r w:rsidR="00625A1B">
        <w:t xml:space="preserve"> </w:t>
      </w:r>
    </w:p>
    <w:p w:rsidR="00625A1B" w:rsidRDefault="00625A1B" w:rsidP="00625A1B">
      <w:pPr>
        <w:pStyle w:val="Sinespaciado"/>
        <w:ind w:left="709" w:hanging="709"/>
      </w:pPr>
    </w:p>
    <w:p w:rsidR="00625A1B" w:rsidRPr="00625A1B" w:rsidRDefault="00625A1B" w:rsidP="00625A1B">
      <w:pPr>
        <w:pStyle w:val="Sinespaciado"/>
        <w:ind w:left="709" w:hanging="709"/>
        <w:rPr>
          <w:rFonts w:ascii="Palatino Linotype" w:hAnsi="Palatino Linotype"/>
          <w:sz w:val="22"/>
          <w:szCs w:val="22"/>
        </w:rPr>
      </w:pPr>
      <w:r w:rsidRPr="00974EE8">
        <w:rPr>
          <w:rFonts w:ascii="Palatino Linotype" w:hAnsi="Palatino Linotype"/>
          <w:sz w:val="22"/>
          <w:szCs w:val="22"/>
        </w:rPr>
        <w:t xml:space="preserve">Que, </w:t>
      </w:r>
      <w:r w:rsidRPr="00974EE8">
        <w:rPr>
          <w:rFonts w:ascii="Palatino Linotype" w:hAnsi="Palatino Linotype"/>
          <w:sz w:val="22"/>
          <w:szCs w:val="22"/>
        </w:rPr>
        <w:tab/>
      </w:r>
      <w:r w:rsidRPr="00625A1B">
        <w:rPr>
          <w:rFonts w:ascii="Palatino Linotype" w:hAnsi="Palatino Linotype"/>
          <w:sz w:val="22"/>
          <w:szCs w:val="22"/>
        </w:rPr>
        <w:t xml:space="preserve">los literales a) y d) del artículo 87 del Código Orgánico de Organización Territorial, Autonomía y Descentralización, en adelante, “COOTAD”, establecen como atribuciones del Concejo Metropolitano: </w:t>
      </w:r>
      <w:r w:rsidRPr="00DC788E">
        <w:rPr>
          <w:rFonts w:ascii="Palatino Linotype" w:hAnsi="Palatino Linotype"/>
          <w:i/>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625A1B">
        <w:rPr>
          <w:rFonts w:ascii="Palatino Linotype" w:hAnsi="Palatino Linotype"/>
          <w:sz w:val="22"/>
          <w:szCs w:val="22"/>
        </w:rPr>
        <w:t xml:space="preserve"> </w:t>
      </w:r>
    </w:p>
    <w:p w:rsidR="00625A1B" w:rsidRPr="00625A1B" w:rsidRDefault="00625A1B" w:rsidP="00625A1B">
      <w:pPr>
        <w:pStyle w:val="Sinespaciado"/>
        <w:ind w:left="709" w:hanging="709"/>
        <w:rPr>
          <w:rFonts w:ascii="Palatino Linotype" w:hAnsi="Palatino Linotype"/>
          <w:sz w:val="22"/>
          <w:szCs w:val="22"/>
        </w:rPr>
      </w:pPr>
    </w:p>
    <w:p w:rsidR="00625A1B" w:rsidRPr="00625A1B" w:rsidRDefault="00625A1B" w:rsidP="00625A1B">
      <w:pPr>
        <w:pStyle w:val="Sinespaciado"/>
        <w:ind w:left="709" w:hanging="709"/>
        <w:rPr>
          <w:rFonts w:ascii="Palatino Linotype" w:hAnsi="Palatino Linotype"/>
          <w:sz w:val="22"/>
          <w:szCs w:val="22"/>
        </w:rPr>
      </w:pPr>
      <w:r w:rsidRPr="00625A1B">
        <w:rPr>
          <w:rFonts w:ascii="Palatino Linotype" w:hAnsi="Palatino Linotype"/>
          <w:sz w:val="22"/>
          <w:szCs w:val="22"/>
        </w:rPr>
        <w:t xml:space="preserve">Que, </w:t>
      </w:r>
      <w:r w:rsidRPr="00625A1B">
        <w:rPr>
          <w:rFonts w:ascii="Palatino Linotype" w:hAnsi="Palatino Linotype"/>
          <w:sz w:val="22"/>
          <w:szCs w:val="22"/>
        </w:rPr>
        <w:tab/>
        <w:t xml:space="preserve">el artículo 323 del COOTAD dispone: </w:t>
      </w:r>
      <w:r w:rsidRPr="00DC788E">
        <w:rPr>
          <w:rFonts w:ascii="Palatino Linotype" w:hAnsi="Palatino Linotype"/>
          <w:i/>
          <w:sz w:val="22"/>
          <w:szCs w:val="22"/>
        </w:rPr>
        <w:t xml:space="preserve">"El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w:t>
      </w:r>
      <w:r w:rsidRPr="00DC788E">
        <w:rPr>
          <w:rFonts w:ascii="Palatino Linotype" w:hAnsi="Palatino Linotype"/>
          <w:i/>
          <w:sz w:val="22"/>
          <w:szCs w:val="22"/>
        </w:rPr>
        <w:lastRenderedPageBreak/>
        <w:t>interesados, sin perjuicio de disponer su publicación en cualquiera de los medios determinados en el artículo precedente, de existir mérito para ello.”</w:t>
      </w:r>
      <w:r w:rsidRPr="00625A1B">
        <w:rPr>
          <w:rFonts w:ascii="Palatino Linotype" w:hAnsi="Palatino Linotype"/>
          <w:sz w:val="22"/>
          <w:szCs w:val="22"/>
        </w:rPr>
        <w:t>;</w:t>
      </w:r>
    </w:p>
    <w:p w:rsidR="00625A1B" w:rsidRDefault="00625A1B" w:rsidP="00625A1B">
      <w:pPr>
        <w:pStyle w:val="Sinespaciado"/>
        <w:ind w:left="709" w:hanging="709"/>
      </w:pPr>
    </w:p>
    <w:p w:rsidR="001C2838" w:rsidRPr="00974EE8"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Que,</w:t>
      </w:r>
      <w:r w:rsidRPr="00974EE8">
        <w:rPr>
          <w:rFonts w:ascii="Palatino Linotype" w:eastAsiaTheme="minorHAnsi" w:hAnsi="Palatino Linotype"/>
          <w:sz w:val="22"/>
          <w:szCs w:val="22"/>
          <w:lang w:val="es-EC" w:eastAsia="en-US"/>
        </w:rPr>
        <w:tab/>
        <w:t xml:space="preserve">el artículo 415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establece que</w:t>
      </w:r>
      <w:r w:rsidR="007D2A9C" w:rsidRPr="00974EE8">
        <w:rPr>
          <w:rFonts w:ascii="Palatino Linotype" w:eastAsiaTheme="minorHAnsi" w:hAnsi="Palatino Linotype"/>
          <w:sz w:val="22"/>
          <w:szCs w:val="22"/>
          <w:lang w:val="es-EC" w:eastAsia="en-US"/>
        </w:rPr>
        <w:t>:</w:t>
      </w:r>
      <w:r w:rsidRPr="00974EE8">
        <w:rPr>
          <w:rFonts w:ascii="Palatino Linotype" w:eastAsiaTheme="minorHAnsi" w:hAnsi="Palatino Linotype"/>
          <w:sz w:val="22"/>
          <w:szCs w:val="22"/>
          <w:lang w:val="es-EC" w:eastAsia="en-US"/>
        </w:rPr>
        <w:t xml:space="preserve"> </w:t>
      </w:r>
      <w:r w:rsidRPr="00974EE8">
        <w:rPr>
          <w:rFonts w:ascii="Palatino Linotype" w:eastAsiaTheme="minorHAnsi" w:hAnsi="Palatino Linotype"/>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625A1B"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artículo 419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xml:space="preserve">, indica que: </w:t>
      </w:r>
      <w:r w:rsidRPr="00974EE8">
        <w:rPr>
          <w:rFonts w:ascii="Palatino Linotype" w:eastAsiaTheme="minorHAnsi" w:hAnsi="Palatino Linotype"/>
          <w:i/>
          <w:sz w:val="22"/>
          <w:szCs w:val="22"/>
          <w:lang w:val="es-EC" w:eastAsia="en-US"/>
        </w:rPr>
        <w:t>"</w:t>
      </w:r>
      <w:r w:rsidRPr="00974EE8">
        <w:rPr>
          <w:rFonts w:ascii="Palatino Linotype" w:eastAsiaTheme="minorHAnsi" w:hAnsi="Palatino Linotype" w:cs="CourierNewNegrita"/>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rsidR="00625A1B" w:rsidRPr="00DC788E" w:rsidRDefault="00625A1B" w:rsidP="001C2838">
      <w:pPr>
        <w:autoSpaceDE w:val="0"/>
        <w:autoSpaceDN w:val="0"/>
        <w:adjustRightInd w:val="0"/>
        <w:ind w:left="709" w:hanging="709"/>
        <w:jc w:val="both"/>
        <w:rPr>
          <w:rFonts w:ascii="Palatino Linotype" w:eastAsiaTheme="minorHAnsi" w:hAnsi="Palatino Linotype"/>
          <w:sz w:val="22"/>
          <w:szCs w:val="22"/>
          <w:lang w:val="es-EC" w:eastAsia="en-US"/>
        </w:rPr>
      </w:pPr>
    </w:p>
    <w:p w:rsidR="001C2838" w:rsidRPr="00DC788E" w:rsidRDefault="00625A1B" w:rsidP="001C2838">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Pr="00DC788E">
        <w:rPr>
          <w:rFonts w:ascii="Palatino Linotype" w:eastAsiaTheme="minorHAnsi" w:hAnsi="Palatino Linotype"/>
          <w:sz w:val="22"/>
          <w:szCs w:val="22"/>
          <w:lang w:val="es-EC" w:eastAsia="en-US"/>
        </w:rPr>
        <w:t>el artículo 4</w:t>
      </w:r>
      <w:r w:rsidR="00DC788E" w:rsidRPr="00DC788E">
        <w:rPr>
          <w:rFonts w:ascii="Palatino Linotype" w:eastAsiaTheme="minorHAnsi" w:hAnsi="Palatino Linotype"/>
          <w:sz w:val="22"/>
          <w:szCs w:val="22"/>
          <w:lang w:val="es-EC" w:eastAsia="en-US"/>
        </w:rPr>
        <w:t xml:space="preserve">23 del COOTAD, establece que: </w:t>
      </w:r>
      <w:r w:rsidR="00DC788E" w:rsidRPr="00DC788E">
        <w:rPr>
          <w:rFonts w:ascii="Palatino Linotype" w:eastAsiaTheme="minorHAnsi" w:hAnsi="Palatino Linotype"/>
          <w:i/>
          <w:sz w:val="22"/>
          <w:szCs w:val="22"/>
          <w:lang w:val="es-EC" w:eastAsia="en-US"/>
        </w:rPr>
        <w:t>“</w:t>
      </w:r>
      <w:r w:rsidRPr="00DC788E">
        <w:rPr>
          <w:rFonts w:ascii="Palatino Linotype" w:eastAsiaTheme="minorHAnsi" w:hAnsi="Palatino Linotype"/>
          <w:i/>
          <w:sz w:val="22"/>
          <w:szCs w:val="22"/>
          <w:lang w:val="es-EC" w:eastAsia="en-US"/>
        </w:rPr>
        <w:t>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w:t>
      </w:r>
      <w:r w:rsidR="00DC788E" w:rsidRPr="00DC788E">
        <w:rPr>
          <w:rFonts w:ascii="Palatino Linotype" w:eastAsiaTheme="minorHAnsi" w:hAnsi="Palatino Linotype"/>
          <w:i/>
          <w:sz w:val="22"/>
          <w:szCs w:val="22"/>
          <w:lang w:val="es-EC" w:eastAsia="en-US"/>
        </w:rPr>
        <w:t>ervicio directo de la comunidad</w:t>
      </w:r>
      <w:r w:rsidRPr="00DC788E">
        <w:rPr>
          <w:rFonts w:ascii="Palatino Linotype" w:eastAsiaTheme="minorHAnsi" w:hAnsi="Palatino Linotype"/>
          <w:i/>
          <w:sz w:val="22"/>
          <w:szCs w:val="22"/>
          <w:lang w:val="es-EC" w:eastAsia="en-US"/>
        </w:rPr>
        <w:t>”</w:t>
      </w:r>
      <w:r w:rsidRPr="00DC788E">
        <w:rPr>
          <w:rFonts w:ascii="Palatino Linotype" w:eastAsiaTheme="minorHAnsi" w:hAnsi="Palatino Linotype"/>
          <w:sz w:val="22"/>
          <w:szCs w:val="22"/>
          <w:lang w:val="es-EC" w:eastAsia="en-US"/>
        </w:rPr>
        <w:t>;</w:t>
      </w: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C2838" w:rsidRPr="00974EE8" w:rsidRDefault="001C2838" w:rsidP="003C4C4F">
      <w:pPr>
        <w:autoSpaceDE w:val="0"/>
        <w:autoSpaceDN w:val="0"/>
        <w:adjustRightInd w:val="0"/>
        <w:ind w:left="705" w:hanging="705"/>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artículo 436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xml:space="preserve">, dispone que: </w:t>
      </w:r>
      <w:r w:rsidRPr="00974EE8">
        <w:rPr>
          <w:rFonts w:ascii="Palatino Linotype" w:eastAsiaTheme="minorHAnsi" w:hAnsi="Palatino Linotype"/>
          <w:i/>
          <w:sz w:val="22"/>
          <w:szCs w:val="22"/>
          <w:lang w:val="es-EC" w:eastAsia="en-US"/>
        </w:rPr>
        <w:t>"</w:t>
      </w:r>
      <w:r w:rsidR="001649BA" w:rsidRPr="00974EE8">
        <w:rPr>
          <w:rFonts w:ascii="Palatino Linotype" w:eastAsiaTheme="minorHAnsi" w:hAnsi="Palatino Linotype"/>
          <w:i/>
          <w:sz w:val="22"/>
          <w:szCs w:val="22"/>
          <w:lang w:val="es-EC" w:eastAsia="en-US"/>
        </w:rPr>
        <w:t xml:space="preserve">Los consejos, concejos o juntas, podrán acordar y autorizar la venta, </w:t>
      </w:r>
      <w:r w:rsidR="003C4C4F" w:rsidRPr="00974EE8">
        <w:rPr>
          <w:rFonts w:ascii="Palatino Linotype" w:eastAsiaTheme="minorHAnsi" w:hAnsi="Palatino Linotype"/>
          <w:i/>
          <w:sz w:val="22"/>
          <w:szCs w:val="22"/>
          <w:lang w:val="es-EC" w:eastAsia="en-US"/>
        </w:rPr>
        <w:t>donación, hipoteca</w:t>
      </w:r>
      <w:r w:rsidR="001649BA" w:rsidRPr="00974EE8">
        <w:rPr>
          <w:rFonts w:ascii="Palatino Linotype" w:eastAsiaTheme="minorHAnsi" w:hAnsi="Palatino Linotype"/>
          <w:i/>
          <w:sz w:val="22"/>
          <w:szCs w:val="22"/>
          <w:lang w:val="es-EC" w:eastAsia="en-US"/>
        </w:rPr>
        <w:t xml:space="preserve">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w:t>
      </w:r>
      <w:r w:rsidRPr="00974EE8">
        <w:rPr>
          <w:rFonts w:ascii="Palatino Linotype" w:eastAsiaTheme="minorHAnsi" w:hAnsi="Palatino Linotype"/>
          <w:i/>
          <w:sz w:val="22"/>
          <w:szCs w:val="22"/>
          <w:lang w:val="es-EC" w:eastAsia="en-US"/>
        </w:rPr>
        <w:t>”;</w:t>
      </w:r>
    </w:p>
    <w:p w:rsidR="00625A1B" w:rsidRDefault="00625A1B" w:rsidP="00625A1B">
      <w:pPr>
        <w:autoSpaceDE w:val="0"/>
        <w:autoSpaceDN w:val="0"/>
        <w:adjustRightInd w:val="0"/>
        <w:ind w:left="705" w:hanging="705"/>
        <w:jc w:val="both"/>
        <w:rPr>
          <w:rFonts w:ascii="Palatino Linotype" w:eastAsiaTheme="minorHAnsi" w:hAnsi="Palatino Linotype"/>
          <w:sz w:val="22"/>
          <w:szCs w:val="22"/>
          <w:lang w:val="es-EC" w:eastAsia="en-US"/>
        </w:rPr>
      </w:pPr>
    </w:p>
    <w:p w:rsidR="00625A1B" w:rsidRPr="00DC788E" w:rsidRDefault="00625A1B" w:rsidP="00625A1B">
      <w:pPr>
        <w:autoSpaceDE w:val="0"/>
        <w:autoSpaceDN w:val="0"/>
        <w:adjustRightInd w:val="0"/>
        <w:ind w:left="705" w:hanging="705"/>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Pr="00DC788E">
        <w:rPr>
          <w:rFonts w:ascii="Palatino Linotype" w:eastAsiaTheme="minorHAnsi" w:hAnsi="Palatino Linotype"/>
          <w:sz w:val="22"/>
          <w:szCs w:val="22"/>
          <w:lang w:val="es-EC" w:eastAsia="en-US"/>
        </w:rPr>
        <w:t xml:space="preserve">el artículo 437 del COOTAD, establece que: </w:t>
      </w:r>
      <w:r w:rsidRPr="00DC788E">
        <w:rPr>
          <w:rFonts w:ascii="Palatino Linotype" w:eastAsiaTheme="minorHAnsi" w:hAnsi="Palatino Linotype"/>
          <w:i/>
          <w:sz w:val="22"/>
          <w:szCs w:val="22"/>
          <w:lang w:val="es-EC" w:eastAsia="en-US"/>
        </w:rPr>
        <w:t>"La venta de los bienes de dominio privado se acordará en estos casos: a) 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w:t>
      </w:r>
      <w:r w:rsidRPr="00DC788E">
        <w:rPr>
          <w:rFonts w:ascii="Palatino Linotype" w:eastAsiaTheme="minorHAnsi" w:hAnsi="Palatino Linotype"/>
          <w:sz w:val="22"/>
          <w:szCs w:val="22"/>
          <w:lang w:val="es-EC" w:eastAsia="en-US"/>
        </w:rPr>
        <w:t>;</w:t>
      </w:r>
    </w:p>
    <w:p w:rsidR="00625A1B" w:rsidRPr="00DC788E" w:rsidRDefault="00625A1B" w:rsidP="00625A1B">
      <w:pPr>
        <w:autoSpaceDE w:val="0"/>
        <w:autoSpaceDN w:val="0"/>
        <w:adjustRightInd w:val="0"/>
        <w:ind w:left="705" w:hanging="705"/>
        <w:jc w:val="both"/>
        <w:rPr>
          <w:rFonts w:ascii="Palatino Linotype" w:eastAsiaTheme="minorHAnsi" w:hAnsi="Palatino Linotype"/>
          <w:sz w:val="22"/>
          <w:szCs w:val="22"/>
          <w:lang w:val="es-EC" w:eastAsia="en-US"/>
        </w:rPr>
      </w:pPr>
    </w:p>
    <w:p w:rsidR="00625A1B" w:rsidRPr="00625A1B" w:rsidRDefault="00625A1B" w:rsidP="00625A1B">
      <w:pPr>
        <w:autoSpaceDE w:val="0"/>
        <w:autoSpaceDN w:val="0"/>
        <w:adjustRightInd w:val="0"/>
        <w:ind w:left="705" w:hanging="705"/>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Pr="00625A1B">
        <w:rPr>
          <w:rFonts w:ascii="Palatino Linotype" w:hAnsi="Palatino Linotype"/>
          <w:sz w:val="22"/>
          <w:szCs w:val="22"/>
        </w:rPr>
        <w:t xml:space="preserve">el artículo 481 del COOTAD, sobre los lotes, fajas o excedentes señala: </w:t>
      </w:r>
      <w:r w:rsidRPr="00DC788E">
        <w:rPr>
          <w:rFonts w:ascii="Palatino Linotype" w:hAnsi="Palatino Linotype"/>
          <w:i/>
          <w:sz w:val="22"/>
          <w:szCs w:val="22"/>
        </w:rPr>
        <w:t xml:space="preserve">"Para efectos de su enajenación, los terrenos de propiedad de los gobiernos autónomos descentralizados municipales o metropolitanos se consideran como lotes, fajas o excedentes provenientes de errores de medición. (…) Por fajas municipales o metropolitanas se entienden aquellas porciones de terreno que por sus reducidas dimensiones o por ser provenientes de rellenos no </w:t>
      </w:r>
      <w:r w:rsidRPr="00DC788E">
        <w:rPr>
          <w:rFonts w:ascii="Palatino Linotype" w:hAnsi="Palatino Linotype"/>
          <w:i/>
          <w:sz w:val="22"/>
          <w:szCs w:val="22"/>
        </w:rPr>
        <w:lastRenderedPageBreak/>
        <w:t>pueden soportar una construcción independiente de las construcciones de los inmuebles vecinos, ni es conveniente, de acuerdo con las ordenanzas municipales, mantenerlas como espacios verdes o comunitarios. Las fajas municipales o metropolitanas solo pueden ser adquiridas mediante el procedimiento de pública subasta, por los propietarios de los predios colindantes. Si de hecho se adjudican a personas que no corresponden, las adjudicaciones y la consiguiente inscripción en el regis</w:t>
      </w:r>
      <w:r w:rsidR="00DC788E">
        <w:rPr>
          <w:rFonts w:ascii="Palatino Linotype" w:hAnsi="Palatino Linotype"/>
          <w:i/>
          <w:sz w:val="22"/>
          <w:szCs w:val="22"/>
        </w:rPr>
        <w:t>tro de la propiedad serán nulas</w:t>
      </w:r>
      <w:r w:rsidRPr="00DC788E">
        <w:rPr>
          <w:rFonts w:ascii="Palatino Linotype" w:hAnsi="Palatino Linotype"/>
          <w:i/>
          <w:sz w:val="22"/>
          <w:szCs w:val="22"/>
        </w:rPr>
        <w:t>”</w:t>
      </w:r>
      <w:r w:rsidRPr="00625A1B">
        <w:rPr>
          <w:rFonts w:ascii="Palatino Linotype" w:hAnsi="Palatino Linotype"/>
          <w:sz w:val="22"/>
          <w:szCs w:val="22"/>
        </w:rPr>
        <w:t>;</w:t>
      </w:r>
    </w:p>
    <w:p w:rsidR="00F02902" w:rsidRPr="00625A1B" w:rsidRDefault="00F02902" w:rsidP="003C4C4F">
      <w:pPr>
        <w:autoSpaceDE w:val="0"/>
        <w:autoSpaceDN w:val="0"/>
        <w:adjustRightInd w:val="0"/>
        <w:ind w:left="705" w:hanging="705"/>
        <w:jc w:val="both"/>
        <w:rPr>
          <w:rFonts w:ascii="Palatino Linotype" w:eastAsiaTheme="minorHAnsi" w:hAnsi="Palatino Linotype"/>
          <w:i/>
          <w:sz w:val="22"/>
          <w:szCs w:val="22"/>
          <w:lang w:val="es-EC" w:eastAsia="en-US"/>
        </w:rPr>
      </w:pPr>
    </w:p>
    <w:p w:rsidR="00974EE8" w:rsidRPr="00625A1B" w:rsidRDefault="00974EE8" w:rsidP="003C4C4F">
      <w:pPr>
        <w:autoSpaceDE w:val="0"/>
        <w:autoSpaceDN w:val="0"/>
        <w:adjustRightInd w:val="0"/>
        <w:ind w:left="705" w:hanging="705"/>
        <w:jc w:val="both"/>
        <w:rPr>
          <w:rFonts w:ascii="Palatino Linotype" w:hAnsi="Palatino Linotype"/>
          <w:sz w:val="22"/>
          <w:szCs w:val="22"/>
        </w:rPr>
      </w:pPr>
      <w:r w:rsidRPr="00625A1B">
        <w:rPr>
          <w:rFonts w:ascii="Palatino Linotype" w:hAnsi="Palatino Linotype"/>
          <w:sz w:val="22"/>
          <w:szCs w:val="22"/>
        </w:rPr>
        <w:t>Que,</w:t>
      </w:r>
      <w:r w:rsidRPr="00625A1B">
        <w:rPr>
          <w:rFonts w:ascii="Palatino Linotype" w:hAnsi="Palatino Linotype"/>
          <w:sz w:val="22"/>
          <w:szCs w:val="22"/>
        </w:rPr>
        <w:tab/>
      </w:r>
      <w:r w:rsidR="00625A1B" w:rsidRPr="00625A1B">
        <w:rPr>
          <w:rFonts w:ascii="Palatino Linotype" w:hAnsi="Palatino Linotype"/>
          <w:sz w:val="22"/>
          <w:szCs w:val="22"/>
        </w:rPr>
        <w:t xml:space="preserve">el artículo IV.6.1 del Código Municipal para el Distrito Metropolitano de Quito, en adelante, “Código Municipal”, señala que: </w:t>
      </w:r>
      <w:r w:rsidR="00625A1B" w:rsidRPr="00DC788E">
        <w:rPr>
          <w:rFonts w:ascii="Palatino Linotype" w:hAnsi="Palatino Linotype"/>
          <w:i/>
          <w:sz w:val="22"/>
          <w:szCs w:val="22"/>
        </w:rPr>
        <w:t>"La adjudicación de una faja de terreno solamente se podrá hacer en favor de uno o varios de los propietarios colindantes a la misma. La inobservancia de esta norma determinará la nulidad de la adjudicación."</w:t>
      </w:r>
      <w:r w:rsidR="00625A1B" w:rsidRPr="00625A1B">
        <w:rPr>
          <w:rFonts w:ascii="Palatino Linotype" w:hAnsi="Palatino Linotype"/>
          <w:sz w:val="22"/>
          <w:szCs w:val="22"/>
        </w:rPr>
        <w:t>;</w:t>
      </w:r>
    </w:p>
    <w:p w:rsidR="00625A1B" w:rsidRPr="00625A1B" w:rsidRDefault="00625A1B" w:rsidP="003C4C4F">
      <w:pPr>
        <w:autoSpaceDE w:val="0"/>
        <w:autoSpaceDN w:val="0"/>
        <w:adjustRightInd w:val="0"/>
        <w:ind w:left="705" w:hanging="705"/>
        <w:jc w:val="both"/>
        <w:rPr>
          <w:rFonts w:ascii="Palatino Linotype" w:hAnsi="Palatino Linotype"/>
          <w:sz w:val="22"/>
          <w:szCs w:val="22"/>
        </w:rPr>
      </w:pPr>
    </w:p>
    <w:p w:rsidR="00625A1B" w:rsidRDefault="00625A1B" w:rsidP="00625A1B">
      <w:pPr>
        <w:pStyle w:val="Sinespaciado"/>
        <w:ind w:left="709" w:hanging="709"/>
      </w:pPr>
      <w:r w:rsidRPr="00625A1B">
        <w:rPr>
          <w:rFonts w:ascii="Palatino Linotype" w:hAnsi="Palatino Linotype"/>
          <w:sz w:val="22"/>
          <w:szCs w:val="22"/>
        </w:rPr>
        <w:t>Que,</w:t>
      </w:r>
      <w:r w:rsidRPr="00625A1B">
        <w:rPr>
          <w:rFonts w:ascii="Palatino Linotype" w:hAnsi="Palatino Linotype"/>
          <w:sz w:val="22"/>
          <w:szCs w:val="22"/>
        </w:rPr>
        <w:tab/>
        <w:t xml:space="preserve">el artículo IV.6.6 del Código Municipal para el Distrito Metropolitano de Quito, dispone que: </w:t>
      </w:r>
      <w:r w:rsidRPr="00DC788E">
        <w:rPr>
          <w:rFonts w:ascii="Palatino Linotype" w:hAnsi="Palatino Linotype"/>
          <w:i/>
          <w:sz w:val="22"/>
          <w:szCs w:val="22"/>
        </w:rPr>
        <w:t>"Con los informes a los que se refieren los artículos anteriores, se remitirá el expediente a la Comisión de Propiedad y Espacio Público para que emita su informe, en conocimiento del cual el Concejo, de estimarlo conveniente, autorizará la pública subasta y adjudicación de las fajas. La resolución del Concejo autorizará la enajenación directa o subasta pública de las fajas de terreno municipales”</w:t>
      </w:r>
      <w:r w:rsidRPr="00625A1B">
        <w:rPr>
          <w:rFonts w:ascii="Palatino Linotype" w:hAnsi="Palatino Linotype"/>
          <w:sz w:val="22"/>
          <w:szCs w:val="22"/>
        </w:rPr>
        <w:t>;</w:t>
      </w:r>
      <w:r>
        <w:t xml:space="preserve"> </w:t>
      </w:r>
    </w:p>
    <w:p w:rsidR="00DD4559" w:rsidRPr="00DD4559" w:rsidRDefault="00DD4559" w:rsidP="003C4C4F">
      <w:pPr>
        <w:autoSpaceDE w:val="0"/>
        <w:autoSpaceDN w:val="0"/>
        <w:adjustRightInd w:val="0"/>
        <w:ind w:left="705" w:hanging="705"/>
        <w:jc w:val="both"/>
        <w:rPr>
          <w:rFonts w:ascii="Palatino Linotype" w:hAnsi="Palatino Linotype"/>
        </w:rPr>
      </w:pPr>
    </w:p>
    <w:p w:rsidR="001B367D" w:rsidRDefault="00E80F18" w:rsidP="00C6700F">
      <w:pPr>
        <w:tabs>
          <w:tab w:val="left" w:pos="426"/>
        </w:tabs>
        <w:ind w:left="705" w:hanging="705"/>
        <w:jc w:val="both"/>
        <w:rPr>
          <w:rFonts w:ascii="Palatino Linotype" w:hAnsi="Palatino Linotype"/>
          <w:sz w:val="22"/>
          <w:szCs w:val="22"/>
        </w:rPr>
      </w:pPr>
      <w:r w:rsidRPr="00C60691">
        <w:rPr>
          <w:rFonts w:ascii="Palatino Linotype" w:eastAsiaTheme="minorHAnsi" w:hAnsi="Palatino Linotype"/>
          <w:sz w:val="22"/>
          <w:szCs w:val="22"/>
          <w:lang w:val="es-EC" w:eastAsia="en-US"/>
        </w:rPr>
        <w:t xml:space="preserve">Que, </w:t>
      </w:r>
      <w:r w:rsidRPr="00C60691">
        <w:rPr>
          <w:rFonts w:ascii="Palatino Linotype" w:eastAsiaTheme="minorHAnsi" w:hAnsi="Palatino Linotype"/>
          <w:sz w:val="22"/>
          <w:szCs w:val="22"/>
          <w:lang w:val="es-EC" w:eastAsia="en-US"/>
        </w:rPr>
        <w:tab/>
      </w:r>
      <w:r w:rsidR="004F7448">
        <w:rPr>
          <w:rFonts w:ascii="Palatino Linotype" w:hAnsi="Palatino Linotype"/>
          <w:sz w:val="22"/>
          <w:szCs w:val="22"/>
        </w:rPr>
        <w:t>mediante o</w:t>
      </w:r>
      <w:r w:rsidR="001B367D" w:rsidRPr="00C60691">
        <w:rPr>
          <w:rFonts w:ascii="Palatino Linotype" w:hAnsi="Palatino Linotype"/>
          <w:sz w:val="22"/>
          <w:szCs w:val="22"/>
        </w:rPr>
        <w:t>ficio</w:t>
      </w:r>
      <w:r w:rsidR="004F7448">
        <w:rPr>
          <w:rFonts w:ascii="Palatino Linotype" w:hAnsi="Palatino Linotype"/>
          <w:sz w:val="22"/>
          <w:szCs w:val="22"/>
        </w:rPr>
        <w:t xml:space="preserve"> </w:t>
      </w:r>
      <w:r w:rsidR="001B367D" w:rsidRPr="00C60691">
        <w:rPr>
          <w:rFonts w:ascii="Palatino Linotype" w:hAnsi="Palatino Linotype"/>
          <w:sz w:val="22"/>
          <w:szCs w:val="22"/>
        </w:rPr>
        <w:t>s</w:t>
      </w:r>
      <w:r w:rsidR="004F7448">
        <w:rPr>
          <w:rFonts w:ascii="Palatino Linotype" w:hAnsi="Palatino Linotype"/>
          <w:sz w:val="22"/>
          <w:szCs w:val="22"/>
        </w:rPr>
        <w:t xml:space="preserve">/n de 1 de diciembre de 2017, el señor Salazar Raza Miguel </w:t>
      </w:r>
      <w:proofErr w:type="spellStart"/>
      <w:r w:rsidR="004F7448">
        <w:rPr>
          <w:rFonts w:ascii="Palatino Linotype" w:hAnsi="Palatino Linotype"/>
          <w:sz w:val="22"/>
          <w:szCs w:val="22"/>
        </w:rPr>
        <w:t>Angel</w:t>
      </w:r>
      <w:proofErr w:type="spellEnd"/>
      <w:r w:rsidR="004F7448">
        <w:rPr>
          <w:rFonts w:ascii="Palatino Linotype" w:hAnsi="Palatino Linotype"/>
          <w:sz w:val="22"/>
          <w:szCs w:val="22"/>
        </w:rPr>
        <w:t xml:space="preserve">, solicita la adjudicación de un área de terreno (relleno de quebrada), colindante con su propiedad ubicada en la Parroquia Cumbayá, clave catastral No. 10414-111-001 y predio No. 107511. </w:t>
      </w:r>
    </w:p>
    <w:p w:rsidR="000E429B" w:rsidRPr="00974EE8" w:rsidRDefault="000E429B" w:rsidP="00C6700F">
      <w:pPr>
        <w:tabs>
          <w:tab w:val="left" w:pos="426"/>
        </w:tabs>
        <w:ind w:left="705" w:hanging="705"/>
        <w:jc w:val="both"/>
        <w:rPr>
          <w:rFonts w:ascii="Palatino Linotype" w:hAnsi="Palatino Linotype"/>
          <w:sz w:val="22"/>
          <w:szCs w:val="22"/>
        </w:rPr>
      </w:pPr>
    </w:p>
    <w:p w:rsidR="001B367D" w:rsidRDefault="00BC11C3" w:rsidP="00C6700F">
      <w:pPr>
        <w:tabs>
          <w:tab w:val="left" w:pos="426"/>
        </w:tabs>
        <w:ind w:left="705" w:hanging="705"/>
        <w:jc w:val="both"/>
        <w:rPr>
          <w:rFonts w:ascii="Palatino Linotype" w:hAnsi="Palatino Linotype"/>
          <w:sz w:val="22"/>
          <w:szCs w:val="22"/>
        </w:rPr>
      </w:pPr>
      <w:r>
        <w:rPr>
          <w:rFonts w:ascii="Palatino Linotype" w:hAnsi="Palatino Linotype"/>
          <w:sz w:val="22"/>
          <w:szCs w:val="22"/>
        </w:rPr>
        <w:t>Que,</w:t>
      </w:r>
      <w:r>
        <w:rPr>
          <w:rFonts w:ascii="Palatino Linotype" w:hAnsi="Palatino Linotype"/>
          <w:sz w:val="22"/>
          <w:szCs w:val="22"/>
        </w:rPr>
        <w:tab/>
      </w:r>
      <w:r w:rsidR="00224CC5" w:rsidRPr="00224CC5">
        <w:rPr>
          <w:rFonts w:ascii="Palatino Linotype" w:hAnsi="Palatino Linotype"/>
          <w:sz w:val="22"/>
          <w:szCs w:val="22"/>
        </w:rPr>
        <w:t xml:space="preserve">la Dirección Metropolitana de Catastro, con Oficio No. DMC-CE-14728 de 19 de noviembre de 2018, el Ing. Erwin Arroba Padilla, Coordinador Gestión Especial Catastral, respecto al trámite de adjudicación solicitado por el señor Miguel Ángel Salazar, manifestó: </w:t>
      </w:r>
      <w:r w:rsidR="00224CC5" w:rsidRPr="00DC788E">
        <w:rPr>
          <w:rFonts w:ascii="Palatino Linotype" w:hAnsi="Palatino Linotype"/>
          <w:i/>
          <w:sz w:val="22"/>
          <w:szCs w:val="22"/>
        </w:rPr>
        <w:t>“En cuanto al área a adjudicarse, la DMC, remite en ficha anexa los datos técnicos del área municipal conforme a lo establecido en la reunión de trabajo del 14 de febrero del 2017”</w:t>
      </w:r>
      <w:r w:rsidR="00224CC5" w:rsidRPr="00224CC5">
        <w:rPr>
          <w:rFonts w:ascii="Palatino Linotype" w:hAnsi="Palatino Linotype"/>
          <w:sz w:val="22"/>
          <w:szCs w:val="22"/>
        </w:rPr>
        <w:t>.</w:t>
      </w:r>
    </w:p>
    <w:p w:rsidR="00612644" w:rsidRPr="00974EE8" w:rsidRDefault="00612644" w:rsidP="00C6700F">
      <w:pPr>
        <w:tabs>
          <w:tab w:val="left" w:pos="426"/>
        </w:tabs>
        <w:ind w:left="705" w:hanging="705"/>
        <w:jc w:val="both"/>
        <w:rPr>
          <w:rFonts w:ascii="Palatino Linotype" w:hAnsi="Palatino Linotype"/>
          <w:sz w:val="22"/>
          <w:szCs w:val="22"/>
        </w:rPr>
      </w:pPr>
    </w:p>
    <w:p w:rsidR="00724137" w:rsidRPr="00DC788E" w:rsidRDefault="009540BE" w:rsidP="009540BE">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224CC5" w:rsidRPr="00224CC5">
        <w:rPr>
          <w:rFonts w:ascii="Palatino Linotype" w:hAnsi="Palatino Linotype"/>
          <w:sz w:val="22"/>
          <w:szCs w:val="22"/>
        </w:rPr>
        <w:t>mediante Memorando No. AMZT-DGT-2019-0686 de 19 de junio de 2019, la Dirección de Gestión de Territorio de la Administración Zonal Tumbaco</w:t>
      </w:r>
      <w:r w:rsidR="00224CC5" w:rsidRPr="00DC788E">
        <w:rPr>
          <w:rFonts w:ascii="Palatino Linotype" w:hAnsi="Palatino Linotype"/>
          <w:i/>
          <w:sz w:val="22"/>
          <w:szCs w:val="22"/>
        </w:rPr>
        <w:t xml:space="preserve">, “En relación a la Ordenanza 182. Art. </w:t>
      </w:r>
      <w:r w:rsidR="00224CC5" w:rsidRPr="00DC788E">
        <w:rPr>
          <w:rFonts w:ascii="Palatino Linotype" w:hAnsi="Palatino Linotype" w:cs="Arial"/>
          <w:i/>
          <w:sz w:val="22"/>
          <w:szCs w:val="22"/>
        </w:rPr>
        <w:t>...</w:t>
      </w:r>
      <w:r w:rsidR="00224CC5" w:rsidRPr="00DC788E">
        <w:rPr>
          <w:rFonts w:ascii="Palatino Linotype" w:hAnsi="Palatino Linotype"/>
          <w:i/>
          <w:sz w:val="22"/>
          <w:szCs w:val="22"/>
        </w:rPr>
        <w:t>(6) “En caso de que la faja de terreno producto de relleno de quebrada o remanente vial se encuentre ocupado por el propietario de uno de los inmuebles colindantes, con cerramiento o construcciones de más de cuatro años desde su terminación, el Concejo Metropolitano autorización directa al propietario de dicho inmueble, (</w:t>
      </w:r>
      <w:r w:rsidR="00224CC5" w:rsidRPr="00DC788E">
        <w:rPr>
          <w:rFonts w:ascii="Palatino Linotype" w:hAnsi="Palatino Linotype" w:cs="Arial"/>
          <w:i/>
          <w:sz w:val="22"/>
          <w:szCs w:val="22"/>
        </w:rPr>
        <w:t>...</w:t>
      </w:r>
      <w:r w:rsidR="00224CC5" w:rsidRPr="00DC788E">
        <w:rPr>
          <w:rFonts w:ascii="Palatino Linotype" w:hAnsi="Palatino Linotype"/>
          <w:i/>
          <w:sz w:val="22"/>
          <w:szCs w:val="22"/>
        </w:rPr>
        <w:t>)”</w:t>
      </w:r>
      <w:r w:rsidR="00224CC5" w:rsidRPr="00224CC5">
        <w:rPr>
          <w:rFonts w:ascii="Palatino Linotype" w:hAnsi="Palatino Linotype"/>
          <w:sz w:val="22"/>
          <w:szCs w:val="22"/>
        </w:rPr>
        <w:t xml:space="preserve">, </w:t>
      </w:r>
      <w:r w:rsidR="00224CC5" w:rsidRPr="00DC788E">
        <w:rPr>
          <w:rFonts w:ascii="Palatino Linotype" w:hAnsi="Palatino Linotype"/>
          <w:i/>
          <w:sz w:val="22"/>
          <w:szCs w:val="22"/>
        </w:rPr>
        <w:t xml:space="preserve">al respecto revisado el sistema informático Google </w:t>
      </w:r>
      <w:proofErr w:type="spellStart"/>
      <w:r w:rsidR="00224CC5" w:rsidRPr="00DC788E">
        <w:rPr>
          <w:rFonts w:ascii="Palatino Linotype" w:hAnsi="Palatino Linotype"/>
          <w:i/>
          <w:sz w:val="22"/>
          <w:szCs w:val="22"/>
        </w:rPr>
        <w:t>Earth</w:t>
      </w:r>
      <w:proofErr w:type="spellEnd"/>
      <w:r w:rsidR="00224CC5" w:rsidRPr="00DC788E">
        <w:rPr>
          <w:rFonts w:ascii="Palatino Linotype" w:hAnsi="Palatino Linotype"/>
          <w:i/>
          <w:sz w:val="22"/>
          <w:szCs w:val="22"/>
        </w:rPr>
        <w:t xml:space="preserve"> Pro la fotografía del año 2012 y la inspección realizada el 03 de agosto de 2018, se verifica que</w:t>
      </w:r>
      <w:r w:rsidR="00DC788E" w:rsidRPr="00DC788E">
        <w:rPr>
          <w:rFonts w:ascii="Palatino Linotype" w:hAnsi="Palatino Linotype"/>
          <w:i/>
          <w:sz w:val="22"/>
          <w:szCs w:val="22"/>
        </w:rPr>
        <w:t xml:space="preserve"> </w:t>
      </w:r>
      <w:r w:rsidR="00224CC5" w:rsidRPr="00DC788E">
        <w:rPr>
          <w:rFonts w:ascii="Palatino Linotype" w:hAnsi="Palatino Linotype"/>
          <w:i/>
          <w:sz w:val="22"/>
          <w:szCs w:val="22"/>
        </w:rPr>
        <w:t xml:space="preserve">la faja de terreno producto de relleno de quebrada, se encuentra con cerramiento y forman un solo cuerpo con el predio No. 107511, por lo que, la faja de terreno producto de relleno de quebrada, se encuentra ocupando </w:t>
      </w:r>
      <w:r w:rsidR="00224CC5" w:rsidRPr="00DC788E">
        <w:rPr>
          <w:rFonts w:ascii="Palatino Linotype" w:hAnsi="Palatino Linotype"/>
          <w:i/>
          <w:sz w:val="22"/>
          <w:szCs w:val="22"/>
        </w:rPr>
        <w:lastRenderedPageBreak/>
        <w:t xml:space="preserve">y utilizado como área verde y estacionamiento por el señor SALAZAR RAZA MIGUEL ANGEL propietario del predio No. 107511. </w:t>
      </w:r>
      <w:r w:rsidR="00224CC5" w:rsidRPr="00DC788E">
        <w:rPr>
          <w:rFonts w:ascii="Palatino Linotype" w:hAnsi="Palatino Linotype" w:cs="Arial"/>
          <w:i/>
          <w:sz w:val="22"/>
          <w:szCs w:val="22"/>
        </w:rPr>
        <w:t>...</w:t>
      </w:r>
      <w:r w:rsidR="00224CC5" w:rsidRPr="00DC788E">
        <w:rPr>
          <w:rFonts w:ascii="Palatino Linotype" w:hAnsi="Palatino Linotype"/>
          <w:i/>
          <w:sz w:val="22"/>
          <w:szCs w:val="22"/>
        </w:rPr>
        <w:t>La Unidad Administrativa de Territorio y Vivienda, a través de la Dirección de Gestión de Territorio, remite informe AMZT-DGT-TV/2019/030 donde señala en su parte pertinente: “una vez realizada la inspección al sitio, revisados las Ordenanzas Metropolitanas vigentes y al no tener planificado realizar ningún proyecto dentro del plan operativo anual POA-2019 por parte de la Administración Zonal Tumbaco, emite CRITERIO TECNICO FAVORABLE A LA ADJUDICACIÓN de la faja terreno de99.25 metros cuadrados, correspondiente a relleno de quebrada, encuentra ocupando más de 4 años y utilizado como área verde y estacionamiento, por el señor SALAZAR RAZAMIGUEL ANGEL propietario del predio 107511, con calve catastral No. 10414 11 001,</w:t>
      </w:r>
      <w:r w:rsidR="00DC788E">
        <w:rPr>
          <w:rFonts w:ascii="Palatino Linotype" w:hAnsi="Palatino Linotype"/>
          <w:i/>
          <w:sz w:val="22"/>
          <w:szCs w:val="22"/>
        </w:rPr>
        <w:t xml:space="preserve"> </w:t>
      </w:r>
      <w:r w:rsidR="00224CC5" w:rsidRPr="00DC788E">
        <w:rPr>
          <w:rFonts w:ascii="Palatino Linotype" w:hAnsi="Palatino Linotype"/>
          <w:i/>
          <w:sz w:val="22"/>
          <w:szCs w:val="22"/>
        </w:rPr>
        <w:t>ubicado en el sector de La Católica, parroquia de Cumbayá”</w:t>
      </w:r>
      <w:r w:rsidR="00DC788E">
        <w:rPr>
          <w:rFonts w:ascii="Palatino Linotype" w:hAnsi="Palatino Linotype"/>
          <w:sz w:val="22"/>
          <w:szCs w:val="22"/>
        </w:rPr>
        <w:t>.</w:t>
      </w:r>
    </w:p>
    <w:p w:rsidR="000E6777" w:rsidRPr="00AC78A2" w:rsidRDefault="000E6777" w:rsidP="009540BE">
      <w:pPr>
        <w:tabs>
          <w:tab w:val="left" w:pos="426"/>
        </w:tabs>
        <w:ind w:left="705" w:hanging="705"/>
        <w:jc w:val="both"/>
        <w:rPr>
          <w:rFonts w:ascii="Palatino Linotype" w:hAnsi="Palatino Linotype"/>
          <w:sz w:val="22"/>
          <w:szCs w:val="22"/>
        </w:rPr>
      </w:pPr>
    </w:p>
    <w:p w:rsidR="000E6777" w:rsidRPr="00AC78A2" w:rsidRDefault="000E6777" w:rsidP="000E6777">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224CC5" w:rsidRPr="00224CC5">
        <w:rPr>
          <w:rFonts w:ascii="Palatino Linotype" w:hAnsi="Palatino Linotype"/>
          <w:sz w:val="22"/>
          <w:szCs w:val="22"/>
        </w:rPr>
        <w:t>la Empresa Pública Metropolitana de Agua Potable y Saneamiento, mediante oficio</w:t>
      </w:r>
      <w:r w:rsidR="00224CC5">
        <w:rPr>
          <w:rFonts w:ascii="Palatino Linotype" w:hAnsi="Palatino Linotype"/>
          <w:sz w:val="22"/>
          <w:szCs w:val="22"/>
        </w:rPr>
        <w:t xml:space="preserve"> </w:t>
      </w:r>
      <w:r w:rsidR="00224CC5" w:rsidRPr="00224CC5">
        <w:rPr>
          <w:rFonts w:ascii="Palatino Linotype" w:hAnsi="Palatino Linotype"/>
          <w:sz w:val="22"/>
          <w:szCs w:val="22"/>
        </w:rPr>
        <w:t>No. EPMAPS-GT-2019-228 de 19 de junio de 2019, el Subgerente de</w:t>
      </w:r>
      <w:r w:rsidR="00224CC5">
        <w:rPr>
          <w:rFonts w:ascii="Palatino Linotype" w:hAnsi="Palatino Linotype"/>
          <w:sz w:val="22"/>
          <w:szCs w:val="22"/>
        </w:rPr>
        <w:t xml:space="preserve"> </w:t>
      </w:r>
      <w:r w:rsidR="004F7448" w:rsidRPr="00224CC5">
        <w:rPr>
          <w:rFonts w:ascii="Palatino Linotype" w:hAnsi="Palatino Linotype"/>
          <w:sz w:val="22"/>
          <w:szCs w:val="22"/>
        </w:rPr>
        <w:t>Pre inversiones</w:t>
      </w:r>
      <w:r w:rsidR="00224CC5" w:rsidRPr="00224CC5">
        <w:rPr>
          <w:rFonts w:ascii="Palatino Linotype" w:hAnsi="Palatino Linotype"/>
          <w:sz w:val="22"/>
          <w:szCs w:val="22"/>
        </w:rPr>
        <w:t>, emite criterio técnico actualizado e indicó lo siguiente:</w:t>
      </w:r>
      <w:r w:rsidR="00DC788E">
        <w:rPr>
          <w:rFonts w:ascii="Palatino Linotype" w:hAnsi="Palatino Linotype"/>
          <w:sz w:val="22"/>
          <w:szCs w:val="22"/>
        </w:rPr>
        <w:t xml:space="preserve"> </w:t>
      </w:r>
      <w:r w:rsidR="00224CC5" w:rsidRPr="00DC788E">
        <w:rPr>
          <w:rFonts w:ascii="Palatino Linotype" w:hAnsi="Palatino Linotype"/>
          <w:i/>
          <w:sz w:val="22"/>
          <w:szCs w:val="22"/>
        </w:rPr>
        <w:t>“(</w:t>
      </w:r>
      <w:r w:rsidR="00224CC5" w:rsidRPr="00DC788E">
        <w:rPr>
          <w:rFonts w:ascii="Palatino Linotype" w:hAnsi="Palatino Linotype" w:cs="Arial"/>
          <w:i/>
          <w:sz w:val="22"/>
          <w:szCs w:val="22"/>
        </w:rPr>
        <w:t>...</w:t>
      </w:r>
      <w:r w:rsidR="00224CC5" w:rsidRPr="00DC788E">
        <w:rPr>
          <w:rFonts w:ascii="Palatino Linotype" w:hAnsi="Palatino Linotype"/>
          <w:i/>
          <w:sz w:val="22"/>
          <w:szCs w:val="22"/>
        </w:rPr>
        <w:t xml:space="preserve">) la EPMAPS se ratifica el informe emitido por el Ingeniero Xavier Vidal </w:t>
      </w:r>
      <w:proofErr w:type="spellStart"/>
      <w:r w:rsidR="00224CC5" w:rsidRPr="00DC788E">
        <w:rPr>
          <w:rFonts w:ascii="Palatino Linotype" w:hAnsi="Palatino Linotype"/>
          <w:i/>
          <w:sz w:val="22"/>
          <w:szCs w:val="22"/>
        </w:rPr>
        <w:t>Pacurucu</w:t>
      </w:r>
      <w:proofErr w:type="spellEnd"/>
      <w:r w:rsidR="00224CC5" w:rsidRPr="00DC788E">
        <w:rPr>
          <w:rFonts w:ascii="Palatino Linotype" w:hAnsi="Palatino Linotype"/>
          <w:i/>
          <w:sz w:val="22"/>
          <w:szCs w:val="22"/>
        </w:rPr>
        <w:t xml:space="preserve">, Sub Gerente de </w:t>
      </w:r>
      <w:r w:rsidR="004F7448" w:rsidRPr="00DC788E">
        <w:rPr>
          <w:rFonts w:ascii="Palatino Linotype" w:hAnsi="Palatino Linotype"/>
          <w:i/>
          <w:sz w:val="22"/>
          <w:szCs w:val="22"/>
        </w:rPr>
        <w:t>Pre inversiones</w:t>
      </w:r>
      <w:r w:rsidR="00224CC5" w:rsidRPr="00DC788E">
        <w:rPr>
          <w:rFonts w:ascii="Palatino Linotype" w:hAnsi="Palatino Linotype"/>
          <w:i/>
          <w:sz w:val="22"/>
          <w:szCs w:val="22"/>
        </w:rPr>
        <w:t>, con oficio No. EPMAPS-GT-2019-017 de 17 DE 2019, que es favorable”.</w:t>
      </w:r>
    </w:p>
    <w:p w:rsidR="005525E0" w:rsidRPr="00AC78A2" w:rsidRDefault="005525E0" w:rsidP="000E6777">
      <w:pPr>
        <w:tabs>
          <w:tab w:val="left" w:pos="426"/>
        </w:tabs>
        <w:ind w:left="705" w:hanging="705"/>
        <w:jc w:val="both"/>
        <w:rPr>
          <w:rFonts w:ascii="Palatino Linotype" w:hAnsi="Palatino Linotype"/>
          <w:sz w:val="22"/>
          <w:szCs w:val="22"/>
        </w:rPr>
      </w:pPr>
    </w:p>
    <w:p w:rsidR="005525E0" w:rsidRPr="00224CC5" w:rsidRDefault="005525E0" w:rsidP="005525E0">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224CC5" w:rsidRPr="00224CC5">
        <w:rPr>
          <w:rFonts w:ascii="Palatino Linotype" w:hAnsi="Palatino Linotype"/>
          <w:sz w:val="22"/>
          <w:szCs w:val="22"/>
        </w:rPr>
        <w:t>la Administración Zonal Tumbaco, mediante Oficio No. 1594 de 23 de julio de</w:t>
      </w:r>
      <w:r w:rsidR="00224CC5">
        <w:rPr>
          <w:rFonts w:ascii="Palatino Linotype" w:hAnsi="Palatino Linotype"/>
          <w:sz w:val="22"/>
          <w:szCs w:val="22"/>
        </w:rPr>
        <w:t xml:space="preserve"> </w:t>
      </w:r>
      <w:r w:rsidR="00224CC5" w:rsidRPr="00224CC5">
        <w:rPr>
          <w:rFonts w:ascii="Palatino Linotype" w:hAnsi="Palatino Linotype"/>
          <w:sz w:val="22"/>
          <w:szCs w:val="22"/>
        </w:rPr>
        <w:t>2019, como alcance al Oficio AMZT-2019-2357 de 15 de octubre de 2018,</w:t>
      </w:r>
      <w:r w:rsidR="00224CC5">
        <w:rPr>
          <w:rFonts w:ascii="Palatino Linotype" w:hAnsi="Palatino Linotype"/>
          <w:sz w:val="22"/>
          <w:szCs w:val="22"/>
        </w:rPr>
        <w:t xml:space="preserve"> </w:t>
      </w:r>
      <w:r w:rsidR="00224CC5" w:rsidRPr="00224CC5">
        <w:rPr>
          <w:rFonts w:ascii="Palatino Linotype" w:hAnsi="Palatino Linotype"/>
          <w:sz w:val="22"/>
          <w:szCs w:val="22"/>
        </w:rPr>
        <w:t>manifestó que:</w:t>
      </w:r>
      <w:r w:rsidR="00DC788E">
        <w:rPr>
          <w:rFonts w:ascii="Palatino Linotype" w:hAnsi="Palatino Linotype"/>
          <w:sz w:val="22"/>
          <w:szCs w:val="22"/>
        </w:rPr>
        <w:t xml:space="preserve"> </w:t>
      </w:r>
      <w:r w:rsidR="00224CC5" w:rsidRPr="00DC788E">
        <w:rPr>
          <w:rFonts w:ascii="Palatino Linotype" w:hAnsi="Palatino Linotype"/>
          <w:i/>
          <w:sz w:val="22"/>
          <w:szCs w:val="22"/>
        </w:rPr>
        <w:t>“(</w:t>
      </w:r>
      <w:r w:rsidR="00224CC5" w:rsidRPr="00DC788E">
        <w:rPr>
          <w:rFonts w:ascii="Palatino Linotype" w:hAnsi="Palatino Linotype" w:cs="Arial"/>
          <w:i/>
          <w:sz w:val="22"/>
          <w:szCs w:val="22"/>
        </w:rPr>
        <w:t>...</w:t>
      </w:r>
      <w:r w:rsidR="00224CC5" w:rsidRPr="00DC788E">
        <w:rPr>
          <w:rFonts w:ascii="Palatino Linotype" w:hAnsi="Palatino Linotype"/>
          <w:i/>
          <w:sz w:val="22"/>
          <w:szCs w:val="22"/>
        </w:rPr>
        <w:t>) acogiendo los criterios técnico y legal de las Direcciones de Gestión del Territorio y de Asesoría Jurídica, y en base al Art. 481 del COOTAD y Art. 42 de Ley Reformatoria al COOTAD y Ord. Metropolitana 172 reformada parcialmente por la Ordenanza 432 y Ordenanza Metropolitana 182, vigente al ingreso de la petición, considera factible. continuar con el trámite de enajenación directa de la faja de terreno producto de relleno de quebrada, ubicado en la parroquia Cumbayá, a favor del señor Miguel Ángel Salazar Raza, en virtud de que se ha justificado su ocupación por más de cuatro años”.</w:t>
      </w:r>
    </w:p>
    <w:p w:rsidR="005525E0" w:rsidRPr="00AC78A2" w:rsidRDefault="005525E0" w:rsidP="005525E0">
      <w:pPr>
        <w:tabs>
          <w:tab w:val="left" w:pos="426"/>
        </w:tabs>
        <w:ind w:left="705" w:hanging="705"/>
        <w:jc w:val="both"/>
        <w:rPr>
          <w:rFonts w:ascii="Palatino Linotype" w:hAnsi="Palatino Linotype"/>
          <w:sz w:val="22"/>
          <w:szCs w:val="22"/>
        </w:rPr>
      </w:pPr>
    </w:p>
    <w:p w:rsidR="00B37F9F" w:rsidRPr="00224CC5" w:rsidRDefault="00B37F9F" w:rsidP="00B37F9F">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224CC5" w:rsidRPr="00224CC5">
        <w:rPr>
          <w:rFonts w:ascii="Palatino Linotype" w:hAnsi="Palatino Linotype"/>
          <w:sz w:val="22"/>
          <w:szCs w:val="22"/>
        </w:rPr>
        <w:t>mediante Oficio No. SGSG-DMGR-2019-0411 de 24 de julio de 2019, el Ing. Edgar</w:t>
      </w:r>
      <w:r w:rsidR="00224CC5">
        <w:rPr>
          <w:rFonts w:ascii="Palatino Linotype" w:hAnsi="Palatino Linotype"/>
          <w:sz w:val="22"/>
          <w:szCs w:val="22"/>
        </w:rPr>
        <w:t xml:space="preserve"> </w:t>
      </w:r>
      <w:r w:rsidR="00224CC5" w:rsidRPr="00224CC5">
        <w:rPr>
          <w:rFonts w:ascii="Palatino Linotype" w:hAnsi="Palatino Linotype"/>
          <w:sz w:val="22"/>
          <w:szCs w:val="22"/>
        </w:rPr>
        <w:t>Luna González, Director Metropolitano de Gestión de Riesgos de la Secretaria</w:t>
      </w:r>
      <w:r w:rsidR="00224CC5">
        <w:rPr>
          <w:rFonts w:ascii="Palatino Linotype" w:hAnsi="Palatino Linotype"/>
          <w:sz w:val="22"/>
          <w:szCs w:val="22"/>
        </w:rPr>
        <w:t xml:space="preserve"> </w:t>
      </w:r>
      <w:r w:rsidR="00224CC5" w:rsidRPr="00224CC5">
        <w:rPr>
          <w:rFonts w:ascii="Palatino Linotype" w:hAnsi="Palatino Linotype"/>
          <w:sz w:val="22"/>
          <w:szCs w:val="22"/>
        </w:rPr>
        <w:t>General de Seguridad y Gobernabilidad, se ratificó en el Informe Técnico No.035-AT-DMGR-2019, el mismo que en las conclusiones y/o recomendaciones manifestó:</w:t>
      </w:r>
      <w:r w:rsidR="00DC788E">
        <w:rPr>
          <w:rFonts w:ascii="Palatino Linotype" w:hAnsi="Palatino Linotype"/>
          <w:sz w:val="22"/>
          <w:szCs w:val="22"/>
        </w:rPr>
        <w:t xml:space="preserve"> </w:t>
      </w:r>
      <w:r w:rsidR="00224CC5" w:rsidRPr="00DC788E">
        <w:rPr>
          <w:rFonts w:ascii="Palatino Linotype" w:hAnsi="Palatino Linotype"/>
          <w:i/>
          <w:sz w:val="22"/>
          <w:szCs w:val="22"/>
        </w:rPr>
        <w:t xml:space="preserve">“El área solicitada en adjudicación corresponde a un relleno de quebrada sin nombre afluente de la quebrada </w:t>
      </w:r>
      <w:proofErr w:type="spellStart"/>
      <w:r w:rsidR="00224CC5" w:rsidRPr="00DC788E">
        <w:rPr>
          <w:rFonts w:ascii="Palatino Linotype" w:hAnsi="Palatino Linotype"/>
          <w:i/>
          <w:sz w:val="22"/>
          <w:szCs w:val="22"/>
        </w:rPr>
        <w:t>Chacanaguaycu</w:t>
      </w:r>
      <w:proofErr w:type="spellEnd"/>
      <w:r w:rsidR="00224CC5" w:rsidRPr="00DC788E">
        <w:rPr>
          <w:rFonts w:ascii="Palatino Linotype" w:hAnsi="Palatino Linotype"/>
          <w:i/>
          <w:sz w:val="22"/>
          <w:szCs w:val="22"/>
        </w:rPr>
        <w:t>, como lo corrobora el oficio DMC-CE14728 emitido por el Director Metropolitana de Catastro el 19 de noviembre de 2018 (</w:t>
      </w:r>
      <w:r w:rsidR="00224CC5" w:rsidRPr="00DC788E">
        <w:rPr>
          <w:rFonts w:ascii="Palatino Linotype" w:hAnsi="Palatino Linotype" w:cs="Arial"/>
          <w:i/>
          <w:sz w:val="22"/>
          <w:szCs w:val="22"/>
        </w:rPr>
        <w:t>...</w:t>
      </w:r>
      <w:r w:rsidR="00224CC5" w:rsidRPr="00DC788E">
        <w:rPr>
          <w:rFonts w:ascii="Palatino Linotype" w:hAnsi="Palatino Linotype"/>
          <w:i/>
          <w:sz w:val="22"/>
          <w:szCs w:val="22"/>
        </w:rPr>
        <w:t xml:space="preserve">). Por lo </w:t>
      </w:r>
      <w:proofErr w:type="gramStart"/>
      <w:r w:rsidR="00224CC5" w:rsidRPr="00DC788E">
        <w:rPr>
          <w:rFonts w:ascii="Palatino Linotype" w:hAnsi="Palatino Linotype"/>
          <w:i/>
          <w:sz w:val="22"/>
          <w:szCs w:val="22"/>
        </w:rPr>
        <w:t>tanto</w:t>
      </w:r>
      <w:proofErr w:type="gramEnd"/>
      <w:r w:rsidR="00224CC5" w:rsidRPr="00DC788E">
        <w:rPr>
          <w:rFonts w:ascii="Palatino Linotype" w:hAnsi="Palatino Linotype"/>
          <w:i/>
          <w:sz w:val="22"/>
          <w:szCs w:val="22"/>
        </w:rPr>
        <w:t xml:space="preserve"> en las condiciones actuales, el nivel de amenaza se la considera bajo frente a movimientos en masa de tipo deslizamientos y medio frente a movimientos en masa de tipo subsidencia; moderado frente a la amenaza sísmica y, bajo frente a la amenaza volcánica. En base al análisis realizado durante la evaluación del </w:t>
      </w:r>
      <w:proofErr w:type="gramStart"/>
      <w:r w:rsidR="00224CC5" w:rsidRPr="00DC788E">
        <w:rPr>
          <w:rFonts w:ascii="Palatino Linotype" w:hAnsi="Palatino Linotype"/>
          <w:i/>
          <w:sz w:val="22"/>
          <w:szCs w:val="22"/>
        </w:rPr>
        <w:t>pedio propiedad</w:t>
      </w:r>
      <w:proofErr w:type="gramEnd"/>
      <w:r w:rsidR="00224CC5" w:rsidRPr="00DC788E">
        <w:rPr>
          <w:rFonts w:ascii="Palatino Linotype" w:hAnsi="Palatino Linotype"/>
          <w:i/>
          <w:sz w:val="22"/>
          <w:szCs w:val="22"/>
        </w:rPr>
        <w:t xml:space="preserve"> del señor Salazar Raza Miguel Ángel, la calificación de niveles de amenazas a las cuales se encuentra expuesta el área del terreno solicitado en adjudicación, se considera que se puede continuar con el trámite de adjudicación. </w:t>
      </w:r>
      <w:r w:rsidR="00224CC5" w:rsidRPr="00DC788E">
        <w:rPr>
          <w:rFonts w:ascii="Palatino Linotype" w:hAnsi="Palatino Linotype"/>
          <w:i/>
          <w:sz w:val="22"/>
          <w:szCs w:val="22"/>
        </w:rPr>
        <w:lastRenderedPageBreak/>
        <w:t xml:space="preserve">RECOMENDACIONES: Se recomienda al propietario, evitar la construcción en el área solicitada a adjudicar y </w:t>
      </w:r>
      <w:proofErr w:type="spellStart"/>
      <w:r w:rsidR="00224CC5" w:rsidRPr="00DC788E">
        <w:rPr>
          <w:rFonts w:ascii="Palatino Linotype" w:hAnsi="Palatino Linotype"/>
          <w:i/>
          <w:sz w:val="22"/>
          <w:szCs w:val="22"/>
        </w:rPr>
        <w:t>encaso</w:t>
      </w:r>
      <w:proofErr w:type="spellEnd"/>
      <w:r w:rsidR="00224CC5" w:rsidRPr="00DC788E">
        <w:rPr>
          <w:rFonts w:ascii="Palatino Linotype" w:hAnsi="Palatino Linotype"/>
          <w:i/>
          <w:sz w:val="22"/>
          <w:szCs w:val="22"/>
        </w:rPr>
        <w:t xml:space="preserve"> de que el proceso sea favorable, se mantenga el predio en condiciones de seguridad y salubridad a fin de proteger de posibles afectaciones a los moradores y a las infraestructuras públicas y privadas presentes en la zona. Al finalizar el trámite, en caso de ser favorable la adjudicación actualizar e incluir en el Informe de regulación Metropolitana, IRM del Municipio del DMQ, para el Predio No.107511, Clave Catastral No. 10414-11-001, el área en interés delimitada y certificada por </w:t>
      </w:r>
      <w:r w:rsidR="004F7448" w:rsidRPr="00DC788E">
        <w:rPr>
          <w:rFonts w:ascii="Palatino Linotype" w:hAnsi="Palatino Linotype"/>
          <w:i/>
          <w:sz w:val="22"/>
          <w:szCs w:val="22"/>
        </w:rPr>
        <w:t>l</w:t>
      </w:r>
      <w:r w:rsidR="00224CC5" w:rsidRPr="00DC788E">
        <w:rPr>
          <w:rFonts w:ascii="Palatino Linotype" w:hAnsi="Palatino Linotype"/>
          <w:i/>
          <w:sz w:val="22"/>
          <w:szCs w:val="22"/>
        </w:rPr>
        <w:t>a Dirección Metropolitana de Catastro, las observaciones de calificación de riesgo y recomendaciones para emisión de permisos y control de usos y ocupación del suelo a futuro. Tomar en consideración los criterios emitidos por la Administración Zonal Calderón y de la EPMAPS, previo a la adjudicación de la franja de terreno en interés”</w:t>
      </w:r>
      <w:r w:rsidR="00224CC5" w:rsidRPr="00224CC5">
        <w:rPr>
          <w:rFonts w:ascii="Palatino Linotype" w:hAnsi="Palatino Linotype"/>
          <w:sz w:val="22"/>
          <w:szCs w:val="22"/>
        </w:rPr>
        <w:t>.</w:t>
      </w:r>
    </w:p>
    <w:p w:rsidR="00BA1967" w:rsidRPr="00AC78A2" w:rsidRDefault="00BA1967" w:rsidP="00B37F9F">
      <w:pPr>
        <w:tabs>
          <w:tab w:val="left" w:pos="426"/>
        </w:tabs>
        <w:ind w:left="705" w:hanging="705"/>
        <w:jc w:val="both"/>
        <w:rPr>
          <w:rFonts w:ascii="Palatino Linotype" w:hAnsi="Palatino Linotype"/>
          <w:sz w:val="22"/>
          <w:szCs w:val="22"/>
        </w:rPr>
      </w:pPr>
    </w:p>
    <w:p w:rsidR="00BA1967" w:rsidRPr="002E5D07" w:rsidRDefault="00BA1967" w:rsidP="00BA1967">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2E5D07" w:rsidRPr="002E5D07">
        <w:rPr>
          <w:rFonts w:ascii="Palatino Linotype" w:hAnsi="Palatino Linotype"/>
          <w:sz w:val="22"/>
          <w:szCs w:val="22"/>
        </w:rPr>
        <w:t>con Oficio No. DMGBI-2019-02337 de 05 de agosto de 2019, el Dr. Mauricio</w:t>
      </w:r>
      <w:r w:rsidR="002E5D07">
        <w:rPr>
          <w:rFonts w:ascii="Palatino Linotype" w:hAnsi="Palatino Linotype"/>
          <w:sz w:val="22"/>
          <w:szCs w:val="22"/>
        </w:rPr>
        <w:t xml:space="preserve"> </w:t>
      </w:r>
      <w:r w:rsidR="002E5D07" w:rsidRPr="002E5D07">
        <w:rPr>
          <w:rFonts w:ascii="Palatino Linotype" w:hAnsi="Palatino Linotype"/>
          <w:sz w:val="22"/>
          <w:szCs w:val="22"/>
        </w:rPr>
        <w:t>Montalvo Leiva, Director Metropolitano de Gestión de Bienes Inmuebles en ese</w:t>
      </w:r>
      <w:r w:rsidR="002E5D07">
        <w:rPr>
          <w:rFonts w:ascii="Palatino Linotype" w:hAnsi="Palatino Linotype"/>
          <w:sz w:val="22"/>
          <w:szCs w:val="22"/>
        </w:rPr>
        <w:t xml:space="preserve"> </w:t>
      </w:r>
      <w:r w:rsidR="002E5D07" w:rsidRPr="002E5D07">
        <w:rPr>
          <w:rFonts w:ascii="Palatino Linotype" w:hAnsi="Palatino Linotype"/>
          <w:sz w:val="22"/>
          <w:szCs w:val="22"/>
        </w:rPr>
        <w:t xml:space="preserve">entonces, manifiesto lo siguiente: </w:t>
      </w:r>
      <w:r w:rsidR="00DC788E">
        <w:rPr>
          <w:rFonts w:ascii="Palatino Linotype" w:hAnsi="Palatino Linotype"/>
          <w:sz w:val="22"/>
          <w:szCs w:val="22"/>
        </w:rPr>
        <w:t>“</w:t>
      </w:r>
      <w:r w:rsidR="002E5D07" w:rsidRPr="00DC788E">
        <w:rPr>
          <w:rFonts w:ascii="Palatino Linotype" w:hAnsi="Palatino Linotype"/>
          <w:i/>
          <w:sz w:val="22"/>
          <w:szCs w:val="22"/>
        </w:rPr>
        <w:t>La Dirección Metropolitana de Gestión de Bienes Inmuebles, vistos los antecedentes señalados en los informes de las Dependencias Municipales y de acuerdo al literal a) del artículo 437 del COOTAD, considera que la faja de terreno a ser adjudicada no va a ser de utilidad en el futuro para el Municipio de Quito, por lo que es FACTIBLE que se realice la enajenación directa a favor de SALAZAR RAZA MIGUEL ANGEL (</w:t>
      </w:r>
      <w:r w:rsidR="002E5D07" w:rsidRPr="00DC788E">
        <w:rPr>
          <w:rFonts w:ascii="Palatino Linotype" w:hAnsi="Palatino Linotype" w:cs="Arial"/>
          <w:i/>
          <w:sz w:val="22"/>
          <w:szCs w:val="22"/>
        </w:rPr>
        <w:t>...</w:t>
      </w:r>
      <w:r w:rsidR="002E5D07" w:rsidRPr="00DC788E">
        <w:rPr>
          <w:rFonts w:ascii="Palatino Linotype" w:hAnsi="Palatino Linotype"/>
          <w:i/>
          <w:sz w:val="22"/>
          <w:szCs w:val="22"/>
        </w:rPr>
        <w:t>)”.</w:t>
      </w:r>
    </w:p>
    <w:p w:rsidR="00BA1967" w:rsidRPr="00AC78A2" w:rsidRDefault="00BA1967" w:rsidP="00BA1967">
      <w:pPr>
        <w:tabs>
          <w:tab w:val="left" w:pos="426"/>
        </w:tabs>
        <w:ind w:left="705" w:hanging="705"/>
        <w:jc w:val="both"/>
        <w:rPr>
          <w:rFonts w:ascii="Palatino Linotype" w:hAnsi="Palatino Linotype"/>
          <w:sz w:val="22"/>
          <w:szCs w:val="22"/>
        </w:rPr>
      </w:pPr>
    </w:p>
    <w:p w:rsidR="0016353C" w:rsidRPr="00AC78A2" w:rsidRDefault="0016353C" w:rsidP="0016353C">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2E5D07" w:rsidRPr="002E5D07">
        <w:rPr>
          <w:rFonts w:ascii="Palatino Linotype" w:hAnsi="Palatino Linotype"/>
          <w:sz w:val="22"/>
          <w:szCs w:val="22"/>
        </w:rPr>
        <w:t>con Oficio No. GADDMQ-DMF-2019-1154-O de 13 de agosto de 2019, la Sra.</w:t>
      </w:r>
      <w:r w:rsidR="002E5D07">
        <w:rPr>
          <w:rFonts w:ascii="Palatino Linotype" w:hAnsi="Palatino Linotype"/>
          <w:sz w:val="22"/>
          <w:szCs w:val="22"/>
        </w:rPr>
        <w:t xml:space="preserve"> </w:t>
      </w:r>
      <w:r w:rsidR="002E5D07" w:rsidRPr="002E5D07">
        <w:rPr>
          <w:rFonts w:ascii="Palatino Linotype" w:hAnsi="Palatino Linotype"/>
          <w:sz w:val="22"/>
          <w:szCs w:val="22"/>
        </w:rPr>
        <w:t>Catalina de los Ángeles Sánchez, Directora Metropolitana Financiera, emite informe</w:t>
      </w:r>
      <w:r w:rsidR="002E5D07">
        <w:rPr>
          <w:rFonts w:ascii="Palatino Linotype" w:hAnsi="Palatino Linotype"/>
          <w:sz w:val="22"/>
          <w:szCs w:val="22"/>
        </w:rPr>
        <w:t xml:space="preserve"> </w:t>
      </w:r>
      <w:r w:rsidR="002E5D07" w:rsidRPr="002E5D07">
        <w:rPr>
          <w:rFonts w:ascii="Palatino Linotype" w:hAnsi="Palatino Linotype"/>
          <w:sz w:val="22"/>
          <w:szCs w:val="22"/>
        </w:rPr>
        <w:t>favorable para que se inicie el trámite administrativo para la compra directa del área</w:t>
      </w:r>
      <w:r w:rsidR="002E5D07">
        <w:rPr>
          <w:rFonts w:ascii="Palatino Linotype" w:hAnsi="Palatino Linotype"/>
          <w:sz w:val="22"/>
          <w:szCs w:val="22"/>
        </w:rPr>
        <w:t xml:space="preserve"> </w:t>
      </w:r>
      <w:r w:rsidR="002E5D07" w:rsidRPr="002E5D07">
        <w:rPr>
          <w:rFonts w:ascii="Palatino Linotype" w:hAnsi="Palatino Linotype"/>
          <w:sz w:val="22"/>
          <w:szCs w:val="22"/>
        </w:rPr>
        <w:t>de terreno solicitada en adjudicación, a favor del señor SALAZAR RAZA MIGUELANGEL, en razón de que NO reporta al momento ingresos o renta alguna a favor del</w:t>
      </w:r>
      <w:r w:rsidR="002E5D07">
        <w:rPr>
          <w:rFonts w:ascii="Palatino Linotype" w:hAnsi="Palatino Linotype"/>
          <w:sz w:val="22"/>
          <w:szCs w:val="22"/>
        </w:rPr>
        <w:t xml:space="preserve"> </w:t>
      </w:r>
      <w:r w:rsidR="002E5D07" w:rsidRPr="002E5D07">
        <w:rPr>
          <w:rFonts w:ascii="Palatino Linotype" w:hAnsi="Palatino Linotype"/>
          <w:sz w:val="22"/>
          <w:szCs w:val="22"/>
        </w:rPr>
        <w:t>Municipio del Distrito Metropolitano de Quito.</w:t>
      </w:r>
    </w:p>
    <w:p w:rsidR="00837642" w:rsidRPr="00AC78A2" w:rsidRDefault="00837642" w:rsidP="0016353C">
      <w:pPr>
        <w:tabs>
          <w:tab w:val="left" w:pos="426"/>
        </w:tabs>
        <w:ind w:left="705" w:hanging="705"/>
        <w:jc w:val="both"/>
        <w:rPr>
          <w:rFonts w:ascii="Palatino Linotype" w:hAnsi="Palatino Linotype"/>
          <w:sz w:val="22"/>
          <w:szCs w:val="22"/>
        </w:rPr>
      </w:pPr>
    </w:p>
    <w:p w:rsidR="00837642" w:rsidRPr="002E5D07" w:rsidRDefault="00837642" w:rsidP="00837642">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2E5D07" w:rsidRPr="002E5D07">
        <w:rPr>
          <w:rFonts w:ascii="Palatino Linotype" w:hAnsi="Palatino Linotype"/>
          <w:sz w:val="22"/>
          <w:szCs w:val="22"/>
        </w:rPr>
        <w:t>la Dirección Metropolitana de Catastro, con Oficio No.GADDMQ-DMC-GCE-2019-1314-O de 14 de noviembre 2019, suscrito por el Ing. Erwin Arroba Padilla, Coordinador Gestión Especial Catastral, respecto al trámite de adjudicación solicitado por el señor Miguel Ángel Salazar, manifestó:</w:t>
      </w:r>
      <w:r w:rsidR="00DC788E">
        <w:rPr>
          <w:rFonts w:ascii="Palatino Linotype" w:hAnsi="Palatino Linotype"/>
          <w:sz w:val="22"/>
          <w:szCs w:val="22"/>
        </w:rPr>
        <w:t xml:space="preserve"> </w:t>
      </w:r>
      <w:r w:rsidR="002E5D07" w:rsidRPr="00DC788E">
        <w:rPr>
          <w:rFonts w:ascii="Palatino Linotype" w:hAnsi="Palatino Linotype"/>
          <w:i/>
          <w:sz w:val="22"/>
          <w:szCs w:val="22"/>
        </w:rPr>
        <w:t>“(</w:t>
      </w:r>
      <w:r w:rsidR="002E5D07" w:rsidRPr="00DC788E">
        <w:rPr>
          <w:rFonts w:ascii="Palatino Linotype" w:hAnsi="Palatino Linotype" w:cs="Arial"/>
          <w:i/>
          <w:sz w:val="22"/>
          <w:szCs w:val="22"/>
        </w:rPr>
        <w:t>...</w:t>
      </w:r>
      <w:r w:rsidR="002E5D07" w:rsidRPr="00DC788E">
        <w:rPr>
          <w:rFonts w:ascii="Palatino Linotype" w:hAnsi="Palatino Linotype"/>
          <w:i/>
          <w:sz w:val="22"/>
          <w:szCs w:val="22"/>
        </w:rPr>
        <w:t>) considerando lo manifestado por el MIDUVI con respecto a la valoración de la faja conforme a la Ley Orgánica para la Contratación Pública del 20 de marzo de 2017,</w:t>
      </w:r>
      <w:r w:rsidR="004F7448" w:rsidRPr="00DC788E">
        <w:rPr>
          <w:rFonts w:ascii="Palatino Linotype" w:hAnsi="Palatino Linotype"/>
          <w:i/>
          <w:sz w:val="22"/>
          <w:szCs w:val="22"/>
        </w:rPr>
        <w:t xml:space="preserve"> </w:t>
      </w:r>
      <w:r w:rsidR="002E5D07" w:rsidRPr="00DC788E">
        <w:rPr>
          <w:rFonts w:ascii="Palatino Linotype" w:hAnsi="Palatino Linotype"/>
          <w:i/>
          <w:sz w:val="22"/>
          <w:szCs w:val="22"/>
        </w:rPr>
        <w:t xml:space="preserve">avalado con oficio No. MIDUVI-GAC-2017-0196-O del 07 de septiembre de 2017, en el cual el Ministerio de Desarrollo Urbano y Vivienda determinó que: “cumple con los parámetros generales para la determinación del valor del justo precio y se la válida para su utilización dentro de los proyectos que sea necesaria su aplicación”, la DMC remite la Ficha con los Datos Técnicos, correspondiente a la faja de terreno de posible adjudicación a favor del predio No. 107511, la clave catastral No. 10414-11-001 y considerando que no existe calle colindante al área de terreno a adjudicarse, se procedió con la actualización del factor de corrección por quebrada rellena que </w:t>
      </w:r>
      <w:r w:rsidR="002E5D07" w:rsidRPr="00DC788E">
        <w:rPr>
          <w:rFonts w:ascii="Palatino Linotype" w:hAnsi="Palatino Linotype"/>
          <w:i/>
          <w:sz w:val="22"/>
          <w:szCs w:val="22"/>
        </w:rPr>
        <w:lastRenderedPageBreak/>
        <w:t>anteriormente en la ficha constaba con0.9 corresponde a 0.7. Consecuentemente se deja sin efecto la ficha técnica No. 1, remitida a la DMGBI, mediante Oficio no. DMC-CE-14728, de noviembre 19 de 2018”</w:t>
      </w:r>
      <w:r w:rsidR="002E5D07" w:rsidRPr="002E5D07">
        <w:rPr>
          <w:rFonts w:ascii="Palatino Linotype" w:hAnsi="Palatino Linotype"/>
          <w:sz w:val="22"/>
          <w:szCs w:val="22"/>
        </w:rPr>
        <w:t>.</w:t>
      </w:r>
    </w:p>
    <w:p w:rsidR="002042A3" w:rsidRPr="00AC78A2" w:rsidRDefault="002042A3" w:rsidP="00837642">
      <w:pPr>
        <w:tabs>
          <w:tab w:val="left" w:pos="426"/>
        </w:tabs>
        <w:ind w:left="705" w:hanging="705"/>
        <w:jc w:val="both"/>
        <w:rPr>
          <w:rFonts w:ascii="Palatino Linotype" w:hAnsi="Palatino Linotype"/>
          <w:sz w:val="22"/>
          <w:szCs w:val="22"/>
        </w:rPr>
      </w:pPr>
    </w:p>
    <w:p w:rsidR="002E5D07" w:rsidRDefault="008A6A5B" w:rsidP="00C96B1C">
      <w:pPr>
        <w:tabs>
          <w:tab w:val="left" w:pos="426"/>
        </w:tabs>
        <w:ind w:left="705" w:hanging="705"/>
        <w:jc w:val="both"/>
        <w:rPr>
          <w:rFonts w:ascii="Palatino Linotype" w:hAnsi="Palatino Linotype"/>
          <w:sz w:val="22"/>
          <w:szCs w:val="22"/>
        </w:rPr>
      </w:pPr>
      <w:r w:rsidRPr="00974EE8">
        <w:rPr>
          <w:rFonts w:ascii="Palatino Linotype" w:hAnsi="Palatino Linotype"/>
          <w:sz w:val="22"/>
          <w:szCs w:val="22"/>
        </w:rPr>
        <w:t>Que,</w:t>
      </w:r>
      <w:r w:rsidRPr="00974EE8">
        <w:rPr>
          <w:rFonts w:ascii="Palatino Linotype" w:hAnsi="Palatino Linotype"/>
          <w:sz w:val="22"/>
          <w:szCs w:val="22"/>
        </w:rPr>
        <w:tab/>
      </w:r>
      <w:r w:rsidRPr="00AC78A2">
        <w:rPr>
          <w:rFonts w:ascii="Palatino Linotype" w:hAnsi="Palatino Linotype"/>
          <w:sz w:val="22"/>
          <w:szCs w:val="22"/>
        </w:rPr>
        <w:t>m</w:t>
      </w:r>
      <w:r w:rsidR="009540BE" w:rsidRPr="00AC78A2">
        <w:rPr>
          <w:rFonts w:ascii="Palatino Linotype" w:hAnsi="Palatino Linotype"/>
          <w:sz w:val="22"/>
          <w:szCs w:val="22"/>
        </w:rPr>
        <w:t xml:space="preserve">ediante </w:t>
      </w:r>
      <w:r w:rsidR="002E5D07">
        <w:rPr>
          <w:sz w:val="27"/>
          <w:szCs w:val="27"/>
        </w:rPr>
        <w:t xml:space="preserve">oficio Nro. </w:t>
      </w:r>
      <w:r w:rsidR="002E5D07" w:rsidRPr="002E5D07">
        <w:rPr>
          <w:rFonts w:ascii="Palatino Linotype" w:hAnsi="Palatino Linotype"/>
          <w:sz w:val="22"/>
          <w:szCs w:val="22"/>
        </w:rPr>
        <w:t>GADDMQ-PM-SAUOS-2019-0145-O</w:t>
      </w:r>
      <w:r w:rsidR="002E5D07">
        <w:rPr>
          <w:rFonts w:ascii="Palatino Linotype" w:hAnsi="Palatino Linotype"/>
          <w:sz w:val="22"/>
          <w:szCs w:val="22"/>
        </w:rPr>
        <w:t xml:space="preserve">  de </w:t>
      </w:r>
      <w:r w:rsidR="002E5D07" w:rsidRPr="002E5D07">
        <w:rPr>
          <w:rFonts w:ascii="Palatino Linotype" w:hAnsi="Palatino Linotype"/>
          <w:sz w:val="22"/>
          <w:szCs w:val="22"/>
        </w:rPr>
        <w:t>4 de diciembre de 2019</w:t>
      </w:r>
      <w:r w:rsidR="002E5D07">
        <w:rPr>
          <w:rFonts w:ascii="Palatino Linotype" w:hAnsi="Palatino Linotype"/>
          <w:sz w:val="22"/>
          <w:szCs w:val="22"/>
        </w:rPr>
        <w:t xml:space="preserve">, </w:t>
      </w:r>
      <w:r w:rsidR="00AC78A2" w:rsidRPr="00AC78A2">
        <w:rPr>
          <w:rFonts w:ascii="Palatino Linotype" w:hAnsi="Palatino Linotype"/>
          <w:sz w:val="22"/>
          <w:szCs w:val="22"/>
        </w:rPr>
        <w:t>el Subprocurador Dr. Edison Yépez Vinueza manifiesta que:</w:t>
      </w:r>
      <w:r w:rsidR="002E5D07">
        <w:rPr>
          <w:rFonts w:ascii="Palatino Linotype" w:hAnsi="Palatino Linotype"/>
          <w:sz w:val="22"/>
          <w:szCs w:val="22"/>
        </w:rPr>
        <w:t xml:space="preserve"> </w:t>
      </w:r>
      <w:r w:rsidR="002E5D07" w:rsidRPr="00DC788E">
        <w:rPr>
          <w:rFonts w:ascii="Palatino Linotype" w:hAnsi="Palatino Linotype"/>
          <w:i/>
          <w:sz w:val="22"/>
          <w:szCs w:val="22"/>
        </w:rPr>
        <w:t>“Con los antecedentes, fundamentos e informes expuestos, en consideración a que la autorización para la venta de bienes inmuebles municipales es competencia del Concejo Metropolitano de conformidad con el art. 436 del COOTAD, Procuraduría Metropolitana emite informe jurídico favorable para que, de estimarlo pertinente, la Comisión de Propiedad y Espacio Público, continúe con el procedimiento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del único propietario colindante señor SALAZAR RAZA</w:t>
      </w:r>
      <w:r w:rsidR="004F7448" w:rsidRPr="00DC788E">
        <w:rPr>
          <w:rFonts w:ascii="Palatino Linotype" w:hAnsi="Palatino Linotype"/>
          <w:i/>
          <w:sz w:val="22"/>
          <w:szCs w:val="22"/>
        </w:rPr>
        <w:t xml:space="preserve"> </w:t>
      </w:r>
      <w:r w:rsidR="002E5D07" w:rsidRPr="00DC788E">
        <w:rPr>
          <w:rFonts w:ascii="Palatino Linotype" w:hAnsi="Palatino Linotype"/>
          <w:i/>
          <w:sz w:val="22"/>
          <w:szCs w:val="22"/>
        </w:rPr>
        <w:t>MIGUEL ANGEL, conforme a los datos técnicos de ubicación, linderos, superficie y avalúo determinados en la ficha técnica, adjunta al Oficio No.GADDMQ-DMC-GCE-2019-1314-O de 14 de noviembre 2019 de la Dirección Metropolitana de Catastro; y, con las recomendaciones constantes en el informe de la Secretaría General de Seguridad y Gobernabilidad del Municipio del Distrito Metropolitano de Quito, sin perjuicio de lo previsto en el art. 427 del COOTAD. 2. El Concejo Metropolitano autorizará a la Procuraduría Metropolitana, continuar con los trámites correspondientes hasta la legalización de la presente enajenación</w:t>
      </w:r>
      <w:r w:rsidR="002E5D07" w:rsidRPr="002E5D07">
        <w:rPr>
          <w:rFonts w:ascii="Palatino Linotype" w:hAnsi="Palatino Linotype"/>
          <w:sz w:val="22"/>
          <w:szCs w:val="22"/>
        </w:rPr>
        <w:t>.</w:t>
      </w:r>
      <w:r w:rsidR="00DC788E">
        <w:rPr>
          <w:rFonts w:ascii="Palatino Linotype" w:hAnsi="Palatino Linotype"/>
          <w:sz w:val="22"/>
          <w:szCs w:val="22"/>
        </w:rPr>
        <w:t>”</w:t>
      </w:r>
    </w:p>
    <w:p w:rsidR="004F7448" w:rsidRDefault="004F7448" w:rsidP="00C96B1C">
      <w:pPr>
        <w:tabs>
          <w:tab w:val="left" w:pos="426"/>
        </w:tabs>
        <w:ind w:left="705" w:hanging="705"/>
        <w:jc w:val="both"/>
        <w:rPr>
          <w:rFonts w:ascii="Palatino Linotype" w:hAnsi="Palatino Linotype"/>
          <w:sz w:val="22"/>
          <w:szCs w:val="22"/>
        </w:rPr>
      </w:pPr>
    </w:p>
    <w:p w:rsidR="004F7448" w:rsidRPr="004F7448" w:rsidRDefault="004F7448" w:rsidP="004F7448">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Pr="004F7448">
        <w:rPr>
          <w:rFonts w:ascii="Palatino Linotype" w:hAnsi="Palatino Linotype"/>
          <w:sz w:val="22"/>
          <w:szCs w:val="22"/>
        </w:rPr>
        <w:t>con oficio Nro. GADDMQ-DMC-2020-03023-O</w:t>
      </w:r>
      <w:r>
        <w:rPr>
          <w:rFonts w:ascii="Palatino Linotype" w:hAnsi="Palatino Linotype"/>
          <w:sz w:val="22"/>
          <w:szCs w:val="22"/>
        </w:rPr>
        <w:t xml:space="preserve"> de </w:t>
      </w:r>
      <w:r w:rsidRPr="004F7448">
        <w:rPr>
          <w:rFonts w:ascii="Palatino Linotype" w:hAnsi="Palatino Linotype"/>
          <w:sz w:val="22"/>
          <w:szCs w:val="22"/>
        </w:rPr>
        <w:t>17 de julio de 2020</w:t>
      </w:r>
      <w:r>
        <w:rPr>
          <w:rFonts w:ascii="Palatino Linotype" w:hAnsi="Palatino Linotype"/>
          <w:sz w:val="22"/>
          <w:szCs w:val="22"/>
        </w:rPr>
        <w:t xml:space="preserve">, el Ing. Erwin Alexander Arroba Padilla ex Director Metropolitano de Catastro manifiesta lo siguiente: </w:t>
      </w:r>
      <w:r w:rsidRPr="00DC788E">
        <w:rPr>
          <w:rFonts w:ascii="Palatino Linotype" w:hAnsi="Palatino Linotype"/>
          <w:i/>
          <w:sz w:val="22"/>
          <w:szCs w:val="22"/>
        </w:rPr>
        <w:t xml:space="preserve">“Con oficio No. GADDMQ-SGCM-2020-0523-O, de 04 de febrero de 2020, asignado para su despacho el 26 de mayo de 2020, el concejal Marco </w:t>
      </w:r>
      <w:proofErr w:type="spellStart"/>
      <w:r w:rsidRPr="00DC788E">
        <w:rPr>
          <w:rFonts w:ascii="Palatino Linotype" w:hAnsi="Palatino Linotype"/>
          <w:i/>
          <w:sz w:val="22"/>
          <w:szCs w:val="22"/>
        </w:rPr>
        <w:t>Collaguazo</w:t>
      </w:r>
      <w:proofErr w:type="spellEnd"/>
      <w:r w:rsidRPr="00DC788E">
        <w:rPr>
          <w:rFonts w:ascii="Palatino Linotype" w:hAnsi="Palatino Linotype"/>
          <w:i/>
          <w:sz w:val="22"/>
          <w:szCs w:val="22"/>
        </w:rPr>
        <w:t>, presidente de la Comisión de Propiedad y Espacio Público, dispone remitir el informe actualizado de datos técnicos para adjudicación de un área de terreno, resultante de relleno de quebrada colindante con la propiedad del señor SALAZAR RAZA MIGUEL ANGEL, signado con el predio No. 107511, de clave catastral 10414-11-001, conforme a los datos técnicos de ubicación, linderos, superficie y avalúo determinados en la ficha técnica, adjunta al oficio No. GADDMQ-DMC-GCE-2019-1314-O de 14 de noviembre 2019 de la Dirección Metropolitana de Catastro”. “En atención a lo solicitado sírvase encontrar anexo a la presente ficha de datos técnicos para adjudicación de faja municipal y ficha catastral del predio No. 107511”</w:t>
      </w:r>
      <w:r w:rsidRPr="004F7448">
        <w:rPr>
          <w:rFonts w:ascii="Palatino Linotype" w:hAnsi="Palatino Linotype"/>
          <w:sz w:val="22"/>
          <w:szCs w:val="22"/>
        </w:rPr>
        <w:t>.</w:t>
      </w:r>
    </w:p>
    <w:p w:rsidR="002E5D07" w:rsidRDefault="002E5D07" w:rsidP="00C96B1C">
      <w:pPr>
        <w:tabs>
          <w:tab w:val="left" w:pos="426"/>
        </w:tabs>
        <w:ind w:left="705" w:hanging="705"/>
        <w:jc w:val="both"/>
        <w:rPr>
          <w:rFonts w:ascii="Palatino Linotype" w:hAnsi="Palatino Linotype"/>
          <w:sz w:val="22"/>
          <w:szCs w:val="22"/>
        </w:rPr>
      </w:pPr>
    </w:p>
    <w:p w:rsidR="009368DD" w:rsidRPr="00CF36F1" w:rsidRDefault="00AC78A2" w:rsidP="009368DD">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 xml:space="preserve">  </w:t>
      </w:r>
      <w:r w:rsidR="009368DD" w:rsidRPr="00CF36F1">
        <w:rPr>
          <w:rFonts w:ascii="Palatino Linotype" w:hAnsi="Palatino Linotype"/>
          <w:sz w:val="22"/>
          <w:szCs w:val="22"/>
        </w:rPr>
        <w:t>Que,</w:t>
      </w:r>
      <w:r w:rsidR="009368DD" w:rsidRPr="00CF36F1">
        <w:rPr>
          <w:rFonts w:ascii="Palatino Linotype" w:hAnsi="Palatino Linotype"/>
          <w:sz w:val="22"/>
          <w:szCs w:val="22"/>
        </w:rPr>
        <w:tab/>
      </w:r>
      <w:r w:rsidR="00CF36F1" w:rsidRPr="00CF36F1">
        <w:rPr>
          <w:rFonts w:ascii="Palatino Linotype" w:eastAsiaTheme="minorHAnsi" w:hAnsi="Palatino Linotype"/>
          <w:sz w:val="22"/>
          <w:szCs w:val="22"/>
          <w:lang w:val="es-EC" w:eastAsia="en-US"/>
        </w:rPr>
        <w:t xml:space="preserve">la Comisión de Propiedad y Espacio Público, emitió </w:t>
      </w:r>
      <w:r w:rsidR="009368DD" w:rsidRPr="00CF36F1">
        <w:rPr>
          <w:rFonts w:ascii="Palatino Linotype" w:eastAsiaTheme="minorHAnsi" w:hAnsi="Palatino Linotype"/>
          <w:sz w:val="22"/>
          <w:szCs w:val="22"/>
          <w:lang w:val="es-EC" w:eastAsia="en-US"/>
        </w:rPr>
        <w:t>el Informe No. IC-CPP-20</w:t>
      </w:r>
      <w:r>
        <w:rPr>
          <w:rFonts w:ascii="Palatino Linotype" w:eastAsiaTheme="minorHAnsi" w:hAnsi="Palatino Linotype"/>
          <w:sz w:val="22"/>
          <w:szCs w:val="22"/>
          <w:lang w:val="es-EC" w:eastAsia="en-US"/>
        </w:rPr>
        <w:t>21</w:t>
      </w:r>
      <w:r w:rsidR="009368DD" w:rsidRPr="00CF36F1">
        <w:rPr>
          <w:rFonts w:ascii="Palatino Linotype" w:eastAsiaTheme="minorHAnsi" w:hAnsi="Palatino Linotype"/>
          <w:sz w:val="22"/>
          <w:szCs w:val="22"/>
          <w:lang w:val="es-EC" w:eastAsia="en-US"/>
        </w:rPr>
        <w:t>-</w:t>
      </w:r>
      <w:r w:rsidR="00CF36F1" w:rsidRPr="00CF36F1">
        <w:rPr>
          <w:rFonts w:ascii="Palatino Linotype" w:eastAsiaTheme="minorHAnsi" w:hAnsi="Palatino Linotype"/>
          <w:sz w:val="22"/>
          <w:szCs w:val="22"/>
          <w:lang w:val="es-EC" w:eastAsia="en-US"/>
        </w:rPr>
        <w:t>XXX</w:t>
      </w:r>
      <w:r w:rsidR="009368DD"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w:t>
      </w:r>
      <w:r w:rsidR="009368DD"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XXXXXX</w:t>
      </w:r>
      <w:r w:rsidR="009368DD" w:rsidRPr="00CF36F1">
        <w:rPr>
          <w:rFonts w:ascii="Palatino Linotype" w:eastAsiaTheme="minorHAnsi" w:hAnsi="Palatino Linotype"/>
          <w:sz w:val="22"/>
          <w:szCs w:val="22"/>
          <w:lang w:val="es-EC" w:eastAsia="en-US"/>
        </w:rPr>
        <w:t xml:space="preserve"> de 20</w:t>
      </w:r>
      <w:r>
        <w:rPr>
          <w:rFonts w:ascii="Palatino Linotype" w:eastAsiaTheme="minorHAnsi" w:hAnsi="Palatino Linotype"/>
          <w:sz w:val="22"/>
          <w:szCs w:val="22"/>
          <w:lang w:val="es-EC" w:eastAsia="en-US"/>
        </w:rPr>
        <w:t>21</w:t>
      </w:r>
      <w:r w:rsidR="009368DD" w:rsidRPr="00CF36F1">
        <w:rPr>
          <w:rFonts w:ascii="Palatino Linotype" w:eastAsiaTheme="minorHAnsi" w:hAnsi="Palatino Linotype"/>
          <w:sz w:val="22"/>
          <w:szCs w:val="22"/>
          <w:lang w:val="es-EC" w:eastAsia="en-US"/>
        </w:rPr>
        <w:t>, el que contiene el dictamen favorable para que el Concejo Metropolitano se pronuncie en los términos previstos en la presente resolución.</w:t>
      </w:r>
    </w:p>
    <w:p w:rsidR="006A1262" w:rsidRPr="00974EE8" w:rsidRDefault="006A1262" w:rsidP="006F7558">
      <w:pPr>
        <w:autoSpaceDE w:val="0"/>
        <w:autoSpaceDN w:val="0"/>
        <w:adjustRightInd w:val="0"/>
        <w:jc w:val="both"/>
        <w:rPr>
          <w:rFonts w:ascii="Palatino Linotype" w:eastAsiaTheme="minorHAnsi" w:hAnsi="Palatino Linotype"/>
          <w:sz w:val="22"/>
          <w:szCs w:val="22"/>
          <w:lang w:val="es-EC" w:eastAsia="en-US"/>
        </w:rPr>
      </w:pPr>
    </w:p>
    <w:p w:rsidR="004F7448" w:rsidRPr="004F7448" w:rsidRDefault="00447553" w:rsidP="004F7448">
      <w:pPr>
        <w:pStyle w:val="Sinespaciado"/>
        <w:rPr>
          <w:rFonts w:ascii="Palatino Linotype" w:hAnsi="Palatino Linotype"/>
          <w:b/>
          <w:sz w:val="22"/>
          <w:szCs w:val="22"/>
        </w:rPr>
      </w:pPr>
      <w:r>
        <w:rPr>
          <w:rFonts w:ascii="Palatino Linotype" w:hAnsi="Palatino Linotype"/>
          <w:b/>
          <w:bCs/>
          <w:sz w:val="22"/>
          <w:szCs w:val="22"/>
        </w:rPr>
        <w:t>El Concejo Metropolitana de Quito, e</w:t>
      </w:r>
      <w:r w:rsidR="006F7558" w:rsidRPr="00974EE8">
        <w:rPr>
          <w:rFonts w:ascii="Palatino Linotype" w:hAnsi="Palatino Linotype"/>
          <w:b/>
          <w:bCs/>
          <w:sz w:val="22"/>
          <w:szCs w:val="22"/>
        </w:rPr>
        <w:t xml:space="preserve">n ejercicio de sus atribuciones previstas en </w:t>
      </w:r>
      <w:r w:rsidR="00DB1E50" w:rsidRPr="00974EE8">
        <w:rPr>
          <w:rFonts w:ascii="Palatino Linotype" w:hAnsi="Palatino Linotype"/>
          <w:b/>
          <w:bCs/>
          <w:sz w:val="22"/>
          <w:szCs w:val="22"/>
        </w:rPr>
        <w:t>l</w:t>
      </w:r>
      <w:r w:rsidR="00DB1E50">
        <w:rPr>
          <w:rFonts w:ascii="Palatino Linotype" w:hAnsi="Palatino Linotype"/>
          <w:b/>
          <w:bCs/>
          <w:sz w:val="22"/>
          <w:szCs w:val="22"/>
        </w:rPr>
        <w:t>os</w:t>
      </w:r>
      <w:r w:rsidR="00DB1E50" w:rsidRPr="00974EE8">
        <w:rPr>
          <w:rFonts w:ascii="Palatino Linotype" w:hAnsi="Palatino Linotype"/>
          <w:b/>
          <w:bCs/>
          <w:sz w:val="22"/>
          <w:szCs w:val="22"/>
        </w:rPr>
        <w:t xml:space="preserve"> artículo</w:t>
      </w:r>
      <w:r w:rsidR="00DB1E50">
        <w:rPr>
          <w:rFonts w:ascii="Palatino Linotype" w:hAnsi="Palatino Linotype"/>
          <w:b/>
          <w:bCs/>
          <w:sz w:val="22"/>
          <w:szCs w:val="22"/>
        </w:rPr>
        <w:t xml:space="preserve">s </w:t>
      </w:r>
      <w:r w:rsidR="004F7448" w:rsidRPr="004F7448">
        <w:rPr>
          <w:rFonts w:ascii="Palatino Linotype" w:hAnsi="Palatino Linotype"/>
          <w:b/>
          <w:sz w:val="22"/>
          <w:szCs w:val="22"/>
        </w:rPr>
        <w:t xml:space="preserve">240 de la Constitución de la República y artículos 87 letra a); y, 323 del Código Orgánico de Organización Territorial, Autonomía y Descentralización; </w:t>
      </w:r>
    </w:p>
    <w:p w:rsidR="00387B31" w:rsidRDefault="00387B31" w:rsidP="006F7558">
      <w:pPr>
        <w:autoSpaceDE w:val="0"/>
        <w:autoSpaceDN w:val="0"/>
        <w:adjustRightInd w:val="0"/>
        <w:jc w:val="center"/>
        <w:rPr>
          <w:rFonts w:ascii="Palatino Linotype" w:eastAsiaTheme="minorHAnsi" w:hAnsi="Palatino Linotype"/>
          <w:b/>
          <w:bCs/>
          <w:sz w:val="32"/>
          <w:szCs w:val="32"/>
          <w:lang w:val="es-EC" w:eastAsia="en-US"/>
        </w:rPr>
      </w:pPr>
    </w:p>
    <w:p w:rsidR="006F7558" w:rsidRDefault="006F7558" w:rsidP="006F7558">
      <w:pPr>
        <w:autoSpaceDE w:val="0"/>
        <w:autoSpaceDN w:val="0"/>
        <w:adjustRightInd w:val="0"/>
        <w:jc w:val="center"/>
        <w:rPr>
          <w:rFonts w:ascii="Palatino Linotype" w:eastAsiaTheme="minorHAnsi" w:hAnsi="Palatino Linotype"/>
          <w:b/>
          <w:bCs/>
          <w:sz w:val="32"/>
          <w:szCs w:val="32"/>
          <w:lang w:val="es-EC" w:eastAsia="en-US"/>
        </w:rPr>
      </w:pPr>
      <w:r w:rsidRPr="008F1A94">
        <w:rPr>
          <w:rFonts w:ascii="Palatino Linotype" w:eastAsiaTheme="minorHAnsi" w:hAnsi="Palatino Linotype"/>
          <w:b/>
          <w:bCs/>
          <w:sz w:val="32"/>
          <w:szCs w:val="32"/>
          <w:lang w:val="es-EC" w:eastAsia="en-US"/>
        </w:rPr>
        <w:t>RESUELVE</w:t>
      </w:r>
      <w:r w:rsidR="00445D37" w:rsidRPr="008F1A94">
        <w:rPr>
          <w:rFonts w:ascii="Palatino Linotype" w:eastAsiaTheme="minorHAnsi" w:hAnsi="Palatino Linotype"/>
          <w:b/>
          <w:bCs/>
          <w:sz w:val="32"/>
          <w:szCs w:val="32"/>
          <w:lang w:val="es-EC" w:eastAsia="en-US"/>
        </w:rPr>
        <w:t>:</w:t>
      </w:r>
    </w:p>
    <w:p w:rsidR="00D60378" w:rsidRDefault="00D60378" w:rsidP="00D60378">
      <w:pPr>
        <w:autoSpaceDE w:val="0"/>
        <w:autoSpaceDN w:val="0"/>
        <w:adjustRightInd w:val="0"/>
        <w:rPr>
          <w:rFonts w:ascii="Palatino Linotype" w:eastAsiaTheme="minorHAnsi" w:hAnsi="Palatino Linotype"/>
          <w:b/>
          <w:bCs/>
          <w:sz w:val="32"/>
          <w:szCs w:val="32"/>
          <w:lang w:val="es-EC" w:eastAsia="en-US"/>
        </w:rPr>
      </w:pPr>
    </w:p>
    <w:p w:rsidR="004F7448" w:rsidRDefault="00D60378" w:rsidP="004F7448">
      <w:pPr>
        <w:pStyle w:val="Sinespaciado"/>
        <w:rPr>
          <w:rFonts w:ascii="Palatino Linotype" w:hAnsi="Palatino Linotype"/>
          <w:sz w:val="22"/>
          <w:szCs w:val="22"/>
        </w:rPr>
      </w:pPr>
      <w:r w:rsidRPr="00974EE8">
        <w:rPr>
          <w:rFonts w:ascii="Palatino Linotype" w:hAnsi="Palatino Linotype"/>
          <w:b/>
          <w:sz w:val="22"/>
          <w:szCs w:val="22"/>
        </w:rPr>
        <w:t>Artículo 1.-</w:t>
      </w:r>
      <w:r w:rsidR="004F3B81">
        <w:rPr>
          <w:rFonts w:ascii="Palatino Linotype" w:hAnsi="Palatino Linotype"/>
          <w:sz w:val="22"/>
          <w:szCs w:val="22"/>
        </w:rPr>
        <w:t xml:space="preserve"> </w:t>
      </w:r>
      <w:r w:rsidR="004F7448" w:rsidRPr="004F7448">
        <w:rPr>
          <w:rFonts w:ascii="Palatino Linotype" w:hAnsi="Palatino Linotype"/>
          <w:sz w:val="22"/>
          <w:szCs w:val="22"/>
        </w:rPr>
        <w:t>Autorizar el cambio de categoría de bien municipal de dominio público a bien municipal de dominio privado, de la faja de terreno, producto de rel</w:t>
      </w:r>
      <w:r w:rsidR="004F7448">
        <w:rPr>
          <w:rFonts w:ascii="Palatino Linotype" w:hAnsi="Palatino Linotype"/>
          <w:sz w:val="22"/>
          <w:szCs w:val="22"/>
        </w:rPr>
        <w:t>leno de quebrada</w:t>
      </w:r>
      <w:r w:rsidR="004F7448" w:rsidRPr="004F7448">
        <w:rPr>
          <w:rFonts w:ascii="Palatino Linotype" w:hAnsi="Palatino Linotype"/>
          <w:sz w:val="22"/>
          <w:szCs w:val="22"/>
        </w:rPr>
        <w:t xml:space="preserve">, ubicado en la parroquia </w:t>
      </w:r>
      <w:r w:rsidR="004F7448">
        <w:rPr>
          <w:rFonts w:ascii="Palatino Linotype" w:hAnsi="Palatino Linotype"/>
          <w:sz w:val="22"/>
          <w:szCs w:val="22"/>
        </w:rPr>
        <w:t>Cumbayá</w:t>
      </w:r>
      <w:r w:rsidR="004F7448" w:rsidRPr="004F7448">
        <w:rPr>
          <w:rFonts w:ascii="Palatino Linotype" w:hAnsi="Palatino Linotype"/>
          <w:sz w:val="22"/>
          <w:szCs w:val="22"/>
        </w:rPr>
        <w:t xml:space="preserve"> junto al inmueble</w:t>
      </w:r>
      <w:r w:rsidR="004F7448">
        <w:rPr>
          <w:rFonts w:ascii="Palatino Linotype" w:hAnsi="Palatino Linotype"/>
          <w:sz w:val="22"/>
          <w:szCs w:val="22"/>
        </w:rPr>
        <w:t xml:space="preserve"> identificado con </w:t>
      </w:r>
      <w:r w:rsidR="004F7448" w:rsidRPr="004F7448">
        <w:rPr>
          <w:rFonts w:ascii="Palatino Linotype" w:hAnsi="Palatino Linotype"/>
          <w:sz w:val="22"/>
          <w:szCs w:val="22"/>
        </w:rPr>
        <w:t xml:space="preserve">clave catastral </w:t>
      </w:r>
      <w:r w:rsidR="004F7448">
        <w:rPr>
          <w:rFonts w:ascii="Palatino Linotype" w:hAnsi="Palatino Linotype"/>
          <w:sz w:val="22"/>
          <w:szCs w:val="22"/>
        </w:rPr>
        <w:t>10414</w:t>
      </w:r>
      <w:r w:rsidR="004F7448" w:rsidRPr="004F7448">
        <w:rPr>
          <w:rFonts w:ascii="Palatino Linotype" w:hAnsi="Palatino Linotype"/>
          <w:sz w:val="22"/>
          <w:szCs w:val="22"/>
        </w:rPr>
        <w:t>-</w:t>
      </w:r>
      <w:r w:rsidR="004F7448">
        <w:rPr>
          <w:rFonts w:ascii="Palatino Linotype" w:hAnsi="Palatino Linotype"/>
          <w:sz w:val="22"/>
          <w:szCs w:val="22"/>
        </w:rPr>
        <w:t>11</w:t>
      </w:r>
      <w:r w:rsidR="004F7448" w:rsidRPr="004F7448">
        <w:rPr>
          <w:rFonts w:ascii="Palatino Linotype" w:hAnsi="Palatino Linotype"/>
          <w:sz w:val="22"/>
          <w:szCs w:val="22"/>
        </w:rPr>
        <w:t>-0</w:t>
      </w:r>
      <w:r w:rsidR="004F7448">
        <w:rPr>
          <w:rFonts w:ascii="Palatino Linotype" w:hAnsi="Palatino Linotype"/>
          <w:sz w:val="22"/>
          <w:szCs w:val="22"/>
        </w:rPr>
        <w:t>01</w:t>
      </w:r>
      <w:r w:rsidR="004F7448" w:rsidRPr="004F7448">
        <w:rPr>
          <w:rFonts w:ascii="Palatino Linotype" w:hAnsi="Palatino Linotype"/>
          <w:sz w:val="22"/>
          <w:szCs w:val="22"/>
        </w:rPr>
        <w:t>, predio No. 1</w:t>
      </w:r>
      <w:r w:rsidR="004F7448">
        <w:rPr>
          <w:rFonts w:ascii="Palatino Linotype" w:hAnsi="Palatino Linotype"/>
          <w:sz w:val="22"/>
          <w:szCs w:val="22"/>
        </w:rPr>
        <w:t>07511</w:t>
      </w:r>
      <w:r w:rsidR="00DC788E">
        <w:rPr>
          <w:rFonts w:ascii="Palatino Linotype" w:hAnsi="Palatino Linotype"/>
          <w:sz w:val="22"/>
          <w:szCs w:val="22"/>
        </w:rPr>
        <w:t>.</w:t>
      </w:r>
    </w:p>
    <w:p w:rsidR="004F7448" w:rsidRDefault="004F7448" w:rsidP="004F7448">
      <w:pPr>
        <w:pStyle w:val="Sinespaciado"/>
        <w:rPr>
          <w:rFonts w:ascii="Palatino Linotype" w:hAnsi="Palatino Linotype"/>
          <w:sz w:val="22"/>
          <w:szCs w:val="22"/>
        </w:rPr>
      </w:pPr>
    </w:p>
    <w:p w:rsidR="004F7448" w:rsidRDefault="00BC7A8A" w:rsidP="004F7448">
      <w:pPr>
        <w:pStyle w:val="Sinespaciado"/>
        <w:rPr>
          <w:rFonts w:ascii="Palatino Linotype" w:hAnsi="Palatino Linotype"/>
          <w:sz w:val="22"/>
          <w:szCs w:val="22"/>
        </w:rPr>
      </w:pPr>
      <w:r w:rsidRPr="004F7448">
        <w:rPr>
          <w:rFonts w:ascii="Palatino Linotype" w:hAnsi="Palatino Linotype"/>
          <w:b/>
          <w:sz w:val="22"/>
          <w:szCs w:val="22"/>
        </w:rPr>
        <w:t xml:space="preserve">Artículo </w:t>
      </w:r>
      <w:r w:rsidR="00007F7B" w:rsidRPr="004F7448">
        <w:rPr>
          <w:rFonts w:ascii="Palatino Linotype" w:hAnsi="Palatino Linotype"/>
          <w:b/>
          <w:sz w:val="22"/>
          <w:szCs w:val="22"/>
        </w:rPr>
        <w:t>2</w:t>
      </w:r>
      <w:r w:rsidRPr="004F7448">
        <w:rPr>
          <w:rFonts w:ascii="Palatino Linotype" w:hAnsi="Palatino Linotype"/>
          <w:b/>
          <w:sz w:val="22"/>
          <w:szCs w:val="22"/>
        </w:rPr>
        <w:t>.-</w:t>
      </w:r>
      <w:r w:rsidR="00007F7B" w:rsidRPr="004F7448">
        <w:rPr>
          <w:rFonts w:ascii="Palatino Linotype" w:hAnsi="Palatino Linotype"/>
          <w:b/>
          <w:sz w:val="22"/>
          <w:szCs w:val="22"/>
        </w:rPr>
        <w:t xml:space="preserve"> </w:t>
      </w:r>
      <w:r w:rsidR="004F7448" w:rsidRPr="004F7448">
        <w:rPr>
          <w:rFonts w:ascii="Palatino Linotype" w:hAnsi="Palatino Linotype"/>
          <w:sz w:val="22"/>
          <w:szCs w:val="22"/>
        </w:rPr>
        <w:t>Autorizar la enajenación directa de la faja de terreno, referida en el artículo anterior, a favor del</w:t>
      </w:r>
      <w:r w:rsidR="00DC788E">
        <w:rPr>
          <w:rFonts w:ascii="Palatino Linotype" w:hAnsi="Palatino Linotype"/>
          <w:sz w:val="22"/>
          <w:szCs w:val="22"/>
        </w:rPr>
        <w:t xml:space="preserve"> señor</w:t>
      </w:r>
      <w:r w:rsidR="004F7448" w:rsidRPr="004F7448">
        <w:rPr>
          <w:rFonts w:ascii="Palatino Linotype" w:hAnsi="Palatino Linotype"/>
          <w:sz w:val="22"/>
          <w:szCs w:val="22"/>
        </w:rPr>
        <w:t xml:space="preserve"> </w:t>
      </w:r>
      <w:r w:rsidR="004F7448" w:rsidRPr="002E5D07">
        <w:rPr>
          <w:rFonts w:ascii="Palatino Linotype" w:hAnsi="Palatino Linotype"/>
          <w:sz w:val="22"/>
          <w:szCs w:val="22"/>
        </w:rPr>
        <w:t>SALAZAR RAZA</w:t>
      </w:r>
      <w:r w:rsidR="004F7448">
        <w:rPr>
          <w:rFonts w:ascii="Palatino Linotype" w:hAnsi="Palatino Linotype"/>
          <w:sz w:val="22"/>
          <w:szCs w:val="22"/>
        </w:rPr>
        <w:t xml:space="preserve"> </w:t>
      </w:r>
      <w:r w:rsidR="004F7448" w:rsidRPr="002E5D07">
        <w:rPr>
          <w:rFonts w:ascii="Palatino Linotype" w:hAnsi="Palatino Linotype"/>
          <w:sz w:val="22"/>
          <w:szCs w:val="22"/>
        </w:rPr>
        <w:t>MIGUEL ANGEL</w:t>
      </w:r>
      <w:r w:rsidR="004F7448" w:rsidRPr="004F7448">
        <w:rPr>
          <w:rFonts w:ascii="Palatino Linotype" w:hAnsi="Palatino Linotype"/>
          <w:sz w:val="22"/>
          <w:szCs w:val="22"/>
        </w:rPr>
        <w:t>, conforme los datos técnicos de ubicación, linderos y superficie determinados a la ficha técnica, adjunta al oficio No</w:t>
      </w:r>
      <w:r w:rsidR="004F7448">
        <w:rPr>
          <w:rFonts w:ascii="Palatino Linotype" w:hAnsi="Palatino Linotype"/>
          <w:sz w:val="22"/>
          <w:szCs w:val="22"/>
        </w:rPr>
        <w:t xml:space="preserve">. </w:t>
      </w:r>
      <w:r w:rsidR="004F7448" w:rsidRPr="004F7448">
        <w:rPr>
          <w:rFonts w:ascii="Palatino Linotype" w:hAnsi="Palatino Linotype"/>
          <w:sz w:val="22"/>
          <w:szCs w:val="22"/>
        </w:rPr>
        <w:t>GADDMQ-DMC-2020-03023-O</w:t>
      </w:r>
      <w:r w:rsidR="004F7448">
        <w:rPr>
          <w:rFonts w:ascii="Palatino Linotype" w:hAnsi="Palatino Linotype"/>
          <w:sz w:val="22"/>
          <w:szCs w:val="22"/>
        </w:rPr>
        <w:t xml:space="preserve"> de </w:t>
      </w:r>
      <w:r w:rsidR="004F7448" w:rsidRPr="004F7448">
        <w:rPr>
          <w:rFonts w:ascii="Palatino Linotype" w:hAnsi="Palatino Linotype"/>
          <w:sz w:val="22"/>
          <w:szCs w:val="22"/>
        </w:rPr>
        <w:t>17 de julio de 2020</w:t>
      </w:r>
      <w:r w:rsidR="004F7448">
        <w:rPr>
          <w:rFonts w:ascii="Palatino Linotype" w:hAnsi="Palatino Linotype"/>
          <w:sz w:val="22"/>
          <w:szCs w:val="22"/>
        </w:rPr>
        <w:t>, emitida por el Ing. Erwin Alexander Arroba Padilla ex Director Metropolitano de Catastro</w:t>
      </w:r>
      <w:r w:rsidR="004F7448" w:rsidRPr="004F7448">
        <w:rPr>
          <w:rFonts w:ascii="Palatino Linotype" w:hAnsi="Palatino Linotype"/>
          <w:sz w:val="22"/>
          <w:szCs w:val="22"/>
        </w:rPr>
        <w:t xml:space="preserve">. </w:t>
      </w:r>
    </w:p>
    <w:p w:rsidR="004F7448" w:rsidRDefault="004F7448" w:rsidP="004F7448">
      <w:pPr>
        <w:pStyle w:val="Sinespaciado"/>
        <w:rPr>
          <w:rFonts w:ascii="Palatino Linotype" w:hAnsi="Palatino Linotype"/>
          <w:sz w:val="22"/>
          <w:szCs w:val="22"/>
        </w:rPr>
      </w:pPr>
    </w:p>
    <w:p w:rsidR="004F7448" w:rsidRDefault="004F7448" w:rsidP="004F7448">
      <w:pPr>
        <w:pStyle w:val="Sinespaciado"/>
      </w:pPr>
      <w:r w:rsidRPr="004F7448">
        <w:rPr>
          <w:rFonts w:ascii="Palatino Linotype" w:hAnsi="Palatino Linotype"/>
          <w:b/>
          <w:sz w:val="22"/>
          <w:szCs w:val="22"/>
        </w:rPr>
        <w:t>Artículo 3.-</w:t>
      </w:r>
      <w:r w:rsidRPr="004F7448">
        <w:rPr>
          <w:rFonts w:ascii="Palatino Linotype" w:hAnsi="Palatino Linotype"/>
          <w:sz w:val="22"/>
          <w:szCs w:val="22"/>
        </w:rPr>
        <w:t xml:space="preserve"> </w:t>
      </w:r>
      <w:r>
        <w:rPr>
          <w:rFonts w:ascii="Palatino Linotype" w:hAnsi="Palatino Linotype"/>
          <w:sz w:val="22"/>
          <w:szCs w:val="22"/>
        </w:rPr>
        <w:t>El</w:t>
      </w:r>
      <w:r w:rsidRPr="004F7448">
        <w:rPr>
          <w:rFonts w:ascii="Palatino Linotype" w:hAnsi="Palatino Linotype"/>
          <w:sz w:val="22"/>
          <w:szCs w:val="22"/>
        </w:rPr>
        <w:t xml:space="preserve"> adjudicatario deberá observar las recomendaciones efectuadas por la Dirección Metropolitana de Gestión de Riesgos de la Secretaría General de Seguridad y Gobernabilidad, que c</w:t>
      </w:r>
      <w:r>
        <w:rPr>
          <w:rFonts w:ascii="Palatino Linotype" w:hAnsi="Palatino Linotype"/>
          <w:sz w:val="22"/>
          <w:szCs w:val="22"/>
        </w:rPr>
        <w:t>onstan en el Informe Técnico</w:t>
      </w:r>
      <w:r w:rsidRPr="004F7448">
        <w:rPr>
          <w:rFonts w:ascii="Palatino Linotype" w:hAnsi="Palatino Linotype"/>
          <w:sz w:val="22"/>
          <w:szCs w:val="22"/>
        </w:rPr>
        <w:t xml:space="preserve"> </w:t>
      </w:r>
      <w:r w:rsidRPr="00224CC5">
        <w:rPr>
          <w:rFonts w:ascii="Palatino Linotype" w:hAnsi="Palatino Linotype"/>
          <w:sz w:val="22"/>
          <w:szCs w:val="22"/>
        </w:rPr>
        <w:t>No.</w:t>
      </w:r>
      <w:r>
        <w:rPr>
          <w:rFonts w:ascii="Palatino Linotype" w:hAnsi="Palatino Linotype"/>
          <w:sz w:val="22"/>
          <w:szCs w:val="22"/>
        </w:rPr>
        <w:t xml:space="preserve"> </w:t>
      </w:r>
      <w:r w:rsidRPr="00224CC5">
        <w:rPr>
          <w:rFonts w:ascii="Palatino Linotype" w:hAnsi="Palatino Linotype"/>
          <w:sz w:val="22"/>
          <w:szCs w:val="22"/>
        </w:rPr>
        <w:t>035-AT-DMGR-2019,</w:t>
      </w:r>
      <w:r>
        <w:rPr>
          <w:rFonts w:ascii="Palatino Linotype" w:hAnsi="Palatino Linotype"/>
          <w:sz w:val="22"/>
          <w:szCs w:val="22"/>
        </w:rPr>
        <w:t xml:space="preserve"> adjunto al oficio </w:t>
      </w:r>
      <w:r w:rsidRPr="00224CC5">
        <w:rPr>
          <w:rFonts w:ascii="Palatino Linotype" w:hAnsi="Palatino Linotype"/>
          <w:sz w:val="22"/>
          <w:szCs w:val="22"/>
        </w:rPr>
        <w:t>No. SGSG-DMGR-2019-0411 de 24 de julio de 2019</w:t>
      </w:r>
      <w:r>
        <w:rPr>
          <w:rFonts w:ascii="Palatino Linotype" w:hAnsi="Palatino Linotype"/>
          <w:sz w:val="22"/>
          <w:szCs w:val="22"/>
        </w:rPr>
        <w:t xml:space="preserve">. </w:t>
      </w:r>
    </w:p>
    <w:p w:rsidR="00007F7B" w:rsidRDefault="00007F7B" w:rsidP="00816B47">
      <w:pPr>
        <w:autoSpaceDE w:val="0"/>
        <w:autoSpaceDN w:val="0"/>
        <w:adjustRightInd w:val="0"/>
        <w:jc w:val="both"/>
      </w:pPr>
    </w:p>
    <w:p w:rsidR="004F7448" w:rsidRDefault="004F7448" w:rsidP="004F7448">
      <w:pPr>
        <w:pStyle w:val="Sinespaciado"/>
        <w:rPr>
          <w:rFonts w:ascii="Palatino Linotype" w:hAnsi="Palatino Linotype"/>
          <w:sz w:val="22"/>
          <w:szCs w:val="22"/>
        </w:rPr>
      </w:pPr>
      <w:r w:rsidRPr="004F7448">
        <w:rPr>
          <w:rFonts w:ascii="Palatino Linotype" w:hAnsi="Palatino Linotype"/>
          <w:b/>
          <w:sz w:val="22"/>
          <w:szCs w:val="22"/>
        </w:rPr>
        <w:t>Artículo 4.-</w:t>
      </w:r>
      <w:r w:rsidRPr="004F7448">
        <w:rPr>
          <w:rFonts w:ascii="Palatino Linotype" w:hAnsi="Palatino Linotype"/>
          <w:sz w:val="22"/>
          <w:szCs w:val="22"/>
        </w:rPr>
        <w:t xml:space="preserve"> E</w:t>
      </w:r>
      <w:r w:rsidR="00DC788E">
        <w:rPr>
          <w:rFonts w:ascii="Palatino Linotype" w:hAnsi="Palatino Linotype"/>
          <w:sz w:val="22"/>
          <w:szCs w:val="22"/>
        </w:rPr>
        <w:t>l valor que deberán cancelar el adjudicatario</w:t>
      </w:r>
      <w:r w:rsidRPr="004F7448">
        <w:rPr>
          <w:rFonts w:ascii="Palatino Linotype" w:hAnsi="Palatino Linotype"/>
          <w:sz w:val="22"/>
          <w:szCs w:val="22"/>
        </w:rPr>
        <w:t xml:space="preserve">, por efecto de la enajenación directa autorizada, será el avalúo catastral actualizado a la fecha de la aprobación de la presente Resolución, hecho lo cual, la Dirección Metropolitana Financiera emitirá los respectivos títulos de crédito. </w:t>
      </w:r>
    </w:p>
    <w:p w:rsidR="004F7448" w:rsidRDefault="004F7448" w:rsidP="004F7448">
      <w:pPr>
        <w:pStyle w:val="Sinespaciado"/>
        <w:rPr>
          <w:rFonts w:ascii="Palatino Linotype" w:hAnsi="Palatino Linotype"/>
          <w:sz w:val="22"/>
          <w:szCs w:val="22"/>
        </w:rPr>
      </w:pPr>
    </w:p>
    <w:p w:rsidR="004F7448" w:rsidRPr="004F7448" w:rsidRDefault="004F7448" w:rsidP="004F7448">
      <w:pPr>
        <w:pStyle w:val="Sinespaciado"/>
        <w:rPr>
          <w:rFonts w:ascii="Palatino Linotype" w:hAnsi="Palatino Linotype"/>
          <w:sz w:val="22"/>
          <w:szCs w:val="22"/>
        </w:rPr>
      </w:pPr>
      <w:r w:rsidRPr="004F7448">
        <w:rPr>
          <w:rFonts w:ascii="Palatino Linotype" w:hAnsi="Palatino Linotype"/>
          <w:sz w:val="22"/>
          <w:szCs w:val="22"/>
        </w:rPr>
        <w:t xml:space="preserve">Una vez realizado el pago, la Tesorería Metropolitana remitirá todo el expediente, con su constancia a la Procuraduría Metropolitana, para continuar con los trámites de escrituración. </w:t>
      </w:r>
    </w:p>
    <w:p w:rsidR="004F7448" w:rsidRDefault="004F7448" w:rsidP="004F7448">
      <w:pPr>
        <w:pStyle w:val="Sinespaciado"/>
        <w:rPr>
          <w:rFonts w:ascii="Palatino Linotype" w:hAnsi="Palatino Linotype"/>
          <w:sz w:val="22"/>
          <w:szCs w:val="22"/>
        </w:rPr>
      </w:pPr>
    </w:p>
    <w:p w:rsidR="004F7448" w:rsidRPr="004F7448" w:rsidRDefault="004F7448" w:rsidP="004F7448">
      <w:pPr>
        <w:pStyle w:val="Sinespaciado"/>
        <w:rPr>
          <w:rFonts w:ascii="Palatino Linotype" w:hAnsi="Palatino Linotype"/>
          <w:sz w:val="22"/>
          <w:szCs w:val="22"/>
        </w:rPr>
      </w:pPr>
      <w:r w:rsidRPr="004F7448">
        <w:rPr>
          <w:rFonts w:ascii="Palatino Linotype" w:hAnsi="Palatino Linotype"/>
          <w:sz w:val="22"/>
          <w:szCs w:val="22"/>
        </w:rPr>
        <w:t xml:space="preserve">En caso de que no se verifiquen los pagos en el plazo legal, la Tesorería Metropolitana procederá al cobro por la vía coactiva. </w:t>
      </w:r>
    </w:p>
    <w:p w:rsidR="004F7448" w:rsidRDefault="004F7448" w:rsidP="004F7448">
      <w:pPr>
        <w:pStyle w:val="Sinespaciado"/>
        <w:rPr>
          <w:rFonts w:ascii="Palatino Linotype" w:hAnsi="Palatino Linotype"/>
          <w:sz w:val="22"/>
          <w:szCs w:val="22"/>
        </w:rPr>
      </w:pPr>
    </w:p>
    <w:p w:rsidR="004F7448" w:rsidRPr="004F7448" w:rsidRDefault="004F7448" w:rsidP="004F7448">
      <w:pPr>
        <w:pStyle w:val="Sinespaciado"/>
        <w:rPr>
          <w:rFonts w:ascii="Palatino Linotype" w:hAnsi="Palatino Linotype"/>
          <w:sz w:val="22"/>
          <w:szCs w:val="22"/>
        </w:rPr>
      </w:pPr>
      <w:r w:rsidRPr="004F7448">
        <w:rPr>
          <w:rFonts w:ascii="Palatino Linotype" w:hAnsi="Palatino Linotype"/>
          <w:b/>
          <w:sz w:val="22"/>
          <w:szCs w:val="22"/>
        </w:rPr>
        <w:t>Artículo 5.-</w:t>
      </w:r>
      <w:r w:rsidRPr="004F7448">
        <w:rPr>
          <w:rFonts w:ascii="Palatino Linotype" w:hAnsi="Palatino Linotype"/>
          <w:sz w:val="22"/>
          <w:szCs w:val="22"/>
        </w:rPr>
        <w:t xml:space="preserve"> Comuníquese al interesado y al señor Procurador Metropolitano, para que una vez efectuado el pago continúe con los trámites de Ley. </w:t>
      </w:r>
    </w:p>
    <w:p w:rsidR="004F7448" w:rsidRPr="004F7448" w:rsidRDefault="004F7448" w:rsidP="004F7448">
      <w:pPr>
        <w:pStyle w:val="Sinespaciado"/>
        <w:rPr>
          <w:rFonts w:ascii="Palatino Linotype" w:hAnsi="Palatino Linotype"/>
          <w:sz w:val="22"/>
          <w:szCs w:val="22"/>
        </w:rPr>
      </w:pPr>
    </w:p>
    <w:p w:rsidR="00371D00" w:rsidRPr="009937FA" w:rsidRDefault="004014B8" w:rsidP="003653E3">
      <w:pPr>
        <w:autoSpaceDE w:val="0"/>
        <w:autoSpaceDN w:val="0"/>
        <w:adjustRightInd w:val="0"/>
        <w:jc w:val="both"/>
        <w:rPr>
          <w:rFonts w:ascii="Palatino Linotype" w:hAnsi="Palatino Linotype"/>
          <w:sz w:val="22"/>
          <w:szCs w:val="22"/>
        </w:rPr>
      </w:pPr>
      <w:r w:rsidRPr="00974EE8">
        <w:rPr>
          <w:rFonts w:ascii="Palatino Linotype" w:eastAsiaTheme="minorHAnsi" w:hAnsi="Palatino Linotype"/>
          <w:b/>
          <w:sz w:val="22"/>
          <w:szCs w:val="22"/>
          <w:lang w:val="es-EC" w:eastAsia="en-US"/>
        </w:rPr>
        <w:t>Disposición Final. -</w:t>
      </w:r>
      <w:r w:rsidR="00371D00" w:rsidRPr="00974EE8">
        <w:rPr>
          <w:rFonts w:ascii="Palatino Linotype" w:eastAsiaTheme="minorHAnsi" w:hAnsi="Palatino Linotype"/>
          <w:b/>
          <w:sz w:val="22"/>
          <w:szCs w:val="22"/>
          <w:lang w:val="es-EC" w:eastAsia="en-US"/>
        </w:rPr>
        <w:t xml:space="preserve"> </w:t>
      </w:r>
      <w:r w:rsidRPr="00974EE8">
        <w:rPr>
          <w:rFonts w:ascii="Palatino Linotype" w:eastAsiaTheme="minorHAnsi" w:hAnsi="Palatino Linotype"/>
          <w:sz w:val="22"/>
          <w:szCs w:val="22"/>
          <w:lang w:val="es-EC" w:eastAsia="en-US"/>
        </w:rPr>
        <w:t>La presente Resolución entrará en vigencia a partir de su suscripción sin perjuicio de su publicación.</w:t>
      </w:r>
      <w:r w:rsidR="00371D00" w:rsidRPr="00974EE8">
        <w:rPr>
          <w:rFonts w:ascii="Palatino Linotype" w:eastAsiaTheme="minorHAnsi" w:hAnsi="Palatino Linotype"/>
          <w:sz w:val="22"/>
          <w:szCs w:val="22"/>
          <w:lang w:val="es-EC" w:eastAsia="en-US"/>
        </w:rPr>
        <w:t xml:space="preserve"> </w:t>
      </w:r>
    </w:p>
    <w:p w:rsidR="00371D00" w:rsidRPr="00974EE8" w:rsidRDefault="00371D00" w:rsidP="003653E3">
      <w:pPr>
        <w:autoSpaceDE w:val="0"/>
        <w:autoSpaceDN w:val="0"/>
        <w:adjustRightInd w:val="0"/>
        <w:jc w:val="both"/>
        <w:rPr>
          <w:rFonts w:ascii="Palatino Linotype" w:eastAsiaTheme="minorHAnsi" w:hAnsi="Palatino Linotype"/>
          <w:sz w:val="22"/>
          <w:szCs w:val="22"/>
          <w:lang w:val="es-EC" w:eastAsia="en-US"/>
        </w:rPr>
      </w:pPr>
    </w:p>
    <w:p w:rsidR="00371D00" w:rsidRPr="00974EE8" w:rsidRDefault="00371D00" w:rsidP="003653E3">
      <w:pPr>
        <w:jc w:val="both"/>
        <w:rPr>
          <w:rFonts w:ascii="Palatino Linotype" w:hAnsi="Palatino Linotype"/>
          <w:sz w:val="22"/>
          <w:szCs w:val="22"/>
        </w:rPr>
      </w:pPr>
      <w:r w:rsidRPr="00974EE8">
        <w:rPr>
          <w:rFonts w:ascii="Palatino Linotype" w:hAnsi="Palatino Linotype"/>
          <w:b/>
          <w:sz w:val="22"/>
          <w:szCs w:val="22"/>
        </w:rPr>
        <w:t xml:space="preserve">Alcaldía del Distrito Metropolitano. - </w:t>
      </w:r>
      <w:r w:rsidRPr="00974EE8">
        <w:rPr>
          <w:rFonts w:ascii="Palatino Linotype" w:hAnsi="Palatino Linotype"/>
          <w:sz w:val="22"/>
          <w:szCs w:val="22"/>
        </w:rPr>
        <w:t xml:space="preserve">Distrito Metropolitano de Quito, </w:t>
      </w:r>
    </w:p>
    <w:p w:rsidR="00371D00" w:rsidRPr="00974EE8" w:rsidRDefault="00371D00" w:rsidP="00371D00">
      <w:pPr>
        <w:jc w:val="both"/>
        <w:rPr>
          <w:rFonts w:ascii="Palatino Linotype" w:hAnsi="Palatino Linotype"/>
          <w:sz w:val="22"/>
          <w:szCs w:val="22"/>
        </w:rPr>
      </w:pPr>
    </w:p>
    <w:p w:rsidR="00371D00" w:rsidRPr="00974EE8" w:rsidRDefault="00371D00" w:rsidP="00371D00">
      <w:pPr>
        <w:jc w:val="center"/>
        <w:rPr>
          <w:rFonts w:ascii="Palatino Linotype" w:hAnsi="Palatino Linotype"/>
          <w:b/>
          <w:sz w:val="22"/>
          <w:szCs w:val="22"/>
        </w:rPr>
      </w:pPr>
      <w:r w:rsidRPr="00974EE8">
        <w:rPr>
          <w:rFonts w:ascii="Palatino Linotype" w:hAnsi="Palatino Linotype"/>
          <w:b/>
          <w:sz w:val="22"/>
          <w:szCs w:val="22"/>
        </w:rPr>
        <w:t>EJECÚTESE:</w:t>
      </w: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Dr. Jorge Yunda Machado</w:t>
      </w:r>
    </w:p>
    <w:p w:rsidR="00371D00" w:rsidRPr="00974EE8" w:rsidRDefault="00371D00" w:rsidP="00371D00">
      <w:pPr>
        <w:pStyle w:val="Sinespaciado"/>
        <w:jc w:val="center"/>
        <w:rPr>
          <w:rFonts w:ascii="Palatino Linotype" w:hAnsi="Palatino Linotype"/>
          <w:b/>
          <w:sz w:val="22"/>
          <w:szCs w:val="22"/>
        </w:rPr>
      </w:pPr>
      <w:r w:rsidRPr="00974EE8">
        <w:rPr>
          <w:rFonts w:ascii="Palatino Linotype" w:hAnsi="Palatino Linotype"/>
          <w:b/>
          <w:sz w:val="22"/>
          <w:szCs w:val="22"/>
        </w:rPr>
        <w:t>ALCALDE DEL DISTRITO METROPOLITANO DE QUITO</w:t>
      </w:r>
    </w:p>
    <w:p w:rsidR="00371D00" w:rsidRPr="00974EE8" w:rsidRDefault="00371D00" w:rsidP="00371D00">
      <w:pPr>
        <w:jc w:val="both"/>
        <w:rPr>
          <w:rFonts w:ascii="Palatino Linotype" w:hAnsi="Palatino Linotype"/>
          <w:b/>
          <w:sz w:val="22"/>
          <w:szCs w:val="22"/>
        </w:rPr>
      </w:pPr>
    </w:p>
    <w:p w:rsidR="00371D00" w:rsidRPr="00974EE8" w:rsidRDefault="00371D00" w:rsidP="00371D00">
      <w:pPr>
        <w:jc w:val="both"/>
        <w:rPr>
          <w:rFonts w:ascii="Palatino Linotype" w:hAnsi="Palatino Linotype"/>
          <w:sz w:val="22"/>
          <w:szCs w:val="22"/>
        </w:rPr>
      </w:pPr>
      <w:r w:rsidRPr="00974EE8">
        <w:rPr>
          <w:rFonts w:ascii="Palatino Linotype" w:hAnsi="Palatino Linotype"/>
          <w:b/>
          <w:sz w:val="22"/>
          <w:szCs w:val="22"/>
        </w:rPr>
        <w:t>CERTIFICO,</w:t>
      </w:r>
      <w:r w:rsidRPr="00974EE8">
        <w:rPr>
          <w:rFonts w:ascii="Palatino Linotype" w:hAnsi="Palatino Linotype"/>
          <w:sz w:val="22"/>
          <w:szCs w:val="22"/>
        </w:rPr>
        <w:t xml:space="preserve"> que la presente resolución fue discutida y aprobada en sesión pública ordinaria del Concejo Metropolitano de Quito, el</w:t>
      </w:r>
      <w:r w:rsidR="00B26D77">
        <w:rPr>
          <w:rFonts w:ascii="Palatino Linotype" w:hAnsi="Palatino Linotype"/>
          <w:sz w:val="22"/>
          <w:szCs w:val="22"/>
        </w:rPr>
        <w:t xml:space="preserve"> XXXXXXXXXXX</w:t>
      </w:r>
      <w:r w:rsidR="00140E5B" w:rsidRPr="00974EE8">
        <w:rPr>
          <w:rFonts w:ascii="Palatino Linotype" w:hAnsi="Palatino Linotype"/>
          <w:sz w:val="22"/>
          <w:szCs w:val="22"/>
        </w:rPr>
        <w:t>;</w:t>
      </w:r>
      <w:r w:rsidRPr="00974EE8">
        <w:rPr>
          <w:rFonts w:ascii="Palatino Linotype" w:hAnsi="Palatino Linotype"/>
          <w:sz w:val="22"/>
          <w:szCs w:val="22"/>
        </w:rPr>
        <w:t xml:space="preserve"> y, suscrita por el Dr. Jorge Yunda Machado, Alcalde del Distrito Metropolitano de Quito, el </w:t>
      </w:r>
      <w:r w:rsidR="00B26D77">
        <w:rPr>
          <w:rFonts w:ascii="Palatino Linotype" w:hAnsi="Palatino Linotype"/>
          <w:sz w:val="22"/>
          <w:szCs w:val="22"/>
        </w:rPr>
        <w:t>XXXXXXXXXXX</w:t>
      </w:r>
      <w:r w:rsidR="00140E5B" w:rsidRPr="00974EE8">
        <w:rPr>
          <w:rFonts w:ascii="Palatino Linotype" w:hAnsi="Palatino Linotype"/>
          <w:sz w:val="22"/>
          <w:szCs w:val="22"/>
        </w:rPr>
        <w:t xml:space="preserve"> de </w:t>
      </w:r>
      <w:r w:rsidR="00B26D77">
        <w:rPr>
          <w:rFonts w:ascii="Palatino Linotype" w:hAnsi="Palatino Linotype"/>
          <w:sz w:val="22"/>
          <w:szCs w:val="22"/>
        </w:rPr>
        <w:t>XXXXXXX</w:t>
      </w:r>
      <w:r w:rsidR="00140E5B" w:rsidRPr="00974EE8">
        <w:rPr>
          <w:rFonts w:ascii="Palatino Linotype" w:hAnsi="Palatino Linotype"/>
          <w:sz w:val="22"/>
          <w:szCs w:val="22"/>
        </w:rPr>
        <w:t xml:space="preserve"> de 202</w:t>
      </w:r>
      <w:r w:rsidR="00BC11C3">
        <w:rPr>
          <w:rFonts w:ascii="Palatino Linotype" w:hAnsi="Palatino Linotype"/>
          <w:sz w:val="22"/>
          <w:szCs w:val="22"/>
        </w:rPr>
        <w:t>1</w:t>
      </w:r>
      <w:r w:rsidR="009368DD" w:rsidRPr="00974EE8">
        <w:rPr>
          <w:rFonts w:ascii="Palatino Linotype" w:hAnsi="Palatino Linotype"/>
          <w:sz w:val="22"/>
          <w:szCs w:val="22"/>
        </w:rPr>
        <w:t>.</w:t>
      </w:r>
    </w:p>
    <w:p w:rsidR="00076EB1" w:rsidRPr="00974EE8" w:rsidRDefault="00076EB1" w:rsidP="00371D00">
      <w:pPr>
        <w:jc w:val="both"/>
        <w:rPr>
          <w:rFonts w:ascii="Palatino Linotype" w:hAnsi="Palatino Linotype"/>
          <w:b/>
          <w:sz w:val="22"/>
          <w:szCs w:val="22"/>
        </w:rPr>
      </w:pPr>
    </w:p>
    <w:p w:rsidR="00140E5B" w:rsidRPr="00974EE8" w:rsidRDefault="00371D00" w:rsidP="00140E5B">
      <w:pPr>
        <w:jc w:val="both"/>
        <w:rPr>
          <w:rFonts w:ascii="Palatino Linotype" w:hAnsi="Palatino Linotype"/>
          <w:sz w:val="22"/>
          <w:szCs w:val="22"/>
        </w:rPr>
      </w:pPr>
      <w:r w:rsidRPr="00974EE8">
        <w:rPr>
          <w:rFonts w:ascii="Palatino Linotype" w:hAnsi="Palatino Linotype"/>
          <w:b/>
          <w:sz w:val="22"/>
          <w:szCs w:val="22"/>
        </w:rPr>
        <w:t xml:space="preserve">Lo certifico. - </w:t>
      </w:r>
      <w:r w:rsidRPr="00974EE8">
        <w:rPr>
          <w:rFonts w:ascii="Palatino Linotype" w:hAnsi="Palatino Linotype"/>
          <w:sz w:val="22"/>
          <w:szCs w:val="22"/>
        </w:rPr>
        <w:t xml:space="preserve">Distrito Metropolitano de Quito, </w:t>
      </w:r>
      <w:r w:rsidR="003653E3" w:rsidRPr="00974EE8">
        <w:rPr>
          <w:rFonts w:ascii="Palatino Linotype" w:hAnsi="Palatino Linotype"/>
          <w:sz w:val="22"/>
          <w:szCs w:val="22"/>
        </w:rPr>
        <w:t xml:space="preserve">el </w:t>
      </w:r>
    </w:p>
    <w:p w:rsidR="00371D00" w:rsidRPr="00974EE8" w:rsidRDefault="00371D00" w:rsidP="00371D00">
      <w:pPr>
        <w:jc w:val="both"/>
        <w:rPr>
          <w:rFonts w:ascii="Palatino Linotype" w:hAnsi="Palatino Linotype"/>
          <w:sz w:val="22"/>
          <w:szCs w:val="22"/>
        </w:rPr>
      </w:pPr>
    </w:p>
    <w:p w:rsidR="00371D00" w:rsidRPr="00974EE8" w:rsidRDefault="00371D00" w:rsidP="00371D00">
      <w:pPr>
        <w:rPr>
          <w:rFonts w:ascii="Palatino Linotype" w:hAnsi="Palatino Linotype"/>
          <w:sz w:val="22"/>
          <w:szCs w:val="22"/>
        </w:rPr>
      </w:pPr>
    </w:p>
    <w:p w:rsidR="00371D00" w:rsidRPr="00974EE8" w:rsidRDefault="00371D00" w:rsidP="00371D00">
      <w:pPr>
        <w:jc w:val="both"/>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 xml:space="preserve">Abg. </w:t>
      </w:r>
      <w:r w:rsidR="00427188">
        <w:rPr>
          <w:rFonts w:ascii="Palatino Linotype" w:hAnsi="Palatino Linotype"/>
          <w:sz w:val="22"/>
          <w:szCs w:val="22"/>
        </w:rPr>
        <w:t xml:space="preserve">Samuel </w:t>
      </w:r>
      <w:proofErr w:type="spellStart"/>
      <w:r w:rsidR="00427188">
        <w:rPr>
          <w:rFonts w:ascii="Palatino Linotype" w:hAnsi="Palatino Linotype"/>
          <w:sz w:val="22"/>
          <w:szCs w:val="22"/>
        </w:rPr>
        <w:t>Byun</w:t>
      </w:r>
      <w:proofErr w:type="spellEnd"/>
    </w:p>
    <w:p w:rsidR="008C7FBB" w:rsidRPr="00974EE8" w:rsidRDefault="00427188" w:rsidP="004F7448">
      <w:pPr>
        <w:pStyle w:val="Sinespaciado"/>
        <w:jc w:val="center"/>
        <w:rPr>
          <w:rFonts w:ascii="Palatino Linotype" w:hAnsi="Palatino Linotype"/>
          <w:sz w:val="22"/>
          <w:szCs w:val="22"/>
        </w:rPr>
      </w:pPr>
      <w:r>
        <w:rPr>
          <w:rFonts w:ascii="Palatino Linotype" w:hAnsi="Palatino Linotype"/>
          <w:b/>
          <w:sz w:val="22"/>
          <w:szCs w:val="22"/>
        </w:rPr>
        <w:t>SECRETARIO</w:t>
      </w:r>
      <w:r w:rsidR="00371D00" w:rsidRPr="00974EE8">
        <w:rPr>
          <w:rFonts w:ascii="Palatino Linotype" w:hAnsi="Palatino Linotype"/>
          <w:b/>
          <w:sz w:val="22"/>
          <w:szCs w:val="22"/>
        </w:rPr>
        <w:t xml:space="preserve"> GENERAL DEL CONCEJO METROPOLITANO DE QUITO</w:t>
      </w:r>
      <w:r>
        <w:rPr>
          <w:rFonts w:ascii="Palatino Linotype" w:hAnsi="Palatino Linotype"/>
          <w:b/>
          <w:sz w:val="22"/>
          <w:szCs w:val="22"/>
        </w:rPr>
        <w:t xml:space="preserve"> (E</w:t>
      </w:r>
      <w:bookmarkStart w:id="0" w:name="_GoBack"/>
      <w:bookmarkEnd w:id="0"/>
      <w:r>
        <w:rPr>
          <w:rFonts w:ascii="Palatino Linotype" w:hAnsi="Palatino Linotype"/>
          <w:b/>
          <w:sz w:val="22"/>
          <w:szCs w:val="22"/>
        </w:rPr>
        <w:t>)</w:t>
      </w:r>
      <w:r w:rsidR="00076EB1" w:rsidRPr="00974EE8">
        <w:rPr>
          <w:rFonts w:ascii="Palatino Linotype" w:hAnsi="Palatino Linotype"/>
          <w:b/>
          <w:sz w:val="22"/>
          <w:szCs w:val="22"/>
        </w:rPr>
        <w:t xml:space="preserve"> </w:t>
      </w:r>
    </w:p>
    <w:sectPr w:rsidR="008C7FBB" w:rsidRPr="00974EE8" w:rsidSect="006372F5">
      <w:headerReference w:type="even" r:id="rId7"/>
      <w:headerReference w:type="default" r:id="rId8"/>
      <w:footerReference w:type="default" r:id="rId9"/>
      <w:headerReference w:type="first" r:id="rId10"/>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88" w:rsidRDefault="005B7E88">
      <w:r>
        <w:separator/>
      </w:r>
    </w:p>
  </w:endnote>
  <w:endnote w:type="continuationSeparator" w:id="0">
    <w:p w:rsidR="005B7E88" w:rsidRDefault="005B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egr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8479FB" w:rsidRPr="008479FB" w:rsidRDefault="009862E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003B0B04"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003B0B04" w:rsidRPr="008479FB">
              <w:rPr>
                <w:rFonts w:ascii="Palatino Linotype" w:hAnsi="Palatino Linotype"/>
                <w:b/>
                <w:bCs/>
                <w:sz w:val="20"/>
                <w:szCs w:val="20"/>
              </w:rPr>
              <w:fldChar w:fldCharType="separate"/>
            </w:r>
            <w:r w:rsidR="00427188">
              <w:rPr>
                <w:rFonts w:ascii="Palatino Linotype" w:hAnsi="Palatino Linotype"/>
                <w:b/>
                <w:bCs/>
                <w:noProof/>
                <w:sz w:val="20"/>
                <w:szCs w:val="20"/>
              </w:rPr>
              <w:t>8</w:t>
            </w:r>
            <w:r w:rsidR="003B0B04"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003B0B04"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003B0B04" w:rsidRPr="008479FB">
              <w:rPr>
                <w:rFonts w:ascii="Palatino Linotype" w:hAnsi="Palatino Linotype"/>
                <w:b/>
                <w:bCs/>
                <w:sz w:val="20"/>
                <w:szCs w:val="20"/>
              </w:rPr>
              <w:fldChar w:fldCharType="separate"/>
            </w:r>
            <w:r w:rsidR="00427188">
              <w:rPr>
                <w:rFonts w:ascii="Palatino Linotype" w:hAnsi="Palatino Linotype"/>
                <w:b/>
                <w:bCs/>
                <w:noProof/>
                <w:sz w:val="20"/>
                <w:szCs w:val="20"/>
              </w:rPr>
              <w:t>8</w:t>
            </w:r>
            <w:r w:rsidR="003B0B04" w:rsidRPr="008479FB">
              <w:rPr>
                <w:rFonts w:ascii="Palatino Linotype" w:hAnsi="Palatino Linotype"/>
                <w:b/>
                <w:bCs/>
                <w:sz w:val="20"/>
                <w:szCs w:val="20"/>
              </w:rPr>
              <w:fldChar w:fldCharType="end"/>
            </w:r>
          </w:p>
        </w:sdtContent>
      </w:sdt>
    </w:sdtContent>
  </w:sdt>
  <w:p w:rsidR="008479FB" w:rsidRPr="008479FB" w:rsidRDefault="005B7E88">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88" w:rsidRDefault="005B7E88">
      <w:r>
        <w:separator/>
      </w:r>
    </w:p>
  </w:footnote>
  <w:footnote w:type="continuationSeparator" w:id="0">
    <w:p w:rsidR="005B7E88" w:rsidRDefault="005B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5B7E8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6" o:spid="_x0000_s2050" type="#_x0000_t136" style="position:absolute;margin-left:0;margin-top:0;width:441.9pt;height:110.45pt;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5B7E8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7" o:spid="_x0000_s2051" type="#_x0000_t136" style="position:absolute;margin-left:0;margin-top:0;width:441.9pt;height:110.45pt;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9" w:rsidRDefault="005B7E8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5" o:spid="_x0000_s2049" type="#_x0000_t136" style="position:absolute;margin-left:0;margin-top:0;width:441.9pt;height:110.45pt;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58"/>
    <w:rsid w:val="00004615"/>
    <w:rsid w:val="00007F7B"/>
    <w:rsid w:val="000207F1"/>
    <w:rsid w:val="000352E0"/>
    <w:rsid w:val="00035B0F"/>
    <w:rsid w:val="000426DD"/>
    <w:rsid w:val="00043D93"/>
    <w:rsid w:val="00045A6C"/>
    <w:rsid w:val="00076EB1"/>
    <w:rsid w:val="00084379"/>
    <w:rsid w:val="000900BA"/>
    <w:rsid w:val="000A02CD"/>
    <w:rsid w:val="000A2956"/>
    <w:rsid w:val="000B4236"/>
    <w:rsid w:val="000B736C"/>
    <w:rsid w:val="000C230C"/>
    <w:rsid w:val="000D095A"/>
    <w:rsid w:val="000E018B"/>
    <w:rsid w:val="000E1DDE"/>
    <w:rsid w:val="000E429B"/>
    <w:rsid w:val="000E6777"/>
    <w:rsid w:val="00102BEB"/>
    <w:rsid w:val="00103A56"/>
    <w:rsid w:val="00106439"/>
    <w:rsid w:val="0011274C"/>
    <w:rsid w:val="00116C0F"/>
    <w:rsid w:val="001208B7"/>
    <w:rsid w:val="00121B7E"/>
    <w:rsid w:val="0013605F"/>
    <w:rsid w:val="00140E5B"/>
    <w:rsid w:val="0016353C"/>
    <w:rsid w:val="001649BA"/>
    <w:rsid w:val="001776AB"/>
    <w:rsid w:val="0019225A"/>
    <w:rsid w:val="00197779"/>
    <w:rsid w:val="00197C45"/>
    <w:rsid w:val="001A42FC"/>
    <w:rsid w:val="001B0913"/>
    <w:rsid w:val="001B12A1"/>
    <w:rsid w:val="001B367D"/>
    <w:rsid w:val="001C0B81"/>
    <w:rsid w:val="001C2838"/>
    <w:rsid w:val="001C6FEA"/>
    <w:rsid w:val="001C7D49"/>
    <w:rsid w:val="001D7422"/>
    <w:rsid w:val="001E5733"/>
    <w:rsid w:val="001F2CD2"/>
    <w:rsid w:val="001F31C5"/>
    <w:rsid w:val="002042A3"/>
    <w:rsid w:val="00205E32"/>
    <w:rsid w:val="00207231"/>
    <w:rsid w:val="00212B00"/>
    <w:rsid w:val="00224CC5"/>
    <w:rsid w:val="002312FC"/>
    <w:rsid w:val="00234D87"/>
    <w:rsid w:val="002365A6"/>
    <w:rsid w:val="0023794C"/>
    <w:rsid w:val="00237CA1"/>
    <w:rsid w:val="00245412"/>
    <w:rsid w:val="00247336"/>
    <w:rsid w:val="002534F2"/>
    <w:rsid w:val="00260A9D"/>
    <w:rsid w:val="00261856"/>
    <w:rsid w:val="00263CE2"/>
    <w:rsid w:val="0028210B"/>
    <w:rsid w:val="0028355A"/>
    <w:rsid w:val="002B11B3"/>
    <w:rsid w:val="002D6F62"/>
    <w:rsid w:val="002E2CA5"/>
    <w:rsid w:val="002E5D07"/>
    <w:rsid w:val="002F034D"/>
    <w:rsid w:val="002F0A16"/>
    <w:rsid w:val="002F199A"/>
    <w:rsid w:val="002F5BA3"/>
    <w:rsid w:val="00302B05"/>
    <w:rsid w:val="00303F16"/>
    <w:rsid w:val="00305C8A"/>
    <w:rsid w:val="0031642D"/>
    <w:rsid w:val="003325C5"/>
    <w:rsid w:val="003361D1"/>
    <w:rsid w:val="00347941"/>
    <w:rsid w:val="003627CB"/>
    <w:rsid w:val="003653E3"/>
    <w:rsid w:val="00371D00"/>
    <w:rsid w:val="00373370"/>
    <w:rsid w:val="00377192"/>
    <w:rsid w:val="00377AFB"/>
    <w:rsid w:val="003837F3"/>
    <w:rsid w:val="00387B31"/>
    <w:rsid w:val="00397810"/>
    <w:rsid w:val="003B0B04"/>
    <w:rsid w:val="003B2A8E"/>
    <w:rsid w:val="003C4C4F"/>
    <w:rsid w:val="003C6346"/>
    <w:rsid w:val="003C656B"/>
    <w:rsid w:val="003C75B0"/>
    <w:rsid w:val="003E1331"/>
    <w:rsid w:val="003E3193"/>
    <w:rsid w:val="003E4BFF"/>
    <w:rsid w:val="003F1DD0"/>
    <w:rsid w:val="003F50D9"/>
    <w:rsid w:val="003F718D"/>
    <w:rsid w:val="004014B8"/>
    <w:rsid w:val="0040538D"/>
    <w:rsid w:val="00410550"/>
    <w:rsid w:val="00410CBE"/>
    <w:rsid w:val="0041307F"/>
    <w:rsid w:val="004137B7"/>
    <w:rsid w:val="00421449"/>
    <w:rsid w:val="00427188"/>
    <w:rsid w:val="00427B59"/>
    <w:rsid w:val="00430B1C"/>
    <w:rsid w:val="00430DD4"/>
    <w:rsid w:val="00436221"/>
    <w:rsid w:val="004365CB"/>
    <w:rsid w:val="00444EBC"/>
    <w:rsid w:val="00445D37"/>
    <w:rsid w:val="00445F1C"/>
    <w:rsid w:val="00447553"/>
    <w:rsid w:val="00452AD1"/>
    <w:rsid w:val="0045355A"/>
    <w:rsid w:val="00453791"/>
    <w:rsid w:val="004568A5"/>
    <w:rsid w:val="00457A8D"/>
    <w:rsid w:val="004606CF"/>
    <w:rsid w:val="00465AD9"/>
    <w:rsid w:val="004666F4"/>
    <w:rsid w:val="00470289"/>
    <w:rsid w:val="00474DDF"/>
    <w:rsid w:val="004779D5"/>
    <w:rsid w:val="00487063"/>
    <w:rsid w:val="00494191"/>
    <w:rsid w:val="004B07E1"/>
    <w:rsid w:val="004B46EE"/>
    <w:rsid w:val="004D7DDE"/>
    <w:rsid w:val="004E20B3"/>
    <w:rsid w:val="004E3DEB"/>
    <w:rsid w:val="004F0E2F"/>
    <w:rsid w:val="004F1E77"/>
    <w:rsid w:val="004F3B81"/>
    <w:rsid w:val="004F7448"/>
    <w:rsid w:val="00501D9A"/>
    <w:rsid w:val="00502C6B"/>
    <w:rsid w:val="005077B1"/>
    <w:rsid w:val="005125A9"/>
    <w:rsid w:val="00515B43"/>
    <w:rsid w:val="00517EC3"/>
    <w:rsid w:val="005225B2"/>
    <w:rsid w:val="00526C22"/>
    <w:rsid w:val="00527CFB"/>
    <w:rsid w:val="00540863"/>
    <w:rsid w:val="005525E0"/>
    <w:rsid w:val="005605E0"/>
    <w:rsid w:val="005617D9"/>
    <w:rsid w:val="005641FF"/>
    <w:rsid w:val="0057165E"/>
    <w:rsid w:val="00587B68"/>
    <w:rsid w:val="005A57D5"/>
    <w:rsid w:val="005A6079"/>
    <w:rsid w:val="005B2A24"/>
    <w:rsid w:val="005B4B5D"/>
    <w:rsid w:val="005B7E88"/>
    <w:rsid w:val="005C54C9"/>
    <w:rsid w:val="005C65BE"/>
    <w:rsid w:val="005D330E"/>
    <w:rsid w:val="005E0CFB"/>
    <w:rsid w:val="005F785F"/>
    <w:rsid w:val="00612644"/>
    <w:rsid w:val="00625A1B"/>
    <w:rsid w:val="00630AF4"/>
    <w:rsid w:val="00636023"/>
    <w:rsid w:val="006442D0"/>
    <w:rsid w:val="0064438A"/>
    <w:rsid w:val="006623FE"/>
    <w:rsid w:val="00682934"/>
    <w:rsid w:val="00684090"/>
    <w:rsid w:val="00686A06"/>
    <w:rsid w:val="00692ADA"/>
    <w:rsid w:val="00693946"/>
    <w:rsid w:val="006A1262"/>
    <w:rsid w:val="006B10C8"/>
    <w:rsid w:val="006B51BE"/>
    <w:rsid w:val="006B63AB"/>
    <w:rsid w:val="006C2BAB"/>
    <w:rsid w:val="006E4084"/>
    <w:rsid w:val="006E66D6"/>
    <w:rsid w:val="006F26BE"/>
    <w:rsid w:val="006F7558"/>
    <w:rsid w:val="0070474C"/>
    <w:rsid w:val="00706835"/>
    <w:rsid w:val="0072076E"/>
    <w:rsid w:val="00724137"/>
    <w:rsid w:val="007322FB"/>
    <w:rsid w:val="00737950"/>
    <w:rsid w:val="007561F7"/>
    <w:rsid w:val="00760E00"/>
    <w:rsid w:val="00767483"/>
    <w:rsid w:val="007957C8"/>
    <w:rsid w:val="00796746"/>
    <w:rsid w:val="007A40E8"/>
    <w:rsid w:val="007D2A9C"/>
    <w:rsid w:val="007D4E1F"/>
    <w:rsid w:val="007E70E8"/>
    <w:rsid w:val="007E75C9"/>
    <w:rsid w:val="007F4760"/>
    <w:rsid w:val="007F60DD"/>
    <w:rsid w:val="007F6839"/>
    <w:rsid w:val="008005EC"/>
    <w:rsid w:val="00800F3A"/>
    <w:rsid w:val="00816B47"/>
    <w:rsid w:val="00826D08"/>
    <w:rsid w:val="00832BC7"/>
    <w:rsid w:val="00836BC5"/>
    <w:rsid w:val="00837642"/>
    <w:rsid w:val="0084137F"/>
    <w:rsid w:val="008415FB"/>
    <w:rsid w:val="00846F5F"/>
    <w:rsid w:val="008515C7"/>
    <w:rsid w:val="008529C4"/>
    <w:rsid w:val="00862D32"/>
    <w:rsid w:val="00866908"/>
    <w:rsid w:val="0086718B"/>
    <w:rsid w:val="00874C84"/>
    <w:rsid w:val="00883741"/>
    <w:rsid w:val="008A11D4"/>
    <w:rsid w:val="008A140F"/>
    <w:rsid w:val="008A6A5B"/>
    <w:rsid w:val="008B5F96"/>
    <w:rsid w:val="008C1731"/>
    <w:rsid w:val="008C2104"/>
    <w:rsid w:val="008C2767"/>
    <w:rsid w:val="008C2910"/>
    <w:rsid w:val="008C7FBB"/>
    <w:rsid w:val="008D0A6E"/>
    <w:rsid w:val="008D30F7"/>
    <w:rsid w:val="008D4CC4"/>
    <w:rsid w:val="008D589B"/>
    <w:rsid w:val="008E107B"/>
    <w:rsid w:val="008E6A38"/>
    <w:rsid w:val="008F1A94"/>
    <w:rsid w:val="008F2E88"/>
    <w:rsid w:val="008F4BC5"/>
    <w:rsid w:val="008F63DA"/>
    <w:rsid w:val="00906929"/>
    <w:rsid w:val="0091489D"/>
    <w:rsid w:val="00916C7F"/>
    <w:rsid w:val="009171B4"/>
    <w:rsid w:val="00921E72"/>
    <w:rsid w:val="00924D36"/>
    <w:rsid w:val="009257B8"/>
    <w:rsid w:val="009368DD"/>
    <w:rsid w:val="009369BE"/>
    <w:rsid w:val="00946371"/>
    <w:rsid w:val="00952120"/>
    <w:rsid w:val="009540BE"/>
    <w:rsid w:val="009670A4"/>
    <w:rsid w:val="00970C3A"/>
    <w:rsid w:val="00971525"/>
    <w:rsid w:val="00974EE8"/>
    <w:rsid w:val="009862ED"/>
    <w:rsid w:val="009937FA"/>
    <w:rsid w:val="00995E06"/>
    <w:rsid w:val="009C0946"/>
    <w:rsid w:val="009C3E74"/>
    <w:rsid w:val="009C74F3"/>
    <w:rsid w:val="009D59C8"/>
    <w:rsid w:val="009F5813"/>
    <w:rsid w:val="00A01E0B"/>
    <w:rsid w:val="00A0701E"/>
    <w:rsid w:val="00A1090A"/>
    <w:rsid w:val="00A12AAA"/>
    <w:rsid w:val="00A1492B"/>
    <w:rsid w:val="00A264F8"/>
    <w:rsid w:val="00A54E7F"/>
    <w:rsid w:val="00A670E7"/>
    <w:rsid w:val="00A72162"/>
    <w:rsid w:val="00A75561"/>
    <w:rsid w:val="00A90669"/>
    <w:rsid w:val="00A940A1"/>
    <w:rsid w:val="00AB3A93"/>
    <w:rsid w:val="00AB6AFA"/>
    <w:rsid w:val="00AB7F29"/>
    <w:rsid w:val="00AC78A2"/>
    <w:rsid w:val="00AD12FB"/>
    <w:rsid w:val="00AD601E"/>
    <w:rsid w:val="00AE003F"/>
    <w:rsid w:val="00AE2A18"/>
    <w:rsid w:val="00AE2A26"/>
    <w:rsid w:val="00AE64F9"/>
    <w:rsid w:val="00AF1457"/>
    <w:rsid w:val="00AF227D"/>
    <w:rsid w:val="00AF26A9"/>
    <w:rsid w:val="00AF3316"/>
    <w:rsid w:val="00AF4573"/>
    <w:rsid w:val="00AF4E7B"/>
    <w:rsid w:val="00AF5151"/>
    <w:rsid w:val="00B0338D"/>
    <w:rsid w:val="00B11A72"/>
    <w:rsid w:val="00B11E1F"/>
    <w:rsid w:val="00B12067"/>
    <w:rsid w:val="00B20A65"/>
    <w:rsid w:val="00B23C68"/>
    <w:rsid w:val="00B26D77"/>
    <w:rsid w:val="00B30D6F"/>
    <w:rsid w:val="00B3519C"/>
    <w:rsid w:val="00B37F9F"/>
    <w:rsid w:val="00B40647"/>
    <w:rsid w:val="00B415CF"/>
    <w:rsid w:val="00B42A68"/>
    <w:rsid w:val="00B42B9B"/>
    <w:rsid w:val="00B44277"/>
    <w:rsid w:val="00B470B6"/>
    <w:rsid w:val="00B536D3"/>
    <w:rsid w:val="00B641EF"/>
    <w:rsid w:val="00B74EE9"/>
    <w:rsid w:val="00B84E12"/>
    <w:rsid w:val="00B85812"/>
    <w:rsid w:val="00B952E1"/>
    <w:rsid w:val="00B954C7"/>
    <w:rsid w:val="00B95A41"/>
    <w:rsid w:val="00BA1967"/>
    <w:rsid w:val="00BB01B9"/>
    <w:rsid w:val="00BB0232"/>
    <w:rsid w:val="00BB141A"/>
    <w:rsid w:val="00BC11C3"/>
    <w:rsid w:val="00BC7A8A"/>
    <w:rsid w:val="00BE1872"/>
    <w:rsid w:val="00BE6CFB"/>
    <w:rsid w:val="00BF15C4"/>
    <w:rsid w:val="00C16819"/>
    <w:rsid w:val="00C3066C"/>
    <w:rsid w:val="00C3378E"/>
    <w:rsid w:val="00C3379B"/>
    <w:rsid w:val="00C3401C"/>
    <w:rsid w:val="00C3468C"/>
    <w:rsid w:val="00C35AD5"/>
    <w:rsid w:val="00C36C71"/>
    <w:rsid w:val="00C454CC"/>
    <w:rsid w:val="00C463A7"/>
    <w:rsid w:val="00C50E56"/>
    <w:rsid w:val="00C51A3F"/>
    <w:rsid w:val="00C5244E"/>
    <w:rsid w:val="00C5581F"/>
    <w:rsid w:val="00C60691"/>
    <w:rsid w:val="00C6700F"/>
    <w:rsid w:val="00C71B96"/>
    <w:rsid w:val="00C743F4"/>
    <w:rsid w:val="00C75085"/>
    <w:rsid w:val="00C75D88"/>
    <w:rsid w:val="00C8111C"/>
    <w:rsid w:val="00C81B71"/>
    <w:rsid w:val="00C8504F"/>
    <w:rsid w:val="00C90214"/>
    <w:rsid w:val="00C941C4"/>
    <w:rsid w:val="00C96B1C"/>
    <w:rsid w:val="00CA0D7C"/>
    <w:rsid w:val="00CA74A4"/>
    <w:rsid w:val="00CC37FC"/>
    <w:rsid w:val="00CD285E"/>
    <w:rsid w:val="00CD4D3D"/>
    <w:rsid w:val="00CE5A2F"/>
    <w:rsid w:val="00CF2A0C"/>
    <w:rsid w:val="00CF36F1"/>
    <w:rsid w:val="00D002E2"/>
    <w:rsid w:val="00D22406"/>
    <w:rsid w:val="00D372CA"/>
    <w:rsid w:val="00D60378"/>
    <w:rsid w:val="00D80A29"/>
    <w:rsid w:val="00D850CF"/>
    <w:rsid w:val="00D8544E"/>
    <w:rsid w:val="00D86743"/>
    <w:rsid w:val="00D8774A"/>
    <w:rsid w:val="00D95DB6"/>
    <w:rsid w:val="00D95EEA"/>
    <w:rsid w:val="00D97E8A"/>
    <w:rsid w:val="00DA5568"/>
    <w:rsid w:val="00DB1E50"/>
    <w:rsid w:val="00DB64D8"/>
    <w:rsid w:val="00DC1AF3"/>
    <w:rsid w:val="00DC788E"/>
    <w:rsid w:val="00DD0020"/>
    <w:rsid w:val="00DD09A4"/>
    <w:rsid w:val="00DD3787"/>
    <w:rsid w:val="00DD4559"/>
    <w:rsid w:val="00DF0B4F"/>
    <w:rsid w:val="00DF21AB"/>
    <w:rsid w:val="00E03299"/>
    <w:rsid w:val="00E035DB"/>
    <w:rsid w:val="00E063D6"/>
    <w:rsid w:val="00E175D0"/>
    <w:rsid w:val="00E213C8"/>
    <w:rsid w:val="00E348B3"/>
    <w:rsid w:val="00E367AE"/>
    <w:rsid w:val="00E40902"/>
    <w:rsid w:val="00E52A1F"/>
    <w:rsid w:val="00E62529"/>
    <w:rsid w:val="00E70011"/>
    <w:rsid w:val="00E74B3D"/>
    <w:rsid w:val="00E769DA"/>
    <w:rsid w:val="00E80F18"/>
    <w:rsid w:val="00E941DF"/>
    <w:rsid w:val="00EA1E48"/>
    <w:rsid w:val="00EB1DDC"/>
    <w:rsid w:val="00EC11EB"/>
    <w:rsid w:val="00ED3D71"/>
    <w:rsid w:val="00F0029E"/>
    <w:rsid w:val="00F0200B"/>
    <w:rsid w:val="00F02902"/>
    <w:rsid w:val="00F2464A"/>
    <w:rsid w:val="00F25E0F"/>
    <w:rsid w:val="00F30838"/>
    <w:rsid w:val="00F3519B"/>
    <w:rsid w:val="00F365C2"/>
    <w:rsid w:val="00F43477"/>
    <w:rsid w:val="00F4568F"/>
    <w:rsid w:val="00F574C4"/>
    <w:rsid w:val="00FA5017"/>
    <w:rsid w:val="00FA686B"/>
    <w:rsid w:val="00FB22E8"/>
    <w:rsid w:val="00FB6291"/>
    <w:rsid w:val="00FD02C4"/>
    <w:rsid w:val="00FD4B67"/>
    <w:rsid w:val="00FD64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5CE8CF"/>
  <w15:docId w15:val="{E634E972-6B39-46C4-BB70-7549B423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58"/>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6F7558"/>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6F7558"/>
    <w:pPr>
      <w:tabs>
        <w:tab w:val="center" w:pos="4252"/>
        <w:tab w:val="right" w:pos="8504"/>
      </w:tabs>
    </w:pPr>
  </w:style>
  <w:style w:type="character" w:customStyle="1" w:styleId="PiedepginaCar">
    <w:name w:val="Pie de página Car"/>
    <w:basedOn w:val="Fuentedeprrafopredeter"/>
    <w:link w:val="Piedepgina"/>
    <w:uiPriority w:val="99"/>
    <w:rsid w:val="006F75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21449"/>
    <w:rPr>
      <w:sz w:val="16"/>
      <w:szCs w:val="16"/>
    </w:rPr>
  </w:style>
  <w:style w:type="paragraph" w:styleId="Textocomentario">
    <w:name w:val="annotation text"/>
    <w:basedOn w:val="Normal"/>
    <w:link w:val="TextocomentarioCar"/>
    <w:uiPriority w:val="99"/>
    <w:semiHidden/>
    <w:unhideWhenUsed/>
    <w:rsid w:val="00421449"/>
    <w:rPr>
      <w:sz w:val="20"/>
      <w:szCs w:val="20"/>
    </w:rPr>
  </w:style>
  <w:style w:type="character" w:customStyle="1" w:styleId="TextocomentarioCar">
    <w:name w:val="Texto comentario Car"/>
    <w:basedOn w:val="Fuentedeprrafopredeter"/>
    <w:link w:val="Textocomentario"/>
    <w:uiPriority w:val="99"/>
    <w:semiHidden/>
    <w:rsid w:val="00421449"/>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21449"/>
    <w:rPr>
      <w:b/>
      <w:bCs/>
    </w:rPr>
  </w:style>
  <w:style w:type="character" w:customStyle="1" w:styleId="AsuntodelcomentarioCar">
    <w:name w:val="Asunto del comentario Car"/>
    <w:basedOn w:val="TextocomentarioCar"/>
    <w:link w:val="Asuntodelcomentario"/>
    <w:uiPriority w:val="99"/>
    <w:semiHidden/>
    <w:rsid w:val="00421449"/>
    <w:rPr>
      <w:rFonts w:ascii="Times New Roman" w:eastAsia="Times New Roman" w:hAnsi="Times New Roman" w:cs="Times New Roman"/>
      <w:b/>
      <w:bCs/>
      <w:lang w:val="es-ES" w:eastAsia="es-ES"/>
    </w:rPr>
  </w:style>
  <w:style w:type="paragraph" w:styleId="Textodeglobo">
    <w:name w:val="Balloon Text"/>
    <w:basedOn w:val="Normal"/>
    <w:link w:val="TextodegloboCar"/>
    <w:uiPriority w:val="99"/>
    <w:semiHidden/>
    <w:unhideWhenUsed/>
    <w:rsid w:val="00421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449"/>
    <w:rPr>
      <w:rFonts w:ascii="Segoe UI" w:eastAsia="Times New Roman" w:hAnsi="Segoe UI" w:cs="Segoe UI"/>
      <w:sz w:val="18"/>
      <w:szCs w:val="18"/>
      <w:lang w:val="es-ES" w:eastAsia="es-ES"/>
    </w:rPr>
  </w:style>
  <w:style w:type="character" w:customStyle="1" w:styleId="hit">
    <w:name w:val="hit"/>
    <w:basedOn w:val="Fuentedeprrafopredeter"/>
    <w:rsid w:val="005F785F"/>
  </w:style>
  <w:style w:type="paragraph" w:styleId="Encabezado">
    <w:name w:val="header"/>
    <w:basedOn w:val="Normal"/>
    <w:link w:val="EncabezadoCar"/>
    <w:uiPriority w:val="99"/>
    <w:unhideWhenUsed/>
    <w:rsid w:val="004779D5"/>
    <w:pPr>
      <w:tabs>
        <w:tab w:val="center" w:pos="4252"/>
        <w:tab w:val="right" w:pos="8504"/>
      </w:tabs>
    </w:pPr>
  </w:style>
  <w:style w:type="character" w:customStyle="1" w:styleId="EncabezadoCar">
    <w:name w:val="Encabezado Car"/>
    <w:basedOn w:val="Fuentedeprrafopredeter"/>
    <w:link w:val="Encabezado"/>
    <w:uiPriority w:val="99"/>
    <w:rsid w:val="004779D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9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9FDD-8340-4557-BCB7-4862320C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3149</Words>
  <Characters>17322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Leslie Sofia Guerrero Revelo</cp:lastModifiedBy>
  <cp:revision>4</cp:revision>
  <cp:lastPrinted>2020-02-12T17:44:00Z</cp:lastPrinted>
  <dcterms:created xsi:type="dcterms:W3CDTF">2021-01-25T21:54:00Z</dcterms:created>
  <dcterms:modified xsi:type="dcterms:W3CDTF">2021-08-27T01:52:00Z</dcterms:modified>
</cp:coreProperties>
</file>