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502B7" w14:textId="77777777" w:rsidR="00EF75A6" w:rsidRPr="00B57D20" w:rsidRDefault="00EF75A6" w:rsidP="00B57D20">
      <w:pPr>
        <w:tabs>
          <w:tab w:val="left" w:pos="7513"/>
        </w:tabs>
        <w:spacing w:after="240"/>
        <w:jc w:val="center"/>
        <w:rPr>
          <w:rFonts w:ascii="Times New Roman" w:hAnsi="Times New Roman" w:cs="Times New Roman"/>
          <w:b/>
        </w:rPr>
      </w:pPr>
      <w:r w:rsidRPr="00B57D20">
        <w:rPr>
          <w:rFonts w:ascii="Times New Roman" w:hAnsi="Times New Roman" w:cs="Times New Roman"/>
          <w:b/>
        </w:rPr>
        <w:t>EXPOSICIÓN DE MOTIVOS</w:t>
      </w:r>
    </w:p>
    <w:p w14:paraId="54B605DD"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rPr>
        <w:t>La Constitución de la República del Ecuador, en su artículo 30, garantiza a las personas el “</w:t>
      </w:r>
      <w:r w:rsidRPr="00B57D20">
        <w:rPr>
          <w:rFonts w:ascii="Times New Roman" w:hAnsi="Times New Roman" w:cs="Times New Roman"/>
          <w:i/>
        </w:rPr>
        <w:t>derecho a un hábitat seguro y saludable, y a una vivienda adecuada y digna, con independencia de su situación social y económica</w:t>
      </w:r>
      <w:r w:rsidRPr="00B57D20">
        <w:rPr>
          <w:rFonts w:ascii="Times New Roman" w:hAnsi="Times New Roman" w:cs="Times New Roman"/>
        </w:rPr>
        <w:t>”.</w:t>
      </w:r>
    </w:p>
    <w:p w14:paraId="660BD1E4" w14:textId="2A0ABEC0" w:rsidR="00EF75A6" w:rsidRPr="00B57D20" w:rsidRDefault="007A55A2" w:rsidP="00B57D20">
      <w:pPr>
        <w:spacing w:after="240"/>
        <w:rPr>
          <w:rFonts w:ascii="Times New Roman" w:hAnsi="Times New Roman" w:cs="Times New Roman"/>
          <w:b/>
        </w:rPr>
      </w:pPr>
      <w:r>
        <w:rPr>
          <w:rFonts w:ascii="Times New Roman" w:hAnsi="Times New Roman" w:cs="Times New Roman"/>
        </w:rPr>
        <w:t>El Concejo Metropolitano y l</w:t>
      </w:r>
      <w:r w:rsidR="00EF75A6" w:rsidRPr="00B57D20">
        <w:rPr>
          <w:rFonts w:ascii="Times New Roman" w:hAnsi="Times New Roman" w:cs="Times New Roman"/>
        </w:rPr>
        <w:t xml:space="preserve">a Administración Municipal, a través de la Unidad Especial “Regula tu Barrio”, </w:t>
      </w:r>
      <w:r>
        <w:rPr>
          <w:rFonts w:ascii="Times New Roman" w:hAnsi="Times New Roman" w:cs="Times New Roman"/>
        </w:rPr>
        <w:t xml:space="preserve">y de la Comisión de Ordenamiento Territorial, </w:t>
      </w:r>
      <w:r w:rsidR="00EF75A6" w:rsidRPr="00B57D20">
        <w:rPr>
          <w:rFonts w:ascii="Times New Roman" w:hAnsi="Times New Roman" w:cs="Times New Roman"/>
        </w:rPr>
        <w:t>gestiona</w:t>
      </w:r>
      <w:r>
        <w:rPr>
          <w:rFonts w:ascii="Times New Roman" w:hAnsi="Times New Roman" w:cs="Times New Roman"/>
        </w:rPr>
        <w:t>n</w:t>
      </w:r>
      <w:r w:rsidR="00EF75A6" w:rsidRPr="00B57D20">
        <w:rPr>
          <w:rFonts w:ascii="Times New Roman" w:hAnsi="Times New Roman" w:cs="Times New Roman"/>
        </w:rPr>
        <w:t xml:space="preserve"> procesos tendientes a regularizar aquellos asentamientos humanos de hecho y consolidados que se encuentran en el Distrito Metropolitano de Quito, siguiendo para el efecto un proceso socio organizativo, legal y técnico, que </w:t>
      </w:r>
      <w:proofErr w:type="gramStart"/>
      <w:r w:rsidR="00EF75A6" w:rsidRPr="00B57D20">
        <w:rPr>
          <w:rFonts w:ascii="Times New Roman" w:hAnsi="Times New Roman" w:cs="Times New Roman"/>
        </w:rPr>
        <w:t>permita</w:t>
      </w:r>
      <w:proofErr w:type="gramEnd"/>
      <w:r w:rsidR="00EF75A6" w:rsidRPr="00B57D20">
        <w:rPr>
          <w:rFonts w:ascii="Times New Roman" w:hAnsi="Times New Roman" w:cs="Times New Roman"/>
        </w:rPr>
        <w:t xml:space="preserve"> determinar el fraccionamiento de los lotes, en cada asentamiento; y, por tanto, los beneficiarios del proceso de regularización. </w:t>
      </w:r>
    </w:p>
    <w:p w14:paraId="6E7FF32A" w14:textId="77777777" w:rsidR="00E3058B" w:rsidRPr="00B57D20" w:rsidRDefault="00E3058B" w:rsidP="00B57D20">
      <w:pPr>
        <w:spacing w:after="240"/>
        <w:rPr>
          <w:rFonts w:ascii="Times New Roman" w:hAnsi="Times New Roman" w:cs="Times New Roman"/>
        </w:rPr>
      </w:pPr>
      <w:r w:rsidRPr="00B57D20">
        <w:rPr>
          <w:rFonts w:ascii="Times New Roman" w:hAnsi="Times New Roman" w:cs="Times New Roman"/>
        </w:rPr>
        <w:t>El asentamiento humano de hecho y consolidado de interés social denominado Barrio “Bellavista Séptima Etapa</w:t>
      </w:r>
      <w:r w:rsidR="008D2E1E" w:rsidRPr="00B57D20">
        <w:rPr>
          <w:rFonts w:ascii="Times New Roman" w:hAnsi="Times New Roman" w:cs="Times New Roman"/>
        </w:rPr>
        <w:t>”</w:t>
      </w:r>
      <w:r w:rsidRPr="00B57D20">
        <w:rPr>
          <w:rFonts w:ascii="Times New Roman" w:hAnsi="Times New Roman" w:cs="Times New Roman"/>
        </w:rPr>
        <w:t>, ubicado en la parroquia Calderón, tiene una consolidación del 52,17%, al inicio del proceso de regularización contaba con 70 años de existencia; sin embargo, al momento de la sanción de la presente Ordenanza cuenta con 74 años de asentamiento, 23 número de lotes a fraccionar y 92 beneficiarios.</w:t>
      </w:r>
    </w:p>
    <w:p w14:paraId="3DA07C35"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0C9D119" w14:textId="77777777" w:rsidR="00EF75A6" w:rsidRPr="00B57D20" w:rsidRDefault="00EF75A6" w:rsidP="00B57D20">
      <w:pPr>
        <w:spacing w:after="240"/>
        <w:rPr>
          <w:rFonts w:ascii="Times New Roman" w:hAnsi="Times New Roman" w:cs="Times New Roman"/>
        </w:rPr>
      </w:pPr>
      <w:r w:rsidRPr="00B57D20">
        <w:rPr>
          <w:rFonts w:ascii="Times New Roman" w:hAnsi="Times New Roman" w:cs="Times New Roman"/>
        </w:rPr>
        <w:t xml:space="preserve">En este sentido, la presente ordenanza contiene la normativa tendiente al fraccionamiento de los predios sobre los que se encuentra el asentamiento humano de hecho y consolidado de interés social denominado </w:t>
      </w:r>
      <w:r w:rsidR="008D2E1E" w:rsidRPr="00B57D20">
        <w:rPr>
          <w:rFonts w:ascii="Times New Roman" w:hAnsi="Times New Roman" w:cs="Times New Roman"/>
        </w:rPr>
        <w:t xml:space="preserve">Barrio “Bellavista Séptima Etapa”, </w:t>
      </w:r>
      <w:r w:rsidRPr="00B57D20">
        <w:rPr>
          <w:rFonts w:ascii="Times New Roman" w:hAnsi="Times New Roman" w:cs="Times New Roman"/>
        </w:rPr>
        <w:t>a fin de garantizar a los beneficiarios el ejercicio de su derecho a la vivienda y el acceso a servicios básicos de calidad.</w:t>
      </w:r>
    </w:p>
    <w:p w14:paraId="69678FBC" w14:textId="77777777" w:rsidR="00EF75A6" w:rsidRPr="00B57D20" w:rsidRDefault="00EF75A6" w:rsidP="00B57D20">
      <w:pPr>
        <w:spacing w:after="240"/>
        <w:ind w:firstLine="708"/>
        <w:rPr>
          <w:rFonts w:ascii="Times New Roman" w:hAnsi="Times New Roman" w:cs="Times New Roman"/>
        </w:rPr>
      </w:pPr>
    </w:p>
    <w:p w14:paraId="45020F77" w14:textId="77777777" w:rsidR="00EF75A6" w:rsidRPr="00B57D20" w:rsidRDefault="00EF75A6" w:rsidP="00B57D20">
      <w:pPr>
        <w:spacing w:after="240"/>
        <w:rPr>
          <w:rFonts w:ascii="Times New Roman" w:hAnsi="Times New Roman" w:cs="Times New Roman"/>
        </w:rPr>
      </w:pPr>
    </w:p>
    <w:p w14:paraId="7B181ED8" w14:textId="77777777" w:rsidR="00EF75A6" w:rsidRPr="00B57D20" w:rsidRDefault="00EF75A6" w:rsidP="00B57D20">
      <w:pPr>
        <w:spacing w:after="240"/>
        <w:rPr>
          <w:rFonts w:ascii="Times New Roman" w:hAnsi="Times New Roman" w:cs="Times New Roman"/>
        </w:rPr>
        <w:sectPr w:rsidR="00EF75A6" w:rsidRPr="00B57D20" w:rsidSect="00D04EE1">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76443C5" w14:textId="77777777" w:rsidR="00EF75A6" w:rsidRPr="00B57D20" w:rsidRDefault="00EF75A6" w:rsidP="00B57D20">
      <w:pPr>
        <w:spacing w:after="240"/>
        <w:jc w:val="center"/>
        <w:rPr>
          <w:rFonts w:ascii="Times New Roman" w:hAnsi="Times New Roman" w:cs="Times New Roman"/>
          <w:b/>
        </w:rPr>
      </w:pPr>
      <w:r w:rsidRPr="00B57D20">
        <w:rPr>
          <w:rFonts w:ascii="Times New Roman" w:hAnsi="Times New Roman" w:cs="Times New Roman"/>
          <w:b/>
        </w:rPr>
        <w:lastRenderedPageBreak/>
        <w:t>EL CONCEJO METROPOLITANO DE QUITO</w:t>
      </w:r>
    </w:p>
    <w:p w14:paraId="0C88CDC9" w14:textId="2AEB7C48" w:rsidR="00EF75A6" w:rsidRPr="00B57D20" w:rsidRDefault="00EF75A6" w:rsidP="00B57D20">
      <w:pPr>
        <w:rPr>
          <w:rFonts w:ascii="Times New Roman" w:hAnsi="Times New Roman" w:cs="Times New Roman"/>
          <w:color w:val="FF0000"/>
        </w:rPr>
      </w:pPr>
      <w:r w:rsidRPr="00B57D20">
        <w:rPr>
          <w:rFonts w:ascii="Times New Roman" w:hAnsi="Times New Roman" w:cs="Times New Roman"/>
        </w:rPr>
        <w:t xml:space="preserve">Visto el Informe No. </w:t>
      </w:r>
      <w:r w:rsidR="00C27593" w:rsidRPr="00C27593">
        <w:rPr>
          <w:rFonts w:ascii="Times New Roman" w:hAnsi="Times New Roman" w:cs="Times New Roman"/>
        </w:rPr>
        <w:t xml:space="preserve">IC-COT-2021-027 </w:t>
      </w:r>
      <w:r w:rsidR="00C27593">
        <w:rPr>
          <w:rFonts w:ascii="Times New Roman" w:hAnsi="Times New Roman" w:cs="Times New Roman"/>
        </w:rPr>
        <w:t>de 05 de febrero de 2021, expedid</w:t>
      </w:r>
      <w:r w:rsidR="00D0165E">
        <w:rPr>
          <w:rFonts w:ascii="Times New Roman" w:hAnsi="Times New Roman" w:cs="Times New Roman"/>
        </w:rPr>
        <w:t>o</w:t>
      </w:r>
      <w:bookmarkStart w:id="0" w:name="_GoBack"/>
      <w:bookmarkEnd w:id="0"/>
      <w:r w:rsidR="00C27593">
        <w:rPr>
          <w:rFonts w:ascii="Times New Roman" w:hAnsi="Times New Roman" w:cs="Times New Roman"/>
        </w:rPr>
        <w:t xml:space="preserve"> por </w:t>
      </w:r>
      <w:r w:rsidRPr="00B57D20">
        <w:rPr>
          <w:rFonts w:ascii="Times New Roman" w:hAnsi="Times New Roman" w:cs="Times New Roman"/>
        </w:rPr>
        <w:t>la Comisión de Ordenamiento Territorial.</w:t>
      </w:r>
    </w:p>
    <w:p w14:paraId="774B5D1A" w14:textId="77777777" w:rsidR="00EF75A6" w:rsidRPr="00B57D20" w:rsidRDefault="00EF75A6" w:rsidP="00B57D20">
      <w:pPr>
        <w:spacing w:after="240"/>
        <w:rPr>
          <w:rFonts w:ascii="Times New Roman" w:hAnsi="Times New Roman" w:cs="Times New Roman"/>
          <w:b/>
        </w:rPr>
      </w:pPr>
    </w:p>
    <w:p w14:paraId="213F9A6B" w14:textId="77777777" w:rsidR="00EF75A6" w:rsidRPr="00B57D20" w:rsidRDefault="00EF75A6" w:rsidP="00B57D20">
      <w:pPr>
        <w:spacing w:after="240"/>
        <w:jc w:val="center"/>
        <w:rPr>
          <w:rFonts w:ascii="Times New Roman" w:hAnsi="Times New Roman" w:cs="Times New Roman"/>
          <w:b/>
        </w:rPr>
      </w:pPr>
      <w:r w:rsidRPr="00B57D20">
        <w:rPr>
          <w:rFonts w:ascii="Times New Roman" w:hAnsi="Times New Roman" w:cs="Times New Roman"/>
          <w:b/>
        </w:rPr>
        <w:t>CONSIDERANDO:</w:t>
      </w:r>
    </w:p>
    <w:p w14:paraId="2013CAF9"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sz w:val="22"/>
          <w:szCs w:val="22"/>
        </w:rPr>
        <w:t xml:space="preserve">Que, </w:t>
      </w:r>
      <w:r w:rsidRPr="00B57D20">
        <w:rPr>
          <w:rFonts w:ascii="Times New Roman" w:hAnsi="Times New Roman" w:cs="Times New Roman"/>
          <w:b/>
          <w:sz w:val="22"/>
          <w:szCs w:val="22"/>
        </w:rPr>
        <w:tab/>
      </w:r>
      <w:r w:rsidRPr="00B57D20">
        <w:rPr>
          <w:rFonts w:ascii="Times New Roman" w:hAnsi="Times New Roman" w:cs="Times New Roman"/>
          <w:sz w:val="22"/>
          <w:szCs w:val="22"/>
        </w:rPr>
        <w:t>el artículo 30 de la Constitución de la República del Ecuador (en adelante “Constitución”) establece que: “</w:t>
      </w:r>
      <w:r w:rsidRPr="00B57D20">
        <w:rPr>
          <w:rFonts w:ascii="Times New Roman" w:hAnsi="Times New Roman" w:cs="Times New Roman"/>
          <w:i/>
          <w:sz w:val="22"/>
          <w:szCs w:val="22"/>
        </w:rPr>
        <w:t>Las personas tienen derecho a un hábitat seguro y saludable, y a una vivienda adecuada y digna, con independencia de su situación social y económica.</w:t>
      </w:r>
      <w:r w:rsidRPr="00B57D20">
        <w:rPr>
          <w:rFonts w:ascii="Times New Roman" w:hAnsi="Times New Roman" w:cs="Times New Roman"/>
          <w:sz w:val="22"/>
          <w:szCs w:val="22"/>
        </w:rPr>
        <w:t>”;</w:t>
      </w:r>
    </w:p>
    <w:p w14:paraId="325E6C9A"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el artículo 31 de la Constitución expresa que: “</w:t>
      </w:r>
      <w:r w:rsidRPr="00B57D20">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57D20">
        <w:rPr>
          <w:rFonts w:ascii="Times New Roman" w:hAnsi="Times New Roman" w:cs="Times New Roman"/>
          <w:bCs/>
          <w:sz w:val="22"/>
          <w:szCs w:val="22"/>
        </w:rPr>
        <w:t xml:space="preserve">”; </w:t>
      </w:r>
    </w:p>
    <w:p w14:paraId="6B7927FC"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sz w:val="22"/>
          <w:szCs w:val="22"/>
        </w:rPr>
        <w:t>el artículo 240 de la Constitución establece que: “</w:t>
      </w:r>
      <w:r w:rsidRPr="00B57D20">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w:t>
      </w:r>
      <w:r w:rsidRPr="00B57D20">
        <w:rPr>
          <w:rFonts w:ascii="Times New Roman" w:hAnsi="Times New Roman" w:cs="Times New Roman"/>
          <w:sz w:val="22"/>
          <w:szCs w:val="22"/>
        </w:rPr>
        <w:t>”;</w:t>
      </w:r>
    </w:p>
    <w:p w14:paraId="21FFD8CC" w14:textId="77777777" w:rsidR="00EF75A6" w:rsidRPr="00B57D20" w:rsidRDefault="00EF75A6" w:rsidP="00B57D20">
      <w:pPr>
        <w:pStyle w:val="Sinespaciado"/>
        <w:spacing w:after="240" w:line="276" w:lineRule="auto"/>
        <w:ind w:left="709" w:hanging="709"/>
        <w:rPr>
          <w:rFonts w:ascii="Times New Roman" w:hAnsi="Times New Roman" w:cs="Times New Roman"/>
          <w:i/>
          <w:sz w:val="22"/>
          <w:szCs w:val="22"/>
        </w:rPr>
      </w:pPr>
      <w:r w:rsidRPr="00B57D20">
        <w:rPr>
          <w:rFonts w:ascii="Times New Roman" w:hAnsi="Times New Roman" w:cs="Times New Roman"/>
          <w:b/>
          <w:sz w:val="22"/>
          <w:szCs w:val="22"/>
        </w:rPr>
        <w:t>Que,</w:t>
      </w:r>
      <w:r w:rsidRPr="00B57D20">
        <w:rPr>
          <w:rFonts w:ascii="Times New Roman" w:hAnsi="Times New Roman" w:cs="Times New Roman"/>
          <w:sz w:val="22"/>
          <w:szCs w:val="22"/>
        </w:rPr>
        <w:tab/>
        <w:t>el artículo 266 de la Constitución establece que</w:t>
      </w:r>
      <w:r w:rsidRPr="00B57D20">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2CD376" w14:textId="77777777" w:rsidR="00EF75A6" w:rsidRPr="00B57D20" w:rsidRDefault="00EF75A6" w:rsidP="00B57D20">
      <w:pPr>
        <w:pStyle w:val="Sinespaciado"/>
        <w:spacing w:after="240" w:line="276" w:lineRule="auto"/>
        <w:ind w:left="709" w:hanging="1"/>
        <w:rPr>
          <w:rFonts w:ascii="Times New Roman" w:hAnsi="Times New Roman" w:cs="Times New Roman"/>
          <w:sz w:val="22"/>
          <w:szCs w:val="22"/>
        </w:rPr>
      </w:pPr>
      <w:r w:rsidRPr="00B57D20">
        <w:rPr>
          <w:rFonts w:ascii="Times New Roman" w:hAnsi="Times New Roman" w:cs="Times New Roman"/>
          <w:i/>
          <w:sz w:val="22"/>
          <w:szCs w:val="22"/>
        </w:rPr>
        <w:t>En el ámbito de sus competencias y territorio, y en uso de sus facultades, expedirán ordenanzas distritales.”</w:t>
      </w:r>
      <w:r w:rsidRPr="00B57D20">
        <w:rPr>
          <w:rFonts w:ascii="Times New Roman" w:hAnsi="Times New Roman" w:cs="Times New Roman"/>
          <w:sz w:val="22"/>
          <w:szCs w:val="22"/>
        </w:rPr>
        <w:t>;</w:t>
      </w:r>
    </w:p>
    <w:p w14:paraId="25B94F67" w14:textId="77777777" w:rsidR="00EF75A6" w:rsidRPr="00B57D20" w:rsidRDefault="00EF75A6" w:rsidP="00B57D20">
      <w:pPr>
        <w:pStyle w:val="Sinespaciado"/>
        <w:spacing w:after="240" w:line="276" w:lineRule="auto"/>
        <w:ind w:left="709" w:hanging="709"/>
        <w:rPr>
          <w:rFonts w:ascii="Times New Roman" w:hAnsi="Times New Roman" w:cs="Times New Roman"/>
          <w:i/>
          <w:sz w:val="22"/>
          <w:szCs w:val="22"/>
        </w:rPr>
      </w:pPr>
      <w:r w:rsidRPr="00B57D20">
        <w:rPr>
          <w:rFonts w:ascii="Times New Roman" w:hAnsi="Times New Roman" w:cs="Times New Roman"/>
          <w:b/>
          <w:bCs/>
          <w:sz w:val="22"/>
          <w:szCs w:val="22"/>
        </w:rPr>
        <w:t>Que,</w:t>
      </w:r>
      <w:r w:rsidRPr="00B57D20">
        <w:rPr>
          <w:rFonts w:ascii="Times New Roman" w:hAnsi="Times New Roman" w:cs="Times New Roman"/>
          <w:sz w:val="22"/>
          <w:szCs w:val="22"/>
        </w:rPr>
        <w:tab/>
      </w:r>
      <w:r w:rsidRPr="00B57D20">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B57D20">
        <w:rPr>
          <w:rFonts w:ascii="Times New Roman" w:hAnsi="Times New Roman" w:cs="Times New Roman"/>
          <w:bCs/>
          <w:i/>
          <w:sz w:val="22"/>
          <w:szCs w:val="22"/>
        </w:rPr>
        <w:t>“</w:t>
      </w:r>
      <w:r w:rsidRPr="00B57D20">
        <w:rPr>
          <w:rFonts w:ascii="Times New Roman" w:hAnsi="Times New Roman" w:cs="Times New Roman"/>
          <w:b/>
          <w:i/>
          <w:sz w:val="22"/>
          <w:szCs w:val="22"/>
        </w:rPr>
        <w:t>c)</w:t>
      </w:r>
      <w:r w:rsidRPr="00B57D20">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127EDDF"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los literales a) y x) d</w:t>
      </w:r>
      <w:r w:rsidRPr="00B57D20">
        <w:rPr>
          <w:rFonts w:ascii="Times New Roman" w:hAnsi="Times New Roman" w:cs="Times New Roman"/>
          <w:sz w:val="22"/>
          <w:szCs w:val="22"/>
        </w:rPr>
        <w:t xml:space="preserve">el artículo 87 del COOTAD, establece que las funciones del Concejo Metropolitano, entre otras, son: </w:t>
      </w:r>
      <w:r w:rsidRPr="00B57D20">
        <w:rPr>
          <w:rFonts w:ascii="Times New Roman" w:hAnsi="Times New Roman" w:cs="Times New Roman"/>
          <w:i/>
          <w:iCs/>
          <w:sz w:val="22"/>
          <w:szCs w:val="22"/>
        </w:rPr>
        <w:t>“</w:t>
      </w:r>
      <w:r w:rsidRPr="00B57D20">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B57D20">
        <w:rPr>
          <w:rFonts w:ascii="Times New Roman" w:hAnsi="Times New Roman" w:cs="Times New Roman"/>
          <w:i/>
          <w:iCs/>
          <w:sz w:val="22"/>
          <w:szCs w:val="22"/>
        </w:rPr>
        <w:t xml:space="preserve"> (…) x) </w:t>
      </w:r>
      <w:r w:rsidRPr="00B57D20">
        <w:rPr>
          <w:rFonts w:ascii="Times New Roman" w:hAnsi="Times New Roman" w:cs="Times New Roman"/>
          <w:i/>
          <w:sz w:val="22"/>
          <w:szCs w:val="22"/>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57D20">
        <w:rPr>
          <w:rFonts w:ascii="Times New Roman" w:hAnsi="Times New Roman" w:cs="Times New Roman"/>
          <w:i/>
          <w:sz w:val="22"/>
          <w:szCs w:val="22"/>
        </w:rPr>
        <w:t>interbarrial</w:t>
      </w:r>
      <w:proofErr w:type="spellEnd"/>
      <w:r w:rsidRPr="00B57D20">
        <w:rPr>
          <w:rFonts w:ascii="Times New Roman" w:hAnsi="Times New Roman" w:cs="Times New Roman"/>
          <w:i/>
          <w:iCs/>
          <w:sz w:val="22"/>
          <w:szCs w:val="22"/>
        </w:rPr>
        <w:t xml:space="preserve">; </w:t>
      </w:r>
    </w:p>
    <w:p w14:paraId="03DD5A7C"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lastRenderedPageBreak/>
        <w:t xml:space="preserve">Que,  </w:t>
      </w:r>
      <w:r w:rsidRPr="00B57D20">
        <w:rPr>
          <w:rFonts w:ascii="Times New Roman" w:hAnsi="Times New Roman" w:cs="Times New Roman"/>
          <w:b/>
          <w:bCs/>
          <w:sz w:val="22"/>
          <w:szCs w:val="22"/>
        </w:rPr>
        <w:tab/>
      </w:r>
      <w:r w:rsidRPr="00B57D20">
        <w:rPr>
          <w:rFonts w:ascii="Times New Roman" w:hAnsi="Times New Roman" w:cs="Times New Roman"/>
          <w:sz w:val="22"/>
          <w:szCs w:val="22"/>
        </w:rPr>
        <w:t>el artículo 322 del COOTAD establece el procedimiento para la aprobación de las ordenanzas municipales;</w:t>
      </w:r>
    </w:p>
    <w:p w14:paraId="5DE4EBAF" w14:textId="77777777" w:rsidR="00EF75A6" w:rsidRPr="00B57D20" w:rsidRDefault="00EF75A6" w:rsidP="00B57D20">
      <w:pPr>
        <w:pStyle w:val="Sinespaciado"/>
        <w:spacing w:after="240" w:line="276" w:lineRule="auto"/>
        <w:ind w:left="709" w:hanging="709"/>
        <w:rPr>
          <w:rFonts w:ascii="Times New Roman" w:hAnsi="Times New Roman" w:cs="Times New Roman"/>
          <w:b/>
          <w:bCs/>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Cs/>
          <w:sz w:val="22"/>
          <w:szCs w:val="22"/>
        </w:rPr>
        <w:t>el artículo 486 del COOTAD reformado establece que: “</w:t>
      </w:r>
      <w:r w:rsidRPr="00B57D20">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57D20">
        <w:rPr>
          <w:rFonts w:ascii="Times New Roman" w:hAnsi="Times New Roman" w:cs="Times New Roman"/>
          <w:bCs/>
          <w:sz w:val="22"/>
          <w:szCs w:val="22"/>
          <w:lang w:val="es-ES_tradnl"/>
        </w:rPr>
        <w:t>”</w:t>
      </w:r>
      <w:r w:rsidRPr="00B57D20">
        <w:rPr>
          <w:rFonts w:ascii="Times New Roman" w:hAnsi="Times New Roman" w:cs="Times New Roman"/>
          <w:bCs/>
          <w:sz w:val="22"/>
          <w:szCs w:val="22"/>
        </w:rPr>
        <w:t>;</w:t>
      </w:r>
    </w:p>
    <w:p w14:paraId="323291F6" w14:textId="77777777" w:rsidR="00EF75A6" w:rsidRPr="00B57D20" w:rsidRDefault="00EF75A6" w:rsidP="00B57D20">
      <w:pPr>
        <w:pStyle w:val="Sinespaciado"/>
        <w:spacing w:before="240"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la Disposición Transitoria Décima Cuarta del COOTAD, señala: “</w:t>
      </w:r>
      <w:r w:rsidRPr="00B57D20">
        <w:rPr>
          <w:rFonts w:ascii="Times New Roman" w:hAnsi="Times New Roman" w:cs="Times New Roman"/>
          <w:bCs/>
          <w:i/>
          <w:sz w:val="22"/>
          <w:szCs w:val="22"/>
        </w:rPr>
        <w:t>…</w:t>
      </w:r>
      <w:r w:rsidRPr="00B57D20">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B57D20">
        <w:rPr>
          <w:rFonts w:ascii="Times New Roman" w:hAnsi="Times New Roman" w:cs="Times New Roman"/>
          <w:sz w:val="22"/>
          <w:szCs w:val="22"/>
        </w:rPr>
        <w:t>.”;</w:t>
      </w:r>
    </w:p>
    <w:p w14:paraId="591647BB"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6CAC812"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C6A2D08"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Que,</w:t>
      </w:r>
      <w:r w:rsidRPr="00B57D20">
        <w:rPr>
          <w:rFonts w:ascii="Times New Roman" w:hAnsi="Times New Roman" w:cs="Times New Roman"/>
          <w:b/>
          <w:bCs/>
          <w:sz w:val="22"/>
          <w:szCs w:val="22"/>
        </w:rPr>
        <w:tab/>
      </w:r>
      <w:r w:rsidRPr="00B57D20">
        <w:rPr>
          <w:rFonts w:ascii="Times New Roman" w:hAnsi="Times New Roman" w:cs="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04E8B96"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204DC0C0"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Que</w:t>
      </w:r>
      <w:r w:rsidRPr="00B57D20">
        <w:rPr>
          <w:rFonts w:ascii="Times New Roman" w:hAnsi="Times New Roman" w:cs="Times New Roman"/>
          <w:bCs/>
        </w:rPr>
        <w:t xml:space="preserve"> </w:t>
      </w:r>
      <w:r w:rsidRPr="00B57D20">
        <w:rPr>
          <w:rFonts w:ascii="Times New Roman" w:hAnsi="Times New Roman" w:cs="Times New Roman"/>
          <w:bC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311324C" w14:textId="77777777" w:rsidR="00BB7F83" w:rsidRDefault="00EF75A6" w:rsidP="00BB7F83">
      <w:pPr>
        <w:pStyle w:val="Textoindependienteprimerasangra2"/>
        <w:spacing w:line="276" w:lineRule="auto"/>
        <w:ind w:left="709" w:hanging="709"/>
        <w:jc w:val="both"/>
        <w:rPr>
          <w:bCs/>
          <w:sz w:val="22"/>
          <w:szCs w:val="22"/>
        </w:rPr>
      </w:pPr>
      <w:r w:rsidRPr="00B57D20">
        <w:rPr>
          <w:b/>
          <w:bCs/>
          <w:sz w:val="22"/>
          <w:szCs w:val="22"/>
        </w:rPr>
        <w:t xml:space="preserve">Que,  </w:t>
      </w:r>
      <w:r w:rsidRPr="00B57D20">
        <w:rPr>
          <w:bCs/>
          <w:sz w:val="22"/>
          <w:szCs w:val="22"/>
        </w:rPr>
        <w:t xml:space="preserve">el Art. IV.7.31, último párrafo de la Ordenanza No. 001 de 29 de marzo de 2019,  establece que con la declaratoria de interés social del </w:t>
      </w:r>
      <w:r w:rsidRPr="00B57D20">
        <w:rPr>
          <w:bCs/>
          <w:sz w:val="22"/>
          <w:szCs w:val="22"/>
          <w:lang w:val="es-EC"/>
        </w:rPr>
        <w:t>a</w:t>
      </w:r>
      <w:r w:rsidRPr="00B57D20">
        <w:rPr>
          <w:bCs/>
          <w:sz w:val="22"/>
          <w:szCs w:val="22"/>
        </w:rPr>
        <w:t xml:space="preserve">sentamiento humano de </w:t>
      </w:r>
      <w:r w:rsidRPr="00B57D20">
        <w:rPr>
          <w:bCs/>
          <w:sz w:val="22"/>
          <w:szCs w:val="22"/>
          <w:lang w:val="es-EC"/>
        </w:rPr>
        <w:t>h</w:t>
      </w:r>
      <w:r w:rsidRPr="00B57D20">
        <w:rPr>
          <w:bCs/>
          <w:sz w:val="22"/>
          <w:szCs w:val="22"/>
        </w:rPr>
        <w:t>echo y consolidado dará lugar a la exoneración referentes a la contribución de áreas verdes;</w:t>
      </w:r>
    </w:p>
    <w:p w14:paraId="54CBF3CB" w14:textId="77777777" w:rsidR="00BB7F83" w:rsidRDefault="00BB7F83" w:rsidP="00BB7F83">
      <w:pPr>
        <w:pStyle w:val="Textoindependienteprimerasangra2"/>
        <w:spacing w:line="276" w:lineRule="auto"/>
        <w:ind w:left="709" w:hanging="709"/>
        <w:jc w:val="both"/>
        <w:rPr>
          <w:b/>
          <w:bCs/>
        </w:rPr>
      </w:pPr>
    </w:p>
    <w:p w14:paraId="3DEE11FA" w14:textId="25C36A26" w:rsidR="00EF75A6" w:rsidRDefault="00EF75A6" w:rsidP="00BB7F83">
      <w:pPr>
        <w:pStyle w:val="Textoindependienteprimerasangra2"/>
        <w:spacing w:line="276" w:lineRule="auto"/>
        <w:ind w:left="709" w:hanging="709"/>
        <w:jc w:val="both"/>
        <w:rPr>
          <w:bCs/>
          <w:i/>
          <w:sz w:val="22"/>
          <w:szCs w:val="22"/>
        </w:rPr>
      </w:pPr>
      <w:r w:rsidRPr="00BB7F83">
        <w:rPr>
          <w:b/>
          <w:bCs/>
          <w:sz w:val="22"/>
          <w:szCs w:val="22"/>
        </w:rPr>
        <w:t>Que,</w:t>
      </w:r>
      <w:r w:rsidRPr="00BB7F83">
        <w:rPr>
          <w:b/>
          <w:bCs/>
          <w:sz w:val="22"/>
          <w:szCs w:val="22"/>
        </w:rPr>
        <w:tab/>
      </w:r>
      <w:r w:rsidRPr="00BB7F83">
        <w:rPr>
          <w:bCs/>
          <w:sz w:val="22"/>
          <w:szCs w:val="22"/>
        </w:rPr>
        <w:t xml:space="preserve">el artículo IV.7.45 de la Ordenanza No. 001 sancionada el 29 de marzo de 2019 en su parte pertinente de la excepción de las áreas verdes dispone: </w:t>
      </w:r>
      <w:r w:rsidRPr="00BB7F83">
        <w:rPr>
          <w:bCs/>
          <w:i/>
          <w:sz w:val="22"/>
          <w:szCs w:val="22"/>
        </w:rPr>
        <w:t xml:space="preserve">“(…) El faltante de áreas verdes será compensado pecuniariamente con excepción de los asentamientos declarados de interés social (...)” </w:t>
      </w:r>
    </w:p>
    <w:p w14:paraId="519F9830" w14:textId="77777777" w:rsidR="00BB7F83" w:rsidRPr="00BB7F83" w:rsidRDefault="00BB7F83" w:rsidP="00BB7F83">
      <w:pPr>
        <w:pStyle w:val="Textoindependienteprimerasangra2"/>
        <w:spacing w:line="276" w:lineRule="auto"/>
        <w:ind w:left="709" w:hanging="709"/>
        <w:jc w:val="both"/>
        <w:rPr>
          <w:bCs/>
          <w:i/>
          <w:sz w:val="22"/>
          <w:szCs w:val="22"/>
        </w:rPr>
      </w:pPr>
    </w:p>
    <w:p w14:paraId="71346694" w14:textId="77777777" w:rsidR="00EF75A6" w:rsidRPr="00B57D20" w:rsidRDefault="00EF75A6" w:rsidP="00B57D20">
      <w:pPr>
        <w:spacing w:after="240"/>
        <w:ind w:left="705" w:hanging="705"/>
        <w:rPr>
          <w:rFonts w:ascii="Times New Roman" w:hAnsi="Times New Roman" w:cs="Times New Roman"/>
          <w:bCs/>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 xml:space="preserve">la Ordenanza No. 001 del 29 de marzo de 2019, determina en su disposición derogatoria lo siguiente: </w:t>
      </w:r>
      <w:r w:rsidRPr="00B57D20">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B57D20">
        <w:rPr>
          <w:rFonts w:ascii="Times New Roman" w:hAnsi="Times New Roman" w:cs="Times New Roman"/>
          <w:bCs/>
        </w:rPr>
        <w:t>;</w:t>
      </w:r>
    </w:p>
    <w:p w14:paraId="025035E7" w14:textId="77777777" w:rsidR="00EF75A6" w:rsidRPr="00B57D20" w:rsidRDefault="00EF75A6" w:rsidP="00B57D20">
      <w:pPr>
        <w:pStyle w:val="Sinespaciado"/>
        <w:spacing w:after="240" w:line="276" w:lineRule="auto"/>
        <w:ind w:left="709" w:hanging="709"/>
        <w:rPr>
          <w:rFonts w:ascii="Times New Roman" w:hAnsi="Times New Roman" w:cs="Times New Roman"/>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
          <w:bCs/>
          <w:sz w:val="22"/>
          <w:szCs w:val="22"/>
        </w:rPr>
        <w:tab/>
      </w:r>
      <w:r w:rsidRPr="00B57D20">
        <w:rPr>
          <w:rFonts w:ascii="Times New Roman" w:hAnsi="Times New Roman" w:cs="Times New Roman"/>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5A309564" w14:textId="77777777" w:rsidR="00EF75A6" w:rsidRPr="00B57D20" w:rsidRDefault="00EF75A6" w:rsidP="00B57D20">
      <w:pPr>
        <w:pStyle w:val="Sinespaciado"/>
        <w:spacing w:after="240" w:line="276" w:lineRule="auto"/>
        <w:ind w:left="709" w:hanging="709"/>
        <w:rPr>
          <w:rFonts w:ascii="Times New Roman" w:hAnsi="Times New Roman" w:cs="Times New Roman"/>
          <w:bCs/>
          <w:sz w:val="22"/>
          <w:szCs w:val="22"/>
        </w:rPr>
      </w:pPr>
      <w:r w:rsidRPr="00B57D20">
        <w:rPr>
          <w:rFonts w:ascii="Times New Roman" w:hAnsi="Times New Roman" w:cs="Times New Roman"/>
          <w:b/>
          <w:bCs/>
          <w:sz w:val="22"/>
          <w:szCs w:val="22"/>
        </w:rPr>
        <w:t xml:space="preserve">Que, </w:t>
      </w:r>
      <w:r w:rsidRPr="00B57D20">
        <w:rPr>
          <w:rFonts w:ascii="Times New Roman" w:hAnsi="Times New Roman" w:cs="Times New Roman"/>
          <w:b/>
          <w:bCs/>
          <w:sz w:val="22"/>
          <w:szCs w:val="22"/>
        </w:rPr>
        <w:tab/>
      </w:r>
      <w:r w:rsidRPr="00B57D20">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B57D20">
        <w:rPr>
          <w:rFonts w:ascii="Times New Roman" w:hAnsi="Times New Roman" w:cs="Times New Roman"/>
          <w:bCs/>
          <w:sz w:val="22"/>
          <w:szCs w:val="22"/>
        </w:rPr>
        <w:t>rectificatorios</w:t>
      </w:r>
      <w:proofErr w:type="spellEnd"/>
      <w:r w:rsidRPr="00B57D20">
        <w:rPr>
          <w:rFonts w:ascii="Times New Roman" w:hAnsi="Times New Roman" w:cs="Times New Roman"/>
          <w:bCs/>
          <w:sz w:val="22"/>
          <w:szCs w:val="22"/>
        </w:rPr>
        <w:t xml:space="preserve"> de acuerdo a los plazos señalados en la norma;</w:t>
      </w:r>
    </w:p>
    <w:p w14:paraId="14DFF932" w14:textId="77777777" w:rsidR="00C63163" w:rsidRPr="00B57D20" w:rsidRDefault="00DC2CAB" w:rsidP="00B57D20">
      <w:pPr>
        <w:spacing w:after="240"/>
        <w:ind w:left="705" w:hanging="705"/>
        <w:rPr>
          <w:rFonts w:ascii="Times New Roman" w:hAnsi="Times New Roman" w:cs="Times New Roman"/>
        </w:rPr>
      </w:pPr>
      <w:r w:rsidRPr="00B57D20">
        <w:rPr>
          <w:rFonts w:ascii="Times New Roman" w:hAnsi="Times New Roman" w:cs="Times New Roman"/>
          <w:b/>
          <w:bCs/>
        </w:rPr>
        <w:t>Que,</w:t>
      </w:r>
      <w:r w:rsidRPr="00B57D20">
        <w:rPr>
          <w:rFonts w:ascii="Times New Roman" w:hAnsi="Times New Roman" w:cs="Times New Roman"/>
          <w:b/>
          <w:bCs/>
        </w:rPr>
        <w:tab/>
      </w:r>
      <w:r w:rsidR="00767A62" w:rsidRPr="00B57D20">
        <w:rPr>
          <w:rFonts w:ascii="Times New Roman" w:hAnsi="Times New Roman" w:cs="Times New Roman"/>
          <w:bCs/>
        </w:rPr>
        <w:t>la Mesa Institucional</w:t>
      </w:r>
      <w:r w:rsidRPr="00B57D20">
        <w:rPr>
          <w:rFonts w:ascii="Times New Roman" w:hAnsi="Times New Roman" w:cs="Times New Roman"/>
          <w:bCs/>
        </w:rPr>
        <w:t xml:space="preserve">, reunida el 30 de octubre de 2015 en la Administración Zonal Calderón, integrada </w:t>
      </w:r>
      <w:r w:rsidRPr="00B57D20">
        <w:rPr>
          <w:rFonts w:ascii="Times New Roman" w:hAnsi="Times New Roman" w:cs="Times New Roman"/>
        </w:rPr>
        <w:t xml:space="preserve">por: el </w:t>
      </w:r>
      <w:r w:rsidR="00767A62" w:rsidRPr="00B57D20">
        <w:rPr>
          <w:rFonts w:ascii="Times New Roman" w:hAnsi="Times New Roman" w:cs="Times New Roman"/>
        </w:rPr>
        <w:t>Dr. Fernando Morales</w:t>
      </w:r>
      <w:r w:rsidRPr="00B57D20">
        <w:rPr>
          <w:rFonts w:ascii="Times New Roman" w:hAnsi="Times New Roman" w:cs="Times New Roman"/>
        </w:rPr>
        <w:t xml:space="preserve">, Administrador Zonal Calderón; </w:t>
      </w:r>
      <w:r w:rsidR="00767A62" w:rsidRPr="00B57D20">
        <w:rPr>
          <w:rFonts w:ascii="Times New Roman" w:hAnsi="Times New Roman" w:cs="Times New Roman"/>
        </w:rPr>
        <w:t>Dra. Betty Rendón</w:t>
      </w:r>
      <w:r w:rsidRPr="00B57D20">
        <w:rPr>
          <w:rFonts w:ascii="Times New Roman" w:hAnsi="Times New Roman" w:cs="Times New Roman"/>
        </w:rPr>
        <w:t xml:space="preserve">, Delegada de la Dirección Jurídica Zonal Calderón; </w:t>
      </w:r>
      <w:r w:rsidR="00767A62" w:rsidRPr="00B57D20">
        <w:rPr>
          <w:rFonts w:ascii="Times New Roman" w:hAnsi="Times New Roman" w:cs="Times New Roman"/>
        </w:rPr>
        <w:t xml:space="preserve">Ing. Galo Erazo, </w:t>
      </w:r>
      <w:r w:rsidRPr="00B57D20">
        <w:rPr>
          <w:rFonts w:ascii="Times New Roman" w:hAnsi="Times New Roman" w:cs="Times New Roman"/>
          <w:bCs/>
        </w:rPr>
        <w:t>Director de Gestión de Territorio de la Administración Zonal Calderón</w:t>
      </w:r>
      <w:r w:rsidR="00D017B9" w:rsidRPr="00B57D20">
        <w:rPr>
          <w:rFonts w:ascii="Times New Roman" w:hAnsi="Times New Roman" w:cs="Times New Roman"/>
          <w:bCs/>
        </w:rPr>
        <w:t xml:space="preserve">; Sr. Miguel </w:t>
      </w:r>
      <w:proofErr w:type="spellStart"/>
      <w:r w:rsidR="00D017B9" w:rsidRPr="00B57D20">
        <w:rPr>
          <w:rFonts w:ascii="Times New Roman" w:hAnsi="Times New Roman" w:cs="Times New Roman"/>
          <w:bCs/>
        </w:rPr>
        <w:t>Bosquez</w:t>
      </w:r>
      <w:proofErr w:type="spellEnd"/>
      <w:r w:rsidR="00D017B9" w:rsidRPr="00B57D20">
        <w:rPr>
          <w:rFonts w:ascii="Times New Roman" w:hAnsi="Times New Roman" w:cs="Times New Roman"/>
          <w:bCs/>
        </w:rPr>
        <w:t xml:space="preserve">, </w:t>
      </w:r>
      <w:r w:rsidRPr="00B57D20">
        <w:rPr>
          <w:rFonts w:ascii="Times New Roman" w:hAnsi="Times New Roman" w:cs="Times New Roman"/>
          <w:bCs/>
        </w:rPr>
        <w:t>Delegado de la Dirección Metropolitana de Catastro</w:t>
      </w:r>
      <w:r w:rsidR="00D017B9" w:rsidRPr="00B57D20">
        <w:rPr>
          <w:rFonts w:ascii="Times New Roman" w:hAnsi="Times New Roman" w:cs="Times New Roman"/>
          <w:bCs/>
        </w:rPr>
        <w:t>; Arq. Edgar Flores</w:t>
      </w:r>
      <w:r w:rsidRPr="00B57D20">
        <w:rPr>
          <w:rFonts w:ascii="Times New Roman" w:hAnsi="Times New Roman" w:cs="Times New Roman"/>
          <w:bCs/>
        </w:rPr>
        <w:t>, Delegado de la Secretaría de Territorio, Hábitat y Vivienda</w:t>
      </w:r>
      <w:r w:rsidR="00D017B9" w:rsidRPr="00B57D20">
        <w:rPr>
          <w:rFonts w:ascii="Times New Roman" w:hAnsi="Times New Roman" w:cs="Times New Roman"/>
          <w:bCs/>
        </w:rPr>
        <w:t xml:space="preserve">; Ing. Marco </w:t>
      </w:r>
      <w:proofErr w:type="spellStart"/>
      <w:r w:rsidR="00D017B9" w:rsidRPr="00B57D20">
        <w:rPr>
          <w:rFonts w:ascii="Times New Roman" w:hAnsi="Times New Roman" w:cs="Times New Roman"/>
          <w:bCs/>
        </w:rPr>
        <w:t>Manobanda</w:t>
      </w:r>
      <w:proofErr w:type="spellEnd"/>
      <w:r w:rsidR="00D017B9" w:rsidRPr="00B57D20">
        <w:rPr>
          <w:rFonts w:ascii="Times New Roman" w:hAnsi="Times New Roman" w:cs="Times New Roman"/>
          <w:bCs/>
        </w:rPr>
        <w:t xml:space="preserve">, </w:t>
      </w:r>
      <w:r w:rsidRPr="00B57D20">
        <w:rPr>
          <w:rFonts w:ascii="Times New Roman" w:hAnsi="Times New Roman" w:cs="Times New Roman"/>
          <w:bCs/>
        </w:rPr>
        <w:t>Delegado de la Dirección Metropolitana de Gestión de Riesgo</w:t>
      </w:r>
      <w:r w:rsidR="00C63163" w:rsidRPr="00B57D20">
        <w:rPr>
          <w:rFonts w:ascii="Times New Roman" w:hAnsi="Times New Roman" w:cs="Times New Roman"/>
          <w:bCs/>
        </w:rPr>
        <w:t>;</w:t>
      </w:r>
      <w:r w:rsidRPr="00B57D20">
        <w:rPr>
          <w:rFonts w:ascii="Times New Roman" w:hAnsi="Times New Roman" w:cs="Times New Roman"/>
          <w:bCs/>
        </w:rPr>
        <w:t xml:space="preserve"> Ab. </w:t>
      </w:r>
      <w:r w:rsidRPr="00B57D20">
        <w:rPr>
          <w:rFonts w:ascii="Times New Roman" w:hAnsi="Times New Roman" w:cs="Times New Roman"/>
        </w:rPr>
        <w:t>Milton Javier Navas López</w:t>
      </w:r>
      <w:r w:rsidRPr="00B57D20">
        <w:rPr>
          <w:rFonts w:ascii="Times New Roman" w:hAnsi="Times New Roman" w:cs="Times New Roman"/>
          <w:bCs/>
        </w:rPr>
        <w:t xml:space="preserve">, Coordinador de la Unidad Especial “Regula Tu Barrio” Calderón; </w:t>
      </w:r>
      <w:r w:rsidR="00C63163" w:rsidRPr="00B57D20">
        <w:rPr>
          <w:rFonts w:ascii="Times New Roman" w:hAnsi="Times New Roman" w:cs="Times New Roman"/>
          <w:bCs/>
        </w:rPr>
        <w:t xml:space="preserve">Sr. </w:t>
      </w:r>
      <w:r w:rsidRPr="00B57D20">
        <w:rPr>
          <w:rFonts w:ascii="Times New Roman" w:hAnsi="Times New Roman" w:cs="Times New Roman"/>
        </w:rPr>
        <w:t>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009-UERB-AZCA-SOLT-2015, de 30 de octubre de 2015</w:t>
      </w:r>
      <w:r w:rsidR="00C63163" w:rsidRPr="00B57D20">
        <w:rPr>
          <w:rFonts w:ascii="Times New Roman" w:hAnsi="Times New Roman" w:cs="Times New Roman"/>
        </w:rPr>
        <w:t>.</w:t>
      </w:r>
    </w:p>
    <w:p w14:paraId="6F67B1CD" w14:textId="77777777" w:rsidR="009A67CB" w:rsidRPr="00B57D20" w:rsidRDefault="009A67CB" w:rsidP="00B57D20">
      <w:pPr>
        <w:spacing w:after="240"/>
        <w:ind w:left="705" w:hanging="705"/>
        <w:rPr>
          <w:rFonts w:ascii="Times New Roman" w:hAnsi="Times New Roman" w:cs="Times New Roman"/>
        </w:rPr>
      </w:pPr>
      <w:r w:rsidRPr="00B57D20">
        <w:rPr>
          <w:rFonts w:ascii="Times New Roman" w:hAnsi="Times New Roman" w:cs="Times New Roman"/>
          <w:b/>
          <w:bCs/>
        </w:rPr>
        <w:t>Que,</w:t>
      </w:r>
      <w:r w:rsidRPr="00B57D20">
        <w:rPr>
          <w:rFonts w:ascii="Times New Roman" w:hAnsi="Times New Roman" w:cs="Times New Roman"/>
          <w:b/>
          <w:bCs/>
        </w:rPr>
        <w:tab/>
      </w:r>
      <w:r w:rsidRPr="00B57D20">
        <w:rPr>
          <w:rFonts w:ascii="Times New Roman" w:hAnsi="Times New Roman" w:cs="Times New Roman"/>
        </w:rPr>
        <w:t>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w:t>
      </w:r>
      <w:proofErr w:type="spellStart"/>
      <w:r w:rsidRPr="00B57D20">
        <w:rPr>
          <w:rFonts w:ascii="Times New Roman" w:hAnsi="Times New Roman" w:cs="Times New Roman"/>
        </w:rPr>
        <w:t>rectificatorios</w:t>
      </w:r>
      <w:proofErr w:type="spellEnd"/>
      <w:r w:rsidRPr="00B57D20">
        <w:rPr>
          <w:rFonts w:ascii="Times New Roman" w:hAnsi="Times New Roman" w:cs="Times New Roman"/>
        </w:rPr>
        <w:t xml:space="preserve"> se los realizará de acuerdo a los plazos señalados en la norma, dentro de esta priorización el asentamiento humano de hecho y consolidado de interés social denominado Barrio “Bellavista Séptima Etapa” se encuentra en el grupo DOS (2) puesto NUEVE (9).</w:t>
      </w:r>
    </w:p>
    <w:p w14:paraId="781CFFFA" w14:textId="74956529" w:rsidR="009A67CB" w:rsidRPr="00B57D20" w:rsidRDefault="009A67CB" w:rsidP="00B57D20">
      <w:pPr>
        <w:spacing w:after="240"/>
        <w:ind w:left="705" w:hanging="705"/>
        <w:rPr>
          <w:rFonts w:ascii="Times New Roman" w:eastAsia="Times New Roman" w:hAnsi="Times New Roman" w:cs="Times New Roman"/>
          <w:lang w:val="es-ES"/>
        </w:rPr>
      </w:pPr>
      <w:r w:rsidRPr="00B57D20">
        <w:rPr>
          <w:rFonts w:ascii="Times New Roman" w:hAnsi="Times New Roman" w:cs="Times New Roman"/>
          <w:b/>
          <w:bCs/>
        </w:rPr>
        <w:lastRenderedPageBreak/>
        <w:t>Que,</w:t>
      </w:r>
      <w:r w:rsidRPr="00B57D20">
        <w:rPr>
          <w:rFonts w:ascii="Times New Roman" w:hAnsi="Times New Roman" w:cs="Times New Roman"/>
          <w:b/>
          <w:bCs/>
        </w:rPr>
        <w:tab/>
      </w:r>
      <w:r w:rsidR="00BB7F83">
        <w:rPr>
          <w:rFonts w:ascii="Times New Roman" w:eastAsia="Times New Roman" w:hAnsi="Times New Roman" w:cs="Times New Roman"/>
          <w:lang w:val="es-ES"/>
        </w:rPr>
        <w:t>med</w:t>
      </w:r>
      <w:r w:rsidRPr="00B57D20">
        <w:rPr>
          <w:rFonts w:ascii="Times New Roman" w:eastAsia="Times New Roman" w:hAnsi="Times New Roman" w:cs="Times New Roman"/>
          <w:lang w:val="es-ES"/>
        </w:rPr>
        <w:t xml:space="preserve">iante Resolución No. 011-COT-2020, 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w:t>
      </w:r>
      <w:r w:rsidR="00DD71C0" w:rsidRPr="007A55A2">
        <w:rPr>
          <w:rFonts w:ascii="Times New Roman" w:eastAsia="Times New Roman" w:hAnsi="Times New Roman" w:cs="Times New Roman"/>
          <w:i/>
          <w:lang w:val="es-ES"/>
        </w:rPr>
        <w:t>“…</w:t>
      </w:r>
      <w:r w:rsidRPr="007A55A2">
        <w:rPr>
          <w:rFonts w:ascii="Times New Roman" w:eastAsia="Times New Roman" w:hAnsi="Times New Roman" w:cs="Times New Roman"/>
          <w:i/>
          <w:lang w:val="es-ES"/>
        </w:rPr>
        <w:t>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r w:rsidR="00DD71C0" w:rsidRPr="007A55A2">
        <w:rPr>
          <w:rFonts w:ascii="Times New Roman" w:eastAsia="Times New Roman" w:hAnsi="Times New Roman" w:cs="Times New Roman"/>
          <w:i/>
          <w:lang w:val="es-ES"/>
        </w:rPr>
        <w:t>…”</w:t>
      </w:r>
    </w:p>
    <w:p w14:paraId="71FD2AF5" w14:textId="01531662" w:rsidR="00DC2CAB" w:rsidRPr="00BB7F83" w:rsidRDefault="00653A29" w:rsidP="004B151D">
      <w:pPr>
        <w:spacing w:after="240"/>
        <w:ind w:left="705" w:hanging="705"/>
        <w:rPr>
          <w:rFonts w:ascii="Times New Roman" w:eastAsia="Times New Roman" w:hAnsi="Times New Roman" w:cs="Times New Roman"/>
          <w:color w:val="000000" w:themeColor="text1"/>
          <w:lang w:val="es-ES"/>
        </w:rPr>
      </w:pPr>
      <w:r w:rsidRPr="00B57D20">
        <w:rPr>
          <w:rFonts w:ascii="Times New Roman" w:hAnsi="Times New Roman" w:cs="Times New Roman"/>
          <w:b/>
          <w:bCs/>
        </w:rPr>
        <w:t>Que,</w:t>
      </w:r>
      <w:r w:rsidRPr="00B57D20">
        <w:rPr>
          <w:rFonts w:ascii="Times New Roman" w:hAnsi="Times New Roman" w:cs="Times New Roman"/>
          <w:b/>
          <w:bCs/>
        </w:rPr>
        <w:tab/>
      </w:r>
      <w:r w:rsidRPr="00B57D20">
        <w:rPr>
          <w:rFonts w:ascii="Times New Roman" w:eastAsia="Times New Roman" w:hAnsi="Times New Roman" w:cs="Times New Roman"/>
          <w:color w:val="000000" w:themeColor="text1"/>
          <w:lang w:val="es-ES"/>
        </w:rPr>
        <w:t xml:space="preserve">la Unidad Especial “Regula Tú Barrio” – Calderón, realiza un alcance al Informe Socio Organizativo, Legal y Técnico No. 009-UERB-AZCA-SOLT-2015, referente al asentamiento humano de hecho y consolidado de interés social denominado Barrio “Bellavista Séptima Etapa”, </w:t>
      </w:r>
      <w:r w:rsidR="00651356">
        <w:rPr>
          <w:rFonts w:ascii="Times New Roman" w:eastAsia="Times New Roman" w:hAnsi="Times New Roman" w:cs="Times New Roman"/>
          <w:color w:val="000000" w:themeColor="text1"/>
          <w:lang w:val="es-ES"/>
        </w:rPr>
        <w:t xml:space="preserve">y </w:t>
      </w:r>
      <w:r w:rsidRPr="00B57D20">
        <w:rPr>
          <w:rFonts w:ascii="Times New Roman" w:eastAsia="Times New Roman" w:hAnsi="Times New Roman" w:cs="Times New Roman"/>
          <w:color w:val="000000" w:themeColor="text1"/>
          <w:lang w:val="es-ES"/>
        </w:rPr>
        <w:t xml:space="preserve">de conformidad a </w:t>
      </w:r>
      <w:r w:rsidRPr="004B151D">
        <w:rPr>
          <w:rFonts w:ascii="Times New Roman" w:hAnsi="Times New Roman" w:cs="Times New Roman"/>
          <w:bCs/>
        </w:rPr>
        <w:t>la Mesa</w:t>
      </w:r>
      <w:r w:rsidRPr="00B57D20">
        <w:rPr>
          <w:rFonts w:ascii="Times New Roman" w:hAnsi="Times New Roman" w:cs="Times New Roman"/>
          <w:bCs/>
        </w:rPr>
        <w:t xml:space="preserve"> Institucional</w:t>
      </w:r>
      <w:r w:rsidR="001D2B3C" w:rsidRPr="00B57D20">
        <w:rPr>
          <w:rFonts w:ascii="Times New Roman" w:hAnsi="Times New Roman" w:cs="Times New Roman"/>
          <w:bCs/>
        </w:rPr>
        <w:t xml:space="preserve"> virtual mediante la aplicación Zoom</w:t>
      </w:r>
      <w:r w:rsidRPr="00B57D20">
        <w:rPr>
          <w:rFonts w:ascii="Times New Roman" w:hAnsi="Times New Roman" w:cs="Times New Roman"/>
          <w:bCs/>
        </w:rPr>
        <w:t xml:space="preserve">, reunida el </w:t>
      </w:r>
      <w:r w:rsidR="001D2B3C" w:rsidRPr="00B57D20">
        <w:rPr>
          <w:rFonts w:ascii="Times New Roman" w:hAnsi="Times New Roman" w:cs="Times New Roman"/>
          <w:bCs/>
        </w:rPr>
        <w:t>23</w:t>
      </w:r>
      <w:r w:rsidRPr="00B57D20">
        <w:rPr>
          <w:rFonts w:ascii="Times New Roman" w:hAnsi="Times New Roman" w:cs="Times New Roman"/>
          <w:bCs/>
        </w:rPr>
        <w:t xml:space="preserve"> de </w:t>
      </w:r>
      <w:r w:rsidR="001D2B3C" w:rsidRPr="00B57D20">
        <w:rPr>
          <w:rFonts w:ascii="Times New Roman" w:hAnsi="Times New Roman" w:cs="Times New Roman"/>
          <w:bCs/>
        </w:rPr>
        <w:t>julio</w:t>
      </w:r>
      <w:r w:rsidRPr="00B57D20">
        <w:rPr>
          <w:rFonts w:ascii="Times New Roman" w:hAnsi="Times New Roman" w:cs="Times New Roman"/>
          <w:bCs/>
        </w:rPr>
        <w:t xml:space="preserve"> de 20</w:t>
      </w:r>
      <w:r w:rsidR="001D2B3C" w:rsidRPr="00B57D20">
        <w:rPr>
          <w:rFonts w:ascii="Times New Roman" w:hAnsi="Times New Roman" w:cs="Times New Roman"/>
          <w:bCs/>
        </w:rPr>
        <w:t>20</w:t>
      </w:r>
      <w:r w:rsidRPr="00B57D20">
        <w:rPr>
          <w:rFonts w:ascii="Times New Roman" w:hAnsi="Times New Roman" w:cs="Times New Roman"/>
          <w:bCs/>
        </w:rPr>
        <w:t xml:space="preserve">, integrada </w:t>
      </w:r>
      <w:r w:rsidRPr="00B57D20">
        <w:rPr>
          <w:rFonts w:ascii="Times New Roman" w:hAnsi="Times New Roman" w:cs="Times New Roman"/>
        </w:rPr>
        <w:t xml:space="preserve">por: </w:t>
      </w:r>
      <w:r w:rsidR="001D2B3C" w:rsidRPr="00B57D20">
        <w:rPr>
          <w:rFonts w:ascii="Times New Roman" w:hAnsi="Times New Roman" w:cs="Times New Roman"/>
        </w:rPr>
        <w:t xml:space="preserve">Ing. Jessica Castillo, Delegada de la Administradora Zonal Calderón; Dra. Mónica Espín, Delegada de la Dirección Jurídica de la Administración Zonal Calderón; Arq. Luis Hidalgo, Delegado de la Dirección Metropolitana de Catastro; Ing. Luis Albán, Delegado de la Dirección Metropolitana de Gestión de Riesgo; Arq. Elizabeth Ortiz, Delegada de la Secretaria de Territorio, Hábitat y Vivienda;  </w:t>
      </w:r>
      <w:proofErr w:type="spellStart"/>
      <w:r w:rsidR="001D2B3C" w:rsidRPr="00B57D20">
        <w:rPr>
          <w:rFonts w:ascii="Times New Roman" w:hAnsi="Times New Roman" w:cs="Times New Roman"/>
        </w:rPr>
        <w:t>Arq</w:t>
      </w:r>
      <w:proofErr w:type="spellEnd"/>
      <w:r w:rsidR="001D2B3C" w:rsidRPr="00B57D20">
        <w:rPr>
          <w:rFonts w:ascii="Times New Roman" w:hAnsi="Times New Roman" w:cs="Times New Roman"/>
        </w:rPr>
        <w:t xml:space="preserve">, Miguel Hidalgo, Coordinador de la Unidad Especial “Regula Tu Barrio” Calderón, Ing. Paulina Vela, Responsable Socio-Organizativa </w:t>
      </w:r>
      <w:r w:rsidR="00C96549" w:rsidRPr="00B57D20">
        <w:rPr>
          <w:rFonts w:ascii="Times New Roman" w:hAnsi="Times New Roman" w:cs="Times New Roman"/>
        </w:rPr>
        <w:t xml:space="preserve">de la </w:t>
      </w:r>
      <w:r w:rsidR="001D2B3C" w:rsidRPr="00B57D20">
        <w:rPr>
          <w:rFonts w:ascii="Times New Roman" w:hAnsi="Times New Roman" w:cs="Times New Roman"/>
        </w:rPr>
        <w:t xml:space="preserve">Unidad Especial “Regula Tu Barrio” Calderón; Arq. Elizabeth Jara, Responsable Técnica </w:t>
      </w:r>
      <w:r w:rsidR="00C96549" w:rsidRPr="00B57D20">
        <w:rPr>
          <w:rFonts w:ascii="Times New Roman" w:hAnsi="Times New Roman" w:cs="Times New Roman"/>
        </w:rPr>
        <w:t>de la</w:t>
      </w:r>
      <w:r w:rsidR="001D2B3C" w:rsidRPr="00B57D20">
        <w:rPr>
          <w:rFonts w:ascii="Times New Roman" w:hAnsi="Times New Roman" w:cs="Times New Roman"/>
        </w:rPr>
        <w:t xml:space="preserve"> Unidad Especial “Regula Tu Barrio” Calderón</w:t>
      </w:r>
      <w:r w:rsidR="00C96549" w:rsidRPr="00B57D20">
        <w:rPr>
          <w:rFonts w:ascii="Times New Roman" w:hAnsi="Times New Roman" w:cs="Times New Roman"/>
        </w:rPr>
        <w:t>; y</w:t>
      </w:r>
      <w:r w:rsidR="001D2B3C" w:rsidRPr="00B57D20">
        <w:rPr>
          <w:rFonts w:ascii="Times New Roman" w:hAnsi="Times New Roman" w:cs="Times New Roman"/>
        </w:rPr>
        <w:t>, Dr. Daniel Cano, Responsable Legal</w:t>
      </w:r>
      <w:r w:rsidR="00C96549" w:rsidRPr="00B57D20">
        <w:rPr>
          <w:rFonts w:ascii="Times New Roman" w:hAnsi="Times New Roman" w:cs="Times New Roman"/>
        </w:rPr>
        <w:t xml:space="preserve"> de la </w:t>
      </w:r>
      <w:r w:rsidR="001D2B3C" w:rsidRPr="00B57D20">
        <w:rPr>
          <w:rFonts w:ascii="Times New Roman" w:hAnsi="Times New Roman" w:cs="Times New Roman"/>
        </w:rPr>
        <w:t>Unidad Especial “Regula Tu Barrio” Calderón</w:t>
      </w:r>
      <w:r w:rsidRPr="00B57D20">
        <w:rPr>
          <w:rFonts w:ascii="Times New Roman" w:hAnsi="Times New Roman" w:cs="Times New Roman"/>
        </w:rPr>
        <w:t>, aprobaron  el</w:t>
      </w:r>
      <w:r w:rsidR="00C96549" w:rsidRPr="00B57D20">
        <w:rPr>
          <w:rFonts w:ascii="Times New Roman" w:hAnsi="Times New Roman" w:cs="Times New Roman"/>
        </w:rPr>
        <w:t xml:space="preserve"> Informe Nº A-001-UERB-AZCA-2020 de 20 de julio de 2020, alcance al </w:t>
      </w:r>
      <w:r w:rsidRPr="00B57D20">
        <w:rPr>
          <w:rFonts w:ascii="Times New Roman" w:hAnsi="Times New Roman" w:cs="Times New Roman"/>
        </w:rPr>
        <w:t>Informe Socio Organizativo Legal y Técnico Nº. 009-UERB-AZCA-SOLT-2015, de 30 de octubre de 2015</w:t>
      </w:r>
      <w:r w:rsidR="00DC2CAB" w:rsidRPr="00B57D20">
        <w:rPr>
          <w:rFonts w:ascii="Times New Roman" w:hAnsi="Times New Roman" w:cs="Times New Roman"/>
        </w:rPr>
        <w:t>, habilitante de la Ordenanza de reconocimiento del</w:t>
      </w:r>
      <w:r w:rsidR="00DC2CAB" w:rsidRPr="00B57D20">
        <w:rPr>
          <w:rFonts w:ascii="Times New Roman" w:hAnsi="Times New Roman" w:cs="Times New Roman"/>
          <w:bCs/>
        </w:rPr>
        <w:t xml:space="preserve"> Asentamiento Humano de Hecho y Consolidado de Interés Social, denominado </w:t>
      </w:r>
      <w:r w:rsidR="00DC2CAB" w:rsidRPr="00B57D20">
        <w:rPr>
          <w:rFonts w:ascii="Times New Roman" w:hAnsi="Times New Roman" w:cs="Times New Roman"/>
        </w:rPr>
        <w:t>Barrio “Bellavista Séptima Etapa</w:t>
      </w:r>
      <w:r w:rsidR="00CE243C" w:rsidRPr="00B57D20">
        <w:rPr>
          <w:rFonts w:ascii="Times New Roman" w:hAnsi="Times New Roman" w:cs="Times New Roman"/>
        </w:rPr>
        <w:t>”</w:t>
      </w:r>
      <w:r w:rsidR="00DC2CAB" w:rsidRPr="00B57D20">
        <w:rPr>
          <w:rFonts w:ascii="Times New Roman" w:hAnsi="Times New Roman" w:cs="Times New Roman"/>
        </w:rPr>
        <w:t xml:space="preserve">, ubicado en la Parroquia Calderón, </w:t>
      </w:r>
      <w:r w:rsidR="00295607">
        <w:rPr>
          <w:rFonts w:ascii="Times New Roman" w:hAnsi="Times New Roman" w:cs="Times New Roman"/>
          <w:bCs/>
        </w:rPr>
        <w:t>a favor de sus copropietarios.</w:t>
      </w:r>
    </w:p>
    <w:p w14:paraId="1865FA55" w14:textId="77777777" w:rsidR="0064064C" w:rsidRPr="00B57D20" w:rsidRDefault="00AC2238" w:rsidP="00B57D20">
      <w:pPr>
        <w:spacing w:after="240"/>
        <w:ind w:left="705" w:hanging="705"/>
        <w:rPr>
          <w:rFonts w:ascii="Times New Roman" w:hAnsi="Times New Roman" w:cs="Times New Roman"/>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rPr>
        <w:t xml:space="preserve">el informe de la Dirección Metropolitana de Gestión de Riesgos No. </w:t>
      </w:r>
      <w:r w:rsidRPr="00B57D20">
        <w:rPr>
          <w:rFonts w:ascii="Times New Roman" w:hAnsi="Times New Roman" w:cs="Times New Roman"/>
          <w:bCs/>
        </w:rPr>
        <w:t>115-AT-DMGR-2013, de 07 de noviembre de 2013</w:t>
      </w:r>
      <w:r w:rsidRPr="00B57D20">
        <w:rPr>
          <w:rFonts w:ascii="Times New Roman" w:hAnsi="Times New Roman" w:cs="Times New Roman"/>
        </w:rPr>
        <w:t xml:space="preserve">, </w:t>
      </w:r>
      <w:r w:rsidR="00C2623C" w:rsidRPr="00B57D20">
        <w:rPr>
          <w:rFonts w:ascii="Times New Roman" w:hAnsi="Times New Roman" w:cs="Times New Roman"/>
        </w:rPr>
        <w:t xml:space="preserve">en la </w:t>
      </w:r>
      <w:r w:rsidRPr="00B57D20">
        <w:rPr>
          <w:rFonts w:ascii="Times New Roman" w:hAnsi="Times New Roman" w:cs="Times New Roman"/>
        </w:rPr>
        <w:t>califica</w:t>
      </w:r>
      <w:r w:rsidR="00C2623C" w:rsidRPr="00B57D20">
        <w:rPr>
          <w:rFonts w:ascii="Times New Roman" w:hAnsi="Times New Roman" w:cs="Times New Roman"/>
        </w:rPr>
        <w:t xml:space="preserve">ción del riesgo </w:t>
      </w:r>
      <w:r w:rsidRPr="00B57D20">
        <w:rPr>
          <w:rFonts w:ascii="Times New Roman" w:hAnsi="Times New Roman" w:cs="Times New Roman"/>
        </w:rPr>
        <w:t xml:space="preserve">al AHHYC “Bellavista” </w:t>
      </w:r>
      <w:r w:rsidR="00C2623C" w:rsidRPr="00B57D20">
        <w:rPr>
          <w:rFonts w:ascii="Times New Roman" w:hAnsi="Times New Roman" w:cs="Times New Roman"/>
        </w:rPr>
        <w:t>señala: “</w:t>
      </w:r>
      <w:r w:rsidR="00C2623C" w:rsidRPr="00B57D20">
        <w:rPr>
          <w:rFonts w:ascii="Times New Roman" w:hAnsi="Times New Roman" w:cs="Times New Roman"/>
          <w:i/>
        </w:rPr>
        <w:t xml:space="preserve">Según los niveles de amenaza y de exposición, se puede establecer que el sector evaluado presenta una </w:t>
      </w:r>
      <w:r w:rsidR="0064064C" w:rsidRPr="00B57D20">
        <w:rPr>
          <w:rFonts w:ascii="Times New Roman" w:hAnsi="Times New Roman" w:cs="Times New Roman"/>
          <w:b/>
          <w:i/>
        </w:rPr>
        <w:t>condición de riesgo en su mayoría baja pero en ciertos casos puede ser moderada,</w:t>
      </w:r>
      <w:r w:rsidR="0064064C" w:rsidRPr="00B57D20">
        <w:rPr>
          <w:rFonts w:ascii="Times New Roman" w:hAnsi="Times New Roman" w:cs="Times New Roman"/>
          <w:i/>
        </w:rPr>
        <w:t xml:space="preserve"> considerando el estado y cobertura del sistema de alcantarillado pluvial y sanitario, para el caso de inundaciones y movimientos en masa y del grado de vulnerabilidad estructural de las viviendas en el caso de sismos</w:t>
      </w:r>
      <w:r w:rsidR="00D13D91" w:rsidRPr="00B57D20">
        <w:rPr>
          <w:rFonts w:ascii="Times New Roman" w:hAnsi="Times New Roman" w:cs="Times New Roman"/>
        </w:rPr>
        <w:t>.</w:t>
      </w:r>
      <w:r w:rsidR="0064064C" w:rsidRPr="00B57D20">
        <w:rPr>
          <w:rFonts w:ascii="Times New Roman" w:hAnsi="Times New Roman" w:cs="Times New Roman"/>
        </w:rPr>
        <w:t>”</w:t>
      </w:r>
      <w:r w:rsidR="006741CB" w:rsidRPr="00B57D20">
        <w:rPr>
          <w:rFonts w:ascii="Times New Roman" w:hAnsi="Times New Roman" w:cs="Times New Roman"/>
        </w:rPr>
        <w:t>; y,</w:t>
      </w:r>
    </w:p>
    <w:p w14:paraId="0FF69E2B" w14:textId="77777777" w:rsidR="00BB7F83" w:rsidRDefault="00AC2238" w:rsidP="00BB7F83">
      <w:pPr>
        <w:spacing w:after="240"/>
        <w:ind w:left="705" w:hanging="705"/>
        <w:rPr>
          <w:rFonts w:ascii="Times New Roman" w:hAnsi="Times New Roman" w:cs="Times New Roman"/>
          <w:i/>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mediante Oficio Nro. GADDMQ-SGSG-DMGR-2019-0</w:t>
      </w:r>
      <w:r w:rsidR="003637C5" w:rsidRPr="00B57D20">
        <w:rPr>
          <w:rFonts w:ascii="Times New Roman" w:hAnsi="Times New Roman" w:cs="Times New Roman"/>
          <w:bCs/>
        </w:rPr>
        <w:t>836</w:t>
      </w:r>
      <w:r w:rsidRPr="00B57D20">
        <w:rPr>
          <w:rFonts w:ascii="Times New Roman" w:hAnsi="Times New Roman" w:cs="Times New Roman"/>
          <w:bCs/>
        </w:rPr>
        <w:t xml:space="preserve">-OF, de </w:t>
      </w:r>
      <w:r w:rsidR="003637C5" w:rsidRPr="00B57D20">
        <w:rPr>
          <w:rFonts w:ascii="Times New Roman" w:hAnsi="Times New Roman" w:cs="Times New Roman"/>
          <w:bCs/>
        </w:rPr>
        <w:t>22</w:t>
      </w:r>
      <w:r w:rsidRPr="00B57D20">
        <w:rPr>
          <w:rFonts w:ascii="Times New Roman" w:hAnsi="Times New Roman" w:cs="Times New Roman"/>
          <w:bCs/>
        </w:rPr>
        <w:t xml:space="preserve"> de </w:t>
      </w:r>
      <w:r w:rsidR="003637C5" w:rsidRPr="00B57D20">
        <w:rPr>
          <w:rFonts w:ascii="Times New Roman" w:hAnsi="Times New Roman" w:cs="Times New Roman"/>
          <w:bCs/>
        </w:rPr>
        <w:t>octubre</w:t>
      </w:r>
      <w:r w:rsidRPr="00B57D20">
        <w:rPr>
          <w:rFonts w:ascii="Times New Roman" w:hAnsi="Times New Roman" w:cs="Times New Roman"/>
          <w:bCs/>
        </w:rPr>
        <w:t xml:space="preserve"> del 2019, emitido por el Director Metropolitano de Gestión de Riesgos, de la Secretaría </w:t>
      </w:r>
      <w:r w:rsidRPr="00B57D20">
        <w:rPr>
          <w:rFonts w:ascii="Times New Roman" w:hAnsi="Times New Roman" w:cs="Times New Roman"/>
          <w:bCs/>
        </w:rPr>
        <w:lastRenderedPageBreak/>
        <w:t xml:space="preserve">General de Seguridad y Gobernabilidad </w:t>
      </w:r>
      <w:r w:rsidR="003637C5" w:rsidRPr="00B57D20">
        <w:rPr>
          <w:rFonts w:ascii="Times New Roman" w:hAnsi="Times New Roman" w:cs="Times New Roman"/>
          <w:bCs/>
        </w:rPr>
        <w:t xml:space="preserve">remite el </w:t>
      </w:r>
      <w:r w:rsidR="008A6C91" w:rsidRPr="00B57D20">
        <w:rPr>
          <w:rFonts w:ascii="Times New Roman" w:hAnsi="Times New Roman" w:cs="Times New Roman"/>
          <w:bCs/>
        </w:rPr>
        <w:t>i</w:t>
      </w:r>
      <w:r w:rsidR="00EF75A6" w:rsidRPr="00B57D20">
        <w:rPr>
          <w:rFonts w:ascii="Times New Roman" w:hAnsi="Times New Roman" w:cs="Times New Roman"/>
        </w:rPr>
        <w:t>nforme No. 3</w:t>
      </w:r>
      <w:r w:rsidR="00EF526F" w:rsidRPr="00B57D20">
        <w:rPr>
          <w:rFonts w:ascii="Times New Roman" w:hAnsi="Times New Roman" w:cs="Times New Roman"/>
        </w:rPr>
        <w:t>29</w:t>
      </w:r>
      <w:r w:rsidR="00EF75A6" w:rsidRPr="00B57D20">
        <w:rPr>
          <w:rFonts w:ascii="Times New Roman" w:hAnsi="Times New Roman" w:cs="Times New Roman"/>
        </w:rPr>
        <w:t>-AT-DMGR-201</w:t>
      </w:r>
      <w:r w:rsidR="00EF526F" w:rsidRPr="00B57D20">
        <w:rPr>
          <w:rFonts w:ascii="Times New Roman" w:hAnsi="Times New Roman" w:cs="Times New Roman"/>
        </w:rPr>
        <w:t>9</w:t>
      </w:r>
      <w:r w:rsidR="00EF75A6" w:rsidRPr="00B57D20">
        <w:rPr>
          <w:rFonts w:ascii="Times New Roman" w:hAnsi="Times New Roman" w:cs="Times New Roman"/>
        </w:rPr>
        <w:t xml:space="preserve"> de </w:t>
      </w:r>
      <w:r w:rsidR="00EF526F" w:rsidRPr="00B57D20">
        <w:rPr>
          <w:rFonts w:ascii="Times New Roman" w:hAnsi="Times New Roman" w:cs="Times New Roman"/>
        </w:rPr>
        <w:t>04</w:t>
      </w:r>
      <w:r w:rsidR="00EF75A6" w:rsidRPr="00B57D20">
        <w:rPr>
          <w:rFonts w:ascii="Times New Roman" w:hAnsi="Times New Roman" w:cs="Times New Roman"/>
        </w:rPr>
        <w:t xml:space="preserve"> de </w:t>
      </w:r>
      <w:r w:rsidR="00EF526F" w:rsidRPr="00B57D20">
        <w:rPr>
          <w:rFonts w:ascii="Times New Roman" w:hAnsi="Times New Roman" w:cs="Times New Roman"/>
        </w:rPr>
        <w:t>octu</w:t>
      </w:r>
      <w:r w:rsidR="00EF75A6" w:rsidRPr="00B57D20">
        <w:rPr>
          <w:rFonts w:ascii="Times New Roman" w:hAnsi="Times New Roman" w:cs="Times New Roman"/>
        </w:rPr>
        <w:t>bre de 201</w:t>
      </w:r>
      <w:r w:rsidR="00EF526F" w:rsidRPr="00B57D20">
        <w:rPr>
          <w:rFonts w:ascii="Times New Roman" w:hAnsi="Times New Roman" w:cs="Times New Roman"/>
        </w:rPr>
        <w:t>9</w:t>
      </w:r>
      <w:r w:rsidR="00EF75A6" w:rsidRPr="00B57D20">
        <w:rPr>
          <w:rFonts w:ascii="Times New Roman" w:hAnsi="Times New Roman" w:cs="Times New Roman"/>
        </w:rPr>
        <w:t>, califica el nivel de riesgo p</w:t>
      </w:r>
      <w:r w:rsidR="00D76D3E" w:rsidRPr="00B57D20">
        <w:rPr>
          <w:rFonts w:ascii="Times New Roman" w:hAnsi="Times New Roman" w:cs="Times New Roman"/>
        </w:rPr>
        <w:t>ara la regularización de tierras indicando: “</w:t>
      </w:r>
      <w:r w:rsidR="00D76D3E" w:rsidRPr="00B57D20">
        <w:rPr>
          <w:rFonts w:ascii="Times New Roman" w:hAnsi="Times New Roman" w:cs="Times New Roman"/>
          <w:i/>
        </w:rPr>
        <w:t xml:space="preserve">Para el proceso de regularización de tierras se considera el nivel de riesgos frente a movimientos </w:t>
      </w:r>
      <w:r w:rsidR="00120BF8" w:rsidRPr="00B57D20">
        <w:rPr>
          <w:rFonts w:ascii="Times New Roman" w:hAnsi="Times New Roman" w:cs="Times New Roman"/>
          <w:i/>
        </w:rPr>
        <w:t>en masa, ya que representa el fenómeno más importante para la posible pérdida del terreno, en tal virtud se considera que:</w:t>
      </w:r>
      <w:r w:rsidR="004973AA">
        <w:rPr>
          <w:rFonts w:ascii="Times New Roman" w:hAnsi="Times New Roman" w:cs="Times New Roman"/>
          <w:i/>
        </w:rPr>
        <w:t xml:space="preserve"> </w:t>
      </w:r>
    </w:p>
    <w:p w14:paraId="34924C97" w14:textId="416D845C" w:rsidR="00EF75A6" w:rsidRPr="00BB7F83" w:rsidRDefault="00BB7F83" w:rsidP="00BB7F83">
      <w:pPr>
        <w:spacing w:after="240"/>
        <w:ind w:left="705" w:hanging="705"/>
        <w:rPr>
          <w:rFonts w:ascii="Times New Roman" w:hAnsi="Times New Roman" w:cs="Times New Roman"/>
          <w:i/>
        </w:rPr>
      </w:pPr>
      <w:r>
        <w:rPr>
          <w:rFonts w:ascii="Times New Roman" w:hAnsi="Times New Roman"/>
          <w:b/>
          <w:bCs/>
          <w:i/>
        </w:rPr>
        <w:t xml:space="preserve">            </w:t>
      </w:r>
      <w:r w:rsidR="00120BF8" w:rsidRPr="00A0248D">
        <w:rPr>
          <w:rFonts w:ascii="Times New Roman" w:hAnsi="Times New Roman"/>
          <w:b/>
          <w:bCs/>
          <w:i/>
        </w:rPr>
        <w:t xml:space="preserve">Movimientos en masa: </w:t>
      </w:r>
      <w:r w:rsidR="00120BF8" w:rsidRPr="00A0248D">
        <w:rPr>
          <w:rFonts w:ascii="Times New Roman" w:hAnsi="Times New Roman"/>
          <w:bCs/>
          <w:i/>
        </w:rPr>
        <w:t xml:space="preserve">el </w:t>
      </w:r>
      <w:r w:rsidR="00EF75A6" w:rsidRPr="00A0248D">
        <w:rPr>
          <w:rFonts w:ascii="Times New Roman" w:hAnsi="Times New Roman"/>
          <w:i/>
        </w:rPr>
        <w:t xml:space="preserve">AHHYC </w:t>
      </w:r>
      <w:r w:rsidR="00120BF8" w:rsidRPr="00A0248D">
        <w:rPr>
          <w:rFonts w:ascii="Times New Roman" w:hAnsi="Times New Roman"/>
          <w:i/>
        </w:rPr>
        <w:t xml:space="preserve">“Bellavista VII Etapa” en general presenta </w:t>
      </w:r>
      <w:r w:rsidR="00EF75A6" w:rsidRPr="00A0248D">
        <w:rPr>
          <w:rFonts w:ascii="Times New Roman" w:hAnsi="Times New Roman"/>
          <w:i/>
          <w:color w:val="000000"/>
        </w:rPr>
        <w:t>un</w:t>
      </w:r>
      <w:r w:rsidR="00A21EF8" w:rsidRPr="00A0248D">
        <w:rPr>
          <w:rFonts w:ascii="Times New Roman" w:hAnsi="Times New Roman"/>
          <w:i/>
          <w:color w:val="000000"/>
        </w:rPr>
        <w:t xml:space="preserve"> </w:t>
      </w:r>
      <w:r w:rsidR="00A21EF8" w:rsidRPr="00A0248D">
        <w:rPr>
          <w:rFonts w:ascii="Times New Roman" w:hAnsi="Times New Roman"/>
          <w:b/>
          <w:i/>
          <w:color w:val="000000"/>
          <w:u w:val="single"/>
        </w:rPr>
        <w:t>Riesgo Bajo Mitigable</w:t>
      </w:r>
      <w:r w:rsidR="00EF75A6" w:rsidRPr="00A0248D">
        <w:rPr>
          <w:rFonts w:ascii="Times New Roman" w:hAnsi="Times New Roman"/>
          <w:i/>
          <w:color w:val="000000"/>
        </w:rPr>
        <w:t xml:space="preserve"> para </w:t>
      </w:r>
      <w:r w:rsidR="00A21EF8" w:rsidRPr="00A0248D">
        <w:rPr>
          <w:rFonts w:ascii="Times New Roman" w:hAnsi="Times New Roman"/>
          <w:i/>
          <w:color w:val="000000"/>
        </w:rPr>
        <w:t xml:space="preserve">todos </w:t>
      </w:r>
      <w:r w:rsidR="00EF75A6" w:rsidRPr="00A0248D">
        <w:rPr>
          <w:rFonts w:ascii="Times New Roman" w:hAnsi="Times New Roman"/>
          <w:i/>
          <w:color w:val="000000"/>
        </w:rPr>
        <w:t>los lotes</w:t>
      </w:r>
      <w:r w:rsidR="00A21EF8" w:rsidRPr="00A0248D">
        <w:rPr>
          <w:rFonts w:ascii="Times New Roman" w:hAnsi="Times New Roman"/>
          <w:i/>
          <w:color w:val="000000"/>
        </w:rPr>
        <w:t xml:space="preserve"> frente a deslizamientos.</w:t>
      </w:r>
      <w:r w:rsidR="00A21EF8" w:rsidRPr="00A0248D">
        <w:rPr>
          <w:rFonts w:ascii="Times New Roman" w:hAnsi="Times New Roman"/>
          <w:color w:val="000000"/>
        </w:rPr>
        <w:t>”</w:t>
      </w:r>
      <w:r w:rsidR="006741CB" w:rsidRPr="00A0248D">
        <w:rPr>
          <w:rFonts w:ascii="Times New Roman" w:hAnsi="Times New Roman"/>
          <w:color w:val="000000"/>
        </w:rPr>
        <w:t>.</w:t>
      </w:r>
    </w:p>
    <w:p w14:paraId="6B910875" w14:textId="77777777" w:rsidR="0082016C" w:rsidRPr="00B57D20" w:rsidRDefault="0082016C" w:rsidP="00B57D20">
      <w:pPr>
        <w:spacing w:after="240"/>
        <w:ind w:left="705" w:hanging="705"/>
        <w:rPr>
          <w:rFonts w:ascii="Times New Roman" w:hAnsi="Times New Roman" w:cs="Times New Roman"/>
          <w:bCs/>
        </w:rPr>
      </w:pPr>
      <w:bookmarkStart w:id="1" w:name="OLE_LINK1"/>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B57D20">
        <w:rPr>
          <w:rFonts w:ascii="Times New Roman" w:hAnsi="Times New Roman" w:cs="Times New Roman"/>
        </w:rPr>
        <w:t xml:space="preserve">Nº </w:t>
      </w:r>
      <w:r w:rsidR="0031365A" w:rsidRPr="00B57D20">
        <w:rPr>
          <w:rFonts w:ascii="Times New Roman" w:hAnsi="Times New Roman" w:cs="Times New Roman"/>
        </w:rPr>
        <w:t>009-UERB-AZCA-SOLT-2015, de 30 de octubre de 2015.</w:t>
      </w:r>
      <w:r w:rsidRPr="00B57D20">
        <w:rPr>
          <w:rFonts w:ascii="Times New Roman" w:hAnsi="Times New Roman" w:cs="Times New Roman"/>
        </w:rPr>
        <w:t>, para que se determinen todos los lotes inferiores a la zonificación propuesta como lotes por excepción; y,</w:t>
      </w:r>
    </w:p>
    <w:bookmarkEnd w:id="1"/>
    <w:p w14:paraId="35FE54E9" w14:textId="77777777" w:rsidR="0082016C" w:rsidRPr="00B57D20" w:rsidRDefault="0082016C" w:rsidP="00B57D20">
      <w:pPr>
        <w:spacing w:after="240"/>
        <w:ind w:left="705" w:hanging="705"/>
        <w:rPr>
          <w:rFonts w:ascii="Times New Roman" w:hAnsi="Times New Roman" w:cs="Times New Roman"/>
        </w:rPr>
      </w:pPr>
      <w:r w:rsidRPr="00B57D20">
        <w:rPr>
          <w:rFonts w:ascii="Times New Roman" w:hAnsi="Times New Roman" w:cs="Times New Roman"/>
          <w:b/>
          <w:bCs/>
        </w:rPr>
        <w:t xml:space="preserve">Que, </w:t>
      </w:r>
      <w:r w:rsidRPr="00B57D20">
        <w:rPr>
          <w:rFonts w:ascii="Times New Roman" w:hAnsi="Times New Roman" w:cs="Times New Roman"/>
          <w:b/>
          <w:bCs/>
        </w:rPr>
        <w:tab/>
      </w:r>
      <w:r w:rsidRPr="00B57D20">
        <w:rPr>
          <w:rFonts w:ascii="Times New Roman" w:hAnsi="Times New Roman" w:cs="Times New Roman"/>
          <w:bCs/>
        </w:rPr>
        <w:t>mediante I</w:t>
      </w:r>
      <w:r w:rsidRPr="00B57D20">
        <w:rPr>
          <w:rFonts w:ascii="Times New Roman" w:hAnsi="Times New Roman" w:cs="Times New Roman"/>
        </w:rPr>
        <w:t>nforme Técnico s/n de</w:t>
      </w:r>
      <w:r w:rsidRPr="00B57D20">
        <w:rPr>
          <w:rFonts w:ascii="Times New Roman" w:hAnsi="Times New Roman" w:cs="Times New Roman"/>
          <w:bCs/>
        </w:rPr>
        <w:t xml:space="preserve"> fecha </w:t>
      </w:r>
      <w:r w:rsidR="0031365A" w:rsidRPr="00B57D20">
        <w:rPr>
          <w:rFonts w:ascii="Times New Roman" w:hAnsi="Times New Roman" w:cs="Times New Roman"/>
          <w:bCs/>
        </w:rPr>
        <w:t>18</w:t>
      </w:r>
      <w:r w:rsidRPr="00B57D20">
        <w:rPr>
          <w:rFonts w:ascii="Times New Roman" w:hAnsi="Times New Roman" w:cs="Times New Roman"/>
          <w:bCs/>
        </w:rPr>
        <w:t xml:space="preserve"> de </w:t>
      </w:r>
      <w:r w:rsidR="0031365A" w:rsidRPr="00B57D20">
        <w:rPr>
          <w:rFonts w:ascii="Times New Roman" w:hAnsi="Times New Roman" w:cs="Times New Roman"/>
          <w:bCs/>
        </w:rPr>
        <w:t>julio</w:t>
      </w:r>
      <w:r w:rsidRPr="00B57D20">
        <w:rPr>
          <w:rFonts w:ascii="Times New Roman" w:hAnsi="Times New Roman" w:cs="Times New Roman"/>
          <w:bCs/>
        </w:rPr>
        <w:t xml:space="preserve"> de 2020</w:t>
      </w:r>
      <w:r w:rsidRPr="00B57D20">
        <w:rPr>
          <w:rFonts w:ascii="Times New Roman" w:hAnsi="Times New Roman" w:cs="Times New Roman"/>
        </w:rPr>
        <w:t xml:space="preserve">, emitido por la responsable técnica de la UERB-AZCA, se realiza un alcance del Informe </w:t>
      </w:r>
      <w:r w:rsidRPr="00B57D20">
        <w:rPr>
          <w:rFonts w:ascii="Times New Roman" w:hAnsi="Times New Roman" w:cs="Times New Roman"/>
          <w:bCs/>
        </w:rPr>
        <w:t xml:space="preserve">Técnico contenido en el Informe </w:t>
      </w:r>
      <w:r w:rsidRPr="00B57D20">
        <w:rPr>
          <w:rFonts w:ascii="Times New Roman" w:hAnsi="Times New Roman" w:cs="Times New Roman"/>
        </w:rPr>
        <w:t xml:space="preserve">Nº </w:t>
      </w:r>
      <w:r w:rsidR="0031365A" w:rsidRPr="00B57D20">
        <w:rPr>
          <w:rFonts w:ascii="Times New Roman" w:hAnsi="Times New Roman" w:cs="Times New Roman"/>
        </w:rPr>
        <w:t>009-UERB-AZCA-SOLT-2015, de 30 de octubre de 2015</w:t>
      </w:r>
      <w:r w:rsidRPr="00B57D20">
        <w:rPr>
          <w:rFonts w:ascii="Times New Roman" w:hAnsi="Times New Roman" w:cs="Times New Roman"/>
        </w:rPr>
        <w:t xml:space="preserve">, en el que conforme al artículo </w:t>
      </w:r>
      <w:r w:rsidRPr="00B57D20">
        <w:rPr>
          <w:rFonts w:ascii="Times New Roman" w:hAnsi="Times New Roman" w:cs="Times New Roman"/>
          <w:bCs/>
        </w:rPr>
        <w:t>IV.7.43 de la Ordenanza No. 001 de 29 de marzo de 2019, se determinan como lotes por excepción a todos aquellos que tengan una superficie inferior a la zonificación propuesta.</w:t>
      </w:r>
    </w:p>
    <w:p w14:paraId="790C3167" w14:textId="77777777" w:rsidR="00EF75A6" w:rsidRPr="00B57D20" w:rsidRDefault="00EF75A6" w:rsidP="00B57D20">
      <w:pPr>
        <w:spacing w:after="240"/>
        <w:rPr>
          <w:rFonts w:ascii="Times New Roman" w:hAnsi="Times New Roman" w:cs="Times New Roman"/>
          <w:b/>
        </w:rPr>
      </w:pPr>
      <w:r w:rsidRPr="00B57D20">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3D0368D" w14:textId="77777777" w:rsidR="00DC2CAB" w:rsidRPr="00B57D20" w:rsidRDefault="00DC2CAB" w:rsidP="00B57D20">
      <w:pPr>
        <w:spacing w:after="240"/>
        <w:ind w:left="705" w:hanging="705"/>
        <w:rPr>
          <w:rFonts w:ascii="Times New Roman" w:hAnsi="Times New Roman" w:cs="Times New Roman"/>
          <w:b/>
          <w:bCs/>
        </w:rPr>
      </w:pPr>
    </w:p>
    <w:p w14:paraId="45C99C0F" w14:textId="77777777" w:rsidR="006D6856" w:rsidRPr="00B57D20" w:rsidRDefault="006D6856" w:rsidP="00B57D20">
      <w:pPr>
        <w:spacing w:after="240"/>
        <w:jc w:val="center"/>
        <w:rPr>
          <w:rFonts w:ascii="Times New Roman" w:hAnsi="Times New Roman" w:cs="Times New Roman"/>
          <w:b/>
          <w:bCs/>
        </w:rPr>
      </w:pPr>
      <w:r w:rsidRPr="00B57D20">
        <w:rPr>
          <w:rFonts w:ascii="Times New Roman" w:hAnsi="Times New Roman" w:cs="Times New Roman"/>
          <w:b/>
        </w:rPr>
        <w:t>EXPIDE LA SIGUIENTE:</w:t>
      </w:r>
    </w:p>
    <w:p w14:paraId="6274C74F" w14:textId="77777777" w:rsidR="006D6856" w:rsidRPr="00B57D20" w:rsidRDefault="006D6856" w:rsidP="00B57D20">
      <w:pPr>
        <w:jc w:val="center"/>
        <w:rPr>
          <w:rFonts w:ascii="Times New Roman" w:hAnsi="Times New Roman" w:cs="Times New Roman"/>
        </w:rPr>
      </w:pPr>
      <w:r w:rsidRPr="00B57D20">
        <w:rPr>
          <w:rFonts w:ascii="Times New Roman" w:hAnsi="Times New Roman" w:cs="Times New Roman"/>
          <w:b/>
          <w:bCs/>
        </w:rPr>
        <w:t>ORDENANZA QUE APRUEBA EL  PROCESO INTEGRAL DE REGULARIZACIÓN DEL ASENTAMIENTO HUMANO DE HECHO Y CONSOLIDADO DE INTERÉS SOCIAL DENOMINADO BARRIO “BELLAVISTA SÉPTIMA ETAPA</w:t>
      </w:r>
      <w:r w:rsidR="00475E1D" w:rsidRPr="00B57D20">
        <w:rPr>
          <w:rFonts w:ascii="Times New Roman" w:hAnsi="Times New Roman" w:cs="Times New Roman"/>
          <w:b/>
          <w:bCs/>
        </w:rPr>
        <w:t>”</w:t>
      </w:r>
      <w:r w:rsidRPr="00B57D20">
        <w:rPr>
          <w:rFonts w:ascii="Times New Roman" w:hAnsi="Times New Roman" w:cs="Times New Roman"/>
          <w:b/>
          <w:bCs/>
        </w:rPr>
        <w:t>, A FAVOR DE SUS COPROPIETARIOS.</w:t>
      </w:r>
    </w:p>
    <w:p w14:paraId="350F1610" w14:textId="77777777" w:rsidR="006D6856" w:rsidRPr="00B57D20" w:rsidRDefault="006D6856" w:rsidP="00B57D20">
      <w:pPr>
        <w:spacing w:after="0"/>
        <w:rPr>
          <w:rFonts w:ascii="Times New Roman" w:hAnsi="Times New Roman" w:cs="Times New Roman"/>
          <w:b/>
          <w:bCs/>
        </w:rPr>
      </w:pPr>
    </w:p>
    <w:p w14:paraId="1ECE4107" w14:textId="7A6E83A4" w:rsidR="009E1E4F" w:rsidRPr="00B57D20" w:rsidRDefault="009E1E4F" w:rsidP="00B57D20">
      <w:pPr>
        <w:spacing w:after="240"/>
        <w:rPr>
          <w:rFonts w:ascii="Times New Roman" w:hAnsi="Times New Roman" w:cs="Times New Roman"/>
          <w:bCs/>
          <w:color w:val="000000" w:themeColor="text1"/>
        </w:rPr>
      </w:pPr>
      <w:r w:rsidRPr="00B57D20">
        <w:rPr>
          <w:rFonts w:ascii="Times New Roman" w:hAnsi="Times New Roman" w:cs="Times New Roman"/>
          <w:b/>
          <w:bCs/>
          <w:color w:val="000000" w:themeColor="text1"/>
        </w:rPr>
        <w:t xml:space="preserve">Artículo 1.- Objeto.- </w:t>
      </w:r>
      <w:r w:rsidRPr="00B57D20">
        <w:rPr>
          <w:rFonts w:ascii="Times New Roman" w:hAnsi="Times New Roman" w:cs="Times New Roman"/>
          <w:bCs/>
          <w:color w:val="000000" w:themeColor="text1"/>
        </w:rPr>
        <w:t xml:space="preserve">La presente ordenanza tiene por objeto reconocer y aprobar el fraccionamiento del predio </w:t>
      </w:r>
      <w:r w:rsidRPr="00B57D20">
        <w:rPr>
          <w:rFonts w:ascii="Times New Roman" w:hAnsi="Times New Roman" w:cs="Times New Roman"/>
        </w:rPr>
        <w:t>618259</w:t>
      </w:r>
      <w:r w:rsidRPr="00B57D20">
        <w:rPr>
          <w:rFonts w:ascii="Times New Roman" w:hAnsi="Times New Roman" w:cs="Times New Roman"/>
          <w:bCs/>
          <w:color w:val="000000" w:themeColor="text1"/>
        </w:rPr>
        <w:t>, su</w:t>
      </w:r>
      <w:r w:rsidR="00311381" w:rsidRPr="00B57D20">
        <w:rPr>
          <w:rFonts w:ascii="Times New Roman" w:hAnsi="Times New Roman" w:cs="Times New Roman"/>
          <w:bCs/>
          <w:color w:val="000000" w:themeColor="text1"/>
        </w:rPr>
        <w:t xml:space="preserve"> pasaje</w:t>
      </w:r>
      <w:r w:rsidRPr="00B57D20">
        <w:rPr>
          <w:rFonts w:ascii="Times New Roman" w:hAnsi="Times New Roman" w:cs="Times New Roman"/>
          <w:bCs/>
          <w:color w:val="000000" w:themeColor="text1"/>
        </w:rPr>
        <w:t xml:space="preserve"> y mantener </w:t>
      </w:r>
      <w:r w:rsidR="0013148B" w:rsidRPr="00B57D20">
        <w:rPr>
          <w:rFonts w:ascii="Times New Roman" w:hAnsi="Times New Roman" w:cs="Times New Roman"/>
          <w:bCs/>
          <w:color w:val="000000" w:themeColor="text1"/>
        </w:rPr>
        <w:t>su</w:t>
      </w:r>
      <w:r w:rsidRPr="00B57D20">
        <w:rPr>
          <w:rFonts w:ascii="Times New Roman" w:hAnsi="Times New Roman" w:cs="Times New Roman"/>
          <w:bCs/>
          <w:color w:val="000000" w:themeColor="text1"/>
        </w:rPr>
        <w:t xml:space="preserve"> zonificación; sobre </w:t>
      </w:r>
      <w:r w:rsidR="0013148B" w:rsidRPr="00B57D20">
        <w:rPr>
          <w:rFonts w:ascii="Times New Roman" w:hAnsi="Times New Roman" w:cs="Times New Roman"/>
          <w:bCs/>
          <w:color w:val="000000" w:themeColor="text1"/>
        </w:rPr>
        <w:t>la</w:t>
      </w:r>
      <w:r w:rsidRPr="00B57D20">
        <w:rPr>
          <w:rFonts w:ascii="Times New Roman" w:hAnsi="Times New Roman" w:cs="Times New Roman"/>
          <w:bCs/>
          <w:color w:val="000000" w:themeColor="text1"/>
        </w:rPr>
        <w:t xml:space="preserve"> que se encuentra el</w:t>
      </w:r>
      <w:r w:rsidR="0013148B" w:rsidRPr="00B57D20">
        <w:rPr>
          <w:rFonts w:ascii="Times New Roman" w:hAnsi="Times New Roman" w:cs="Times New Roman"/>
          <w:bCs/>
          <w:color w:val="000000" w:themeColor="text1"/>
        </w:rPr>
        <w:t xml:space="preserve"> a</w:t>
      </w:r>
      <w:r w:rsidRPr="00B57D20">
        <w:rPr>
          <w:rFonts w:ascii="Times New Roman" w:hAnsi="Times New Roman" w:cs="Times New Roman"/>
          <w:bCs/>
          <w:color w:val="000000" w:themeColor="text1"/>
        </w:rPr>
        <w:t xml:space="preserve">sentamiento </w:t>
      </w:r>
      <w:r w:rsidR="0013148B" w:rsidRPr="00B57D20">
        <w:rPr>
          <w:rFonts w:ascii="Times New Roman" w:hAnsi="Times New Roman" w:cs="Times New Roman"/>
          <w:bCs/>
          <w:color w:val="000000" w:themeColor="text1"/>
        </w:rPr>
        <w:t>h</w:t>
      </w:r>
      <w:r w:rsidRPr="00B57D20">
        <w:rPr>
          <w:rFonts w:ascii="Times New Roman" w:hAnsi="Times New Roman" w:cs="Times New Roman"/>
          <w:bCs/>
          <w:color w:val="000000" w:themeColor="text1"/>
        </w:rPr>
        <w:t xml:space="preserve">umano de </w:t>
      </w:r>
      <w:r w:rsidR="0013148B" w:rsidRPr="00B57D20">
        <w:rPr>
          <w:rFonts w:ascii="Times New Roman" w:hAnsi="Times New Roman" w:cs="Times New Roman"/>
          <w:bCs/>
          <w:color w:val="000000" w:themeColor="text1"/>
        </w:rPr>
        <w:t>h</w:t>
      </w:r>
      <w:r w:rsidRPr="00B57D20">
        <w:rPr>
          <w:rFonts w:ascii="Times New Roman" w:hAnsi="Times New Roman" w:cs="Times New Roman"/>
          <w:bCs/>
          <w:color w:val="000000" w:themeColor="text1"/>
        </w:rPr>
        <w:t xml:space="preserve">echo y </w:t>
      </w:r>
      <w:r w:rsidR="0013148B" w:rsidRPr="00B57D20">
        <w:rPr>
          <w:rFonts w:ascii="Times New Roman" w:hAnsi="Times New Roman" w:cs="Times New Roman"/>
          <w:bCs/>
          <w:color w:val="000000" w:themeColor="text1"/>
        </w:rPr>
        <w:t>c</w:t>
      </w:r>
      <w:r w:rsidRPr="00B57D20">
        <w:rPr>
          <w:rFonts w:ascii="Times New Roman" w:hAnsi="Times New Roman" w:cs="Times New Roman"/>
          <w:bCs/>
          <w:color w:val="000000" w:themeColor="text1"/>
        </w:rPr>
        <w:t xml:space="preserve">onsolidado de </w:t>
      </w:r>
      <w:r w:rsidR="0013148B" w:rsidRPr="00B57D20">
        <w:rPr>
          <w:rFonts w:ascii="Times New Roman" w:hAnsi="Times New Roman" w:cs="Times New Roman"/>
          <w:bCs/>
          <w:color w:val="000000" w:themeColor="text1"/>
        </w:rPr>
        <w:t>i</w:t>
      </w:r>
      <w:r w:rsidRPr="00B57D20">
        <w:rPr>
          <w:rFonts w:ascii="Times New Roman" w:hAnsi="Times New Roman" w:cs="Times New Roman"/>
          <w:bCs/>
          <w:color w:val="000000" w:themeColor="text1"/>
        </w:rPr>
        <w:t xml:space="preserve">nterés </w:t>
      </w:r>
      <w:r w:rsidR="0013148B" w:rsidRPr="00B57D20">
        <w:rPr>
          <w:rFonts w:ascii="Times New Roman" w:hAnsi="Times New Roman" w:cs="Times New Roman"/>
          <w:bCs/>
          <w:color w:val="000000" w:themeColor="text1"/>
        </w:rPr>
        <w:t>s</w:t>
      </w:r>
      <w:r w:rsidRPr="00B57D20">
        <w:rPr>
          <w:rFonts w:ascii="Times New Roman" w:hAnsi="Times New Roman" w:cs="Times New Roman"/>
          <w:bCs/>
          <w:color w:val="000000" w:themeColor="text1"/>
        </w:rPr>
        <w:t xml:space="preserve">ocial denominado Barrio </w:t>
      </w:r>
      <w:r w:rsidRPr="00B57D20">
        <w:rPr>
          <w:rFonts w:ascii="Times New Roman" w:hAnsi="Times New Roman" w:cs="Times New Roman"/>
        </w:rPr>
        <w:t>“Bellavista Séptima Etapa</w:t>
      </w:r>
      <w:r w:rsidR="0013148B" w:rsidRPr="00B57D20">
        <w:rPr>
          <w:rFonts w:ascii="Times New Roman" w:hAnsi="Times New Roman" w:cs="Times New Roman"/>
        </w:rPr>
        <w:t>”</w:t>
      </w:r>
      <w:r w:rsidRPr="00B57D20">
        <w:rPr>
          <w:rFonts w:ascii="Times New Roman" w:hAnsi="Times New Roman" w:cs="Times New Roman"/>
          <w:color w:val="000000" w:themeColor="text1"/>
        </w:rPr>
        <w:t xml:space="preserve">, </w:t>
      </w:r>
      <w:r w:rsidR="00BB7F83" w:rsidRPr="00B57D20">
        <w:rPr>
          <w:rFonts w:ascii="Times New Roman" w:hAnsi="Times New Roman" w:cs="Times New Roman"/>
        </w:rPr>
        <w:t>ubicado en la parroquia Calderón</w:t>
      </w:r>
      <w:r w:rsidR="00BB7F83">
        <w:rPr>
          <w:rFonts w:ascii="Times New Roman" w:hAnsi="Times New Roman" w:cs="Times New Roman"/>
        </w:rPr>
        <w:t>,</w:t>
      </w:r>
      <w:r w:rsidR="00BB7F83" w:rsidRPr="00B57D20">
        <w:rPr>
          <w:rFonts w:ascii="Times New Roman" w:hAnsi="Times New Roman" w:cs="Times New Roman"/>
          <w:bCs/>
          <w:color w:val="000000" w:themeColor="text1"/>
        </w:rPr>
        <w:t xml:space="preserve"> </w:t>
      </w:r>
      <w:r w:rsidRPr="00B57D20">
        <w:rPr>
          <w:rFonts w:ascii="Times New Roman" w:hAnsi="Times New Roman" w:cs="Times New Roman"/>
          <w:bCs/>
          <w:color w:val="000000" w:themeColor="text1"/>
        </w:rPr>
        <w:t>a favor de sus copropietarios.</w:t>
      </w:r>
      <w:r w:rsidRPr="00B57D20">
        <w:rPr>
          <w:rFonts w:ascii="Times New Roman" w:hAnsi="Times New Roman" w:cs="Times New Roman"/>
        </w:rPr>
        <w:t xml:space="preserve"> </w:t>
      </w:r>
    </w:p>
    <w:p w14:paraId="69A15B8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b/>
          <w:bCs/>
        </w:rPr>
        <w:t xml:space="preserve">Artículo 2.- De los planos y documentos presentados.- </w:t>
      </w:r>
      <w:r w:rsidRPr="00B57D20">
        <w:rPr>
          <w:rFonts w:ascii="Times New Roman" w:hAnsi="Times New Roman" w:cs="Times New Roman"/>
        </w:rPr>
        <w:t xml:space="preserve">Los planos y documentos presentados para la aprobación del presente acto normativo son de exclusiva responsabilidad del proyectista y de los copropietarios del </w:t>
      </w:r>
      <w:r w:rsidR="00D735C7" w:rsidRPr="00B57D20">
        <w:rPr>
          <w:rFonts w:ascii="Times New Roman" w:hAnsi="Times New Roman" w:cs="Times New Roman"/>
        </w:rPr>
        <w:t xml:space="preserve">asentamiento humano de hecho </w:t>
      </w:r>
      <w:r w:rsidRPr="00B57D20">
        <w:rPr>
          <w:rFonts w:ascii="Times New Roman" w:hAnsi="Times New Roman" w:cs="Times New Roman"/>
        </w:rPr>
        <w:t xml:space="preserve">y </w:t>
      </w:r>
      <w:r w:rsidR="00D735C7" w:rsidRPr="00B57D20">
        <w:rPr>
          <w:rFonts w:ascii="Times New Roman" w:hAnsi="Times New Roman" w:cs="Times New Roman"/>
        </w:rPr>
        <w:t xml:space="preserve">consolidado de interés social </w:t>
      </w:r>
      <w:r w:rsidRPr="00B57D20">
        <w:rPr>
          <w:rFonts w:ascii="Times New Roman" w:hAnsi="Times New Roman" w:cs="Times New Roman"/>
        </w:rPr>
        <w:t xml:space="preserve">denominado </w:t>
      </w:r>
      <w:r w:rsidR="008455D6" w:rsidRPr="00B57D20">
        <w:rPr>
          <w:rFonts w:ascii="Times New Roman" w:hAnsi="Times New Roman" w:cs="Times New Roman"/>
        </w:rPr>
        <w:t>Barrio “Bellavista</w:t>
      </w:r>
      <w:r w:rsidRPr="00B57D20">
        <w:rPr>
          <w:rFonts w:ascii="Times New Roman" w:hAnsi="Times New Roman" w:cs="Times New Roman"/>
        </w:rPr>
        <w:t xml:space="preserve"> </w:t>
      </w:r>
      <w:r w:rsidR="008455D6" w:rsidRPr="00B57D20">
        <w:rPr>
          <w:rFonts w:ascii="Times New Roman" w:hAnsi="Times New Roman" w:cs="Times New Roman"/>
        </w:rPr>
        <w:t xml:space="preserve">Séptima </w:t>
      </w:r>
      <w:r w:rsidRPr="00B57D20">
        <w:rPr>
          <w:rFonts w:ascii="Times New Roman" w:hAnsi="Times New Roman" w:cs="Times New Roman"/>
        </w:rPr>
        <w:t>Etapa</w:t>
      </w:r>
      <w:r w:rsidR="00D735C7" w:rsidRPr="00B57D20">
        <w:rPr>
          <w:rFonts w:ascii="Times New Roman" w:hAnsi="Times New Roman" w:cs="Times New Roman"/>
        </w:rPr>
        <w:t>”</w:t>
      </w:r>
      <w:r w:rsidRPr="00B57D20">
        <w:rPr>
          <w:rFonts w:ascii="Times New Roman" w:hAnsi="Times New Roman" w:cs="Times New Roman"/>
        </w:rPr>
        <w:t xml:space="preserve">, ubicado en la parroquia Calderón, y de los </w:t>
      </w:r>
      <w:r w:rsidRPr="00B57D20">
        <w:rPr>
          <w:rFonts w:ascii="Times New Roman" w:hAnsi="Times New Roman" w:cs="Times New Roman"/>
        </w:rPr>
        <w:lastRenderedPageBreak/>
        <w:t>funcionarios municipales que revisaron los planos y los documentos legales y/o emitieron los informes técnicos habilitantes de este procedimiento de regularización, salvo que estos hayan sido inducidos al engaño o al error.</w:t>
      </w:r>
    </w:p>
    <w:p w14:paraId="6E40DD12"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496E00FC" w14:textId="77777777" w:rsidR="005A3951" w:rsidRPr="00B57D20" w:rsidRDefault="009E1E4F" w:rsidP="00B57D20">
      <w:pPr>
        <w:spacing w:after="240"/>
        <w:rPr>
          <w:rFonts w:ascii="Times New Roman" w:hAnsi="Times New Roman" w:cs="Times New Roman"/>
        </w:rPr>
      </w:pPr>
      <w:r w:rsidRPr="00B57D20">
        <w:rPr>
          <w:rFonts w:ascii="Times New Roman" w:hAnsi="Times New Roman" w:cs="Times New Roman"/>
        </w:rPr>
        <w:t>Las dimensiones y superficies de los lotes son las determinadas en el plano aprobatorio que forma parte integrante de esta Ordenanza.</w:t>
      </w:r>
    </w:p>
    <w:p w14:paraId="1C28B0B8"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 xml:space="preserve">Los copropietarios del </w:t>
      </w:r>
      <w:r w:rsidR="00D735C7" w:rsidRPr="00B57D20">
        <w:rPr>
          <w:rFonts w:ascii="Times New Roman" w:hAnsi="Times New Roman" w:cs="Times New Roman"/>
        </w:rPr>
        <w:t xml:space="preserve">asentamiento humano de hecho </w:t>
      </w:r>
      <w:r w:rsidRPr="00B57D20">
        <w:rPr>
          <w:rFonts w:ascii="Times New Roman" w:hAnsi="Times New Roman" w:cs="Times New Roman"/>
        </w:rPr>
        <w:t xml:space="preserve">y </w:t>
      </w:r>
      <w:r w:rsidR="00D735C7" w:rsidRPr="00B57D20">
        <w:rPr>
          <w:rFonts w:ascii="Times New Roman" w:hAnsi="Times New Roman" w:cs="Times New Roman"/>
        </w:rPr>
        <w:t xml:space="preserve">consolidado de interés social </w:t>
      </w:r>
      <w:r w:rsidRPr="00B57D20">
        <w:rPr>
          <w:rFonts w:ascii="Times New Roman" w:hAnsi="Times New Roman" w:cs="Times New Roman"/>
        </w:rPr>
        <w:t xml:space="preserve">denominado </w:t>
      </w:r>
      <w:r w:rsidR="008455D6" w:rsidRPr="00B57D20">
        <w:rPr>
          <w:rFonts w:ascii="Times New Roman" w:hAnsi="Times New Roman" w:cs="Times New Roman"/>
        </w:rPr>
        <w:t xml:space="preserve">Barrio </w:t>
      </w:r>
      <w:r w:rsidRPr="00B57D20">
        <w:rPr>
          <w:rFonts w:ascii="Times New Roman" w:hAnsi="Times New Roman" w:cs="Times New Roman"/>
        </w:rPr>
        <w:t>“</w:t>
      </w:r>
      <w:r w:rsidR="008455D6" w:rsidRPr="00B57D20">
        <w:rPr>
          <w:rFonts w:ascii="Times New Roman" w:hAnsi="Times New Roman" w:cs="Times New Roman"/>
        </w:rPr>
        <w:t>Bellavista</w:t>
      </w:r>
      <w:r w:rsidRPr="00B57D20">
        <w:rPr>
          <w:rFonts w:ascii="Times New Roman" w:hAnsi="Times New Roman" w:cs="Times New Roman"/>
        </w:rPr>
        <w:t xml:space="preserve"> </w:t>
      </w:r>
      <w:r w:rsidR="008455D6" w:rsidRPr="00B57D20">
        <w:rPr>
          <w:rFonts w:ascii="Times New Roman" w:hAnsi="Times New Roman" w:cs="Times New Roman"/>
        </w:rPr>
        <w:t xml:space="preserve">Séptima </w:t>
      </w:r>
      <w:r w:rsidRPr="00B57D20">
        <w:rPr>
          <w:rFonts w:ascii="Times New Roman" w:hAnsi="Times New Roman" w:cs="Times New Roman"/>
        </w:rPr>
        <w:t>Etapa</w:t>
      </w:r>
      <w:r w:rsidR="00D735C7" w:rsidRPr="00B57D20">
        <w:rPr>
          <w:rFonts w:ascii="Times New Roman" w:hAnsi="Times New Roman" w:cs="Times New Roman"/>
        </w:rPr>
        <w:t>”</w:t>
      </w:r>
      <w:r w:rsidRPr="00B57D20">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14:paraId="60104F4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14:paraId="6CBDEE65" w14:textId="77777777" w:rsidR="009E1E4F" w:rsidRPr="00B57D20" w:rsidRDefault="009E1E4F" w:rsidP="00B57D20">
      <w:pPr>
        <w:spacing w:after="240"/>
        <w:rPr>
          <w:rFonts w:ascii="Times New Roman" w:hAnsi="Times New Roman" w:cs="Times New Roman"/>
        </w:rPr>
      </w:pPr>
      <w:r w:rsidRPr="00B57D20">
        <w:rPr>
          <w:rFonts w:ascii="Times New Roman" w:hAnsi="Times New Roman" w:cs="Times New Roman"/>
          <w:b/>
          <w:bCs/>
        </w:rPr>
        <w:t xml:space="preserve">Artículo 3.- Declaratoria de interés social.- </w:t>
      </w:r>
      <w:r w:rsidRPr="00B57D20">
        <w:rPr>
          <w:rFonts w:ascii="Times New Roman" w:hAnsi="Times New Roman" w:cs="Times New Roman"/>
        </w:rPr>
        <w:t xml:space="preserve">Por las condiciones del </w:t>
      </w:r>
      <w:r w:rsidR="00D735C7" w:rsidRPr="00B57D20">
        <w:rPr>
          <w:rFonts w:ascii="Times New Roman" w:hAnsi="Times New Roman" w:cs="Times New Roman"/>
        </w:rPr>
        <w:t>asentamiento humano de hecho</w:t>
      </w:r>
      <w:r w:rsidRPr="00B57D20">
        <w:rPr>
          <w:rFonts w:ascii="Times New Roman" w:hAnsi="Times New Roman" w:cs="Times New Roman"/>
        </w:rPr>
        <w:t xml:space="preserve"> y </w:t>
      </w:r>
      <w:r w:rsidR="00D735C7" w:rsidRPr="00B57D20">
        <w:rPr>
          <w:rFonts w:ascii="Times New Roman" w:hAnsi="Times New Roman" w:cs="Times New Roman"/>
        </w:rPr>
        <w:t>consolidad</w:t>
      </w:r>
      <w:r w:rsidRPr="00B57D20">
        <w:rPr>
          <w:rFonts w:ascii="Times New Roman" w:hAnsi="Times New Roman" w:cs="Times New Roman"/>
        </w:rPr>
        <w:t>o, se lo aprueba considerándolo de interés social de conformidad con la normativa vigente.</w:t>
      </w:r>
    </w:p>
    <w:p w14:paraId="4D6F7AD9" w14:textId="77777777" w:rsidR="000D0216" w:rsidRPr="00B57D20" w:rsidRDefault="000D0216" w:rsidP="00B57D20">
      <w:pPr>
        <w:spacing w:after="240"/>
        <w:rPr>
          <w:rFonts w:ascii="Times New Roman" w:hAnsi="Times New Roman" w:cs="Times New Roman"/>
          <w:b/>
          <w:bCs/>
        </w:rPr>
      </w:pPr>
      <w:r w:rsidRPr="00B57D20">
        <w:rPr>
          <w:rFonts w:ascii="Times New Roman" w:hAnsi="Times New Roman" w:cs="Times New Roman"/>
          <w:b/>
          <w:bCs/>
        </w:rPr>
        <w:t>Artículo 4.- Especificaciones técnicas.-</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4695"/>
      </w:tblGrid>
      <w:tr w:rsidR="000D0216" w:rsidRPr="00B57D20" w14:paraId="7B90528B" w14:textId="77777777" w:rsidTr="00393178">
        <w:trPr>
          <w:trHeight w:val="275"/>
        </w:trPr>
        <w:tc>
          <w:tcPr>
            <w:tcW w:w="2202" w:type="pct"/>
            <w:tcBorders>
              <w:top w:val="single" w:sz="4" w:space="0" w:color="000000"/>
              <w:left w:val="single" w:sz="4" w:space="0" w:color="000000"/>
              <w:bottom w:val="single" w:sz="4" w:space="0" w:color="000000"/>
              <w:right w:val="single" w:sz="4" w:space="0" w:color="000000"/>
            </w:tcBorders>
            <w:hideMark/>
          </w:tcPr>
          <w:p w14:paraId="48C8AEDF"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 xml:space="preserve">Nº de predio: </w:t>
            </w:r>
          </w:p>
        </w:tc>
        <w:tc>
          <w:tcPr>
            <w:tcW w:w="2798" w:type="pct"/>
            <w:tcBorders>
              <w:top w:val="single" w:sz="4" w:space="0" w:color="000000"/>
              <w:left w:val="single" w:sz="4" w:space="0" w:color="000000"/>
              <w:bottom w:val="single" w:sz="4" w:space="0" w:color="000000"/>
              <w:right w:val="single" w:sz="4" w:space="0" w:color="000000"/>
            </w:tcBorders>
            <w:vAlign w:val="center"/>
            <w:hideMark/>
          </w:tcPr>
          <w:p w14:paraId="55E98B42"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618259</w:t>
            </w:r>
          </w:p>
        </w:tc>
      </w:tr>
      <w:tr w:rsidR="000D0216" w:rsidRPr="00B57D20" w14:paraId="18378E7D"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6ABB8A17"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Zonificación:</w:t>
            </w:r>
          </w:p>
        </w:tc>
        <w:tc>
          <w:tcPr>
            <w:tcW w:w="2798" w:type="pct"/>
            <w:tcBorders>
              <w:top w:val="single" w:sz="4" w:space="0" w:color="000000"/>
              <w:left w:val="single" w:sz="4" w:space="0" w:color="000000"/>
              <w:bottom w:val="single" w:sz="4" w:space="0" w:color="000000"/>
              <w:right w:val="single" w:sz="4" w:space="0" w:color="000000"/>
            </w:tcBorders>
          </w:tcPr>
          <w:p w14:paraId="37AD8E44" w14:textId="6B8E6545" w:rsidR="000D0216" w:rsidRPr="00B57D20" w:rsidRDefault="000D0216" w:rsidP="00A87030">
            <w:pPr>
              <w:contextualSpacing/>
              <w:rPr>
                <w:rFonts w:ascii="Times New Roman" w:hAnsi="Times New Roman" w:cs="Times New Roman"/>
              </w:rPr>
            </w:pPr>
            <w:r w:rsidRPr="00B57D20">
              <w:rPr>
                <w:rFonts w:ascii="Times New Roman" w:hAnsi="Times New Roman" w:cs="Times New Roman"/>
              </w:rPr>
              <w:t>D3 (D</w:t>
            </w:r>
            <w:r w:rsidR="00A87030">
              <w:rPr>
                <w:rFonts w:ascii="Times New Roman" w:hAnsi="Times New Roman" w:cs="Times New Roman"/>
              </w:rPr>
              <w:t>2</w:t>
            </w:r>
            <w:r w:rsidRPr="00B57D20">
              <w:rPr>
                <w:rFonts w:ascii="Times New Roman" w:hAnsi="Times New Roman" w:cs="Times New Roman"/>
              </w:rPr>
              <w:t>03-80)</w:t>
            </w:r>
          </w:p>
        </w:tc>
      </w:tr>
      <w:tr w:rsidR="000D0216" w:rsidRPr="00B57D20" w14:paraId="00697574"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26620556"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Lote mínimo:</w:t>
            </w:r>
          </w:p>
        </w:tc>
        <w:tc>
          <w:tcPr>
            <w:tcW w:w="2798" w:type="pct"/>
            <w:tcBorders>
              <w:top w:val="single" w:sz="4" w:space="0" w:color="000000"/>
              <w:left w:val="single" w:sz="4" w:space="0" w:color="000000"/>
              <w:bottom w:val="single" w:sz="4" w:space="0" w:color="000000"/>
              <w:right w:val="single" w:sz="4" w:space="0" w:color="000000"/>
            </w:tcBorders>
          </w:tcPr>
          <w:p w14:paraId="1973895D"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200 m2</w:t>
            </w:r>
          </w:p>
        </w:tc>
      </w:tr>
      <w:tr w:rsidR="000D0216" w:rsidRPr="00B57D20" w14:paraId="0960CEFC"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vAlign w:val="center"/>
            <w:hideMark/>
          </w:tcPr>
          <w:p w14:paraId="68CB8D40"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Forma de ocupación del suelo:</w:t>
            </w:r>
          </w:p>
        </w:tc>
        <w:tc>
          <w:tcPr>
            <w:tcW w:w="2798" w:type="pct"/>
            <w:tcBorders>
              <w:top w:val="single" w:sz="4" w:space="0" w:color="000000"/>
              <w:left w:val="single" w:sz="4" w:space="0" w:color="000000"/>
              <w:bottom w:val="single" w:sz="4" w:space="0" w:color="000000"/>
              <w:right w:val="single" w:sz="4" w:space="0" w:color="000000"/>
            </w:tcBorders>
            <w:vAlign w:val="center"/>
          </w:tcPr>
          <w:p w14:paraId="63F6AD3C" w14:textId="77777777" w:rsidR="000D0216" w:rsidRPr="00B57D20" w:rsidRDefault="000D0216" w:rsidP="00B57D20">
            <w:pPr>
              <w:rPr>
                <w:rFonts w:ascii="Times New Roman" w:hAnsi="Times New Roman" w:cs="Times New Roman"/>
              </w:rPr>
            </w:pPr>
            <w:r w:rsidRPr="00B57D20">
              <w:rPr>
                <w:rFonts w:ascii="Times New Roman" w:hAnsi="Times New Roman" w:cs="Times New Roman"/>
              </w:rPr>
              <w:t>(D) Sobre línea de fábrica</w:t>
            </w:r>
          </w:p>
        </w:tc>
      </w:tr>
      <w:tr w:rsidR="000D0216" w:rsidRPr="00B57D20" w14:paraId="0123E8E9"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hideMark/>
          </w:tcPr>
          <w:p w14:paraId="61F15A82"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 xml:space="preserve">Uso </w:t>
            </w:r>
            <w:r w:rsidR="00CE2708" w:rsidRPr="00B57D20">
              <w:rPr>
                <w:rFonts w:ascii="Times New Roman" w:hAnsi="Times New Roman" w:cs="Times New Roman"/>
                <w:b/>
              </w:rPr>
              <w:t xml:space="preserve">principal </w:t>
            </w:r>
            <w:r w:rsidRPr="00B57D20">
              <w:rPr>
                <w:rFonts w:ascii="Times New Roman" w:hAnsi="Times New Roman" w:cs="Times New Roman"/>
                <w:b/>
              </w:rPr>
              <w:t>de</w:t>
            </w:r>
            <w:r w:rsidR="00CE2708" w:rsidRPr="00B57D20">
              <w:rPr>
                <w:rFonts w:ascii="Times New Roman" w:hAnsi="Times New Roman" w:cs="Times New Roman"/>
                <w:b/>
              </w:rPr>
              <w:t>l</w:t>
            </w:r>
            <w:r w:rsidRPr="00B57D20">
              <w:rPr>
                <w:rFonts w:ascii="Times New Roman" w:hAnsi="Times New Roman" w:cs="Times New Roman"/>
                <w:b/>
              </w:rPr>
              <w:t xml:space="preserve"> suelo:</w:t>
            </w:r>
          </w:p>
        </w:tc>
        <w:tc>
          <w:tcPr>
            <w:tcW w:w="2798" w:type="pct"/>
            <w:tcBorders>
              <w:top w:val="single" w:sz="4" w:space="0" w:color="000000"/>
              <w:left w:val="single" w:sz="4" w:space="0" w:color="000000"/>
              <w:bottom w:val="single" w:sz="4" w:space="0" w:color="000000"/>
              <w:right w:val="single" w:sz="4" w:space="0" w:color="000000"/>
            </w:tcBorders>
          </w:tcPr>
          <w:p w14:paraId="032A1994" w14:textId="77777777" w:rsidR="000D0216" w:rsidRPr="00B57D20" w:rsidRDefault="00CF4640" w:rsidP="00B57D20">
            <w:pPr>
              <w:contextualSpacing/>
              <w:rPr>
                <w:rFonts w:ascii="Times New Roman" w:hAnsi="Times New Roman" w:cs="Times New Roman"/>
              </w:rPr>
            </w:pPr>
            <w:r w:rsidRPr="00CF4640">
              <w:rPr>
                <w:rFonts w:ascii="Times New Roman" w:eastAsia="Times New Roman" w:hAnsi="Times New Roman" w:cs="Times New Roman"/>
                <w:color w:val="000000" w:themeColor="text1"/>
              </w:rPr>
              <w:t>(RU2) Residencia Urbano 2</w:t>
            </w:r>
          </w:p>
        </w:tc>
      </w:tr>
      <w:tr w:rsidR="000D0216" w:rsidRPr="00B57D20" w14:paraId="09BDF58D" w14:textId="77777777" w:rsidTr="00393178">
        <w:trPr>
          <w:trHeight w:val="87"/>
        </w:trPr>
        <w:tc>
          <w:tcPr>
            <w:tcW w:w="2202" w:type="pct"/>
            <w:tcBorders>
              <w:top w:val="single" w:sz="4" w:space="0" w:color="000000"/>
              <w:left w:val="single" w:sz="4" w:space="0" w:color="000000"/>
              <w:bottom w:val="single" w:sz="4" w:space="0" w:color="000000"/>
              <w:right w:val="single" w:sz="4" w:space="0" w:color="000000"/>
            </w:tcBorders>
          </w:tcPr>
          <w:p w14:paraId="59AAD137" w14:textId="77777777" w:rsidR="000D0216" w:rsidRPr="00B57D20" w:rsidRDefault="000D0216" w:rsidP="00B57D20">
            <w:pPr>
              <w:contextualSpacing/>
              <w:rPr>
                <w:rFonts w:ascii="Times New Roman" w:hAnsi="Times New Roman" w:cs="Times New Roman"/>
                <w:b/>
              </w:rPr>
            </w:pPr>
            <w:r w:rsidRPr="00B57D20">
              <w:rPr>
                <w:rFonts w:ascii="Times New Roman" w:hAnsi="Times New Roman" w:cs="Times New Roman"/>
                <w:b/>
              </w:rPr>
              <w:t>Clasificación del suelo:</w:t>
            </w:r>
          </w:p>
        </w:tc>
        <w:tc>
          <w:tcPr>
            <w:tcW w:w="2798" w:type="pct"/>
            <w:tcBorders>
              <w:top w:val="single" w:sz="4" w:space="0" w:color="000000"/>
              <w:left w:val="single" w:sz="4" w:space="0" w:color="000000"/>
              <w:bottom w:val="single" w:sz="4" w:space="0" w:color="000000"/>
              <w:right w:val="single" w:sz="4" w:space="0" w:color="000000"/>
            </w:tcBorders>
          </w:tcPr>
          <w:p w14:paraId="09292004" w14:textId="77777777" w:rsidR="000D0216" w:rsidRPr="00B57D20" w:rsidRDefault="000D0216" w:rsidP="00B57D20">
            <w:pPr>
              <w:contextualSpacing/>
              <w:rPr>
                <w:rFonts w:ascii="Times New Roman" w:hAnsi="Times New Roman" w:cs="Times New Roman"/>
              </w:rPr>
            </w:pPr>
            <w:r w:rsidRPr="00B57D20">
              <w:rPr>
                <w:rFonts w:ascii="Times New Roman" w:hAnsi="Times New Roman" w:cs="Times New Roman"/>
              </w:rPr>
              <w:t xml:space="preserve">(SU) Suelo </w:t>
            </w:r>
            <w:r w:rsidR="00E63371" w:rsidRPr="00B57D20">
              <w:rPr>
                <w:rFonts w:ascii="Times New Roman" w:hAnsi="Times New Roman" w:cs="Times New Roman"/>
              </w:rPr>
              <w:t>Urbano</w:t>
            </w:r>
          </w:p>
        </w:tc>
      </w:tr>
    </w:tbl>
    <w:tbl>
      <w:tblPr>
        <w:tblStyle w:val="Tablaconcuadrcula"/>
        <w:tblW w:w="8613" w:type="dxa"/>
        <w:tblLook w:val="04A0" w:firstRow="1" w:lastRow="0" w:firstColumn="1" w:lastColumn="0" w:noHBand="0" w:noVBand="1"/>
      </w:tblPr>
      <w:tblGrid>
        <w:gridCol w:w="3794"/>
        <w:gridCol w:w="4819"/>
      </w:tblGrid>
      <w:tr w:rsidR="000D0216" w:rsidRPr="00B57D20" w14:paraId="536ED391" w14:textId="77777777" w:rsidTr="00BB7F83">
        <w:tc>
          <w:tcPr>
            <w:tcW w:w="3794" w:type="dxa"/>
          </w:tcPr>
          <w:p w14:paraId="5781C942"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Número de lotes:</w:t>
            </w:r>
          </w:p>
        </w:tc>
        <w:tc>
          <w:tcPr>
            <w:tcW w:w="4819" w:type="dxa"/>
          </w:tcPr>
          <w:p w14:paraId="2912DB2B" w14:textId="77777777" w:rsidR="000D0216" w:rsidRPr="00B57D20" w:rsidRDefault="00867F57" w:rsidP="00B57D20">
            <w:pPr>
              <w:pStyle w:val="Sinespaciado"/>
              <w:spacing w:line="276" w:lineRule="auto"/>
              <w:rPr>
                <w:rFonts w:ascii="Times New Roman" w:hAnsi="Times New Roman" w:cs="Times New Roman"/>
              </w:rPr>
            </w:pPr>
            <w:r w:rsidRPr="00B57D20">
              <w:rPr>
                <w:rFonts w:ascii="Times New Roman" w:hAnsi="Times New Roman" w:cs="Times New Roman"/>
              </w:rPr>
              <w:t>23</w:t>
            </w:r>
          </w:p>
        </w:tc>
      </w:tr>
      <w:tr w:rsidR="000D0216" w:rsidRPr="00B57D20" w14:paraId="79D8DD3F" w14:textId="77777777" w:rsidTr="00BB7F83">
        <w:tc>
          <w:tcPr>
            <w:tcW w:w="3794" w:type="dxa"/>
          </w:tcPr>
          <w:p w14:paraId="5DB73E6F"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útil de lotes:</w:t>
            </w:r>
          </w:p>
        </w:tc>
        <w:tc>
          <w:tcPr>
            <w:tcW w:w="4819" w:type="dxa"/>
          </w:tcPr>
          <w:p w14:paraId="59E32394" w14:textId="77777777" w:rsidR="000D0216" w:rsidRPr="00B57D20" w:rsidRDefault="00867F57" w:rsidP="00B57D20">
            <w:pPr>
              <w:pStyle w:val="Ttulo3"/>
              <w:spacing w:line="276" w:lineRule="auto"/>
              <w:outlineLvl w:val="2"/>
              <w:rPr>
                <w:sz w:val="22"/>
                <w:szCs w:val="22"/>
                <w:vertAlign w:val="superscript"/>
              </w:rPr>
            </w:pPr>
            <w:r w:rsidRPr="00B57D20">
              <w:rPr>
                <w:sz w:val="22"/>
                <w:szCs w:val="22"/>
              </w:rPr>
              <w:t>6.439,70 m</w:t>
            </w:r>
            <w:r w:rsidRPr="00B57D20">
              <w:rPr>
                <w:sz w:val="22"/>
                <w:szCs w:val="22"/>
                <w:vertAlign w:val="superscript"/>
              </w:rPr>
              <w:t>2</w:t>
            </w:r>
          </w:p>
        </w:tc>
      </w:tr>
      <w:tr w:rsidR="000D0216" w:rsidRPr="00B57D20" w14:paraId="2F020F6E" w14:textId="77777777" w:rsidTr="00BB7F83">
        <w:tc>
          <w:tcPr>
            <w:tcW w:w="3794" w:type="dxa"/>
          </w:tcPr>
          <w:p w14:paraId="0FACBD17"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vías y pasajes:</w:t>
            </w:r>
          </w:p>
        </w:tc>
        <w:tc>
          <w:tcPr>
            <w:tcW w:w="4819" w:type="dxa"/>
          </w:tcPr>
          <w:p w14:paraId="70DED0ED" w14:textId="77777777" w:rsidR="000D0216" w:rsidRPr="00B57D20" w:rsidRDefault="004A68DB" w:rsidP="00B57D20">
            <w:pPr>
              <w:pStyle w:val="Ttulo3"/>
              <w:spacing w:line="276" w:lineRule="auto"/>
              <w:outlineLvl w:val="2"/>
              <w:rPr>
                <w:sz w:val="22"/>
                <w:szCs w:val="22"/>
                <w:vertAlign w:val="superscript"/>
              </w:rPr>
            </w:pPr>
            <w:r w:rsidRPr="00B57D20">
              <w:rPr>
                <w:sz w:val="22"/>
                <w:szCs w:val="22"/>
              </w:rPr>
              <w:t>356</w:t>
            </w:r>
            <w:r w:rsidR="00867F57" w:rsidRPr="00B57D20">
              <w:rPr>
                <w:sz w:val="22"/>
                <w:szCs w:val="22"/>
              </w:rPr>
              <w:t>,</w:t>
            </w:r>
            <w:r w:rsidRPr="00B57D20">
              <w:rPr>
                <w:sz w:val="22"/>
                <w:szCs w:val="22"/>
              </w:rPr>
              <w:t>30</w:t>
            </w:r>
            <w:r w:rsidR="00867F57" w:rsidRPr="00B57D20">
              <w:rPr>
                <w:sz w:val="22"/>
                <w:szCs w:val="22"/>
              </w:rPr>
              <w:t xml:space="preserve"> m</w:t>
            </w:r>
            <w:r w:rsidR="00867F57" w:rsidRPr="00B57D20">
              <w:rPr>
                <w:sz w:val="22"/>
                <w:szCs w:val="22"/>
                <w:vertAlign w:val="superscript"/>
              </w:rPr>
              <w:t>2</w:t>
            </w:r>
          </w:p>
        </w:tc>
      </w:tr>
      <w:tr w:rsidR="000D0216" w:rsidRPr="00B57D20" w14:paraId="3EB73FDB" w14:textId="77777777" w:rsidTr="00BB7F83">
        <w:tc>
          <w:tcPr>
            <w:tcW w:w="3794" w:type="dxa"/>
          </w:tcPr>
          <w:p w14:paraId="7D16C832" w14:textId="77777777" w:rsidR="000D0216" w:rsidRPr="00B57D20" w:rsidRDefault="000D0216" w:rsidP="00B57D20">
            <w:pPr>
              <w:pStyle w:val="Sinespaciado"/>
              <w:spacing w:line="276" w:lineRule="auto"/>
              <w:rPr>
                <w:rFonts w:ascii="Times New Roman" w:hAnsi="Times New Roman" w:cs="Times New Roman"/>
                <w:b/>
              </w:rPr>
            </w:pPr>
            <w:r w:rsidRPr="00B57D20">
              <w:rPr>
                <w:rFonts w:ascii="Times New Roman" w:hAnsi="Times New Roman" w:cs="Times New Roman"/>
                <w:b/>
              </w:rPr>
              <w:t>Área total del predio:</w:t>
            </w:r>
          </w:p>
        </w:tc>
        <w:tc>
          <w:tcPr>
            <w:tcW w:w="4819" w:type="dxa"/>
          </w:tcPr>
          <w:p w14:paraId="6E0B332D" w14:textId="77777777" w:rsidR="000D0216" w:rsidRPr="00B57D20" w:rsidRDefault="00867F57" w:rsidP="00B57D20">
            <w:pPr>
              <w:pStyle w:val="Ttulo3"/>
              <w:spacing w:line="276" w:lineRule="auto"/>
              <w:outlineLvl w:val="2"/>
              <w:rPr>
                <w:sz w:val="22"/>
                <w:szCs w:val="22"/>
                <w:vertAlign w:val="superscript"/>
              </w:rPr>
            </w:pPr>
            <w:r w:rsidRPr="00B57D20">
              <w:rPr>
                <w:sz w:val="22"/>
                <w:szCs w:val="22"/>
              </w:rPr>
              <w:t>6.79</w:t>
            </w:r>
            <w:r w:rsidR="00EA6761" w:rsidRPr="00B57D20">
              <w:rPr>
                <w:sz w:val="22"/>
                <w:szCs w:val="22"/>
              </w:rPr>
              <w:t>6</w:t>
            </w:r>
            <w:r w:rsidRPr="00B57D20">
              <w:rPr>
                <w:sz w:val="22"/>
                <w:szCs w:val="22"/>
              </w:rPr>
              <w:t>,</w:t>
            </w:r>
            <w:r w:rsidR="00EA6761" w:rsidRPr="00B57D20">
              <w:rPr>
                <w:sz w:val="22"/>
                <w:szCs w:val="22"/>
              </w:rPr>
              <w:t>00</w:t>
            </w:r>
            <w:r w:rsidRPr="00B57D20">
              <w:rPr>
                <w:sz w:val="22"/>
                <w:szCs w:val="22"/>
              </w:rPr>
              <w:t xml:space="preserve"> m</w:t>
            </w:r>
            <w:r w:rsidRPr="00B57D20">
              <w:rPr>
                <w:sz w:val="22"/>
                <w:szCs w:val="22"/>
                <w:vertAlign w:val="superscript"/>
              </w:rPr>
              <w:t>2</w:t>
            </w:r>
          </w:p>
        </w:tc>
      </w:tr>
    </w:tbl>
    <w:p w14:paraId="17198DCD" w14:textId="77777777" w:rsidR="000D0216" w:rsidRPr="00B57D20" w:rsidRDefault="000D0216" w:rsidP="00B57D20">
      <w:pPr>
        <w:spacing w:before="240"/>
        <w:rPr>
          <w:rFonts w:ascii="Times New Roman" w:hAnsi="Times New Roman" w:cs="Times New Roman"/>
        </w:rPr>
      </w:pPr>
      <w:r w:rsidRPr="00B57D20">
        <w:rPr>
          <w:rFonts w:ascii="Times New Roman" w:hAnsi="Times New Roman" w:cs="Times New Roman"/>
        </w:rPr>
        <w:t xml:space="preserve">El número total de lotes, producto del fraccionamiento, es de </w:t>
      </w:r>
      <w:r w:rsidR="00867F57" w:rsidRPr="00B57D20">
        <w:rPr>
          <w:rFonts w:ascii="Times New Roman" w:hAnsi="Times New Roman" w:cs="Times New Roman"/>
        </w:rPr>
        <w:t>23</w:t>
      </w:r>
      <w:r w:rsidRPr="00B57D20">
        <w:rPr>
          <w:rFonts w:ascii="Times New Roman" w:hAnsi="Times New Roman" w:cs="Times New Roman"/>
        </w:rPr>
        <w:t xml:space="preserve"> signados del uno (1) al </w:t>
      </w:r>
      <w:r w:rsidR="00867F57" w:rsidRPr="00B57D20">
        <w:rPr>
          <w:rFonts w:ascii="Times New Roman" w:hAnsi="Times New Roman" w:cs="Times New Roman"/>
        </w:rPr>
        <w:t>veinte y tres</w:t>
      </w:r>
      <w:r w:rsidRPr="00B57D20">
        <w:rPr>
          <w:rFonts w:ascii="Times New Roman" w:hAnsi="Times New Roman" w:cs="Times New Roman"/>
        </w:rPr>
        <w:t xml:space="preserve"> (</w:t>
      </w:r>
      <w:r w:rsidR="00867F57" w:rsidRPr="00B57D20">
        <w:rPr>
          <w:rFonts w:ascii="Times New Roman" w:hAnsi="Times New Roman" w:cs="Times New Roman"/>
        </w:rPr>
        <w:t>23)</w:t>
      </w:r>
      <w:r w:rsidRPr="00B57D20">
        <w:rPr>
          <w:rFonts w:ascii="Times New Roman" w:hAnsi="Times New Roman" w:cs="Times New Roman"/>
        </w:rPr>
        <w:t>, cuyo detalle es el que consta en los planos aprobatorios que forman parte de la presente Ordenanza.</w:t>
      </w:r>
    </w:p>
    <w:p w14:paraId="7F7228EE" w14:textId="494D0D21" w:rsidR="00BB7F83" w:rsidRPr="00BB7F83" w:rsidRDefault="005A3951" w:rsidP="00BB7F83">
      <w:pPr>
        <w:spacing w:before="240"/>
        <w:rPr>
          <w:rFonts w:ascii="Times New Roman" w:hAnsi="Times New Roman" w:cs="Times New Roman"/>
        </w:rPr>
      </w:pPr>
      <w:r w:rsidRPr="00E644C5">
        <w:rPr>
          <w:rFonts w:ascii="Times New Roman" w:hAnsi="Times New Roman" w:cs="Times New Roman"/>
        </w:rPr>
        <w:t xml:space="preserve">El área total del predio No. </w:t>
      </w:r>
      <w:r w:rsidR="00E07080" w:rsidRPr="00E644C5">
        <w:rPr>
          <w:rFonts w:ascii="Times New Roman" w:hAnsi="Times New Roman" w:cs="Times New Roman"/>
        </w:rPr>
        <w:t>618259</w:t>
      </w:r>
      <w:r w:rsidRPr="00E644C5">
        <w:rPr>
          <w:rFonts w:ascii="Times New Roman" w:hAnsi="Times New Roman" w:cs="Times New Roman"/>
        </w:rPr>
        <w:t xml:space="preserve">, </w:t>
      </w:r>
      <w:r w:rsidR="00BB7F83" w:rsidRPr="00BB7F83">
        <w:rPr>
          <w:rFonts w:ascii="Times New Roman" w:hAnsi="Times New Roman" w:cs="Times New Roman"/>
        </w:rPr>
        <w:t>es la que consta en la Cédula Catastral  No.</w:t>
      </w:r>
      <w:r w:rsidR="00BB7F83">
        <w:rPr>
          <w:rFonts w:ascii="Times New Roman" w:hAnsi="Times New Roman" w:cs="Times New Roman"/>
        </w:rPr>
        <w:t>11424</w:t>
      </w:r>
      <w:r w:rsidR="00BB7F83" w:rsidRPr="00BB7F83">
        <w:rPr>
          <w:rFonts w:ascii="Times New Roman" w:hAnsi="Times New Roman" w:cs="Times New Roman"/>
        </w:rPr>
        <w:t xml:space="preserve"> emitida por la Dirección Metropolitana de Catastro, el </w:t>
      </w:r>
      <w:r w:rsidR="00BB7F83">
        <w:rPr>
          <w:rFonts w:ascii="Times New Roman" w:hAnsi="Times New Roman" w:cs="Times New Roman"/>
        </w:rPr>
        <w:t xml:space="preserve">28 </w:t>
      </w:r>
      <w:r w:rsidR="00BB7F83" w:rsidRPr="00BB7F83">
        <w:rPr>
          <w:rFonts w:ascii="Times New Roman" w:hAnsi="Times New Roman" w:cs="Times New Roman"/>
        </w:rPr>
        <w:t xml:space="preserve">de </w:t>
      </w:r>
      <w:r w:rsidR="00BB7F83">
        <w:rPr>
          <w:rFonts w:ascii="Times New Roman" w:hAnsi="Times New Roman" w:cs="Times New Roman"/>
        </w:rPr>
        <w:t xml:space="preserve">julio </w:t>
      </w:r>
      <w:r w:rsidR="002E0160">
        <w:rPr>
          <w:rFonts w:ascii="Times New Roman" w:hAnsi="Times New Roman" w:cs="Times New Roman"/>
        </w:rPr>
        <w:t>de 2020.</w:t>
      </w:r>
    </w:p>
    <w:p w14:paraId="59993296" w14:textId="77777777" w:rsidR="00BB7F83" w:rsidRPr="00B57D20" w:rsidRDefault="00BB7F83" w:rsidP="00BB7F83">
      <w:pPr>
        <w:spacing w:before="240"/>
        <w:rPr>
          <w:rFonts w:ascii="Times New Roman" w:hAnsi="Times New Roman" w:cs="Times New Roman"/>
        </w:rPr>
      </w:pPr>
      <w:r w:rsidRPr="00BB7F83">
        <w:rPr>
          <w:rFonts w:ascii="Times New Roman" w:hAnsi="Times New Roman" w:cs="Times New Roman"/>
        </w:rPr>
        <w:t>Las áreas de los predios descritos, se encuentran rectificadas y regularizadas de conformidad al Art. IV.1.164 del Código Municipal para el Distrito Metropolitano de Quito.</w:t>
      </w:r>
      <w:r w:rsidRPr="00B57D20">
        <w:rPr>
          <w:rFonts w:ascii="Times New Roman" w:hAnsi="Times New Roman" w:cs="Times New Roman"/>
        </w:rPr>
        <w:t xml:space="preserve"> </w:t>
      </w:r>
    </w:p>
    <w:p w14:paraId="4C9C31F8" w14:textId="28FBA3C2" w:rsidR="00EC2596" w:rsidRPr="00B57D20" w:rsidRDefault="00E63371" w:rsidP="00BB7F83">
      <w:pPr>
        <w:spacing w:before="240"/>
        <w:rPr>
          <w:rFonts w:ascii="Times New Roman" w:eastAsia="Times New Roman" w:hAnsi="Times New Roman" w:cs="Times New Roman"/>
        </w:rPr>
      </w:pPr>
      <w:r w:rsidRPr="00B57D20">
        <w:rPr>
          <w:rFonts w:ascii="Times New Roman" w:hAnsi="Times New Roman" w:cs="Times New Roman"/>
          <w:b/>
          <w:bCs/>
        </w:rPr>
        <w:lastRenderedPageBreak/>
        <w:t xml:space="preserve">Artículo 5.- Zonificación de los lotes.- </w:t>
      </w:r>
      <w:r w:rsidRPr="00B57D20">
        <w:rPr>
          <w:rFonts w:ascii="Times New Roman" w:hAnsi="Times New Roman" w:cs="Times New Roman"/>
          <w:bCs/>
        </w:rPr>
        <w:t>Los lotes fraccionados mante</w:t>
      </w:r>
      <w:r w:rsidR="00B57D20" w:rsidRPr="00B57D20">
        <w:rPr>
          <w:rFonts w:ascii="Times New Roman" w:hAnsi="Times New Roman" w:cs="Times New Roman"/>
          <w:bCs/>
        </w:rPr>
        <w:t>n</w:t>
      </w:r>
      <w:r w:rsidR="005A3951" w:rsidRPr="00B57D20">
        <w:rPr>
          <w:rFonts w:ascii="Times New Roman" w:hAnsi="Times New Roman" w:cs="Times New Roman"/>
          <w:bCs/>
        </w:rPr>
        <w:t>dr</w:t>
      </w:r>
      <w:r w:rsidR="00B57D20" w:rsidRPr="00B57D20">
        <w:rPr>
          <w:rFonts w:ascii="Times New Roman" w:hAnsi="Times New Roman" w:cs="Times New Roman"/>
          <w:bCs/>
        </w:rPr>
        <w:t>á</w:t>
      </w:r>
      <w:r w:rsidR="005A3951" w:rsidRPr="00B57D20">
        <w:rPr>
          <w:rFonts w:ascii="Times New Roman" w:hAnsi="Times New Roman" w:cs="Times New Roman"/>
          <w:bCs/>
        </w:rPr>
        <w:t>n</w:t>
      </w:r>
      <w:r w:rsidRPr="00B57D20">
        <w:rPr>
          <w:rFonts w:ascii="Times New Roman" w:hAnsi="Times New Roman" w:cs="Times New Roman"/>
          <w:bCs/>
        </w:rPr>
        <w:t xml:space="preserve"> su zonificación en: </w:t>
      </w:r>
      <w:r w:rsidR="00EC2596" w:rsidRPr="00B57D20">
        <w:rPr>
          <w:rFonts w:ascii="Times New Roman" w:eastAsia="Times New Roman" w:hAnsi="Times New Roman" w:cs="Times New Roman"/>
        </w:rPr>
        <w:t>D</w:t>
      </w:r>
      <w:r w:rsidR="00B27C4B">
        <w:rPr>
          <w:rFonts w:ascii="Times New Roman" w:eastAsia="Times New Roman" w:hAnsi="Times New Roman" w:cs="Times New Roman"/>
        </w:rPr>
        <w:t>3</w:t>
      </w:r>
      <w:r w:rsidR="00EC2596" w:rsidRPr="00B57D20">
        <w:rPr>
          <w:rFonts w:ascii="Times New Roman" w:eastAsia="Times New Roman" w:hAnsi="Times New Roman" w:cs="Times New Roman"/>
        </w:rPr>
        <w:t xml:space="preserve"> (D203-80); forma de ocupación: (D) sobre línea de fábrica; lote mínimo 200,00 m2; número de pisos: 3 pisos; COS planta baja 80%, COS total 240%;</w:t>
      </w:r>
      <w:r w:rsidR="00932DCF">
        <w:rPr>
          <w:rFonts w:ascii="Times New Roman" w:eastAsia="Times New Roman" w:hAnsi="Times New Roman" w:cs="Times New Roman"/>
        </w:rPr>
        <w:t xml:space="preserve"> </w:t>
      </w:r>
      <w:r w:rsidR="00EC2596" w:rsidRPr="00B57D20">
        <w:rPr>
          <w:rFonts w:ascii="Times New Roman" w:eastAsia="Times New Roman" w:hAnsi="Times New Roman" w:cs="Times New Roman"/>
        </w:rPr>
        <w:t xml:space="preserve">Uso principal: </w:t>
      </w:r>
      <w:r w:rsidR="00CF4640" w:rsidRPr="00CF4640">
        <w:rPr>
          <w:rFonts w:ascii="Times New Roman" w:eastAsia="Times New Roman" w:hAnsi="Times New Roman" w:cs="Times New Roman"/>
          <w:color w:val="000000" w:themeColor="text1"/>
        </w:rPr>
        <w:t>(RU2) Residencia Urbano 2</w:t>
      </w:r>
      <w:r w:rsidR="00EC2596" w:rsidRPr="00B57D20">
        <w:rPr>
          <w:rFonts w:ascii="Times New Roman" w:eastAsia="Times New Roman" w:hAnsi="Times New Roman" w:cs="Times New Roman"/>
        </w:rPr>
        <w:t>.</w:t>
      </w:r>
    </w:p>
    <w:p w14:paraId="70B99A2E" w14:textId="77777777" w:rsidR="00E63371" w:rsidRPr="00B57D20" w:rsidRDefault="00E63371" w:rsidP="00B57D20">
      <w:pPr>
        <w:spacing w:after="240"/>
        <w:rPr>
          <w:rFonts w:ascii="Times New Roman" w:hAnsi="Times New Roman" w:cs="Times New Roman"/>
        </w:rPr>
      </w:pPr>
      <w:r w:rsidRPr="00B57D20">
        <w:rPr>
          <w:rFonts w:ascii="Times New Roman" w:hAnsi="Times New Roman" w:cs="Times New Roman"/>
          <w:b/>
        </w:rPr>
        <w:t xml:space="preserve">Artículo 6.- Clasificación del Suelo.- </w:t>
      </w:r>
      <w:r w:rsidRPr="00B57D20">
        <w:rPr>
          <w:rFonts w:ascii="Times New Roman" w:hAnsi="Times New Roman" w:cs="Times New Roman"/>
        </w:rPr>
        <w:t>Los lotes fraccionados mantendrán la clasificación vigente esto es (SU) Suelo Urbano.</w:t>
      </w:r>
    </w:p>
    <w:p w14:paraId="1B5CCEF9" w14:textId="77777777" w:rsidR="00D11EC0" w:rsidRPr="00B57D20" w:rsidRDefault="00D11EC0" w:rsidP="00B57D20">
      <w:pPr>
        <w:rPr>
          <w:rFonts w:ascii="Times New Roman" w:hAnsi="Times New Roman" w:cs="Times New Roman"/>
        </w:rPr>
      </w:pPr>
      <w:r w:rsidRPr="00B57D20">
        <w:rPr>
          <w:rFonts w:ascii="Times New Roman" w:hAnsi="Times New Roman" w:cs="Times New Roman"/>
          <w:b/>
          <w:color w:val="000000" w:themeColor="text1"/>
        </w:rPr>
        <w:t>Artículo 7.-</w:t>
      </w:r>
      <w:r w:rsidRPr="00B57D20">
        <w:rPr>
          <w:rFonts w:ascii="Times New Roman" w:hAnsi="Times New Roman" w:cs="Times New Roman"/>
          <w:b/>
        </w:rPr>
        <w:t xml:space="preserve"> Exoneraci</w:t>
      </w:r>
      <w:r w:rsidR="006A67A8" w:rsidRPr="00B57D20">
        <w:rPr>
          <w:rFonts w:ascii="Times New Roman" w:hAnsi="Times New Roman" w:cs="Times New Roman"/>
          <w:b/>
        </w:rPr>
        <w:t>ón del porcentaje de área verde</w:t>
      </w:r>
      <w:r w:rsidRPr="00B57D20">
        <w:rPr>
          <w:rFonts w:ascii="Times New Roman" w:hAnsi="Times New Roman" w:cs="Times New Roman"/>
          <w:b/>
        </w:rPr>
        <w:t>.-</w:t>
      </w:r>
      <w:r w:rsidRPr="00B57D20">
        <w:rPr>
          <w:rFonts w:ascii="Times New Roman" w:hAnsi="Times New Roman" w:cs="Times New Roman"/>
        </w:rPr>
        <w:t xml:space="preserve"> A los copropietarios del predio donde se encuentra el </w:t>
      </w:r>
      <w:r w:rsidR="006A67A8" w:rsidRPr="00B57D20">
        <w:rPr>
          <w:rFonts w:ascii="Times New Roman" w:hAnsi="Times New Roman" w:cs="Times New Roman"/>
        </w:rPr>
        <w:t>a</w:t>
      </w:r>
      <w:r w:rsidRPr="00B57D20">
        <w:rPr>
          <w:rFonts w:ascii="Times New Roman" w:hAnsi="Times New Roman" w:cs="Times New Roman"/>
        </w:rPr>
        <w:t xml:space="preserve">sentamiento </w:t>
      </w:r>
      <w:r w:rsidR="006A67A8" w:rsidRPr="00B57D20">
        <w:rPr>
          <w:rFonts w:ascii="Times New Roman" w:hAnsi="Times New Roman" w:cs="Times New Roman"/>
        </w:rPr>
        <w:t>h</w:t>
      </w:r>
      <w:r w:rsidRPr="00B57D20">
        <w:rPr>
          <w:rFonts w:ascii="Times New Roman" w:hAnsi="Times New Roman" w:cs="Times New Roman"/>
        </w:rPr>
        <w:t xml:space="preserve">umano de </w:t>
      </w:r>
      <w:r w:rsidR="006A67A8" w:rsidRPr="00B57D20">
        <w:rPr>
          <w:rFonts w:ascii="Times New Roman" w:hAnsi="Times New Roman" w:cs="Times New Roman"/>
        </w:rPr>
        <w:t>h</w:t>
      </w:r>
      <w:r w:rsidRPr="00B57D20">
        <w:rPr>
          <w:rFonts w:ascii="Times New Roman" w:hAnsi="Times New Roman" w:cs="Times New Roman"/>
        </w:rPr>
        <w:t xml:space="preserve">echo y </w:t>
      </w:r>
      <w:r w:rsidR="006A67A8" w:rsidRPr="00B57D20">
        <w:rPr>
          <w:rFonts w:ascii="Times New Roman" w:hAnsi="Times New Roman" w:cs="Times New Roman"/>
        </w:rPr>
        <w:t>c</w:t>
      </w:r>
      <w:r w:rsidRPr="00B57D20">
        <w:rPr>
          <w:rFonts w:ascii="Times New Roman" w:hAnsi="Times New Roman" w:cs="Times New Roman"/>
        </w:rPr>
        <w:t xml:space="preserve">onsolidado de </w:t>
      </w:r>
      <w:r w:rsidR="006A67A8" w:rsidRPr="00B57D20">
        <w:rPr>
          <w:rFonts w:ascii="Times New Roman" w:hAnsi="Times New Roman" w:cs="Times New Roman"/>
        </w:rPr>
        <w:t>i</w:t>
      </w:r>
      <w:r w:rsidRPr="00B57D20">
        <w:rPr>
          <w:rFonts w:ascii="Times New Roman" w:hAnsi="Times New Roman" w:cs="Times New Roman"/>
        </w:rPr>
        <w:t xml:space="preserve">nterés </w:t>
      </w:r>
      <w:r w:rsidR="006A67A8" w:rsidRPr="00B57D20">
        <w:rPr>
          <w:rFonts w:ascii="Times New Roman" w:hAnsi="Times New Roman" w:cs="Times New Roman"/>
        </w:rPr>
        <w:t>s</w:t>
      </w:r>
      <w:r w:rsidRPr="00B57D20">
        <w:rPr>
          <w:rFonts w:ascii="Times New Roman" w:hAnsi="Times New Roman" w:cs="Times New Roman"/>
        </w:rPr>
        <w:t>ocial denominado Barrio “Bellavista Séptima Etapa</w:t>
      </w:r>
      <w:r w:rsidR="006A67A8" w:rsidRPr="00B57D20">
        <w:rPr>
          <w:rFonts w:ascii="Times New Roman" w:hAnsi="Times New Roman" w:cs="Times New Roman"/>
        </w:rPr>
        <w:t>”</w:t>
      </w:r>
      <w:r w:rsidRPr="00B57D20">
        <w:rPr>
          <w:rFonts w:ascii="Times New Roman" w:hAnsi="Times New Roman" w:cs="Times New Roman"/>
        </w:rPr>
        <w:t xml:space="preserve">, conforme a la normativa vigente se les exonera de la contribución del 15% del área verde, por ser considerado como un </w:t>
      </w:r>
      <w:r w:rsidR="006A67A8" w:rsidRPr="00B57D20">
        <w:rPr>
          <w:rFonts w:ascii="Times New Roman" w:hAnsi="Times New Roman" w:cs="Times New Roman"/>
        </w:rPr>
        <w:t>a</w:t>
      </w:r>
      <w:r w:rsidRPr="00B57D20">
        <w:rPr>
          <w:rFonts w:ascii="Times New Roman" w:hAnsi="Times New Roman" w:cs="Times New Roman"/>
        </w:rPr>
        <w:t>sentamiento declarado de Interés Social.</w:t>
      </w:r>
    </w:p>
    <w:p w14:paraId="527CEE76" w14:textId="77777777" w:rsidR="00DB2488" w:rsidRPr="00B57D20" w:rsidRDefault="000C08CE" w:rsidP="00B57D20">
      <w:pPr>
        <w:rPr>
          <w:rFonts w:ascii="Times New Roman" w:hAnsi="Times New Roman" w:cs="Times New Roman"/>
          <w:bCs/>
        </w:rPr>
      </w:pPr>
      <w:r w:rsidRPr="00B57D20">
        <w:rPr>
          <w:rFonts w:ascii="Times New Roman" w:hAnsi="Times New Roman" w:cs="Times New Roman"/>
          <w:b/>
        </w:rPr>
        <w:t xml:space="preserve">Artículo 8.- Lotes por excepción.- </w:t>
      </w:r>
      <w:r w:rsidRPr="00B57D20">
        <w:rPr>
          <w:rFonts w:ascii="Times New Roman" w:hAnsi="Times New Roman" w:cs="Times New Roman"/>
          <w:bCs/>
          <w:color w:val="000000"/>
        </w:rPr>
        <w:t xml:space="preserve">Por tratarse de un </w:t>
      </w:r>
      <w:r w:rsidR="006A67A8" w:rsidRPr="00B57D20">
        <w:rPr>
          <w:rFonts w:ascii="Times New Roman" w:hAnsi="Times New Roman" w:cs="Times New Roman"/>
          <w:bCs/>
          <w:color w:val="000000"/>
        </w:rPr>
        <w:t>a</w:t>
      </w:r>
      <w:r w:rsidRPr="00B57D20">
        <w:rPr>
          <w:rFonts w:ascii="Times New Roman" w:hAnsi="Times New Roman" w:cs="Times New Roman"/>
          <w:bCs/>
          <w:color w:val="000000"/>
        </w:rPr>
        <w:t xml:space="preserve">sentamiento </w:t>
      </w:r>
      <w:r w:rsidR="006A67A8" w:rsidRPr="00B57D20">
        <w:rPr>
          <w:rFonts w:ascii="Times New Roman" w:hAnsi="Times New Roman" w:cs="Times New Roman"/>
          <w:bCs/>
          <w:color w:val="000000"/>
        </w:rPr>
        <w:t xml:space="preserve">humano </w:t>
      </w:r>
      <w:r w:rsidRPr="00B57D20">
        <w:rPr>
          <w:rFonts w:ascii="Times New Roman" w:hAnsi="Times New Roman" w:cs="Times New Roman"/>
          <w:bCs/>
          <w:color w:val="000000"/>
        </w:rPr>
        <w:t xml:space="preserve">de </w:t>
      </w:r>
      <w:r w:rsidR="006A67A8" w:rsidRPr="00B57D20">
        <w:rPr>
          <w:rFonts w:ascii="Times New Roman" w:hAnsi="Times New Roman" w:cs="Times New Roman"/>
          <w:bCs/>
          <w:color w:val="000000"/>
        </w:rPr>
        <w:t>h</w:t>
      </w:r>
      <w:r w:rsidRPr="00B57D20">
        <w:rPr>
          <w:rFonts w:ascii="Times New Roman" w:hAnsi="Times New Roman" w:cs="Times New Roman"/>
          <w:bCs/>
          <w:color w:val="000000"/>
        </w:rPr>
        <w:t xml:space="preserve">echo y </w:t>
      </w:r>
      <w:r w:rsidR="006A67A8" w:rsidRPr="00B57D20">
        <w:rPr>
          <w:rFonts w:ascii="Times New Roman" w:hAnsi="Times New Roman" w:cs="Times New Roman"/>
          <w:bCs/>
          <w:color w:val="000000"/>
        </w:rPr>
        <w:t>c</w:t>
      </w:r>
      <w:r w:rsidRPr="00B57D20">
        <w:rPr>
          <w:rFonts w:ascii="Times New Roman" w:hAnsi="Times New Roman" w:cs="Times New Roman"/>
          <w:bCs/>
          <w:color w:val="000000"/>
        </w:rPr>
        <w:t xml:space="preserve">onsolidado de </w:t>
      </w:r>
      <w:r w:rsidR="006A67A8" w:rsidRPr="00B57D20">
        <w:rPr>
          <w:rFonts w:ascii="Times New Roman" w:hAnsi="Times New Roman" w:cs="Times New Roman"/>
          <w:bCs/>
          <w:color w:val="000000"/>
        </w:rPr>
        <w:t>i</w:t>
      </w:r>
      <w:r w:rsidRPr="00B57D20">
        <w:rPr>
          <w:rFonts w:ascii="Times New Roman" w:hAnsi="Times New Roman" w:cs="Times New Roman"/>
          <w:bCs/>
          <w:color w:val="000000"/>
        </w:rPr>
        <w:t xml:space="preserve">nterés </w:t>
      </w:r>
      <w:r w:rsidR="006A67A8" w:rsidRPr="00B57D20">
        <w:rPr>
          <w:rFonts w:ascii="Times New Roman" w:hAnsi="Times New Roman" w:cs="Times New Roman"/>
          <w:bCs/>
          <w:color w:val="000000"/>
        </w:rPr>
        <w:t>s</w:t>
      </w:r>
      <w:r w:rsidRPr="00B57D20">
        <w:rPr>
          <w:rFonts w:ascii="Times New Roman" w:hAnsi="Times New Roman" w:cs="Times New Roman"/>
          <w:bCs/>
          <w:color w:val="000000"/>
        </w:rPr>
        <w:t xml:space="preserve">ocial, se aprueban por excepción esto es, con áreas inferiores a las mínimas establecidas en la zonificación vigente, los lotes: </w:t>
      </w:r>
      <w:r w:rsidR="006C3D86" w:rsidRPr="00B57D20">
        <w:rPr>
          <w:rFonts w:ascii="Times New Roman" w:hAnsi="Times New Roman" w:cs="Times New Roman"/>
          <w:bCs/>
        </w:rPr>
        <w:t xml:space="preserve">1, </w:t>
      </w:r>
      <w:r w:rsidR="0091131E" w:rsidRPr="00B57D20">
        <w:rPr>
          <w:rFonts w:ascii="Times New Roman" w:hAnsi="Times New Roman" w:cs="Times New Roman"/>
          <w:bCs/>
        </w:rPr>
        <w:t xml:space="preserve">2, </w:t>
      </w:r>
      <w:r w:rsidR="00207361" w:rsidRPr="00B57D20">
        <w:rPr>
          <w:rFonts w:ascii="Times New Roman" w:hAnsi="Times New Roman" w:cs="Times New Roman"/>
          <w:bCs/>
        </w:rPr>
        <w:t xml:space="preserve">4, 5, </w:t>
      </w:r>
      <w:r w:rsidR="0091131E" w:rsidRPr="00B57D20">
        <w:rPr>
          <w:rFonts w:ascii="Times New Roman" w:hAnsi="Times New Roman" w:cs="Times New Roman"/>
          <w:bCs/>
        </w:rPr>
        <w:t xml:space="preserve">7, </w:t>
      </w:r>
      <w:r w:rsidR="006C3D86" w:rsidRPr="00B57D20">
        <w:rPr>
          <w:rFonts w:ascii="Times New Roman" w:hAnsi="Times New Roman" w:cs="Times New Roman"/>
          <w:bCs/>
        </w:rPr>
        <w:t>10</w:t>
      </w:r>
      <w:r w:rsidR="00207361" w:rsidRPr="00B57D20">
        <w:rPr>
          <w:rFonts w:ascii="Times New Roman" w:hAnsi="Times New Roman" w:cs="Times New Roman"/>
          <w:bCs/>
        </w:rPr>
        <w:t xml:space="preserve">, 11, </w:t>
      </w:r>
      <w:r w:rsidR="006C3D86" w:rsidRPr="00B57D20">
        <w:rPr>
          <w:rFonts w:ascii="Times New Roman" w:hAnsi="Times New Roman" w:cs="Times New Roman"/>
          <w:bCs/>
        </w:rPr>
        <w:t xml:space="preserve">12, </w:t>
      </w:r>
      <w:r w:rsidR="00207361" w:rsidRPr="00B57D20">
        <w:rPr>
          <w:rFonts w:ascii="Times New Roman" w:hAnsi="Times New Roman" w:cs="Times New Roman"/>
          <w:bCs/>
        </w:rPr>
        <w:t>13</w:t>
      </w:r>
      <w:r w:rsidR="0091131E" w:rsidRPr="00B57D20">
        <w:rPr>
          <w:rFonts w:ascii="Times New Roman" w:hAnsi="Times New Roman" w:cs="Times New Roman"/>
          <w:bCs/>
        </w:rPr>
        <w:t xml:space="preserve">, </w:t>
      </w:r>
      <w:r w:rsidR="00207361" w:rsidRPr="00B57D20">
        <w:rPr>
          <w:rFonts w:ascii="Times New Roman" w:hAnsi="Times New Roman" w:cs="Times New Roman"/>
          <w:bCs/>
        </w:rPr>
        <w:t>14</w:t>
      </w:r>
      <w:r w:rsidR="0091131E" w:rsidRPr="00B57D20">
        <w:rPr>
          <w:rFonts w:ascii="Times New Roman" w:hAnsi="Times New Roman" w:cs="Times New Roman"/>
          <w:bCs/>
        </w:rPr>
        <w:t xml:space="preserve">, </w:t>
      </w:r>
      <w:r w:rsidR="0037046C" w:rsidRPr="00B57D20">
        <w:rPr>
          <w:rFonts w:ascii="Times New Roman" w:hAnsi="Times New Roman" w:cs="Times New Roman"/>
          <w:bCs/>
        </w:rPr>
        <w:t>16, 18, 19, 20, 21; y, 22</w:t>
      </w:r>
      <w:r w:rsidR="00B83524" w:rsidRPr="00B57D20">
        <w:rPr>
          <w:rFonts w:ascii="Times New Roman" w:hAnsi="Times New Roman" w:cs="Times New Roman"/>
          <w:bCs/>
        </w:rPr>
        <w:t>.</w:t>
      </w:r>
    </w:p>
    <w:p w14:paraId="1DD51410" w14:textId="77777777" w:rsidR="00533206" w:rsidRPr="00B57D20" w:rsidRDefault="000C08CE" w:rsidP="00B57D20">
      <w:pPr>
        <w:spacing w:after="240"/>
        <w:rPr>
          <w:rFonts w:ascii="Times New Roman" w:hAnsi="Times New Roman" w:cs="Times New Roman"/>
        </w:rPr>
      </w:pPr>
      <w:r w:rsidRPr="00B57D20">
        <w:rPr>
          <w:rFonts w:ascii="Times New Roman" w:hAnsi="Times New Roman" w:cs="Times New Roman"/>
          <w:b/>
        </w:rPr>
        <w:t xml:space="preserve">Artículo 9.- </w:t>
      </w:r>
      <w:r w:rsidRPr="00B57D20">
        <w:rPr>
          <w:rFonts w:ascii="Times New Roman" w:hAnsi="Times New Roman" w:cs="Times New Roman"/>
          <w:b/>
          <w:bCs/>
        </w:rPr>
        <w:t xml:space="preserve">Calificación de Riesgos.- </w:t>
      </w:r>
      <w:r w:rsidRPr="00B57D20">
        <w:rPr>
          <w:rFonts w:ascii="Times New Roman" w:hAnsi="Times New Roman" w:cs="Times New Roman"/>
          <w:bCs/>
        </w:rPr>
        <w:t xml:space="preserve"> </w:t>
      </w:r>
      <w:r w:rsidRPr="00B57D20">
        <w:rPr>
          <w:rFonts w:ascii="Times New Roman" w:hAnsi="Times New Roman" w:cs="Times New Roman"/>
        </w:rPr>
        <w:t xml:space="preserve">El </w:t>
      </w:r>
      <w:r w:rsidR="0037046C" w:rsidRPr="00B57D20">
        <w:rPr>
          <w:rFonts w:ascii="Times New Roman" w:hAnsi="Times New Roman" w:cs="Times New Roman"/>
        </w:rPr>
        <w:t>a</w:t>
      </w:r>
      <w:r w:rsidRPr="00B57D20">
        <w:rPr>
          <w:rFonts w:ascii="Times New Roman" w:hAnsi="Times New Roman" w:cs="Times New Roman"/>
        </w:rPr>
        <w:t xml:space="preserve">sentamiento </w:t>
      </w:r>
      <w:r w:rsidR="0037046C" w:rsidRPr="00B57D20">
        <w:rPr>
          <w:rFonts w:ascii="Times New Roman" w:hAnsi="Times New Roman" w:cs="Times New Roman"/>
        </w:rPr>
        <w:t>h</w:t>
      </w:r>
      <w:r w:rsidRPr="00B57D20">
        <w:rPr>
          <w:rFonts w:ascii="Times New Roman" w:hAnsi="Times New Roman" w:cs="Times New Roman"/>
        </w:rPr>
        <w:t xml:space="preserve">umano de </w:t>
      </w:r>
      <w:r w:rsidR="0037046C" w:rsidRPr="00B57D20">
        <w:rPr>
          <w:rFonts w:ascii="Times New Roman" w:hAnsi="Times New Roman" w:cs="Times New Roman"/>
        </w:rPr>
        <w:t>h</w:t>
      </w:r>
      <w:r w:rsidRPr="00B57D20">
        <w:rPr>
          <w:rFonts w:ascii="Times New Roman" w:hAnsi="Times New Roman" w:cs="Times New Roman"/>
        </w:rPr>
        <w:t xml:space="preserve">echo y </w:t>
      </w:r>
      <w:r w:rsidR="0037046C" w:rsidRPr="00B57D20">
        <w:rPr>
          <w:rFonts w:ascii="Times New Roman" w:hAnsi="Times New Roman" w:cs="Times New Roman"/>
        </w:rPr>
        <w:t>c</w:t>
      </w:r>
      <w:r w:rsidRPr="00B57D20">
        <w:rPr>
          <w:rFonts w:ascii="Times New Roman" w:hAnsi="Times New Roman" w:cs="Times New Roman"/>
        </w:rPr>
        <w:t xml:space="preserve">onsolidado de </w:t>
      </w:r>
      <w:r w:rsidR="0037046C" w:rsidRPr="00B57D20">
        <w:rPr>
          <w:rFonts w:ascii="Times New Roman" w:hAnsi="Times New Roman" w:cs="Times New Roman"/>
        </w:rPr>
        <w:t>i</w:t>
      </w:r>
      <w:r w:rsidRPr="00B57D20">
        <w:rPr>
          <w:rFonts w:ascii="Times New Roman" w:hAnsi="Times New Roman" w:cs="Times New Roman"/>
        </w:rPr>
        <w:t xml:space="preserve">nterés </w:t>
      </w:r>
      <w:r w:rsidR="0037046C" w:rsidRPr="00B57D20">
        <w:rPr>
          <w:rFonts w:ascii="Times New Roman" w:hAnsi="Times New Roman" w:cs="Times New Roman"/>
        </w:rPr>
        <w:t>s</w:t>
      </w:r>
      <w:r w:rsidRPr="00B57D20">
        <w:rPr>
          <w:rFonts w:ascii="Times New Roman" w:hAnsi="Times New Roman" w:cs="Times New Roman"/>
        </w:rPr>
        <w:t>ocial</w:t>
      </w:r>
      <w:r w:rsidRPr="00B57D20">
        <w:rPr>
          <w:rFonts w:ascii="Times New Roman" w:hAnsi="Times New Roman" w:cs="Times New Roman"/>
          <w:bCs/>
          <w:color w:val="000000"/>
        </w:rPr>
        <w:t xml:space="preserve"> denominado Barrio </w:t>
      </w:r>
      <w:r w:rsidRPr="00B57D20">
        <w:rPr>
          <w:rFonts w:ascii="Times New Roman" w:hAnsi="Times New Roman" w:cs="Times New Roman"/>
        </w:rPr>
        <w:t>“Bellavista Séptima Etapa</w:t>
      </w:r>
      <w:r w:rsidR="0037046C" w:rsidRPr="00B57D20">
        <w:rPr>
          <w:rFonts w:ascii="Times New Roman" w:hAnsi="Times New Roman" w:cs="Times New Roman"/>
        </w:rPr>
        <w:t>”</w:t>
      </w:r>
      <w:r w:rsidRPr="00B57D20">
        <w:rPr>
          <w:rFonts w:ascii="Times New Roman" w:hAnsi="Times New Roman" w:cs="Times New Roman"/>
        </w:rPr>
        <w:t xml:space="preserve">, deberá cumplir y acatar las recomendaciones que se encuentran determinadas en el Informe de la Dirección Metropolitana de Gestión de Riesgos No. </w:t>
      </w:r>
      <w:r w:rsidRPr="00B57D20">
        <w:rPr>
          <w:rFonts w:ascii="Times New Roman" w:hAnsi="Times New Roman" w:cs="Times New Roman"/>
          <w:bCs/>
        </w:rPr>
        <w:t>115-AT-DMGR-2013, de fecha 07 de noviembre de 2013</w:t>
      </w:r>
      <w:r w:rsidRPr="00B57D20">
        <w:rPr>
          <w:rFonts w:ascii="Times New Roman" w:hAnsi="Times New Roman" w:cs="Times New Roman"/>
        </w:rPr>
        <w:t>,</w:t>
      </w:r>
      <w:r w:rsidR="00533206" w:rsidRPr="00B57D20">
        <w:rPr>
          <w:rFonts w:ascii="Times New Roman" w:hAnsi="Times New Roman" w:cs="Times New Roman"/>
        </w:rPr>
        <w:t xml:space="preserve"> en la calificación del riesgo al AHHYC “Bellavista” señala: “</w:t>
      </w:r>
      <w:r w:rsidR="00533206" w:rsidRPr="00B57D20">
        <w:rPr>
          <w:rFonts w:ascii="Times New Roman" w:hAnsi="Times New Roman" w:cs="Times New Roman"/>
          <w:i/>
        </w:rPr>
        <w:t xml:space="preserve">Según los niveles de amenaza y de exposición, se puede establecer que el sector evaluado presenta una </w:t>
      </w:r>
      <w:r w:rsidR="00533206" w:rsidRPr="00B57D20">
        <w:rPr>
          <w:rFonts w:ascii="Times New Roman" w:hAnsi="Times New Roman" w:cs="Times New Roman"/>
          <w:b/>
          <w:i/>
        </w:rPr>
        <w:t>condición de riesgo en su mayoría baja pero en ciertos casos puede ser moderada,</w:t>
      </w:r>
      <w:r w:rsidR="00533206" w:rsidRPr="00B57D20">
        <w:rPr>
          <w:rFonts w:ascii="Times New Roman" w:hAnsi="Times New Roman" w:cs="Times New Roman"/>
          <w:i/>
        </w:rPr>
        <w:t xml:space="preserve"> considerando el estado y cobertura del sistema de alcantarillado pluvial y sanitario, para el caso de inundaciones y movimientos en masa y del grado de vulnerabilidad estructural de las viviendas en el caso de sismos</w:t>
      </w:r>
      <w:r w:rsidR="00533206" w:rsidRPr="00B57D20">
        <w:rPr>
          <w:rFonts w:ascii="Times New Roman" w:hAnsi="Times New Roman" w:cs="Times New Roman"/>
        </w:rPr>
        <w:t>.”</w:t>
      </w:r>
    </w:p>
    <w:p w14:paraId="7513C774" w14:textId="77777777" w:rsidR="008D7C24" w:rsidRDefault="00533206" w:rsidP="00B57D20">
      <w:pPr>
        <w:spacing w:after="240"/>
        <w:rPr>
          <w:rFonts w:ascii="Times New Roman" w:hAnsi="Times New Roman" w:cs="Times New Roman"/>
          <w:i/>
        </w:rPr>
      </w:pPr>
      <w:r w:rsidRPr="00B57D20">
        <w:rPr>
          <w:rFonts w:ascii="Times New Roman" w:hAnsi="Times New Roman" w:cs="Times New Roman"/>
        </w:rPr>
        <w:t xml:space="preserve">Así como las constantes en el </w:t>
      </w:r>
      <w:r w:rsidRPr="00B57D20">
        <w:rPr>
          <w:rFonts w:ascii="Times New Roman" w:hAnsi="Times New Roman" w:cs="Times New Roman"/>
          <w:bCs/>
        </w:rPr>
        <w:t>Oficio Nro. GADDMQ-SGSG-DMGR-2019-0836-OF, de 22 de octubre del 2019, emitido por el Director Metropolitano de Gestión de Riesgos, de la Secretaría General de Seguridad y Gobernabilidad remite el i</w:t>
      </w:r>
      <w:r w:rsidRPr="00B57D20">
        <w:rPr>
          <w:rFonts w:ascii="Times New Roman" w:hAnsi="Times New Roman" w:cs="Times New Roman"/>
        </w:rPr>
        <w:t>nforme No. 329-AT-DMGR-2019 de 04 de octubre de 2019, califica el nivel de riesgo para la regularización de tierras indicando: “</w:t>
      </w:r>
      <w:r w:rsidRPr="00B57D20">
        <w:rPr>
          <w:rFonts w:ascii="Times New Roman" w:hAnsi="Times New Roman" w:cs="Times New Roman"/>
          <w:i/>
        </w:rPr>
        <w:t>Para el proceso de regularización de tierras se considera el nivel de riesgos frente a movimientos en masa, ya que representa el fenómeno más importante para la posible pérdida del terreno, en tal virtud se considera que:</w:t>
      </w:r>
    </w:p>
    <w:p w14:paraId="588B0CD3" w14:textId="12D7A63A" w:rsidR="00533206" w:rsidRPr="00B57D20" w:rsidRDefault="00533206" w:rsidP="00B57D20">
      <w:pPr>
        <w:spacing w:after="240"/>
        <w:rPr>
          <w:rFonts w:ascii="Times New Roman" w:hAnsi="Times New Roman" w:cs="Times New Roman"/>
          <w:color w:val="000000"/>
        </w:rPr>
      </w:pPr>
      <w:r w:rsidRPr="00B57D20">
        <w:rPr>
          <w:rFonts w:ascii="Times New Roman" w:hAnsi="Times New Roman" w:cs="Times New Roman"/>
          <w:b/>
          <w:bCs/>
          <w:i/>
        </w:rPr>
        <w:t xml:space="preserve">Movimientos en masa: </w:t>
      </w:r>
      <w:r w:rsidRPr="00B57D20">
        <w:rPr>
          <w:rFonts w:ascii="Times New Roman" w:hAnsi="Times New Roman" w:cs="Times New Roman"/>
          <w:bCs/>
          <w:i/>
        </w:rPr>
        <w:t xml:space="preserve">el </w:t>
      </w:r>
      <w:r w:rsidRPr="00B57D20">
        <w:rPr>
          <w:rFonts w:ascii="Times New Roman" w:hAnsi="Times New Roman" w:cs="Times New Roman"/>
          <w:i/>
        </w:rPr>
        <w:t xml:space="preserve">AHHYC “Bellavista VII Etapa” en general presenta </w:t>
      </w:r>
      <w:r w:rsidRPr="00B57D20">
        <w:rPr>
          <w:rFonts w:ascii="Times New Roman" w:hAnsi="Times New Roman" w:cs="Times New Roman"/>
          <w:i/>
          <w:color w:val="000000"/>
        </w:rPr>
        <w:t xml:space="preserve">un </w:t>
      </w:r>
      <w:r w:rsidRPr="00B57D20">
        <w:rPr>
          <w:rFonts w:ascii="Times New Roman" w:hAnsi="Times New Roman" w:cs="Times New Roman"/>
          <w:b/>
          <w:i/>
          <w:color w:val="000000"/>
          <w:u w:val="single"/>
        </w:rPr>
        <w:t>Riesgo Bajo Mitigable</w:t>
      </w:r>
      <w:r w:rsidRPr="00B57D20">
        <w:rPr>
          <w:rFonts w:ascii="Times New Roman" w:hAnsi="Times New Roman" w:cs="Times New Roman"/>
          <w:i/>
          <w:color w:val="000000"/>
        </w:rPr>
        <w:t xml:space="preserve"> para todos los lotes frente a deslizamientos.</w:t>
      </w:r>
      <w:r w:rsidRPr="00B57D20">
        <w:rPr>
          <w:rFonts w:ascii="Times New Roman" w:hAnsi="Times New Roman" w:cs="Times New Roman"/>
          <w:color w:val="000000"/>
        </w:rPr>
        <w:t>”.</w:t>
      </w:r>
    </w:p>
    <w:p w14:paraId="6977E6EC" w14:textId="77777777" w:rsidR="00FA1495" w:rsidRPr="00B57D20" w:rsidRDefault="00FA1495" w:rsidP="00B57D20">
      <w:pPr>
        <w:spacing w:before="240"/>
        <w:rPr>
          <w:rFonts w:ascii="Times New Roman" w:hAnsi="Times New Roman" w:cs="Times New Roman"/>
        </w:rPr>
      </w:pPr>
      <w:r w:rsidRPr="00B57D20">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37E2D7A2" w14:textId="77777777" w:rsidR="000C08CE" w:rsidRPr="00B57D20" w:rsidRDefault="000C08CE" w:rsidP="00B57D20">
      <w:pPr>
        <w:rPr>
          <w:rFonts w:ascii="Times New Roman" w:hAnsi="Times New Roman" w:cs="Times New Roman"/>
          <w:bCs/>
        </w:rPr>
      </w:pPr>
      <w:r w:rsidRPr="00B57D20">
        <w:rPr>
          <w:rFonts w:ascii="Times New Roman" w:hAnsi="Times New Roman" w:cs="Times New Roman"/>
          <w:bCs/>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w:t>
      </w:r>
      <w:r w:rsidRPr="00B57D20">
        <w:rPr>
          <w:rFonts w:ascii="Times New Roman" w:hAnsi="Times New Roman" w:cs="Times New Roman"/>
          <w:bCs/>
        </w:rPr>
        <w:lastRenderedPageBreak/>
        <w:t>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4772AE9" w14:textId="77777777" w:rsidR="00E53753" w:rsidRPr="00B57D20" w:rsidRDefault="00E53753" w:rsidP="00B57D20">
      <w:pPr>
        <w:contextualSpacing/>
        <w:rPr>
          <w:rFonts w:ascii="Times New Roman" w:hAnsi="Times New Roman" w:cs="Times New Roman"/>
          <w:iCs/>
        </w:rPr>
      </w:pPr>
      <w:r w:rsidRPr="00B57D20">
        <w:rPr>
          <w:rFonts w:ascii="Times New Roman" w:hAnsi="Times New Roman" w:cs="Times New Roman"/>
          <w:b/>
        </w:rPr>
        <w:t>Articulo 10.-</w:t>
      </w:r>
      <w:r w:rsidRPr="00B57D20">
        <w:rPr>
          <w:rFonts w:ascii="Times New Roman" w:hAnsi="Times New Roman" w:cs="Times New Roman"/>
        </w:rPr>
        <w:t xml:space="preserve"> </w:t>
      </w:r>
      <w:r w:rsidRPr="00B57D20">
        <w:rPr>
          <w:rFonts w:ascii="Times New Roman" w:hAnsi="Times New Roman" w:cs="Times New Roman"/>
          <w:b/>
          <w:bCs/>
        </w:rPr>
        <w:t xml:space="preserve">Del </w:t>
      </w:r>
      <w:r w:rsidR="00311381" w:rsidRPr="00B57D20">
        <w:rPr>
          <w:rFonts w:ascii="Times New Roman" w:hAnsi="Times New Roman" w:cs="Times New Roman"/>
          <w:b/>
          <w:bCs/>
        </w:rPr>
        <w:t>pasaje</w:t>
      </w:r>
      <w:r w:rsidRPr="00B57D20">
        <w:rPr>
          <w:rFonts w:ascii="Times New Roman" w:hAnsi="Times New Roman" w:cs="Times New Roman"/>
          <w:b/>
          <w:bCs/>
        </w:rPr>
        <w:t xml:space="preserve">.- </w:t>
      </w:r>
      <w:r w:rsidRPr="00B57D20">
        <w:rPr>
          <w:rFonts w:ascii="Times New Roman" w:hAnsi="Times New Roman" w:cs="Times New Roman"/>
          <w:bCs/>
          <w:iCs/>
        </w:rPr>
        <w:t xml:space="preserve">El </w:t>
      </w:r>
      <w:r w:rsidR="00C06AEE" w:rsidRPr="00B57D20">
        <w:rPr>
          <w:rFonts w:ascii="Times New Roman" w:hAnsi="Times New Roman" w:cs="Times New Roman"/>
          <w:bCs/>
          <w:iCs/>
        </w:rPr>
        <w:t>a</w:t>
      </w:r>
      <w:r w:rsidRPr="00B57D20">
        <w:rPr>
          <w:rFonts w:ascii="Times New Roman" w:hAnsi="Times New Roman" w:cs="Times New Roman"/>
        </w:rPr>
        <w:t xml:space="preserve">sentamiento </w:t>
      </w:r>
      <w:r w:rsidR="00C06AEE" w:rsidRPr="00B57D20">
        <w:rPr>
          <w:rFonts w:ascii="Times New Roman" w:hAnsi="Times New Roman" w:cs="Times New Roman"/>
        </w:rPr>
        <w:t>h</w:t>
      </w:r>
      <w:r w:rsidRPr="00B57D20">
        <w:rPr>
          <w:rFonts w:ascii="Times New Roman" w:hAnsi="Times New Roman" w:cs="Times New Roman"/>
        </w:rPr>
        <w:t xml:space="preserve">umano de </w:t>
      </w:r>
      <w:r w:rsidR="00C06AEE" w:rsidRPr="00B57D20">
        <w:rPr>
          <w:rFonts w:ascii="Times New Roman" w:hAnsi="Times New Roman" w:cs="Times New Roman"/>
        </w:rPr>
        <w:t>h</w:t>
      </w:r>
      <w:r w:rsidRPr="00B57D20">
        <w:rPr>
          <w:rFonts w:ascii="Times New Roman" w:hAnsi="Times New Roman" w:cs="Times New Roman"/>
        </w:rPr>
        <w:t xml:space="preserve">echo y </w:t>
      </w:r>
      <w:r w:rsidR="00C06AEE" w:rsidRPr="00B57D20">
        <w:rPr>
          <w:rFonts w:ascii="Times New Roman" w:hAnsi="Times New Roman" w:cs="Times New Roman"/>
        </w:rPr>
        <w:t>c</w:t>
      </w:r>
      <w:r w:rsidRPr="00B57D20">
        <w:rPr>
          <w:rFonts w:ascii="Times New Roman" w:hAnsi="Times New Roman" w:cs="Times New Roman"/>
        </w:rPr>
        <w:t xml:space="preserve">onsolidado de </w:t>
      </w:r>
      <w:r w:rsidR="00C06AEE" w:rsidRPr="00B57D20">
        <w:rPr>
          <w:rFonts w:ascii="Times New Roman" w:hAnsi="Times New Roman" w:cs="Times New Roman"/>
        </w:rPr>
        <w:t>i</w:t>
      </w:r>
      <w:r w:rsidRPr="00B57D20">
        <w:rPr>
          <w:rFonts w:ascii="Times New Roman" w:hAnsi="Times New Roman" w:cs="Times New Roman"/>
        </w:rPr>
        <w:t xml:space="preserve">nterés </w:t>
      </w:r>
      <w:r w:rsidR="00C06AEE" w:rsidRPr="00B57D20">
        <w:rPr>
          <w:rFonts w:ascii="Times New Roman" w:hAnsi="Times New Roman" w:cs="Times New Roman"/>
        </w:rPr>
        <w:t>s</w:t>
      </w:r>
      <w:r w:rsidRPr="00B57D20">
        <w:rPr>
          <w:rFonts w:ascii="Times New Roman" w:hAnsi="Times New Roman" w:cs="Times New Roman"/>
        </w:rPr>
        <w:t>ocial denominado</w:t>
      </w:r>
      <w:r w:rsidRPr="00B57D20">
        <w:rPr>
          <w:rFonts w:ascii="Times New Roman" w:hAnsi="Times New Roman" w:cs="Times New Roman"/>
          <w:b/>
        </w:rPr>
        <w:t xml:space="preserve"> </w:t>
      </w:r>
      <w:r w:rsidR="00F7749D" w:rsidRPr="00B57D20">
        <w:rPr>
          <w:rFonts w:ascii="Times New Roman" w:hAnsi="Times New Roman" w:cs="Times New Roman"/>
        </w:rPr>
        <w:t>Barrio “Bellavista</w:t>
      </w:r>
      <w:r w:rsidRPr="00B57D20">
        <w:rPr>
          <w:rFonts w:ascii="Times New Roman" w:hAnsi="Times New Roman" w:cs="Times New Roman"/>
        </w:rPr>
        <w:t xml:space="preserve"> </w:t>
      </w:r>
      <w:r w:rsidR="00F7749D" w:rsidRPr="00B57D20">
        <w:rPr>
          <w:rFonts w:ascii="Times New Roman" w:hAnsi="Times New Roman" w:cs="Times New Roman"/>
        </w:rPr>
        <w:t xml:space="preserve">Séptima </w:t>
      </w:r>
      <w:r w:rsidRPr="00B57D20">
        <w:rPr>
          <w:rFonts w:ascii="Times New Roman" w:hAnsi="Times New Roman" w:cs="Times New Roman"/>
        </w:rPr>
        <w:t>Etapa</w:t>
      </w:r>
      <w:r w:rsidR="00C06AEE" w:rsidRPr="00B57D20">
        <w:rPr>
          <w:rFonts w:ascii="Times New Roman" w:hAnsi="Times New Roman" w:cs="Times New Roman"/>
        </w:rPr>
        <w:t>”</w:t>
      </w:r>
      <w:r w:rsidRPr="00B57D20">
        <w:rPr>
          <w:rFonts w:ascii="Times New Roman" w:hAnsi="Times New Roman" w:cs="Times New Roman"/>
        </w:rPr>
        <w:t xml:space="preserve">, </w:t>
      </w:r>
      <w:r w:rsidRPr="00B57D20">
        <w:rPr>
          <w:rFonts w:ascii="Times New Roman" w:hAnsi="Times New Roman" w:cs="Times New Roman"/>
          <w:iCs/>
        </w:rPr>
        <w:t xml:space="preserve">contempla un sistema vial de uso público, debido a que éste es un </w:t>
      </w:r>
      <w:r w:rsidR="00C06AEE" w:rsidRPr="00B57D20">
        <w:rPr>
          <w:rFonts w:ascii="Times New Roman" w:hAnsi="Times New Roman" w:cs="Times New Roman"/>
          <w:iCs/>
        </w:rPr>
        <w:t>a</w:t>
      </w:r>
      <w:r w:rsidRPr="00B57D20">
        <w:rPr>
          <w:rFonts w:ascii="Times New Roman" w:hAnsi="Times New Roman" w:cs="Times New Roman"/>
          <w:iCs/>
        </w:rPr>
        <w:t xml:space="preserve">sentamiento </w:t>
      </w:r>
      <w:r w:rsidR="00C06AEE" w:rsidRPr="00B57D20">
        <w:rPr>
          <w:rFonts w:ascii="Times New Roman" w:hAnsi="Times New Roman" w:cs="Times New Roman"/>
          <w:iCs/>
        </w:rPr>
        <w:t>h</w:t>
      </w:r>
      <w:r w:rsidRPr="00B57D20">
        <w:rPr>
          <w:rFonts w:ascii="Times New Roman" w:hAnsi="Times New Roman" w:cs="Times New Roman"/>
          <w:iCs/>
        </w:rPr>
        <w:t xml:space="preserve">umano de </w:t>
      </w:r>
      <w:r w:rsidR="00C06AEE" w:rsidRPr="00B57D20">
        <w:rPr>
          <w:rFonts w:ascii="Times New Roman" w:hAnsi="Times New Roman" w:cs="Times New Roman"/>
          <w:iCs/>
        </w:rPr>
        <w:t>h</w:t>
      </w:r>
      <w:r w:rsidRPr="00B57D20">
        <w:rPr>
          <w:rFonts w:ascii="Times New Roman" w:hAnsi="Times New Roman" w:cs="Times New Roman"/>
          <w:iCs/>
        </w:rPr>
        <w:t xml:space="preserve">echo y </w:t>
      </w:r>
      <w:r w:rsidR="00C06AEE" w:rsidRPr="00B57D20">
        <w:rPr>
          <w:rFonts w:ascii="Times New Roman" w:hAnsi="Times New Roman" w:cs="Times New Roman"/>
          <w:iCs/>
        </w:rPr>
        <w:t>c</w:t>
      </w:r>
      <w:r w:rsidRPr="00B57D20">
        <w:rPr>
          <w:rFonts w:ascii="Times New Roman" w:hAnsi="Times New Roman" w:cs="Times New Roman"/>
          <w:iCs/>
        </w:rPr>
        <w:t xml:space="preserve">onsolidado de </w:t>
      </w:r>
      <w:r w:rsidR="00C06AEE" w:rsidRPr="00B57D20">
        <w:rPr>
          <w:rFonts w:ascii="Times New Roman" w:hAnsi="Times New Roman" w:cs="Times New Roman"/>
          <w:iCs/>
        </w:rPr>
        <w:t>i</w:t>
      </w:r>
      <w:r w:rsidRPr="00B57D20">
        <w:rPr>
          <w:rFonts w:ascii="Times New Roman" w:hAnsi="Times New Roman" w:cs="Times New Roman"/>
          <w:iCs/>
        </w:rPr>
        <w:t xml:space="preserve">nterés </w:t>
      </w:r>
      <w:r w:rsidR="00C06AEE" w:rsidRPr="00B57D20">
        <w:rPr>
          <w:rFonts w:ascii="Times New Roman" w:hAnsi="Times New Roman" w:cs="Times New Roman"/>
          <w:iCs/>
        </w:rPr>
        <w:t>s</w:t>
      </w:r>
      <w:r w:rsidRPr="00B57D20">
        <w:rPr>
          <w:rFonts w:ascii="Times New Roman" w:hAnsi="Times New Roman" w:cs="Times New Roman"/>
          <w:iCs/>
        </w:rPr>
        <w:t xml:space="preserve">ocial de </w:t>
      </w:r>
      <w:r w:rsidR="00F7749D" w:rsidRPr="00B57D20">
        <w:rPr>
          <w:rFonts w:ascii="Times New Roman" w:hAnsi="Times New Roman" w:cs="Times New Roman"/>
          <w:iCs/>
        </w:rPr>
        <w:t>74</w:t>
      </w:r>
      <w:r w:rsidRPr="00B57D20">
        <w:rPr>
          <w:rFonts w:ascii="Times New Roman" w:hAnsi="Times New Roman" w:cs="Times New Roman"/>
          <w:iCs/>
        </w:rPr>
        <w:t xml:space="preserve"> años de existencia con </w:t>
      </w:r>
      <w:r w:rsidR="009527B2" w:rsidRPr="00B57D20">
        <w:rPr>
          <w:rFonts w:ascii="Times New Roman" w:hAnsi="Times New Roman" w:cs="Times New Roman"/>
        </w:rPr>
        <w:t xml:space="preserve">52,17% </w:t>
      </w:r>
      <w:r w:rsidRPr="00B57D20">
        <w:rPr>
          <w:rFonts w:ascii="Times New Roman" w:hAnsi="Times New Roman" w:cs="Times New Roman"/>
          <w:iCs/>
        </w:rPr>
        <w:t>de consolidación de viviendas y se encuentra ejecutando obras de infraestructura, razón por la cual los anchos viales se sujetarán al plano adjunto a la presente Ordenanza.</w:t>
      </w:r>
    </w:p>
    <w:p w14:paraId="3AB5E3F1" w14:textId="77777777" w:rsidR="000064E4" w:rsidRPr="00B57D20" w:rsidRDefault="000064E4" w:rsidP="00B57D20">
      <w:pPr>
        <w:contextualSpacing/>
        <w:rPr>
          <w:rFonts w:ascii="Times New Roman" w:hAnsi="Times New Roman" w:cs="Times New Roman"/>
          <w:iCs/>
        </w:rPr>
      </w:pPr>
      <w:r w:rsidRPr="00B57D20">
        <w:rPr>
          <w:rFonts w:ascii="Times New Roman" w:hAnsi="Times New Roman" w:cs="Times New Roman"/>
          <w:iCs/>
        </w:rPr>
        <w:t>Se regulariza el pasaje con el siguiente ancho:</w:t>
      </w:r>
    </w:p>
    <w:p w14:paraId="6EF67056" w14:textId="77777777" w:rsidR="000064E4" w:rsidRPr="00B57D20" w:rsidRDefault="000064E4" w:rsidP="00B57D20">
      <w:pPr>
        <w:contextualSpacing/>
        <w:rPr>
          <w:rFonts w:ascii="Times New Roman" w:hAnsi="Times New Roman" w:cs="Times New Roman"/>
          <w:iCs/>
        </w:rPr>
      </w:pPr>
    </w:p>
    <w:tbl>
      <w:tblPr>
        <w:tblStyle w:val="Tablaconcuadrcula"/>
        <w:tblW w:w="0" w:type="auto"/>
        <w:tblInd w:w="108" w:type="dxa"/>
        <w:tblLook w:val="04A0" w:firstRow="1" w:lastRow="0" w:firstColumn="1" w:lastColumn="0" w:noHBand="0" w:noVBand="1"/>
      </w:tblPr>
      <w:tblGrid>
        <w:gridCol w:w="3715"/>
        <w:gridCol w:w="4655"/>
      </w:tblGrid>
      <w:tr w:rsidR="000064E4" w:rsidRPr="00B57D20" w14:paraId="0967A8E7" w14:textId="77777777" w:rsidTr="00FA216F">
        <w:trPr>
          <w:trHeight w:val="289"/>
        </w:trPr>
        <w:tc>
          <w:tcPr>
            <w:tcW w:w="3715" w:type="dxa"/>
          </w:tcPr>
          <w:p w14:paraId="7F4080A2" w14:textId="77777777" w:rsidR="000064E4" w:rsidRPr="00B57D20" w:rsidRDefault="000064E4" w:rsidP="00B57D20">
            <w:pPr>
              <w:spacing w:line="276" w:lineRule="auto"/>
              <w:contextualSpacing/>
              <w:rPr>
                <w:rFonts w:ascii="Times New Roman" w:hAnsi="Times New Roman" w:cs="Times New Roman"/>
                <w:iCs/>
              </w:rPr>
            </w:pPr>
            <w:r w:rsidRPr="00B57D20">
              <w:rPr>
                <w:rFonts w:ascii="Times New Roman" w:hAnsi="Times New Roman" w:cs="Times New Roman"/>
              </w:rPr>
              <w:t xml:space="preserve">Pasaje </w:t>
            </w:r>
            <w:r w:rsidR="005D62ED" w:rsidRPr="00B57D20">
              <w:rPr>
                <w:rFonts w:ascii="Times New Roman" w:hAnsi="Times New Roman" w:cs="Times New Roman"/>
              </w:rPr>
              <w:t>E8A</w:t>
            </w:r>
          </w:p>
        </w:tc>
        <w:tc>
          <w:tcPr>
            <w:tcW w:w="4655" w:type="dxa"/>
          </w:tcPr>
          <w:p w14:paraId="6893CE8B" w14:textId="77777777" w:rsidR="000064E4" w:rsidRPr="00B57D20" w:rsidRDefault="000064E4" w:rsidP="00B57D20">
            <w:pPr>
              <w:spacing w:line="276" w:lineRule="auto"/>
              <w:contextualSpacing/>
              <w:rPr>
                <w:rFonts w:ascii="Times New Roman" w:hAnsi="Times New Roman" w:cs="Times New Roman"/>
              </w:rPr>
            </w:pPr>
            <w:r w:rsidRPr="00B57D20">
              <w:rPr>
                <w:rFonts w:ascii="Times New Roman" w:hAnsi="Times New Roman" w:cs="Times New Roman"/>
              </w:rPr>
              <w:t>6,00 m.</w:t>
            </w:r>
          </w:p>
        </w:tc>
      </w:tr>
    </w:tbl>
    <w:p w14:paraId="68C769CD" w14:textId="77777777" w:rsidR="006B14A9" w:rsidRPr="00B57D20" w:rsidRDefault="006B14A9" w:rsidP="00B57D20">
      <w:pPr>
        <w:spacing w:after="0"/>
        <w:contextualSpacing/>
        <w:rPr>
          <w:rFonts w:ascii="Times New Roman" w:hAnsi="Times New Roman" w:cs="Times New Roman"/>
        </w:rPr>
      </w:pPr>
    </w:p>
    <w:p w14:paraId="4532CD0A" w14:textId="77777777" w:rsidR="000064E4" w:rsidRPr="00B57D20" w:rsidRDefault="000064E4" w:rsidP="00B57D20">
      <w:pPr>
        <w:spacing w:after="240"/>
        <w:rPr>
          <w:rFonts w:ascii="Times New Roman" w:hAnsi="Times New Roman" w:cs="Times New Roman"/>
        </w:rPr>
      </w:pPr>
      <w:r w:rsidRPr="00B57D20">
        <w:rPr>
          <w:rFonts w:ascii="Times New Roman" w:hAnsi="Times New Roman" w:cs="Times New Roman"/>
          <w:b/>
          <w:bCs/>
        </w:rPr>
        <w:t>Artículo 11.- De la</w:t>
      </w:r>
      <w:r w:rsidR="00027720" w:rsidRPr="00B57D20">
        <w:rPr>
          <w:rFonts w:ascii="Times New Roman" w:hAnsi="Times New Roman" w:cs="Times New Roman"/>
          <w:b/>
          <w:bCs/>
        </w:rPr>
        <w:t>s</w:t>
      </w:r>
      <w:r w:rsidRPr="00B57D20">
        <w:rPr>
          <w:rFonts w:ascii="Times New Roman" w:hAnsi="Times New Roman" w:cs="Times New Roman"/>
          <w:b/>
          <w:bCs/>
        </w:rPr>
        <w:t xml:space="preserve"> obra</w:t>
      </w:r>
      <w:r w:rsidR="00027720" w:rsidRPr="00B57D20">
        <w:rPr>
          <w:rFonts w:ascii="Times New Roman" w:hAnsi="Times New Roman" w:cs="Times New Roman"/>
          <w:b/>
          <w:bCs/>
        </w:rPr>
        <w:t>s</w:t>
      </w:r>
      <w:r w:rsidRPr="00B57D20">
        <w:rPr>
          <w:rFonts w:ascii="Times New Roman" w:hAnsi="Times New Roman" w:cs="Times New Roman"/>
          <w:b/>
          <w:bCs/>
        </w:rPr>
        <w:t xml:space="preserve"> a ejecutarse.- </w:t>
      </w:r>
      <w:r w:rsidRPr="00B57D20">
        <w:rPr>
          <w:rFonts w:ascii="Times New Roman" w:hAnsi="Times New Roman" w:cs="Times New Roman"/>
        </w:rPr>
        <w:t>La obra</w:t>
      </w:r>
      <w:r w:rsidR="00027720" w:rsidRPr="00B57D20">
        <w:rPr>
          <w:rFonts w:ascii="Times New Roman" w:hAnsi="Times New Roman" w:cs="Times New Roman"/>
        </w:rPr>
        <w:t>s</w:t>
      </w:r>
      <w:r w:rsidRPr="00B57D20">
        <w:rPr>
          <w:rFonts w:ascii="Times New Roman" w:hAnsi="Times New Roman" w:cs="Times New Roman"/>
        </w:rPr>
        <w:t xml:space="preserve"> </w:t>
      </w:r>
      <w:r w:rsidRPr="00B57D20">
        <w:rPr>
          <w:rFonts w:ascii="Times New Roman" w:hAnsi="Times New Roman" w:cs="Times New Roman"/>
          <w:color w:val="000000" w:themeColor="text1"/>
        </w:rPr>
        <w:t>civil</w:t>
      </w:r>
      <w:r w:rsidR="00027720" w:rsidRPr="00B57D20">
        <w:rPr>
          <w:rFonts w:ascii="Times New Roman" w:hAnsi="Times New Roman" w:cs="Times New Roman"/>
          <w:color w:val="000000" w:themeColor="text1"/>
        </w:rPr>
        <w:t>es y de infraestructura</w:t>
      </w:r>
      <w:r w:rsidRPr="00B57D20">
        <w:rPr>
          <w:rFonts w:ascii="Times New Roman" w:hAnsi="Times New Roman" w:cs="Times New Roman"/>
        </w:rPr>
        <w:t xml:space="preserve"> a ejecutarse en el asentamiento humano de hecho y consolidado de interés social, s</w:t>
      </w:r>
      <w:r w:rsidR="004126DC" w:rsidRPr="00B57D20">
        <w:rPr>
          <w:rFonts w:ascii="Times New Roman" w:hAnsi="Times New Roman" w:cs="Times New Roman"/>
        </w:rPr>
        <w:t>on</w:t>
      </w:r>
      <w:r w:rsidRPr="00B57D20">
        <w:rPr>
          <w:rFonts w:ascii="Times New Roman" w:hAnsi="Times New Roman" w:cs="Times New Roman"/>
        </w:rPr>
        <w:t> la</w:t>
      </w:r>
      <w:r w:rsidR="004126DC" w:rsidRPr="00B57D20">
        <w:rPr>
          <w:rFonts w:ascii="Times New Roman" w:hAnsi="Times New Roman" w:cs="Times New Roman"/>
        </w:rPr>
        <w:t>s</w:t>
      </w:r>
      <w:r w:rsidRPr="00B57D20">
        <w:rPr>
          <w:rFonts w:ascii="Times New Roman" w:hAnsi="Times New Roman" w:cs="Times New Roman"/>
        </w:rPr>
        <w:t xml:space="preserve"> siguiente</w:t>
      </w:r>
      <w:r w:rsidR="004126DC" w:rsidRPr="00B57D20">
        <w:rPr>
          <w:rFonts w:ascii="Times New Roman" w:hAnsi="Times New Roman" w:cs="Times New Roman"/>
        </w:rPr>
        <w:t>s</w:t>
      </w:r>
      <w:r w:rsidRPr="00B57D20">
        <w:rPr>
          <w:rFonts w:ascii="Times New Roman" w:hAnsi="Times New Roman" w:cs="Times New Roman"/>
        </w:rPr>
        <w:t>:</w:t>
      </w:r>
    </w:p>
    <w:tbl>
      <w:tblPr>
        <w:tblStyle w:val="Tablaconcuadrcula"/>
        <w:tblW w:w="8392" w:type="dxa"/>
        <w:tblInd w:w="108" w:type="dxa"/>
        <w:tblLook w:val="04A0" w:firstRow="1" w:lastRow="0" w:firstColumn="1" w:lastColumn="0" w:noHBand="0" w:noVBand="1"/>
      </w:tblPr>
      <w:tblGrid>
        <w:gridCol w:w="3715"/>
        <w:gridCol w:w="4677"/>
      </w:tblGrid>
      <w:tr w:rsidR="000064E4" w:rsidRPr="00B57D20" w14:paraId="62C42AF7" w14:textId="77777777" w:rsidTr="00FA216F">
        <w:tc>
          <w:tcPr>
            <w:tcW w:w="3715" w:type="dxa"/>
          </w:tcPr>
          <w:p w14:paraId="48F0E43B" w14:textId="77777777" w:rsidR="000064E4" w:rsidRPr="00B57D20" w:rsidRDefault="000064E4" w:rsidP="00B57D20">
            <w:pPr>
              <w:spacing w:line="276" w:lineRule="auto"/>
              <w:contextualSpacing/>
              <w:rPr>
                <w:rFonts w:ascii="Times New Roman" w:hAnsi="Times New Roman" w:cs="Times New Roman"/>
                <w:iCs/>
              </w:rPr>
            </w:pPr>
            <w:r w:rsidRPr="00B57D20">
              <w:rPr>
                <w:rFonts w:ascii="Times New Roman" w:hAnsi="Times New Roman" w:cs="Times New Roman"/>
                <w:bCs/>
              </w:rPr>
              <w:t>Calzada</w:t>
            </w:r>
            <w:r w:rsidR="005D62ED" w:rsidRPr="00B57D20">
              <w:rPr>
                <w:rFonts w:ascii="Times New Roman" w:hAnsi="Times New Roman" w:cs="Times New Roman"/>
                <w:bCs/>
              </w:rPr>
              <w:t>s (Pasaje)</w:t>
            </w:r>
          </w:p>
        </w:tc>
        <w:tc>
          <w:tcPr>
            <w:tcW w:w="4677" w:type="dxa"/>
          </w:tcPr>
          <w:p w14:paraId="5C707EFA" w14:textId="77777777" w:rsidR="000064E4" w:rsidRPr="00B57D20" w:rsidRDefault="000064E4" w:rsidP="00B57D20">
            <w:pPr>
              <w:spacing w:line="276" w:lineRule="auto"/>
              <w:contextualSpacing/>
              <w:rPr>
                <w:rFonts w:ascii="Times New Roman" w:hAnsi="Times New Roman" w:cs="Times New Roman"/>
              </w:rPr>
            </w:pPr>
            <w:r w:rsidRPr="00B57D20">
              <w:rPr>
                <w:rFonts w:ascii="Times New Roman" w:hAnsi="Times New Roman" w:cs="Times New Roman"/>
                <w:bCs/>
              </w:rPr>
              <w:t>100,00%</w:t>
            </w:r>
          </w:p>
        </w:tc>
      </w:tr>
      <w:tr w:rsidR="00027720" w:rsidRPr="00B57D20" w14:paraId="0CC99BDB" w14:textId="77777777" w:rsidTr="00FA216F">
        <w:tc>
          <w:tcPr>
            <w:tcW w:w="3715" w:type="dxa"/>
          </w:tcPr>
          <w:p w14:paraId="1AB12006" w14:textId="77777777" w:rsidR="00027720" w:rsidRPr="00B57D20" w:rsidRDefault="00027720" w:rsidP="00B57D20">
            <w:pPr>
              <w:spacing w:line="276" w:lineRule="auto"/>
              <w:contextualSpacing/>
              <w:rPr>
                <w:rFonts w:ascii="Times New Roman" w:hAnsi="Times New Roman" w:cs="Times New Roman"/>
                <w:bCs/>
              </w:rPr>
            </w:pPr>
            <w:r w:rsidRPr="00B57D20">
              <w:rPr>
                <w:rFonts w:ascii="Times New Roman" w:hAnsi="Times New Roman" w:cs="Times New Roman"/>
                <w:bCs/>
              </w:rPr>
              <w:t>Aceras</w:t>
            </w:r>
          </w:p>
        </w:tc>
        <w:tc>
          <w:tcPr>
            <w:tcW w:w="4677" w:type="dxa"/>
          </w:tcPr>
          <w:p w14:paraId="182634F0" w14:textId="77777777" w:rsidR="00027720" w:rsidRPr="00B57D20" w:rsidRDefault="00027720" w:rsidP="00B57D20">
            <w:pPr>
              <w:spacing w:line="276" w:lineRule="auto"/>
              <w:contextualSpacing/>
              <w:rPr>
                <w:rFonts w:ascii="Times New Roman" w:hAnsi="Times New Roman" w:cs="Times New Roman"/>
                <w:bCs/>
              </w:rPr>
            </w:pPr>
            <w:r w:rsidRPr="00B57D20">
              <w:rPr>
                <w:rFonts w:ascii="Times New Roman" w:hAnsi="Times New Roman" w:cs="Times New Roman"/>
                <w:bCs/>
              </w:rPr>
              <w:t>90,00%</w:t>
            </w:r>
          </w:p>
        </w:tc>
      </w:tr>
      <w:tr w:rsidR="00027720" w:rsidRPr="00B57D20" w14:paraId="6026F89B" w14:textId="77777777" w:rsidTr="00FA216F">
        <w:tc>
          <w:tcPr>
            <w:tcW w:w="3715" w:type="dxa"/>
          </w:tcPr>
          <w:p w14:paraId="2D6CCAAB"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Agua potable</w:t>
            </w:r>
          </w:p>
        </w:tc>
        <w:tc>
          <w:tcPr>
            <w:tcW w:w="4677" w:type="dxa"/>
          </w:tcPr>
          <w:p w14:paraId="41A7DF1B"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60,00%</w:t>
            </w:r>
          </w:p>
        </w:tc>
      </w:tr>
      <w:tr w:rsidR="00027720" w:rsidRPr="00B57D20" w14:paraId="64023208" w14:textId="77777777" w:rsidTr="00FA216F">
        <w:tc>
          <w:tcPr>
            <w:tcW w:w="3715" w:type="dxa"/>
          </w:tcPr>
          <w:p w14:paraId="521C3E6E"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Alcantarillado (Pasaje)</w:t>
            </w:r>
          </w:p>
        </w:tc>
        <w:tc>
          <w:tcPr>
            <w:tcW w:w="4677" w:type="dxa"/>
          </w:tcPr>
          <w:p w14:paraId="2093DFEC"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80.00%</w:t>
            </w:r>
          </w:p>
        </w:tc>
      </w:tr>
      <w:tr w:rsidR="00027720" w:rsidRPr="00B57D20" w14:paraId="3B28815B" w14:textId="77777777" w:rsidTr="00FA216F">
        <w:tc>
          <w:tcPr>
            <w:tcW w:w="3715" w:type="dxa"/>
          </w:tcPr>
          <w:p w14:paraId="434639D1"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Energía Eléctrica</w:t>
            </w:r>
          </w:p>
        </w:tc>
        <w:tc>
          <w:tcPr>
            <w:tcW w:w="4677" w:type="dxa"/>
          </w:tcPr>
          <w:p w14:paraId="7824E9C1" w14:textId="77777777" w:rsidR="00027720" w:rsidRPr="00B57D20" w:rsidRDefault="004126DC" w:rsidP="00B57D20">
            <w:pPr>
              <w:spacing w:line="276" w:lineRule="auto"/>
              <w:contextualSpacing/>
              <w:rPr>
                <w:rFonts w:ascii="Times New Roman" w:hAnsi="Times New Roman" w:cs="Times New Roman"/>
                <w:bCs/>
              </w:rPr>
            </w:pPr>
            <w:r w:rsidRPr="00B57D20">
              <w:rPr>
                <w:rFonts w:ascii="Times New Roman" w:hAnsi="Times New Roman" w:cs="Times New Roman"/>
                <w:bCs/>
              </w:rPr>
              <w:t>50,00%</w:t>
            </w:r>
          </w:p>
        </w:tc>
      </w:tr>
    </w:tbl>
    <w:p w14:paraId="1BF75DCC" w14:textId="77777777" w:rsidR="005D62ED" w:rsidRPr="00B57D20" w:rsidRDefault="005D62ED" w:rsidP="00B57D20">
      <w:pPr>
        <w:shd w:val="clear" w:color="auto" w:fill="FFFFFF" w:themeFill="background1"/>
        <w:spacing w:after="0"/>
        <w:contextualSpacing/>
        <w:rPr>
          <w:rFonts w:ascii="Times New Roman" w:hAnsi="Times New Roman" w:cs="Times New Roman"/>
          <w:color w:val="000000" w:themeColor="text1"/>
        </w:rPr>
      </w:pPr>
    </w:p>
    <w:p w14:paraId="7BD61780" w14:textId="77777777" w:rsidR="0018614A" w:rsidRPr="00B57D20" w:rsidRDefault="0018614A" w:rsidP="00B57D20">
      <w:pPr>
        <w:rPr>
          <w:rFonts w:ascii="Times New Roman" w:hAnsi="Times New Roman" w:cs="Times New Roman"/>
          <w:iCs/>
        </w:rPr>
      </w:pPr>
      <w:r w:rsidRPr="00B57D20">
        <w:rPr>
          <w:rFonts w:ascii="Times New Roman" w:hAnsi="Times New Roman" w:cs="Times New Roman"/>
          <w:b/>
          <w:bCs/>
        </w:rPr>
        <w:t>Artículo 12.- Del plazo de ejecución de las obras.-</w:t>
      </w:r>
      <w:r w:rsidRPr="00B57D20">
        <w:rPr>
          <w:rFonts w:ascii="Times New Roman" w:hAnsi="Times New Roman" w:cs="Times New Roman"/>
        </w:rPr>
        <w:t xml:space="preserve"> El plazo de ejecución de la totalidad de la obra civil, será de </w:t>
      </w:r>
      <w:r w:rsidR="00B57D20" w:rsidRPr="00B57D20">
        <w:rPr>
          <w:rFonts w:ascii="Times New Roman" w:hAnsi="Times New Roman" w:cs="Times New Roman"/>
        </w:rPr>
        <w:t>seis</w:t>
      </w:r>
      <w:r w:rsidRPr="00B57D20">
        <w:rPr>
          <w:rFonts w:ascii="Times New Roman" w:hAnsi="Times New Roman" w:cs="Times New Roman"/>
        </w:rPr>
        <w:t xml:space="preserve"> (</w:t>
      </w:r>
      <w:r w:rsidR="00B57D20" w:rsidRPr="00B57D20">
        <w:rPr>
          <w:rFonts w:ascii="Times New Roman" w:hAnsi="Times New Roman" w:cs="Times New Roman"/>
        </w:rPr>
        <w:t>6) años</w:t>
      </w:r>
      <w:r w:rsidRPr="00B57D20">
        <w:rPr>
          <w:rFonts w:ascii="Times New Roman" w:hAnsi="Times New Roman" w:cs="Times New Roman"/>
        </w:rPr>
        <w:t xml:space="preserve">, </w:t>
      </w:r>
      <w:r w:rsidRPr="00B57D20">
        <w:rPr>
          <w:rFonts w:ascii="Times New Roman" w:hAnsi="Times New Roman" w:cs="Times New Roman"/>
          <w:iCs/>
        </w:rPr>
        <w:t xml:space="preserve">de conformidad al cronograma de obras presentado por </w:t>
      </w:r>
      <w:r w:rsidRPr="00B57D20">
        <w:rPr>
          <w:rFonts w:ascii="Times New Roman" w:hAnsi="Times New Roman" w:cs="Times New Roman"/>
          <w:color w:val="0D0D0D"/>
        </w:rPr>
        <w:t xml:space="preserve">los copropietarios del inmueble donde se ubica </w:t>
      </w:r>
      <w:r w:rsidRPr="00B57D20">
        <w:rPr>
          <w:rFonts w:ascii="Times New Roman" w:hAnsi="Times New Roman" w:cs="Times New Roman"/>
        </w:rPr>
        <w:t>el asentamiento humano de hecho y consolidado de interés social</w:t>
      </w:r>
      <w:r w:rsidRPr="00B57D20">
        <w:rPr>
          <w:rFonts w:ascii="Times New Roman" w:hAnsi="Times New Roman" w:cs="Times New Roman"/>
          <w:b/>
        </w:rPr>
        <w:t>,</w:t>
      </w:r>
      <w:r w:rsidRPr="00B57D20">
        <w:rPr>
          <w:rFonts w:ascii="Times New Roman" w:hAnsi="Times New Roman" w:cs="Times New Roman"/>
          <w:b/>
          <w:color w:val="FF0000"/>
        </w:rPr>
        <w:t xml:space="preserve"> </w:t>
      </w:r>
      <w:r w:rsidRPr="00B57D20">
        <w:rPr>
          <w:rFonts w:ascii="Times New Roman" w:hAnsi="Times New Roman" w:cs="Times New Roman"/>
          <w:color w:val="000000" w:themeColor="text1"/>
        </w:rPr>
        <w:t>y aprobado por la mesa institucional</w:t>
      </w:r>
      <w:r w:rsidRPr="00B57D20">
        <w:rPr>
          <w:rFonts w:ascii="Times New Roman" w:hAnsi="Times New Roman" w:cs="Times New Roman"/>
          <w:b/>
          <w:color w:val="000000" w:themeColor="text1"/>
        </w:rPr>
        <w:t>,</w:t>
      </w:r>
      <w:r w:rsidRPr="00B57D20">
        <w:rPr>
          <w:rFonts w:ascii="Times New Roman" w:hAnsi="Times New Roman" w:cs="Times New Roman"/>
          <w:b/>
        </w:rPr>
        <w:t xml:space="preserve"> </w:t>
      </w:r>
      <w:r w:rsidRPr="00B57D20">
        <w:rPr>
          <w:rFonts w:ascii="Times New Roman" w:hAnsi="Times New Roman" w:cs="Times New Roman"/>
          <w:iCs/>
        </w:rPr>
        <w:t>plazo que se contará a partir de la fecha de inscripción de la presente Ordenanza en el Registro de la Propiedad del Distrito Metropolitano de Quito.</w:t>
      </w:r>
    </w:p>
    <w:p w14:paraId="5F5072C6" w14:textId="77777777" w:rsidR="00207361" w:rsidRPr="00B57D20" w:rsidRDefault="0018614A" w:rsidP="00B57D20">
      <w:pPr>
        <w:rPr>
          <w:rFonts w:ascii="Times New Roman" w:eastAsia="Times New Roman" w:hAnsi="Times New Roman" w:cs="Times New Roman"/>
          <w:color w:val="2A2A2A"/>
          <w:lang w:eastAsia="es-ES"/>
        </w:rPr>
      </w:pPr>
      <w:r w:rsidRPr="00B57D20">
        <w:rPr>
          <w:rFonts w:ascii="Times New Roman" w:hAnsi="Times New Roman" w:cs="Times New Roman"/>
          <w:iCs/>
        </w:rPr>
        <w:t xml:space="preserve">Las obras </w:t>
      </w:r>
      <w:r w:rsidR="00390459" w:rsidRPr="00B57D20">
        <w:rPr>
          <w:rFonts w:ascii="Times New Roman" w:hAnsi="Times New Roman" w:cs="Times New Roman"/>
          <w:iCs/>
        </w:rPr>
        <w:t xml:space="preserve">civiles y </w:t>
      </w:r>
      <w:r w:rsidRPr="00B57D20">
        <w:rPr>
          <w:rFonts w:ascii="Times New Roman" w:hAnsi="Times New Roman" w:cs="Times New Roman"/>
          <w:iCs/>
        </w:rPr>
        <w:t>de infraestructura podrán ser ejecutadas, mediante gestión individual o concurrente bajo las siguientes modalidades: gestión municipal o pública, gestión directa o cogestión de conformidad a lo establecido en el artículo IV.7.72</w:t>
      </w:r>
      <w:r w:rsidRPr="00B57D20">
        <w:rPr>
          <w:rFonts w:ascii="Times New Roman" w:hAnsi="Times New Roman" w:cs="Times New Roman"/>
          <w:bCs/>
        </w:rPr>
        <w:t xml:space="preserve">  del Código Municipal para el Distrito de Quito. E</w:t>
      </w:r>
      <w:r w:rsidRPr="00B57D20">
        <w:rPr>
          <w:rFonts w:ascii="Times New Roman" w:hAnsi="Times New Roman" w:cs="Times New Roman"/>
          <w:iCs/>
        </w:rPr>
        <w:t>l valor por contribución especial a mejoras se aplicará conforme la modalidad ejecutada</w:t>
      </w:r>
      <w:r w:rsidRPr="00B57D20">
        <w:rPr>
          <w:rFonts w:ascii="Times New Roman" w:hAnsi="Times New Roman" w:cs="Times New Roman"/>
        </w:rPr>
        <w:t>.</w:t>
      </w:r>
      <w:r w:rsidR="007A528A" w:rsidRPr="00B57D20">
        <w:rPr>
          <w:rFonts w:ascii="Times New Roman" w:hAnsi="Times New Roman" w:cs="Times New Roman"/>
        </w:rPr>
        <w:t xml:space="preserve"> </w:t>
      </w:r>
    </w:p>
    <w:p w14:paraId="2C4FF7B6" w14:textId="77777777" w:rsidR="007A528A" w:rsidRPr="00B57D20" w:rsidRDefault="007A528A" w:rsidP="00B57D20">
      <w:pPr>
        <w:spacing w:after="240"/>
        <w:rPr>
          <w:rFonts w:ascii="Times New Roman" w:hAnsi="Times New Roman" w:cs="Times New Roman"/>
          <w:color w:val="2A2A2A"/>
        </w:rPr>
      </w:pPr>
      <w:r w:rsidRPr="00B57D20">
        <w:rPr>
          <w:rFonts w:ascii="Times New Roman" w:hAnsi="Times New Roman" w:cs="Times New Roman"/>
          <w:b/>
          <w:bCs/>
        </w:rPr>
        <w:t>Artículo 13</w:t>
      </w:r>
      <w:r w:rsidRPr="00B57D20">
        <w:rPr>
          <w:rFonts w:ascii="Times New Roman" w:hAnsi="Times New Roman" w:cs="Times New Roman"/>
          <w:b/>
          <w:bCs/>
          <w:lang w:val="es-ES_tradnl"/>
        </w:rPr>
        <w:t xml:space="preserve">.- Del control de ejecución de </w:t>
      </w:r>
      <w:proofErr w:type="gramStart"/>
      <w:r w:rsidRPr="00B57D20">
        <w:rPr>
          <w:rFonts w:ascii="Times New Roman" w:hAnsi="Times New Roman" w:cs="Times New Roman"/>
          <w:b/>
          <w:bCs/>
          <w:lang w:val="es-ES_tradnl"/>
        </w:rPr>
        <w:t>la</w:t>
      </w:r>
      <w:proofErr w:type="gramEnd"/>
      <w:r w:rsidRPr="00B57D20">
        <w:rPr>
          <w:rFonts w:ascii="Times New Roman" w:hAnsi="Times New Roman" w:cs="Times New Roman"/>
          <w:b/>
          <w:bCs/>
          <w:lang w:val="es-ES_tradnl"/>
        </w:rPr>
        <w:t xml:space="preserve"> obra</w:t>
      </w:r>
      <w:r w:rsidR="00CD7F88" w:rsidRPr="00B57D20">
        <w:rPr>
          <w:rFonts w:ascii="Times New Roman" w:hAnsi="Times New Roman" w:cs="Times New Roman"/>
          <w:b/>
          <w:bCs/>
          <w:lang w:val="es-ES_tradnl"/>
        </w:rPr>
        <w:t>s</w:t>
      </w:r>
      <w:r w:rsidRPr="00B57D20">
        <w:rPr>
          <w:rFonts w:ascii="Times New Roman" w:hAnsi="Times New Roman" w:cs="Times New Roman"/>
          <w:b/>
          <w:bCs/>
          <w:lang w:val="es-ES_tradnl"/>
        </w:rPr>
        <w:t xml:space="preserve">.- </w:t>
      </w:r>
      <w:r w:rsidRPr="00B57D20">
        <w:rPr>
          <w:rFonts w:ascii="Times New Roman" w:hAnsi="Times New Roman" w:cs="Times New Roman"/>
          <w:color w:val="000000" w:themeColor="text1"/>
        </w:rPr>
        <w:t xml:space="preserve">La Administración Zonal Calderón </w:t>
      </w:r>
      <w:r w:rsidRPr="00B57D20">
        <w:rPr>
          <w:rFonts w:ascii="Times New Roman" w:hAnsi="Times New Roman" w:cs="Times New Roman"/>
          <w:iCs/>
          <w:color w:val="000000" w:themeColor="text1"/>
        </w:rPr>
        <w:t>r</w:t>
      </w:r>
      <w:r w:rsidRPr="00B57D20">
        <w:rPr>
          <w:rFonts w:ascii="Times New Roman" w:hAnsi="Times New Roman" w:cs="Times New Roman"/>
          <w:color w:val="000000" w:themeColor="text1"/>
        </w:rPr>
        <w:t xml:space="preserve">ealizará de oficio, el seguimiento en la ejecución y avance </w:t>
      </w:r>
      <w:r w:rsidRPr="00B57D20">
        <w:rPr>
          <w:rFonts w:ascii="Times New Roman" w:hAnsi="Times New Roman" w:cs="Times New Roman"/>
        </w:rPr>
        <w:t>de la</w:t>
      </w:r>
      <w:r w:rsidR="00390459" w:rsidRPr="00B57D20">
        <w:rPr>
          <w:rFonts w:ascii="Times New Roman" w:hAnsi="Times New Roman" w:cs="Times New Roman"/>
        </w:rPr>
        <w:t>s</w:t>
      </w:r>
      <w:r w:rsidRPr="00B57D20">
        <w:rPr>
          <w:rFonts w:ascii="Times New Roman" w:hAnsi="Times New Roman" w:cs="Times New Roman"/>
        </w:rPr>
        <w:t xml:space="preserve"> obra</w:t>
      </w:r>
      <w:r w:rsidR="00390459" w:rsidRPr="00B57D20">
        <w:rPr>
          <w:rFonts w:ascii="Times New Roman" w:hAnsi="Times New Roman" w:cs="Times New Roman"/>
        </w:rPr>
        <w:t>s</w:t>
      </w:r>
      <w:r w:rsidRPr="00B57D20">
        <w:rPr>
          <w:rFonts w:ascii="Times New Roman" w:hAnsi="Times New Roman" w:cs="Times New Roman"/>
        </w:rPr>
        <w:t xml:space="preserve"> civil</w:t>
      </w:r>
      <w:r w:rsidR="00390459" w:rsidRPr="00B57D20">
        <w:rPr>
          <w:rFonts w:ascii="Times New Roman" w:hAnsi="Times New Roman" w:cs="Times New Roman"/>
        </w:rPr>
        <w:t xml:space="preserve">es y de infraestructura </w:t>
      </w:r>
      <w:r w:rsidRPr="00B57D20">
        <w:rPr>
          <w:rFonts w:ascii="Times New Roman" w:hAnsi="Times New Roman" w:cs="Times New Roman"/>
        </w:rPr>
        <w:t xml:space="preserve"> hasta la terminación de la</w:t>
      </w:r>
      <w:r w:rsidR="00390459" w:rsidRPr="00B57D20">
        <w:rPr>
          <w:rFonts w:ascii="Times New Roman" w:hAnsi="Times New Roman" w:cs="Times New Roman"/>
        </w:rPr>
        <w:t>s</w:t>
      </w:r>
      <w:r w:rsidRPr="00B57D20">
        <w:rPr>
          <w:rFonts w:ascii="Times New Roman" w:hAnsi="Times New Roman" w:cs="Times New Roman"/>
        </w:rPr>
        <w:t xml:space="preserve"> misma</w:t>
      </w:r>
      <w:r w:rsidR="00390459" w:rsidRPr="00B57D20">
        <w:rPr>
          <w:rFonts w:ascii="Times New Roman" w:hAnsi="Times New Roman" w:cs="Times New Roman"/>
        </w:rPr>
        <w:t>s</w:t>
      </w:r>
      <w:r w:rsidRPr="00B57D20">
        <w:rPr>
          <w:rFonts w:ascii="Times New Roman" w:hAnsi="Times New Roman" w:cs="Times New Roman"/>
        </w:rPr>
        <w:t>, para lo cual se emitirá un informe técnico tanto del departamento de fiscalización como del departamento de obras públicas cada semestre. Su informe favorable final</w:t>
      </w:r>
      <w:r w:rsidRPr="00B57D20">
        <w:rPr>
          <w:rFonts w:ascii="Times New Roman" w:hAnsi="Times New Roman" w:cs="Times New Roman"/>
          <w:color w:val="000000" w:themeColor="text1"/>
        </w:rPr>
        <w:t>, expedido por la Administración Zonal Calderón, será indispensable para cancelar la hipoteca</w:t>
      </w:r>
      <w:r w:rsidRPr="00B57D20">
        <w:rPr>
          <w:rFonts w:ascii="Times New Roman" w:hAnsi="Times New Roman" w:cs="Times New Roman"/>
          <w:color w:val="2A2A2A"/>
        </w:rPr>
        <w:t>.</w:t>
      </w:r>
    </w:p>
    <w:p w14:paraId="12DEDC88" w14:textId="77777777" w:rsidR="000F64D7" w:rsidRPr="00B57D20" w:rsidRDefault="000F64D7" w:rsidP="00B57D20">
      <w:pPr>
        <w:spacing w:after="240"/>
        <w:rPr>
          <w:rFonts w:ascii="Times New Roman" w:hAnsi="Times New Roman" w:cs="Times New Roman"/>
          <w:color w:val="2A2A2A"/>
        </w:rPr>
      </w:pPr>
      <w:r w:rsidRPr="00B57D20">
        <w:rPr>
          <w:rFonts w:ascii="Times New Roman" w:hAnsi="Times New Roman" w:cs="Times New Roman"/>
          <w:b/>
          <w:bCs/>
        </w:rPr>
        <w:t>Artículo</w:t>
      </w:r>
      <w:r w:rsidRPr="00B57D20">
        <w:rPr>
          <w:rFonts w:ascii="Times New Roman" w:hAnsi="Times New Roman" w:cs="Times New Roman"/>
          <w:b/>
          <w:bCs/>
          <w:lang w:val="es-ES_tradnl"/>
        </w:rPr>
        <w:t xml:space="preserve"> 14.- De la multa por retraso en ejecución de obras.- </w:t>
      </w:r>
      <w:r w:rsidRPr="00B57D20">
        <w:rPr>
          <w:rFonts w:ascii="Times New Roman" w:hAnsi="Times New Roman" w:cs="Times New Roman"/>
          <w:lang w:val="es-ES_tradnl"/>
        </w:rPr>
        <w:t>En caso de retraso en la ejecución de la</w:t>
      </w:r>
      <w:r w:rsidR="00CD7F88" w:rsidRPr="00B57D20">
        <w:rPr>
          <w:rFonts w:ascii="Times New Roman" w:hAnsi="Times New Roman" w:cs="Times New Roman"/>
          <w:lang w:val="es-ES_tradnl"/>
        </w:rPr>
        <w:t>s</w:t>
      </w:r>
      <w:r w:rsidRPr="00B57D20">
        <w:rPr>
          <w:rFonts w:ascii="Times New Roman" w:hAnsi="Times New Roman" w:cs="Times New Roman"/>
          <w:lang w:val="es-ES_tradnl"/>
        </w:rPr>
        <w:t xml:space="preserve"> obra</w:t>
      </w:r>
      <w:r w:rsidR="00CD7F88" w:rsidRPr="00B57D20">
        <w:rPr>
          <w:rFonts w:ascii="Times New Roman" w:hAnsi="Times New Roman" w:cs="Times New Roman"/>
          <w:lang w:val="es-ES_tradnl"/>
        </w:rPr>
        <w:t>s</w:t>
      </w:r>
      <w:r w:rsidRPr="00B57D20">
        <w:rPr>
          <w:rFonts w:ascii="Times New Roman" w:hAnsi="Times New Roman" w:cs="Times New Roman"/>
          <w:lang w:val="es-ES_tradnl"/>
        </w:rPr>
        <w:t xml:space="preserve"> </w:t>
      </w:r>
      <w:r w:rsidRPr="00B57D20">
        <w:rPr>
          <w:rFonts w:ascii="Times New Roman" w:hAnsi="Times New Roman" w:cs="Times New Roman"/>
        </w:rPr>
        <w:t>civil</w:t>
      </w:r>
      <w:r w:rsidR="00CD7F88" w:rsidRPr="00B57D20">
        <w:rPr>
          <w:rFonts w:ascii="Times New Roman" w:hAnsi="Times New Roman" w:cs="Times New Roman"/>
        </w:rPr>
        <w:t>es y de infraestructura</w:t>
      </w:r>
      <w:r w:rsidRPr="00B57D20">
        <w:rPr>
          <w:rFonts w:ascii="Times New Roman" w:hAnsi="Times New Roman" w:cs="Times New Roman"/>
          <w:lang w:val="es-ES_tradnl"/>
        </w:rPr>
        <w:t>,</w:t>
      </w:r>
      <w:r w:rsidRPr="00B57D20">
        <w:rPr>
          <w:rFonts w:ascii="Times New Roman" w:hAnsi="Times New Roman" w:cs="Times New Roman"/>
          <w:color w:val="0D0D0D"/>
        </w:rPr>
        <w:t xml:space="preserve"> los copropietarios del inmueble sobre el cual se ubica </w:t>
      </w:r>
      <w:r w:rsidRPr="00B57D20">
        <w:rPr>
          <w:rFonts w:ascii="Times New Roman" w:hAnsi="Times New Roman" w:cs="Times New Roman"/>
        </w:rPr>
        <w:t xml:space="preserve">el </w:t>
      </w:r>
      <w:r w:rsidR="00CD7F88" w:rsidRPr="00B57D20">
        <w:rPr>
          <w:rFonts w:ascii="Times New Roman" w:hAnsi="Times New Roman" w:cs="Times New Roman"/>
        </w:rPr>
        <w:lastRenderedPageBreak/>
        <w:t>a</w:t>
      </w:r>
      <w:r w:rsidRPr="00B57D20">
        <w:rPr>
          <w:rFonts w:ascii="Times New Roman" w:hAnsi="Times New Roman" w:cs="Times New Roman"/>
        </w:rPr>
        <w:t xml:space="preserve">sentamiento </w:t>
      </w:r>
      <w:r w:rsidR="00CD7F88" w:rsidRPr="00B57D20">
        <w:rPr>
          <w:rFonts w:ascii="Times New Roman" w:hAnsi="Times New Roman" w:cs="Times New Roman"/>
        </w:rPr>
        <w:t>h</w:t>
      </w:r>
      <w:r w:rsidRPr="00B57D20">
        <w:rPr>
          <w:rFonts w:ascii="Times New Roman" w:hAnsi="Times New Roman" w:cs="Times New Roman"/>
        </w:rPr>
        <w:t xml:space="preserve">umano de </w:t>
      </w:r>
      <w:r w:rsidR="00CD7F88" w:rsidRPr="00B57D20">
        <w:rPr>
          <w:rFonts w:ascii="Times New Roman" w:hAnsi="Times New Roman" w:cs="Times New Roman"/>
        </w:rPr>
        <w:t>h</w:t>
      </w:r>
      <w:r w:rsidRPr="00B57D20">
        <w:rPr>
          <w:rFonts w:ascii="Times New Roman" w:hAnsi="Times New Roman" w:cs="Times New Roman"/>
        </w:rPr>
        <w:t xml:space="preserve">echo y </w:t>
      </w:r>
      <w:r w:rsidR="00CD7F88" w:rsidRPr="00B57D20">
        <w:rPr>
          <w:rFonts w:ascii="Times New Roman" w:hAnsi="Times New Roman" w:cs="Times New Roman"/>
        </w:rPr>
        <w:t>c</w:t>
      </w:r>
      <w:r w:rsidRPr="00B57D20">
        <w:rPr>
          <w:rFonts w:ascii="Times New Roman" w:hAnsi="Times New Roman" w:cs="Times New Roman"/>
        </w:rPr>
        <w:t xml:space="preserve">onsolidado de </w:t>
      </w:r>
      <w:r w:rsidR="00CD7F88" w:rsidRPr="00B57D20">
        <w:rPr>
          <w:rFonts w:ascii="Times New Roman" w:hAnsi="Times New Roman" w:cs="Times New Roman"/>
        </w:rPr>
        <w:t>i</w:t>
      </w:r>
      <w:r w:rsidRPr="00B57D20">
        <w:rPr>
          <w:rFonts w:ascii="Times New Roman" w:hAnsi="Times New Roman" w:cs="Times New Roman"/>
        </w:rPr>
        <w:t xml:space="preserve">nterés </w:t>
      </w:r>
      <w:r w:rsidR="00CD7F88" w:rsidRPr="00B57D20">
        <w:rPr>
          <w:rFonts w:ascii="Times New Roman" w:hAnsi="Times New Roman" w:cs="Times New Roman"/>
        </w:rPr>
        <w:t>s</w:t>
      </w:r>
      <w:r w:rsidRPr="00B57D20">
        <w:rPr>
          <w:rFonts w:ascii="Times New Roman" w:hAnsi="Times New Roman" w:cs="Times New Roman"/>
        </w:rPr>
        <w:t>ocial denominado Barrio “Bellavista Séptima Etapa</w:t>
      </w:r>
      <w:r w:rsidR="00CD7F88" w:rsidRPr="00B57D20">
        <w:rPr>
          <w:rFonts w:ascii="Times New Roman" w:hAnsi="Times New Roman" w:cs="Times New Roman"/>
        </w:rPr>
        <w:t>”</w:t>
      </w:r>
      <w:r w:rsidRPr="00B57D20">
        <w:rPr>
          <w:rFonts w:ascii="Times New Roman" w:hAnsi="Times New Roman" w:cs="Times New Roman"/>
        </w:rPr>
        <w:t>, se sujetarán a las sanciones contempladas en el Ordenamiento Jurídico Nacional y Metropolitano.</w:t>
      </w:r>
    </w:p>
    <w:p w14:paraId="0ABF17F7" w14:textId="77777777" w:rsidR="007A528A" w:rsidRPr="00B57D20" w:rsidRDefault="000F64D7" w:rsidP="00B57D20">
      <w:pPr>
        <w:shd w:val="clear" w:color="auto" w:fill="FFFFFF"/>
        <w:spacing w:after="0"/>
        <w:rPr>
          <w:rFonts w:ascii="Times New Roman" w:eastAsia="Times New Roman" w:hAnsi="Times New Roman" w:cs="Times New Roman"/>
          <w:color w:val="2A2A2A"/>
          <w:lang w:eastAsia="es-ES"/>
        </w:rPr>
      </w:pPr>
      <w:r w:rsidRPr="00B57D20">
        <w:rPr>
          <w:rFonts w:ascii="Times New Roman" w:hAnsi="Times New Roman" w:cs="Times New Roman"/>
          <w:b/>
          <w:bCs/>
          <w:iCs/>
        </w:rPr>
        <w:t xml:space="preserve">Artículo 15.- De la garantía de ejecución de las obras.- </w:t>
      </w:r>
      <w:r w:rsidRPr="00B57D20">
        <w:rPr>
          <w:rFonts w:ascii="Times New Roman" w:hAnsi="Times New Roman" w:cs="Times New Roman"/>
        </w:rPr>
        <w:t xml:space="preserve">Los lotes producto del fraccionamiento donde se encuentra el </w:t>
      </w:r>
      <w:r w:rsidR="00CD7F88" w:rsidRPr="00B57D20">
        <w:rPr>
          <w:rFonts w:ascii="Times New Roman" w:hAnsi="Times New Roman" w:cs="Times New Roman"/>
        </w:rPr>
        <w:t xml:space="preserve">asentamiento humano de hecho y consolidado de interés social denominado </w:t>
      </w:r>
      <w:r w:rsidR="003D5B95" w:rsidRPr="00B57D20">
        <w:rPr>
          <w:rFonts w:ascii="Times New Roman" w:hAnsi="Times New Roman" w:cs="Times New Roman"/>
        </w:rPr>
        <w:t>Barrio “Bellavista” Séptima Etapa</w:t>
      </w:r>
      <w:r w:rsidRPr="00B57D20">
        <w:rPr>
          <w:rFonts w:ascii="Times New Roman" w:hAnsi="Times New Roman" w:cs="Times New Roman"/>
        </w:rPr>
        <w:t xml:space="preserve">, </w:t>
      </w:r>
      <w:r w:rsidR="003D5B95" w:rsidRPr="00B57D20">
        <w:rPr>
          <w:rFonts w:ascii="Times New Roman" w:hAnsi="Times New Roman" w:cs="Times New Roman"/>
        </w:rPr>
        <w:t xml:space="preserve">quedan gravados con primera, especial y preferente hipoteca a favor del Municipio del Distrito Metropolitano de Quito, gravamen que regirá una vez que se adjudiquen los lotes a sus respectivos </w:t>
      </w:r>
      <w:r w:rsidRPr="00B57D20">
        <w:rPr>
          <w:rFonts w:ascii="Times New Roman" w:hAnsi="Times New Roman" w:cs="Times New Roman"/>
        </w:rPr>
        <w:t xml:space="preserve">beneficiarios y que subsistirá hasta la terminación de la ejecución </w:t>
      </w:r>
      <w:r w:rsidR="00CD68F9" w:rsidRPr="00B57D20">
        <w:rPr>
          <w:rFonts w:ascii="Times New Roman" w:hAnsi="Times New Roman" w:cs="Times New Roman"/>
          <w:lang w:val="es-ES_tradnl"/>
        </w:rPr>
        <w:t xml:space="preserve">de las obras </w:t>
      </w:r>
      <w:r w:rsidR="00CD68F9" w:rsidRPr="00B57D20">
        <w:rPr>
          <w:rFonts w:ascii="Times New Roman" w:hAnsi="Times New Roman" w:cs="Times New Roman"/>
        </w:rPr>
        <w:t>civiles y de infraestructura</w:t>
      </w:r>
      <w:r w:rsidRPr="00B57D20">
        <w:rPr>
          <w:rFonts w:ascii="Times New Roman" w:hAnsi="Times New Roman" w:cs="Times New Roman"/>
        </w:rPr>
        <w:t>.</w:t>
      </w:r>
      <w:r w:rsidRPr="00B57D20">
        <w:rPr>
          <w:rFonts w:ascii="Times New Roman" w:hAnsi="Times New Roman" w:cs="Times New Roman"/>
          <w:color w:val="000000" w:themeColor="text1"/>
        </w:rPr>
        <w:t xml:space="preserve"> El gravamen constituido a favor de la Municipalidad deberá constar en cada escritura individualizada</w:t>
      </w:r>
      <w:r w:rsidR="003D5B95" w:rsidRPr="00B57D20">
        <w:rPr>
          <w:rFonts w:ascii="Times New Roman" w:hAnsi="Times New Roman" w:cs="Times New Roman"/>
          <w:color w:val="000000" w:themeColor="text1"/>
        </w:rPr>
        <w:t>.</w:t>
      </w:r>
    </w:p>
    <w:p w14:paraId="600707F0" w14:textId="77777777" w:rsidR="0018614A" w:rsidRPr="00B57D20" w:rsidRDefault="0018614A" w:rsidP="00B57D20">
      <w:pPr>
        <w:shd w:val="clear" w:color="auto" w:fill="FFFFFF"/>
        <w:spacing w:after="0"/>
        <w:rPr>
          <w:rFonts w:ascii="Times New Roman" w:eastAsia="Times New Roman" w:hAnsi="Times New Roman" w:cs="Times New Roman"/>
          <w:color w:val="2A2A2A"/>
          <w:lang w:eastAsia="es-ES"/>
        </w:rPr>
      </w:pPr>
    </w:p>
    <w:p w14:paraId="08C87EA6" w14:textId="77777777" w:rsidR="003D5B95" w:rsidRPr="00B57D20" w:rsidRDefault="003D5B95" w:rsidP="00B57D20">
      <w:pPr>
        <w:spacing w:after="240"/>
        <w:rPr>
          <w:rFonts w:ascii="Times New Roman" w:hAnsi="Times New Roman" w:cs="Times New Roman"/>
          <w:lang w:val="es-ES_tradnl"/>
        </w:rPr>
      </w:pPr>
      <w:r w:rsidRPr="00B57D20">
        <w:rPr>
          <w:rFonts w:ascii="Times New Roman" w:hAnsi="Times New Roman" w:cs="Times New Roman"/>
          <w:b/>
          <w:bCs/>
        </w:rPr>
        <w:t>Artículo</w:t>
      </w:r>
      <w:r w:rsidRPr="00B57D20">
        <w:rPr>
          <w:rFonts w:ascii="Times New Roman" w:hAnsi="Times New Roman" w:cs="Times New Roman"/>
          <w:b/>
          <w:bCs/>
          <w:lang w:val="es-ES_tradnl"/>
        </w:rPr>
        <w:t xml:space="preserve"> 16.- De la Protocolización e inscripción de la Ordenanza. -  </w:t>
      </w:r>
      <w:r w:rsidRPr="00B57D20">
        <w:rPr>
          <w:rFonts w:ascii="Times New Roman" w:hAnsi="Times New Roman" w:cs="Times New Roman"/>
        </w:rPr>
        <w:t>Los copropietarios del predio del Asentamiento Humano de Hecho y Consolidado de Interés</w:t>
      </w:r>
      <w:r w:rsidRPr="00B57D20">
        <w:rPr>
          <w:rFonts w:ascii="Times New Roman" w:hAnsi="Times New Roman" w:cs="Times New Roman"/>
          <w:bCs/>
          <w:color w:val="000000"/>
        </w:rPr>
        <w:t xml:space="preserve"> Social denominado </w:t>
      </w:r>
      <w:r w:rsidR="00B05238" w:rsidRPr="00B57D20">
        <w:rPr>
          <w:rFonts w:ascii="Times New Roman" w:hAnsi="Times New Roman" w:cs="Times New Roman"/>
        </w:rPr>
        <w:t>Barrio “Bellavista” Séptima Etapa</w:t>
      </w:r>
      <w:r w:rsidRPr="00B57D20">
        <w:rPr>
          <w:rFonts w:ascii="Times New Roman" w:hAnsi="Times New Roman" w:cs="Times New Roman"/>
        </w:rPr>
        <w:t xml:space="preserve">, </w:t>
      </w:r>
      <w:r w:rsidRPr="00B57D20">
        <w:rPr>
          <w:rFonts w:ascii="Times New Roman" w:hAnsi="Times New Roman" w:cs="Times New Roman"/>
          <w:lang w:val="es-ES_tradnl"/>
        </w:rPr>
        <w:t xml:space="preserve">deberán </w:t>
      </w:r>
      <w:r w:rsidRPr="00B57D20">
        <w:rPr>
          <w:rFonts w:ascii="Times New Roman" w:hAnsi="Times New Roman" w:cs="Times New Roman"/>
        </w:rPr>
        <w:t xml:space="preserve">protocolizar la presente Ordenanza ante Notario Público e inscribirla en el Registro de la Propiedad del Distrito Metropolitano de Quito, </w:t>
      </w:r>
      <w:r w:rsidRPr="00B57D20">
        <w:rPr>
          <w:rFonts w:ascii="Times New Roman" w:hAnsi="Times New Roman" w:cs="Times New Roman"/>
          <w:lang w:val="es-ES_tradnl"/>
        </w:rPr>
        <w:t>con todos sus documentos habilitantes</w:t>
      </w:r>
      <w:r w:rsidRPr="00B57D20">
        <w:rPr>
          <w:rFonts w:ascii="Times New Roman" w:hAnsi="Times New Roman" w:cs="Times New Roman"/>
        </w:rPr>
        <w:t>.</w:t>
      </w:r>
      <w:r w:rsidRPr="00B57D20">
        <w:rPr>
          <w:rFonts w:ascii="Times New Roman" w:hAnsi="Times New Roman" w:cs="Times New Roman"/>
          <w:lang w:val="es-ES_tradnl"/>
        </w:rPr>
        <w:t xml:space="preserve"> </w:t>
      </w:r>
    </w:p>
    <w:p w14:paraId="0EAF4E78" w14:textId="77777777" w:rsidR="003D5B95" w:rsidRPr="00B57D20" w:rsidRDefault="003D5B95" w:rsidP="00B57D20">
      <w:pPr>
        <w:spacing w:before="120"/>
        <w:ind w:left="1"/>
        <w:rPr>
          <w:rFonts w:ascii="Times New Roman" w:eastAsiaTheme="minorHAnsi" w:hAnsi="Times New Roman" w:cs="Times New Roman"/>
        </w:rPr>
      </w:pPr>
      <w:r w:rsidRPr="00B57D20">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B57D20">
        <w:rPr>
          <w:rFonts w:ascii="Times New Roman" w:eastAsiaTheme="minorHAnsi" w:hAnsi="Times New Roman" w:cs="Times New Roman"/>
        </w:rPr>
        <w:t>IV.7.64 de la Ordenanza No. 001 de 29 de marzo de 2019.</w:t>
      </w:r>
    </w:p>
    <w:p w14:paraId="766212DA" w14:textId="77777777" w:rsidR="003D5B95" w:rsidRPr="00B57D20" w:rsidRDefault="003D5B95" w:rsidP="00B57D20">
      <w:pPr>
        <w:spacing w:after="240"/>
        <w:contextualSpacing/>
        <w:rPr>
          <w:rFonts w:ascii="Times New Roman" w:hAnsi="Times New Roman" w:cs="Times New Roman"/>
          <w:lang w:val="es-ES_tradnl"/>
        </w:rPr>
      </w:pPr>
      <w:r w:rsidRPr="00B57D20">
        <w:rPr>
          <w:rFonts w:ascii="Times New Roman" w:hAnsi="Times New Roman" w:cs="Times New Roman"/>
          <w:b/>
          <w:lang w:val="es-ES_tradnl"/>
        </w:rPr>
        <w:t xml:space="preserve">Artículo 17.- De la partición y adjudicación.- </w:t>
      </w:r>
      <w:r w:rsidRPr="00B57D20">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2B7A3D6B" w14:textId="77777777" w:rsidR="003D5B95" w:rsidRPr="00B57D20" w:rsidRDefault="003D5B95" w:rsidP="00B57D20">
      <w:pPr>
        <w:spacing w:after="240"/>
        <w:contextualSpacing/>
        <w:rPr>
          <w:rFonts w:ascii="Times New Roman" w:hAnsi="Times New Roman" w:cs="Times New Roman"/>
          <w:lang w:val="es-ES_tradnl"/>
        </w:rPr>
      </w:pPr>
    </w:p>
    <w:p w14:paraId="0B92EE0B" w14:textId="77777777" w:rsidR="003D5B95" w:rsidRPr="00B57D20" w:rsidRDefault="003D5B95" w:rsidP="00B57D20">
      <w:pPr>
        <w:spacing w:after="240"/>
        <w:contextualSpacing/>
        <w:rPr>
          <w:rFonts w:ascii="Times New Roman" w:hAnsi="Times New Roman" w:cs="Times New Roman"/>
          <w:lang w:val="es-ES_tradnl"/>
        </w:rPr>
      </w:pPr>
      <w:r w:rsidRPr="00B57D20">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EC2CA01" w14:textId="77777777" w:rsidR="003D5B95" w:rsidRPr="00B57D20" w:rsidRDefault="003D5B95" w:rsidP="00B57D20">
      <w:pPr>
        <w:spacing w:after="240"/>
        <w:contextualSpacing/>
        <w:rPr>
          <w:rFonts w:ascii="Times New Roman" w:hAnsi="Times New Roman" w:cs="Times New Roman"/>
          <w:lang w:val="es-ES_tradnl"/>
        </w:rPr>
      </w:pPr>
    </w:p>
    <w:p w14:paraId="31CC5012" w14:textId="77777777" w:rsidR="003D5B95" w:rsidRPr="00B57D20" w:rsidRDefault="003D5B95" w:rsidP="00B57D20">
      <w:pPr>
        <w:spacing w:after="360"/>
        <w:rPr>
          <w:rFonts w:ascii="Times New Roman" w:hAnsi="Times New Roman" w:cs="Times New Roman"/>
          <w:bCs/>
          <w:lang w:val="es-ES_tradnl"/>
        </w:rPr>
      </w:pPr>
      <w:r w:rsidRPr="00B57D20">
        <w:rPr>
          <w:rFonts w:ascii="Times New Roman" w:hAnsi="Times New Roman" w:cs="Times New Roman"/>
          <w:b/>
          <w:bCs/>
          <w:lang w:val="es-ES_tradnl"/>
        </w:rPr>
        <w:t xml:space="preserve">Artículo 18.- Solicitudes de ampliación de plazo.- </w:t>
      </w:r>
      <w:r w:rsidRPr="00B57D20">
        <w:rPr>
          <w:rFonts w:ascii="Times New Roman" w:hAnsi="Times New Roman" w:cs="Times New Roman"/>
          <w:bCs/>
          <w:lang w:val="es-ES_tradnl"/>
        </w:rPr>
        <w:t xml:space="preserve">Las solicitudes de ampliación de plazo para ejecución de </w:t>
      </w:r>
      <w:r w:rsidR="00CD68F9" w:rsidRPr="00B57D20">
        <w:rPr>
          <w:rFonts w:ascii="Times New Roman" w:hAnsi="Times New Roman" w:cs="Times New Roman"/>
          <w:lang w:val="es-ES_tradnl"/>
        </w:rPr>
        <w:t xml:space="preserve">las obras </w:t>
      </w:r>
      <w:r w:rsidR="00CD68F9" w:rsidRPr="00B57D20">
        <w:rPr>
          <w:rFonts w:ascii="Times New Roman" w:hAnsi="Times New Roman" w:cs="Times New Roman"/>
        </w:rPr>
        <w:t>civiles y de infraestructura</w:t>
      </w:r>
      <w:r w:rsidR="00B05238" w:rsidRPr="00B57D20">
        <w:rPr>
          <w:rFonts w:ascii="Times New Roman" w:hAnsi="Times New Roman" w:cs="Times New Roman"/>
          <w:bCs/>
          <w:lang w:val="es-ES_tradnl"/>
        </w:rPr>
        <w:t xml:space="preserve"> </w:t>
      </w:r>
      <w:r w:rsidRPr="00B57D20">
        <w:rPr>
          <w:rFonts w:ascii="Times New Roman" w:hAnsi="Times New Roman" w:cs="Times New Roman"/>
          <w:bCs/>
          <w:lang w:val="es-ES_tradnl"/>
        </w:rPr>
        <w:t>serán resueltas por la Administración Zonal correspondiente.</w:t>
      </w:r>
    </w:p>
    <w:p w14:paraId="062895DD" w14:textId="77777777" w:rsidR="003D5B95" w:rsidRPr="00B57D20" w:rsidRDefault="003D5B95" w:rsidP="00B57D20">
      <w:pPr>
        <w:spacing w:after="360"/>
        <w:rPr>
          <w:rFonts w:ascii="Times New Roman" w:hAnsi="Times New Roman" w:cs="Times New Roman"/>
          <w:bCs/>
          <w:color w:val="000000" w:themeColor="text1"/>
          <w:lang w:val="es-ES_tradnl"/>
        </w:rPr>
      </w:pPr>
      <w:r w:rsidRPr="00B57D20">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14:paraId="5E09F229" w14:textId="77777777" w:rsidR="003D5B95" w:rsidRPr="00B57D20" w:rsidRDefault="003D5B95" w:rsidP="00B57D20">
      <w:pPr>
        <w:spacing w:after="360"/>
        <w:rPr>
          <w:rFonts w:ascii="Times New Roman" w:hAnsi="Times New Roman" w:cs="Times New Roman"/>
          <w:bCs/>
          <w:lang w:val="es-ES_tradnl"/>
        </w:rPr>
      </w:pPr>
      <w:r w:rsidRPr="00B57D20">
        <w:rPr>
          <w:rFonts w:ascii="Times New Roman" w:hAnsi="Times New Roman" w:cs="Times New Roman"/>
          <w:bCs/>
          <w:lang w:val="es-ES_tradnl"/>
        </w:rPr>
        <w:t xml:space="preserve">La Administración Zonal </w:t>
      </w:r>
      <w:r w:rsidRPr="00B57D20">
        <w:rPr>
          <w:rFonts w:ascii="Times New Roman" w:hAnsi="Times New Roman" w:cs="Times New Roman"/>
          <w:bCs/>
          <w:color w:val="000000" w:themeColor="text1"/>
          <w:lang w:val="es-ES_tradnl"/>
        </w:rPr>
        <w:t>Calderón,</w:t>
      </w:r>
      <w:r w:rsidRPr="00B57D20">
        <w:rPr>
          <w:rFonts w:ascii="Times New Roman" w:hAnsi="Times New Roman" w:cs="Times New Roman"/>
          <w:bCs/>
          <w:lang w:val="es-ES_tradnl"/>
        </w:rPr>
        <w:t xml:space="preserve"> realizará el seguimiento en la ejecución y avance del cronograma de obras de mitigación hasta la terminación de las mismas.</w:t>
      </w:r>
    </w:p>
    <w:p w14:paraId="3E9BF58C" w14:textId="77777777" w:rsidR="003D5B95" w:rsidRPr="00B57D20" w:rsidRDefault="003D5B95" w:rsidP="00B57D20">
      <w:pPr>
        <w:spacing w:after="360"/>
        <w:rPr>
          <w:rFonts w:ascii="Times New Roman" w:hAnsi="Times New Roman" w:cs="Times New Roman"/>
          <w:bCs/>
          <w:color w:val="000000" w:themeColor="text1"/>
          <w:lang w:val="es-ES_tradnl"/>
        </w:rPr>
      </w:pPr>
      <w:r w:rsidRPr="00B57D20">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w:t>
      </w:r>
      <w:r w:rsidR="00B05238" w:rsidRPr="00B57D20">
        <w:rPr>
          <w:rFonts w:ascii="Times New Roman" w:hAnsi="Times New Roman" w:cs="Times New Roman"/>
          <w:bCs/>
          <w:color w:val="000000" w:themeColor="text1"/>
          <w:lang w:val="es-ES_tradnl"/>
        </w:rPr>
        <w:t>s</w:t>
      </w:r>
      <w:r w:rsidRPr="00B57D20">
        <w:rPr>
          <w:rFonts w:ascii="Times New Roman" w:hAnsi="Times New Roman" w:cs="Times New Roman"/>
          <w:bCs/>
          <w:color w:val="000000" w:themeColor="text1"/>
          <w:lang w:val="es-ES_tradnl"/>
        </w:rPr>
        <w:t xml:space="preserve"> obras referidas y debidamente justificadas.</w:t>
      </w:r>
    </w:p>
    <w:p w14:paraId="0027CFDC" w14:textId="77777777" w:rsidR="003D5B95" w:rsidRPr="00B57D20" w:rsidRDefault="003D5B95" w:rsidP="00B57D20">
      <w:pPr>
        <w:spacing w:after="240"/>
        <w:contextualSpacing/>
        <w:rPr>
          <w:rFonts w:ascii="Times New Roman" w:hAnsi="Times New Roman" w:cs="Times New Roman"/>
          <w:bCs/>
          <w:lang w:val="es-ES_tradnl"/>
        </w:rPr>
      </w:pPr>
      <w:r w:rsidRPr="00B57D20">
        <w:rPr>
          <w:rFonts w:ascii="Times New Roman" w:hAnsi="Times New Roman" w:cs="Times New Roman"/>
          <w:b/>
          <w:bCs/>
          <w:lang w:val="es-ES_tradnl"/>
        </w:rPr>
        <w:lastRenderedPageBreak/>
        <w:t>Artículo 19.- Potestad de ejecución.-</w:t>
      </w:r>
      <w:r w:rsidRPr="00B57D20">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25DCFCA" w14:textId="77777777" w:rsidR="003D5B95" w:rsidRPr="00B57D20" w:rsidRDefault="003D5B95" w:rsidP="00B57D20">
      <w:pPr>
        <w:spacing w:after="240"/>
        <w:contextualSpacing/>
        <w:rPr>
          <w:rFonts w:ascii="Times New Roman" w:hAnsi="Times New Roman" w:cs="Times New Roman"/>
          <w:bCs/>
          <w:lang w:val="es-ES_tradnl"/>
        </w:rPr>
      </w:pPr>
    </w:p>
    <w:p w14:paraId="33F939F3" w14:textId="77777777" w:rsidR="003D5B95" w:rsidRPr="00B57D20" w:rsidRDefault="003D5B95" w:rsidP="00B57D20">
      <w:pPr>
        <w:spacing w:after="240"/>
        <w:jc w:val="center"/>
        <w:rPr>
          <w:rFonts w:ascii="Times New Roman" w:hAnsi="Times New Roman" w:cs="Times New Roman"/>
          <w:b/>
          <w:lang w:val="es-ES_tradnl"/>
        </w:rPr>
      </w:pPr>
      <w:r w:rsidRPr="00B57D20">
        <w:rPr>
          <w:rFonts w:ascii="Times New Roman" w:hAnsi="Times New Roman" w:cs="Times New Roman"/>
          <w:b/>
          <w:lang w:val="es-ES_tradnl"/>
        </w:rPr>
        <w:t>Disposiciones Generales</w:t>
      </w:r>
    </w:p>
    <w:p w14:paraId="7B30DEA5" w14:textId="77777777" w:rsidR="003D5B95" w:rsidRPr="00B57D20" w:rsidRDefault="003D5B95" w:rsidP="00B57D20">
      <w:pPr>
        <w:spacing w:after="240"/>
        <w:rPr>
          <w:rFonts w:ascii="Times New Roman" w:hAnsi="Times New Roman" w:cs="Times New Roman"/>
          <w:b/>
          <w:lang w:val="es-ES_tradnl"/>
        </w:rPr>
      </w:pPr>
      <w:r w:rsidRPr="00B57D20">
        <w:rPr>
          <w:rFonts w:ascii="Times New Roman" w:hAnsi="Times New Roman" w:cs="Times New Roman"/>
          <w:b/>
          <w:lang w:val="es-ES_tradnl"/>
        </w:rPr>
        <w:t xml:space="preserve">Primera.- </w:t>
      </w:r>
      <w:r w:rsidRPr="00B57D20">
        <w:rPr>
          <w:rFonts w:ascii="Times New Roman" w:hAnsi="Times New Roman" w:cs="Times New Roman"/>
          <w:lang w:val="es-ES_tradnl"/>
        </w:rPr>
        <w:t>Todos los anexos adjuntos al proyecto de regularización son documentos habilitantes de esta Ordenanza</w:t>
      </w:r>
      <w:r w:rsidRPr="00B57D20">
        <w:rPr>
          <w:rFonts w:ascii="Times New Roman" w:hAnsi="Times New Roman" w:cs="Times New Roman"/>
          <w:b/>
          <w:lang w:val="es-ES_tradnl"/>
        </w:rPr>
        <w:t>.</w:t>
      </w:r>
    </w:p>
    <w:p w14:paraId="1CDA5B47" w14:textId="77777777" w:rsidR="003D5B95" w:rsidRPr="00B57D20" w:rsidRDefault="003D5B95" w:rsidP="00B57D20">
      <w:pPr>
        <w:spacing w:after="240"/>
        <w:rPr>
          <w:rFonts w:ascii="Times New Roman" w:hAnsi="Times New Roman" w:cs="Times New Roman"/>
          <w:lang w:val="es-ES_tradnl"/>
        </w:rPr>
      </w:pPr>
      <w:r w:rsidRPr="00B57D20">
        <w:rPr>
          <w:rFonts w:ascii="Times New Roman" w:hAnsi="Times New Roman" w:cs="Times New Roman"/>
          <w:b/>
          <w:lang w:val="es-ES_tradnl"/>
        </w:rPr>
        <w:t xml:space="preserve">Segunda.-  </w:t>
      </w:r>
      <w:r w:rsidRPr="00B57D20">
        <w:rPr>
          <w:rFonts w:ascii="Times New Roman" w:hAnsi="Times New Roman" w:cs="Times New Roman"/>
          <w:lang w:val="es-ES_tradnl"/>
        </w:rPr>
        <w:t xml:space="preserve">De acuerdo al Informe Técnico de evaluación de riesgos No. </w:t>
      </w:r>
      <w:r w:rsidR="00B05238" w:rsidRPr="00B57D20">
        <w:rPr>
          <w:rFonts w:ascii="Times New Roman" w:hAnsi="Times New Roman" w:cs="Times New Roman"/>
          <w:bCs/>
        </w:rPr>
        <w:t>115-AT-DMGR-2013, de fecha 07 de noviembre de 2013</w:t>
      </w:r>
      <w:r w:rsidRPr="00B57D20">
        <w:rPr>
          <w:rFonts w:ascii="Times New Roman" w:hAnsi="Times New Roman" w:cs="Times New Roman"/>
          <w:lang w:val="es-ES_tradnl"/>
        </w:rPr>
        <w:t xml:space="preserve"> y, al </w:t>
      </w:r>
      <w:r w:rsidR="007E28B6" w:rsidRPr="00B57D20">
        <w:rPr>
          <w:rFonts w:ascii="Times New Roman" w:hAnsi="Times New Roman" w:cs="Times New Roman"/>
          <w:bCs/>
        </w:rPr>
        <w:t>Oficio Nro. GADDMQ-SGSG-DMGR-2019-0836-OF, de 22 de octubre del 2019, emitido por el Director Metropolitano de Gestión de Riesgos, de la Secretaría General de Seguridad y Gobernabilidad que remite el i</w:t>
      </w:r>
      <w:r w:rsidR="007E28B6" w:rsidRPr="00B57D20">
        <w:rPr>
          <w:rFonts w:ascii="Times New Roman" w:hAnsi="Times New Roman" w:cs="Times New Roman"/>
        </w:rPr>
        <w:t xml:space="preserve">nforme No. 329-AT-DMGR-2019 de 04 de octubre de 2019, </w:t>
      </w:r>
      <w:r w:rsidRPr="00B57D20">
        <w:rPr>
          <w:rFonts w:ascii="Times New Roman" w:hAnsi="Times New Roman" w:cs="Times New Roman"/>
          <w:lang w:val="es-ES_tradnl"/>
        </w:rPr>
        <w:t>los copropietarios del asentamiento deberán cumplir las siguientes disposiciones y recomendaciones:</w:t>
      </w:r>
    </w:p>
    <w:p w14:paraId="7FEC65AA" w14:textId="77777777" w:rsidR="00B0045F" w:rsidRPr="00B57D20" w:rsidRDefault="003D5B95" w:rsidP="00B57D20">
      <w:pPr>
        <w:pStyle w:val="Prrafodelista"/>
        <w:numPr>
          <w:ilvl w:val="0"/>
          <w:numId w:val="3"/>
        </w:numPr>
        <w:spacing w:after="360"/>
        <w:jc w:val="both"/>
        <w:rPr>
          <w:rFonts w:ascii="Times New Roman" w:hAnsi="Times New Roman"/>
          <w:lang w:val="es-ES_tradnl"/>
        </w:rPr>
      </w:pPr>
      <w:r w:rsidRPr="00B57D20">
        <w:rPr>
          <w:rFonts w:ascii="Times New Roman" w:hAnsi="Times New Roman"/>
          <w:lang w:val="es-ES_tradnl"/>
        </w:rPr>
        <w:t xml:space="preserve">Se </w:t>
      </w:r>
      <w:r w:rsidR="00B0045F" w:rsidRPr="00B57D20">
        <w:rPr>
          <w:rFonts w:ascii="Times New Roman" w:hAnsi="Times New Roman"/>
          <w:lang w:val="es-ES_tradnl"/>
        </w:rPr>
        <w:t xml:space="preserve">dispone </w:t>
      </w:r>
      <w:r w:rsidRPr="00B57D20">
        <w:rPr>
          <w:rFonts w:ascii="Times New Roman" w:hAnsi="Times New Roman"/>
          <w:lang w:val="es-ES_tradnl"/>
        </w:rPr>
        <w:t xml:space="preserve">que </w:t>
      </w:r>
      <w:r w:rsidR="00B0045F" w:rsidRPr="00B57D20">
        <w:rPr>
          <w:rFonts w:ascii="Times New Roman" w:hAnsi="Times New Roman"/>
          <w:lang w:val="es-ES_tradnl"/>
        </w:rPr>
        <w:t>se realice la implementación de obras de infraestructura pública: alcantarillado, aceras, bordillos e infraestructura vial , como obras de mitigación</w:t>
      </w:r>
      <w:r w:rsidR="004C792D" w:rsidRPr="00B57D20">
        <w:rPr>
          <w:rFonts w:ascii="Times New Roman" w:hAnsi="Times New Roman"/>
          <w:lang w:val="es-ES_tradnl"/>
        </w:rPr>
        <w:t xml:space="preserve"> </w:t>
      </w:r>
      <w:r w:rsidR="00B0045F" w:rsidRPr="00B57D20">
        <w:rPr>
          <w:rFonts w:ascii="Times New Roman" w:hAnsi="Times New Roman"/>
          <w:lang w:val="es-ES_tradnl"/>
        </w:rPr>
        <w:t xml:space="preserve">frente </w:t>
      </w:r>
      <w:r w:rsidR="004C792D" w:rsidRPr="00B57D20">
        <w:rPr>
          <w:rFonts w:ascii="Times New Roman" w:hAnsi="Times New Roman"/>
          <w:lang w:val="es-ES_tradnl"/>
        </w:rPr>
        <w:t>a los procesos de erosión superficial</w:t>
      </w:r>
    </w:p>
    <w:p w14:paraId="2B0537C6" w14:textId="77777777" w:rsidR="003D5B95" w:rsidRPr="00B57D20" w:rsidRDefault="004C792D" w:rsidP="00B57D20">
      <w:pPr>
        <w:pStyle w:val="Prrafodelista"/>
        <w:numPr>
          <w:ilvl w:val="0"/>
          <w:numId w:val="3"/>
        </w:numPr>
        <w:spacing w:after="360"/>
        <w:jc w:val="both"/>
        <w:rPr>
          <w:rFonts w:ascii="Times New Roman" w:hAnsi="Times New Roman"/>
          <w:lang w:val="es-ES_tradnl"/>
        </w:rPr>
      </w:pPr>
      <w:r w:rsidRPr="00B57D20">
        <w:rPr>
          <w:rFonts w:ascii="Times New Roman" w:hAnsi="Times New Roman"/>
          <w:lang w:val="es-ES_tradnl"/>
        </w:rPr>
        <w:t xml:space="preserve">Se dispone que </w:t>
      </w:r>
      <w:r w:rsidR="003D5B95" w:rsidRPr="00B57D20">
        <w:rPr>
          <w:rFonts w:ascii="Times New Roman" w:hAnsi="Times New Roman"/>
          <w:lang w:val="es-ES_tradnl"/>
        </w:rPr>
        <w:t>los propietarios y</w:t>
      </w:r>
      <w:r w:rsidRPr="00B57D20">
        <w:rPr>
          <w:rFonts w:ascii="Times New Roman" w:hAnsi="Times New Roman"/>
          <w:lang w:val="es-ES_tradnl"/>
        </w:rPr>
        <w:t>/</w:t>
      </w:r>
      <w:r w:rsidR="003D5B95" w:rsidRPr="00B57D20">
        <w:rPr>
          <w:rFonts w:ascii="Times New Roman" w:hAnsi="Times New Roman"/>
          <w:lang w:val="es-ES_tradnl"/>
        </w:rPr>
        <w:t xml:space="preserve">o posesionarios </w:t>
      </w:r>
      <w:r w:rsidRPr="00B57D20">
        <w:rPr>
          <w:rFonts w:ascii="Times New Roman" w:hAnsi="Times New Roman"/>
          <w:lang w:val="es-ES_tradnl"/>
        </w:rPr>
        <w:t xml:space="preserve"> del AHHC, </w:t>
      </w:r>
      <w:r w:rsidR="003D5B95" w:rsidRPr="00B57D20">
        <w:rPr>
          <w:rFonts w:ascii="Times New Roman" w:hAnsi="Times New Roman"/>
          <w:lang w:val="es-ES_tradnl"/>
        </w:rPr>
        <w:t xml:space="preserve">no construyan más viviendas en el </w:t>
      </w:r>
      <w:proofErr w:type="spellStart"/>
      <w:r w:rsidR="003D5B95" w:rsidRPr="00B57D20">
        <w:rPr>
          <w:rFonts w:ascii="Times New Roman" w:hAnsi="Times New Roman"/>
          <w:lang w:val="es-ES_tradnl"/>
        </w:rPr>
        <w:t>macrolote</w:t>
      </w:r>
      <w:proofErr w:type="spellEnd"/>
      <w:r w:rsidR="003D5B95" w:rsidRPr="00B57D20">
        <w:rPr>
          <w:rFonts w:ascii="Times New Roman" w:hAnsi="Times New Roman"/>
          <w:lang w:val="es-ES_tradnl"/>
        </w:rPr>
        <w:t xml:space="preserve"> evaluado, ni aumenten pisos</w:t>
      </w:r>
      <w:r w:rsidRPr="00B57D20">
        <w:rPr>
          <w:rFonts w:ascii="Times New Roman" w:hAnsi="Times New Roman"/>
          <w:lang w:val="es-ES_tradnl"/>
        </w:rPr>
        <w:t>/ plantas</w:t>
      </w:r>
      <w:r w:rsidR="003D5B95" w:rsidRPr="00B57D20">
        <w:rPr>
          <w:rFonts w:ascii="Times New Roman" w:hAnsi="Times New Roman"/>
          <w:lang w:val="es-ES_tradnl"/>
        </w:rPr>
        <w:t xml:space="preserve"> sobre las edificaciones existentes, hasta que el proceso de regularización del asentamiento culmine y se determine su normativa de edificabilidad específica que deberá constar en sus respectivos Informes de Regulación Metropolitana </w:t>
      </w:r>
      <w:r w:rsidRPr="00B57D20">
        <w:rPr>
          <w:rFonts w:ascii="Times New Roman" w:hAnsi="Times New Roman"/>
          <w:lang w:val="es-ES_tradnl"/>
        </w:rPr>
        <w:t>(IRM)</w:t>
      </w:r>
      <w:r w:rsidR="003D5B95" w:rsidRPr="00B57D20">
        <w:rPr>
          <w:rFonts w:ascii="Times New Roman" w:hAnsi="Times New Roman"/>
          <w:lang w:val="es-ES_tradnl"/>
        </w:rPr>
        <w:t>, previa emisión de la licencia de construcción de la autoridad competente</w:t>
      </w:r>
      <w:r w:rsidR="00C50E03" w:rsidRPr="00B57D20">
        <w:rPr>
          <w:rFonts w:ascii="Times New Roman" w:hAnsi="Times New Roman"/>
          <w:lang w:val="es-ES_tradnl"/>
        </w:rPr>
        <w:t xml:space="preserve"> que es la Secretaría de Territorio, Hábitat y Vivienda (STHV).</w:t>
      </w:r>
    </w:p>
    <w:p w14:paraId="02397B14" w14:textId="2C77E336" w:rsidR="003D5B95" w:rsidRPr="00B57D20" w:rsidRDefault="003D5B95" w:rsidP="00B57D20">
      <w:pPr>
        <w:spacing w:after="360"/>
        <w:rPr>
          <w:rFonts w:ascii="Times New Roman" w:hAnsi="Times New Roman" w:cs="Times New Roman"/>
          <w:lang w:val="es-ES_tradnl"/>
        </w:rPr>
      </w:pPr>
      <w:r w:rsidRPr="00B57D20">
        <w:rPr>
          <w:rFonts w:ascii="Times New Roman" w:hAnsi="Times New Roman" w:cs="Times New Roman"/>
          <w:lang w:val="es-ES_tradnl"/>
        </w:rPr>
        <w:t xml:space="preserve">La Unidad Especial </w:t>
      </w:r>
      <w:r w:rsidR="00EE2F25">
        <w:rPr>
          <w:rFonts w:ascii="Times New Roman" w:hAnsi="Times New Roman" w:cs="Times New Roman"/>
          <w:lang w:val="es-ES_tradnl"/>
        </w:rPr>
        <w:t>“</w:t>
      </w:r>
      <w:r w:rsidRPr="00B57D20">
        <w:rPr>
          <w:rFonts w:ascii="Times New Roman" w:hAnsi="Times New Roman" w:cs="Times New Roman"/>
          <w:lang w:val="es-ES_tradnl"/>
        </w:rPr>
        <w:t>Regula Tu Barrio</w:t>
      </w:r>
      <w:r w:rsidR="00EE2F25">
        <w:rPr>
          <w:rFonts w:ascii="Times New Roman" w:hAnsi="Times New Roman" w:cs="Times New Roman"/>
          <w:lang w:val="es-ES_tradnl"/>
        </w:rPr>
        <w:t>”</w:t>
      </w:r>
      <w:r w:rsidRPr="00B57D20">
        <w:rPr>
          <w:rFonts w:ascii="Times New Roman" w:hAnsi="Times New Roman" w:cs="Times New Roman"/>
          <w:lang w:val="es-ES_tradnl"/>
        </w:rPr>
        <w:t xml:space="preserve"> deberá comunicar a la comunidad del AHHYC  “</w:t>
      </w:r>
      <w:r w:rsidR="00C50E03" w:rsidRPr="00B57D20">
        <w:rPr>
          <w:rFonts w:ascii="Times New Roman" w:hAnsi="Times New Roman" w:cs="Times New Roman"/>
          <w:lang w:val="es-ES_tradnl"/>
        </w:rPr>
        <w:t>Bellavista VII Etapa</w:t>
      </w:r>
      <w:r w:rsidRPr="00B57D20">
        <w:rPr>
          <w:rFonts w:ascii="Times New Roman" w:hAnsi="Times New Roman" w:cs="Times New Roman"/>
          <w:lang w:val="es-ES_tradnl"/>
        </w:rPr>
        <w:t xml:space="preserve">” lo descrito en el presente informe, especialmente </w:t>
      </w:r>
      <w:r w:rsidR="00C50E03" w:rsidRPr="00B57D20">
        <w:rPr>
          <w:rFonts w:ascii="Times New Roman" w:hAnsi="Times New Roman" w:cs="Times New Roman"/>
          <w:lang w:val="es-ES_tradnl"/>
        </w:rPr>
        <w:t xml:space="preserve">referente a </w:t>
      </w:r>
      <w:r w:rsidRPr="00B57D20">
        <w:rPr>
          <w:rFonts w:ascii="Times New Roman" w:hAnsi="Times New Roman" w:cs="Times New Roman"/>
          <w:lang w:val="es-ES_tradnl"/>
        </w:rPr>
        <w:t>la calificación del riesgo ante las diferentes amenazas analizadas y las respectivas recomendaciones técnicas</w:t>
      </w:r>
      <w:r w:rsidR="00C50E03" w:rsidRPr="00B57D20">
        <w:rPr>
          <w:rFonts w:ascii="Times New Roman" w:hAnsi="Times New Roman" w:cs="Times New Roman"/>
          <w:lang w:val="es-ES_tradnl"/>
        </w:rPr>
        <w:t xml:space="preserve">, socializando la importancia de su cumplimiento en reducción del riesgo y seguridad ciudadana. </w:t>
      </w:r>
    </w:p>
    <w:p w14:paraId="72336110" w14:textId="77777777" w:rsidR="009211B0" w:rsidRPr="00B57D20" w:rsidRDefault="009211B0" w:rsidP="00B57D20">
      <w:pPr>
        <w:spacing w:after="240"/>
        <w:contextualSpacing/>
        <w:rPr>
          <w:rFonts w:ascii="Times New Roman" w:hAnsi="Times New Roman" w:cs="Times New Roman"/>
          <w:bCs/>
          <w:lang w:val="es-ES_tradnl"/>
        </w:rPr>
      </w:pPr>
      <w:r w:rsidRPr="00B57D20">
        <w:rPr>
          <w:rFonts w:ascii="Times New Roman" w:hAnsi="Times New Roman" w:cs="Times New Roman"/>
          <w:b/>
          <w:lang w:val="es-ES_tradnl"/>
        </w:rPr>
        <w:t xml:space="preserve">Disposición Final.- </w:t>
      </w:r>
      <w:r w:rsidRPr="00B57D20">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381FA8DD" w14:textId="77777777" w:rsidR="009211B0" w:rsidRPr="00B57D20" w:rsidRDefault="009211B0" w:rsidP="00B57D20">
      <w:pPr>
        <w:spacing w:after="240"/>
        <w:contextualSpacing/>
        <w:rPr>
          <w:rFonts w:ascii="Times New Roman" w:hAnsi="Times New Roman" w:cs="Times New Roman"/>
          <w:bCs/>
          <w:lang w:val="es-ES_tradnl"/>
        </w:rPr>
      </w:pPr>
    </w:p>
    <w:p w14:paraId="319DEF0B" w14:textId="3B49D4AD" w:rsidR="009211B0" w:rsidRPr="00B57D20" w:rsidRDefault="009211B0" w:rsidP="00B57D20">
      <w:pPr>
        <w:spacing w:after="240"/>
        <w:rPr>
          <w:rFonts w:ascii="Times New Roman" w:hAnsi="Times New Roman" w:cs="Times New Roman"/>
        </w:rPr>
      </w:pPr>
      <w:r w:rsidRPr="00B57D20">
        <w:rPr>
          <w:rFonts w:ascii="Times New Roman" w:hAnsi="Times New Roman" w:cs="Times New Roman"/>
        </w:rPr>
        <w:t xml:space="preserve">Dada, en la Sala de Sesiones del Concejo Metropolitano de Quito, </w:t>
      </w:r>
      <w:proofErr w:type="gramStart"/>
      <w:r w:rsidRPr="00B57D20">
        <w:rPr>
          <w:rFonts w:ascii="Times New Roman" w:hAnsi="Times New Roman" w:cs="Times New Roman"/>
        </w:rPr>
        <w:t>el.……</w:t>
      </w:r>
      <w:proofErr w:type="gramEnd"/>
      <w:r w:rsidRPr="00B57D20">
        <w:rPr>
          <w:rFonts w:ascii="Times New Roman" w:hAnsi="Times New Roman" w:cs="Times New Roman"/>
        </w:rPr>
        <w:t xml:space="preserve"> de ………….  del 202</w:t>
      </w:r>
      <w:r w:rsidR="00CC00B2">
        <w:rPr>
          <w:rFonts w:ascii="Times New Roman" w:hAnsi="Times New Roman" w:cs="Times New Roman"/>
        </w:rPr>
        <w:t>1</w:t>
      </w:r>
      <w:r w:rsidRPr="00B57D20">
        <w:rPr>
          <w:rFonts w:ascii="Times New Roman" w:hAnsi="Times New Roman" w:cs="Times New Roman"/>
        </w:rPr>
        <w:t xml:space="preserve"> </w:t>
      </w:r>
    </w:p>
    <w:p w14:paraId="12E83AC9"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7223F6ED"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8C4CDFE"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11F78B1"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0F65FBF7"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Abg. Damaris Priscila Ortiz </w:t>
      </w:r>
      <w:proofErr w:type="spellStart"/>
      <w:r w:rsidRPr="00B57D20">
        <w:rPr>
          <w:rFonts w:ascii="Times New Roman" w:eastAsia="MS Mincho" w:hAnsi="Times New Roman"/>
          <w:sz w:val="22"/>
          <w:szCs w:val="22"/>
        </w:rPr>
        <w:t>Pasuy</w:t>
      </w:r>
      <w:proofErr w:type="spellEnd"/>
    </w:p>
    <w:p w14:paraId="567FE827" w14:textId="77777777" w:rsidR="009211B0" w:rsidRPr="00B57D20" w:rsidRDefault="009211B0" w:rsidP="00B57D20">
      <w:pPr>
        <w:pStyle w:val="Textopredeterminado"/>
        <w:spacing w:line="276" w:lineRule="auto"/>
        <w:jc w:val="center"/>
        <w:rPr>
          <w:b/>
          <w:sz w:val="22"/>
          <w:szCs w:val="22"/>
        </w:rPr>
      </w:pPr>
      <w:r w:rsidRPr="00B57D20">
        <w:rPr>
          <w:b/>
          <w:sz w:val="22"/>
          <w:szCs w:val="22"/>
        </w:rPr>
        <w:t>SECRETARIA GENERAL DEL CONCEJO METROPOLITANO DE QUITO (E)</w:t>
      </w:r>
    </w:p>
    <w:p w14:paraId="03FA0D91" w14:textId="77777777" w:rsidR="009211B0" w:rsidRPr="00B57D20" w:rsidRDefault="009211B0" w:rsidP="00B57D20">
      <w:pPr>
        <w:pStyle w:val="Textopredeterminado"/>
        <w:shd w:val="clear" w:color="auto" w:fill="FFFFFF"/>
        <w:spacing w:line="276" w:lineRule="auto"/>
        <w:jc w:val="both"/>
        <w:rPr>
          <w:sz w:val="22"/>
          <w:szCs w:val="22"/>
        </w:rPr>
      </w:pPr>
    </w:p>
    <w:p w14:paraId="2AE72EA5" w14:textId="77777777" w:rsidR="009211B0" w:rsidRPr="00B57D20" w:rsidRDefault="009211B0" w:rsidP="00B57D20">
      <w:pPr>
        <w:pStyle w:val="Textopredeterminado"/>
        <w:shd w:val="clear" w:color="auto" w:fill="FFFFFF"/>
        <w:spacing w:line="276" w:lineRule="auto"/>
        <w:jc w:val="both"/>
        <w:rPr>
          <w:sz w:val="22"/>
          <w:szCs w:val="22"/>
          <w:lang w:val="es-ES"/>
        </w:rPr>
      </w:pPr>
    </w:p>
    <w:p w14:paraId="01F547E9" w14:textId="77777777" w:rsidR="009211B0" w:rsidRPr="00B57D20" w:rsidRDefault="009211B0" w:rsidP="00B57D20">
      <w:pPr>
        <w:pStyle w:val="Textopredeterminado"/>
        <w:shd w:val="clear" w:color="auto" w:fill="FFFFFF"/>
        <w:spacing w:line="276" w:lineRule="auto"/>
        <w:jc w:val="both"/>
        <w:rPr>
          <w:sz w:val="22"/>
          <w:szCs w:val="22"/>
          <w:lang w:val="es-ES"/>
        </w:rPr>
      </w:pPr>
    </w:p>
    <w:p w14:paraId="39D47290" w14:textId="77777777" w:rsidR="009211B0" w:rsidRPr="00B57D20" w:rsidRDefault="009211B0" w:rsidP="00B57D20">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CERTIFICADO DE DISCUSIÓN</w:t>
      </w:r>
    </w:p>
    <w:p w14:paraId="263BCBA5"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5F002E7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2502730E"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A0496EE" w14:textId="208E2E88"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La infrascrita Secretaria General del Concejo Metropolitano de Quito (e), certifica que la presente ordenanza fue discutida y aprobada en dos debates, en sesiones de …</w:t>
      </w:r>
      <w:proofErr w:type="gramStart"/>
      <w:r w:rsidRPr="00B57D20">
        <w:rPr>
          <w:rFonts w:ascii="Times New Roman" w:eastAsia="MS Mincho" w:hAnsi="Times New Roman"/>
          <w:sz w:val="22"/>
          <w:szCs w:val="22"/>
        </w:rPr>
        <w:t>..de</w:t>
      </w:r>
      <w:proofErr w:type="gramEnd"/>
      <w:r w:rsidRPr="00B57D20">
        <w:rPr>
          <w:rFonts w:ascii="Times New Roman" w:eastAsia="MS Mincho" w:hAnsi="Times New Roman"/>
          <w:sz w:val="22"/>
          <w:szCs w:val="22"/>
        </w:rPr>
        <w:t xml:space="preserve"> ……..  </w:t>
      </w:r>
      <w:proofErr w:type="gramStart"/>
      <w:r w:rsidRPr="00B57D20">
        <w:rPr>
          <w:rFonts w:ascii="Times New Roman" w:eastAsia="MS Mincho" w:hAnsi="Times New Roman"/>
          <w:sz w:val="22"/>
          <w:szCs w:val="22"/>
        </w:rPr>
        <w:t>y</w:t>
      </w:r>
      <w:proofErr w:type="gramEnd"/>
      <w:r w:rsidRPr="00B57D20">
        <w:rPr>
          <w:rFonts w:ascii="Times New Roman" w:eastAsia="MS Mincho" w:hAnsi="Times New Roman"/>
          <w:sz w:val="22"/>
          <w:szCs w:val="22"/>
        </w:rPr>
        <w:t xml:space="preserve"> ….. </w:t>
      </w:r>
      <w:proofErr w:type="gramStart"/>
      <w:r w:rsidRPr="00B57D20">
        <w:rPr>
          <w:rFonts w:ascii="Times New Roman" w:eastAsia="MS Mincho" w:hAnsi="Times New Roman"/>
          <w:sz w:val="22"/>
          <w:szCs w:val="22"/>
        </w:rPr>
        <w:t>de</w:t>
      </w:r>
      <w:proofErr w:type="gramEnd"/>
      <w:r w:rsidRPr="00B57D20">
        <w:rPr>
          <w:rFonts w:ascii="Times New Roman" w:eastAsia="MS Mincho" w:hAnsi="Times New Roman"/>
          <w:sz w:val="22"/>
          <w:szCs w:val="22"/>
        </w:rPr>
        <w:t xml:space="preserve"> …………. de 202</w:t>
      </w:r>
      <w:r w:rsidR="00CC00B2">
        <w:rPr>
          <w:rFonts w:ascii="Times New Roman" w:eastAsia="MS Mincho" w:hAnsi="Times New Roman"/>
          <w:sz w:val="22"/>
          <w:szCs w:val="22"/>
        </w:rPr>
        <w:t>1</w:t>
      </w:r>
      <w:r w:rsidRPr="00B57D20">
        <w:rPr>
          <w:rFonts w:ascii="Times New Roman" w:eastAsia="MS Mincho" w:hAnsi="Times New Roman"/>
          <w:sz w:val="22"/>
          <w:szCs w:val="22"/>
        </w:rPr>
        <w:t>.- Quito,</w:t>
      </w:r>
    </w:p>
    <w:p w14:paraId="4D1F272A"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3F2E5604" w14:textId="77777777" w:rsidR="009211B0" w:rsidRPr="00B57D20" w:rsidRDefault="009211B0" w:rsidP="00B57D20">
      <w:pPr>
        <w:pStyle w:val="Textosinformato"/>
        <w:spacing w:line="276" w:lineRule="auto"/>
        <w:rPr>
          <w:rFonts w:ascii="Times New Roman" w:eastAsia="MS Mincho" w:hAnsi="Times New Roman"/>
          <w:sz w:val="22"/>
          <w:szCs w:val="22"/>
        </w:rPr>
      </w:pPr>
    </w:p>
    <w:p w14:paraId="6FA6B689" w14:textId="77777777" w:rsidR="009211B0" w:rsidRPr="00B57D20" w:rsidRDefault="009211B0" w:rsidP="00B57D20">
      <w:pPr>
        <w:pStyle w:val="Textosinformato"/>
        <w:spacing w:line="276" w:lineRule="auto"/>
        <w:rPr>
          <w:rFonts w:ascii="Times New Roman" w:eastAsia="MS Mincho" w:hAnsi="Times New Roman"/>
          <w:sz w:val="22"/>
          <w:szCs w:val="22"/>
        </w:rPr>
      </w:pPr>
    </w:p>
    <w:p w14:paraId="69B592DD" w14:textId="77777777" w:rsidR="009211B0" w:rsidRPr="00B57D20" w:rsidRDefault="009211B0" w:rsidP="00B57D20">
      <w:pPr>
        <w:pStyle w:val="Textosinformato"/>
        <w:spacing w:line="276" w:lineRule="auto"/>
        <w:rPr>
          <w:rFonts w:ascii="Times New Roman" w:eastAsia="MS Mincho" w:hAnsi="Times New Roman"/>
          <w:sz w:val="22"/>
          <w:szCs w:val="22"/>
        </w:rPr>
      </w:pPr>
    </w:p>
    <w:p w14:paraId="75D0141B"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4AA03842"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Abg. Damaris Priscila Ortiz </w:t>
      </w:r>
      <w:proofErr w:type="spellStart"/>
      <w:r w:rsidRPr="00B57D20">
        <w:rPr>
          <w:rFonts w:ascii="Times New Roman" w:eastAsia="MS Mincho" w:hAnsi="Times New Roman"/>
          <w:sz w:val="22"/>
          <w:szCs w:val="22"/>
        </w:rPr>
        <w:t>Pasuy</w:t>
      </w:r>
      <w:proofErr w:type="spellEnd"/>
    </w:p>
    <w:p w14:paraId="7F9B1DE7" w14:textId="77777777" w:rsidR="009211B0" w:rsidRPr="00B57D20" w:rsidRDefault="009211B0" w:rsidP="00B57D20">
      <w:pPr>
        <w:pStyle w:val="Textosinformato"/>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SECRETARIA GENERAL DEL CONCEJO METROPOLITANO DE QUITO (E)</w:t>
      </w:r>
    </w:p>
    <w:p w14:paraId="7CD736A1"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6757A75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b/>
          <w:bCs/>
          <w:sz w:val="22"/>
          <w:szCs w:val="22"/>
        </w:rPr>
        <w:t>ALCALDÍA DEL DISTRITO METROPOLITANO. -</w:t>
      </w:r>
      <w:r w:rsidRPr="00B57D20">
        <w:rPr>
          <w:rFonts w:ascii="Times New Roman" w:eastAsia="MS Mincho" w:hAnsi="Times New Roman"/>
          <w:sz w:val="22"/>
          <w:szCs w:val="22"/>
        </w:rPr>
        <w:t xml:space="preserve">  Distrito Metropolitano de Quito,</w:t>
      </w:r>
    </w:p>
    <w:p w14:paraId="28BA8666" w14:textId="77777777" w:rsidR="009211B0" w:rsidRPr="00B57D20" w:rsidRDefault="009211B0" w:rsidP="00B57D20">
      <w:pPr>
        <w:pStyle w:val="Textosinformato"/>
        <w:spacing w:line="276" w:lineRule="auto"/>
        <w:jc w:val="center"/>
        <w:rPr>
          <w:rFonts w:ascii="Times New Roman" w:eastAsia="MS Mincho" w:hAnsi="Times New Roman"/>
          <w:b/>
          <w:sz w:val="22"/>
          <w:szCs w:val="22"/>
        </w:rPr>
      </w:pPr>
    </w:p>
    <w:p w14:paraId="16C2C4D5" w14:textId="77777777" w:rsidR="009211B0" w:rsidRPr="00B57D20" w:rsidRDefault="009211B0" w:rsidP="00B57D20">
      <w:pPr>
        <w:pStyle w:val="Textosinformato"/>
        <w:spacing w:line="276" w:lineRule="auto"/>
        <w:jc w:val="center"/>
        <w:rPr>
          <w:rFonts w:ascii="Times New Roman" w:eastAsia="MS Mincho" w:hAnsi="Times New Roman"/>
          <w:b/>
          <w:sz w:val="22"/>
          <w:szCs w:val="22"/>
        </w:rPr>
      </w:pPr>
      <w:r w:rsidRPr="00B57D20">
        <w:rPr>
          <w:rFonts w:ascii="Times New Roman" w:eastAsia="MS Mincho" w:hAnsi="Times New Roman"/>
          <w:b/>
          <w:sz w:val="22"/>
          <w:szCs w:val="22"/>
        </w:rPr>
        <w:t>EJECÚTESE:</w:t>
      </w:r>
    </w:p>
    <w:p w14:paraId="4905E7AF"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02960948"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50EEC76D" w14:textId="77777777" w:rsidR="009211B0" w:rsidRPr="00B57D20" w:rsidRDefault="009211B0" w:rsidP="00B57D20">
      <w:pPr>
        <w:pStyle w:val="Textosinformato"/>
        <w:spacing w:line="276" w:lineRule="auto"/>
        <w:jc w:val="center"/>
        <w:rPr>
          <w:rFonts w:ascii="Times New Roman" w:eastAsia="MS Mincho" w:hAnsi="Times New Roman"/>
          <w:sz w:val="22"/>
          <w:szCs w:val="22"/>
        </w:rPr>
      </w:pPr>
    </w:p>
    <w:p w14:paraId="73658A3F"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xml:space="preserve">Dr. Jorge </w:t>
      </w:r>
      <w:proofErr w:type="spellStart"/>
      <w:r w:rsidRPr="00B57D20">
        <w:rPr>
          <w:rFonts w:ascii="Times New Roman" w:eastAsia="MS Mincho" w:hAnsi="Times New Roman"/>
          <w:sz w:val="22"/>
          <w:szCs w:val="22"/>
        </w:rPr>
        <w:t>Yunda</w:t>
      </w:r>
      <w:proofErr w:type="spellEnd"/>
      <w:r w:rsidRPr="00B57D20">
        <w:rPr>
          <w:rFonts w:ascii="Times New Roman" w:eastAsia="MS Mincho" w:hAnsi="Times New Roman"/>
          <w:sz w:val="22"/>
          <w:szCs w:val="22"/>
        </w:rPr>
        <w:t xml:space="preserve"> Machado</w:t>
      </w:r>
    </w:p>
    <w:p w14:paraId="19758814" w14:textId="77777777" w:rsidR="009211B0" w:rsidRPr="00B57D20" w:rsidRDefault="009211B0" w:rsidP="00B57D20">
      <w:pPr>
        <w:pStyle w:val="Textosinformato"/>
        <w:spacing w:line="276" w:lineRule="auto"/>
        <w:jc w:val="center"/>
        <w:rPr>
          <w:rFonts w:ascii="Times New Roman" w:eastAsia="MS Mincho" w:hAnsi="Times New Roman"/>
          <w:b/>
          <w:bCs/>
          <w:sz w:val="22"/>
          <w:szCs w:val="22"/>
        </w:rPr>
      </w:pPr>
      <w:r w:rsidRPr="00B57D20">
        <w:rPr>
          <w:rFonts w:ascii="Times New Roman" w:eastAsia="MS Mincho" w:hAnsi="Times New Roman"/>
          <w:b/>
          <w:bCs/>
          <w:sz w:val="22"/>
          <w:szCs w:val="22"/>
        </w:rPr>
        <w:t>ALCALDE DEL DISTRITO METROPOLITANO DE QUITO</w:t>
      </w:r>
    </w:p>
    <w:p w14:paraId="4CF21E0A"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b/>
          <w:bCs/>
          <w:sz w:val="22"/>
          <w:szCs w:val="22"/>
        </w:rPr>
        <w:t>CERTIFICO,</w:t>
      </w:r>
      <w:r w:rsidRPr="00B57D20">
        <w:rPr>
          <w:rFonts w:ascii="Times New Roman" w:eastAsia="MS Mincho" w:hAnsi="Times New Roman"/>
          <w:sz w:val="22"/>
          <w:szCs w:val="22"/>
        </w:rPr>
        <w:t xml:space="preserve"> que la presente ordenanza fue sancionada por el Dr. Jorge </w:t>
      </w:r>
      <w:proofErr w:type="spellStart"/>
      <w:r w:rsidRPr="00B57D20">
        <w:rPr>
          <w:rFonts w:ascii="Times New Roman" w:eastAsia="MS Mincho" w:hAnsi="Times New Roman"/>
          <w:sz w:val="22"/>
          <w:szCs w:val="22"/>
        </w:rPr>
        <w:t>Yunda</w:t>
      </w:r>
      <w:proofErr w:type="spellEnd"/>
      <w:r w:rsidRPr="00B57D20">
        <w:rPr>
          <w:rFonts w:ascii="Times New Roman" w:eastAsia="MS Mincho" w:hAnsi="Times New Roman"/>
          <w:sz w:val="22"/>
          <w:szCs w:val="22"/>
        </w:rPr>
        <w:t xml:space="preserve"> Machado</w:t>
      </w:r>
    </w:p>
    <w:p w14:paraId="7F773700" w14:textId="77777777" w:rsidR="009211B0" w:rsidRPr="00B57D20" w:rsidRDefault="009211B0" w:rsidP="00B57D20">
      <w:pPr>
        <w:pStyle w:val="Textosinformato"/>
        <w:spacing w:line="276" w:lineRule="auto"/>
        <w:jc w:val="center"/>
        <w:rPr>
          <w:rFonts w:ascii="Times New Roman" w:eastAsia="MS Mincho" w:hAnsi="Times New Roman"/>
          <w:sz w:val="22"/>
          <w:szCs w:val="22"/>
        </w:rPr>
      </w:pPr>
      <w:r w:rsidRPr="00B57D20">
        <w:rPr>
          <w:rFonts w:ascii="Times New Roman" w:eastAsia="MS Mincho" w:hAnsi="Times New Roman"/>
          <w:sz w:val="22"/>
          <w:szCs w:val="22"/>
        </w:rPr>
        <w:t>, Alcalde  del Distrito Metropolitano de Quito, el</w:t>
      </w:r>
    </w:p>
    <w:p w14:paraId="1B86053F" w14:textId="77777777" w:rsidR="009211B0" w:rsidRPr="00B57D20" w:rsidRDefault="009211B0" w:rsidP="00B57D20">
      <w:pPr>
        <w:pStyle w:val="Textosinformato"/>
        <w:tabs>
          <w:tab w:val="right" w:pos="8504"/>
        </w:tabs>
        <w:spacing w:line="276" w:lineRule="auto"/>
        <w:jc w:val="center"/>
        <w:rPr>
          <w:rFonts w:ascii="Times New Roman" w:eastAsia="MS Mincho" w:hAnsi="Times New Roman"/>
          <w:b/>
          <w:bCs/>
          <w:sz w:val="22"/>
          <w:szCs w:val="22"/>
        </w:rPr>
      </w:pPr>
      <w:r w:rsidRPr="00B57D20">
        <w:rPr>
          <w:rFonts w:ascii="Times New Roman" w:eastAsia="MS Mincho" w:hAnsi="Times New Roman"/>
          <w:sz w:val="22"/>
          <w:szCs w:val="22"/>
        </w:rPr>
        <w:t>.- Distrito Metropolitano de Quito,</w:t>
      </w:r>
    </w:p>
    <w:sectPr w:rsidR="009211B0" w:rsidRPr="00B57D20" w:rsidSect="00534A8A">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68F2" w14:textId="77777777" w:rsidR="000C6795" w:rsidRDefault="000C6795" w:rsidP="009D6C77">
      <w:pPr>
        <w:spacing w:after="0" w:line="240" w:lineRule="auto"/>
      </w:pPr>
      <w:r>
        <w:separator/>
      </w:r>
    </w:p>
  </w:endnote>
  <w:endnote w:type="continuationSeparator" w:id="0">
    <w:p w14:paraId="279CECC6" w14:textId="77777777" w:rsidR="000C6795" w:rsidRDefault="000C6795"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8435" w14:textId="77777777" w:rsidR="00EF75A6" w:rsidRDefault="00EF75A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0165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65E">
      <w:rPr>
        <w:b/>
        <w:noProof/>
      </w:rPr>
      <w:t>12</w:t>
    </w:r>
    <w:r>
      <w:rPr>
        <w:b/>
        <w:sz w:val="24"/>
        <w:szCs w:val="24"/>
      </w:rPr>
      <w:fldChar w:fldCharType="end"/>
    </w:r>
  </w:p>
  <w:p w14:paraId="5231A52B" w14:textId="77777777" w:rsidR="00EF75A6" w:rsidRDefault="00EF75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E39E" w14:textId="77777777" w:rsidR="00EF75A6" w:rsidRDefault="00EF75A6">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p w14:paraId="1DD910AC" w14:textId="77777777" w:rsidR="00EF75A6" w:rsidRDefault="00EF75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1F639A6E" w14:textId="77777777" w:rsidR="00D43634" w:rsidRDefault="00D4363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0165E">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65E">
              <w:rPr>
                <w:b/>
                <w:noProof/>
              </w:rPr>
              <w:t>12</w:t>
            </w:r>
            <w:r>
              <w:rPr>
                <w:b/>
                <w:sz w:val="24"/>
                <w:szCs w:val="24"/>
              </w:rPr>
              <w:fldChar w:fldCharType="end"/>
            </w:r>
          </w:p>
        </w:sdtContent>
      </w:sdt>
    </w:sdtContent>
  </w:sdt>
  <w:p w14:paraId="4B284062" w14:textId="77777777" w:rsidR="00D43634" w:rsidRDefault="00D436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C1A" w14:textId="77777777" w:rsidR="000C6795" w:rsidRDefault="000C6795" w:rsidP="009D6C77">
      <w:pPr>
        <w:spacing w:after="0" w:line="240" w:lineRule="auto"/>
      </w:pPr>
      <w:r>
        <w:separator/>
      </w:r>
    </w:p>
  </w:footnote>
  <w:footnote w:type="continuationSeparator" w:id="0">
    <w:p w14:paraId="7D3C9790" w14:textId="77777777" w:rsidR="000C6795" w:rsidRDefault="000C6795"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CA92" w14:textId="1CF00FB3" w:rsidR="00EF75A6" w:rsidRDefault="000C6795">
    <w:pPr>
      <w:pStyle w:val="Encabezado"/>
    </w:pPr>
    <w:r>
      <w:rPr>
        <w:noProof/>
      </w:rPr>
      <w:pict w14:anchorId="3104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4" o:spid="_x0000_s2053" type="#_x0000_t136" style="position:absolute;left:0;text-align:left;margin-left:0;margin-top:0;width:569.35pt;height:50.2pt;rotation:315;z-index:-251655168;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0742" w14:textId="112CCB61" w:rsidR="00EF75A6" w:rsidRDefault="000C6795">
    <w:pPr>
      <w:pStyle w:val="Encabezado"/>
    </w:pPr>
    <w:r>
      <w:rPr>
        <w:noProof/>
      </w:rPr>
      <w:pict w14:anchorId="02C66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5" o:spid="_x0000_s2054" type="#_x0000_t136" style="position:absolute;left:0;text-align:left;margin-left:0;margin-top:0;width:569.35pt;height:50.2pt;rotation:315;z-index:-251653120;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p>
  <w:p w14:paraId="017D41A0" w14:textId="77777777" w:rsidR="00EF75A6" w:rsidRDefault="00EF75A6">
    <w:pPr>
      <w:pStyle w:val="Encabezado"/>
    </w:pPr>
  </w:p>
  <w:p w14:paraId="3D4B5803" w14:textId="77777777" w:rsidR="00EF75A6" w:rsidRDefault="00EF75A6">
    <w:pPr>
      <w:pStyle w:val="Encabezado"/>
    </w:pPr>
  </w:p>
  <w:p w14:paraId="0E7C5079" w14:textId="77777777" w:rsidR="00EF75A6" w:rsidRDefault="00EF75A6">
    <w:pPr>
      <w:pStyle w:val="Encabezado"/>
    </w:pPr>
  </w:p>
  <w:p w14:paraId="5227E7AE" w14:textId="77777777" w:rsidR="00EF75A6" w:rsidRDefault="00EF75A6" w:rsidP="00D04EE1">
    <w:pPr>
      <w:rPr>
        <w:rFonts w:ascii="Palatino Linotype" w:hAnsi="Palatino Linotype" w:cs="Arial"/>
      </w:rPr>
    </w:pPr>
  </w:p>
  <w:p w14:paraId="5FEFE11D" w14:textId="77777777" w:rsidR="00EF75A6" w:rsidRDefault="00EF75A6" w:rsidP="00D04EE1">
    <w:pPr>
      <w:rPr>
        <w:rFonts w:ascii="Palatino Linotype" w:hAnsi="Palatino Linotype" w:cs="Arial"/>
      </w:rPr>
    </w:pPr>
  </w:p>
  <w:p w14:paraId="109C0CC0" w14:textId="77777777" w:rsidR="00EF75A6" w:rsidRDefault="00EF75A6" w:rsidP="00D04EE1">
    <w:pPr>
      <w:rPr>
        <w:rFonts w:ascii="Palatino Linotype" w:hAnsi="Palatino Linotype" w:cs="Arial"/>
      </w:rPr>
    </w:pPr>
  </w:p>
  <w:p w14:paraId="4DA1D4DA" w14:textId="77777777" w:rsidR="00EF75A6" w:rsidRDefault="00EF75A6" w:rsidP="00D04EE1">
    <w:pPr>
      <w:rPr>
        <w:rFonts w:ascii="Palatino Linotype" w:hAnsi="Palatino Linotype" w:cs="Arial"/>
      </w:rPr>
    </w:pPr>
  </w:p>
  <w:p w14:paraId="546F8463" w14:textId="77777777" w:rsidR="00EF75A6" w:rsidRPr="00476B21" w:rsidRDefault="00EF75A6" w:rsidP="0092746B">
    <w:pPr>
      <w:jc w:val="center"/>
      <w:rPr>
        <w:rFonts w:ascii="Palatino Linotype" w:hAnsi="Palatino Linotype" w:cs="Arial"/>
      </w:rPr>
    </w:pPr>
    <w:r w:rsidRPr="00716956">
      <w:rPr>
        <w:rFonts w:ascii="Palatino Linotype" w:hAnsi="Palatino Linotype" w:cs="Arial"/>
      </w:rPr>
      <w:t>ORDENANZA No.</w:t>
    </w:r>
  </w:p>
  <w:p w14:paraId="5536B7F5" w14:textId="77777777" w:rsidR="00EF75A6" w:rsidRPr="00150606" w:rsidRDefault="00EF75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308D" w14:textId="14A350F2" w:rsidR="00EF75A6" w:rsidRDefault="000C6795">
    <w:pPr>
      <w:pStyle w:val="Encabezado"/>
    </w:pPr>
    <w:r>
      <w:rPr>
        <w:noProof/>
      </w:rPr>
      <w:pict w14:anchorId="69DE6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3" o:spid="_x0000_s2052" type="#_x0000_t136" style="position:absolute;left:0;text-align:left;margin-left:0;margin-top:0;width:569.35pt;height:50.2pt;rotation:315;z-index:-251657216;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ACC6" w14:textId="6EB822C9" w:rsidR="00834746" w:rsidRDefault="000C6795">
    <w:pPr>
      <w:pStyle w:val="Encabezado"/>
    </w:pPr>
    <w:r>
      <w:rPr>
        <w:noProof/>
      </w:rPr>
      <w:pict w14:anchorId="0A18A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7" o:spid="_x0000_s2056" type="#_x0000_t136" style="position:absolute;left:0;text-align:left;margin-left:0;margin-top:0;width:569.35pt;height:50.2pt;rotation:315;z-index:-251649024;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D4BE" w14:textId="2294446A" w:rsidR="00D11D32" w:rsidRPr="00D11D32" w:rsidRDefault="000C6795" w:rsidP="00D11D32">
    <w:pPr>
      <w:jc w:val="center"/>
      <w:rPr>
        <w:rFonts w:ascii="Palatino Linotype" w:hAnsi="Palatino Linotype" w:cs="Arial"/>
        <w:b/>
      </w:rPr>
    </w:pPr>
    <w:r>
      <w:rPr>
        <w:noProof/>
      </w:rPr>
      <w:pict w14:anchorId="42DFE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8" o:spid="_x0000_s2057" type="#_x0000_t136" style="position:absolute;left:0;text-align:left;margin-left:0;margin-top:0;width:569.35pt;height:50.2pt;rotation:315;z-index:-251646976;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r w:rsidR="00D11D32" w:rsidRPr="00D11D32">
      <w:rPr>
        <w:rFonts w:ascii="Palatino Linotype" w:hAnsi="Palatino Linotype" w:cs="Arial"/>
        <w:b/>
      </w:rPr>
      <w:t>ORDENANZA No.</w:t>
    </w:r>
  </w:p>
  <w:p w14:paraId="73EC568F" w14:textId="77777777" w:rsidR="00D11D32" w:rsidRDefault="00D11D32" w:rsidP="00D11D32">
    <w:pPr>
      <w:pStyle w:val="Encabezado"/>
    </w:pPr>
  </w:p>
  <w:p w14:paraId="4CC1AE79" w14:textId="77777777" w:rsidR="00D11D32" w:rsidRDefault="00D11D32">
    <w:pPr>
      <w:pStyle w:val="Encabezado"/>
    </w:pPr>
  </w:p>
  <w:p w14:paraId="3D4F41FB" w14:textId="77777777" w:rsidR="00D43634" w:rsidRDefault="00D4363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7F24" w14:textId="49EA2702" w:rsidR="00834746" w:rsidRDefault="000C6795">
    <w:pPr>
      <w:pStyle w:val="Encabezado"/>
    </w:pPr>
    <w:r>
      <w:rPr>
        <w:noProof/>
      </w:rPr>
      <w:pict w14:anchorId="1978C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9206" o:spid="_x0000_s2055" type="#_x0000_t136" style="position:absolute;left:0;text-align:left;margin-left:0;margin-top:0;width:569.35pt;height:50.2pt;rotation:315;z-index:-251651072;mso-position-horizontal:center;mso-position-horizontal-relative:margin;mso-position-vertical:center;mso-position-vertical-relative:margin" o:allowincell="f" fillcolor="gray [1629]" stroked="f">
          <v:fill opacity=".5"/>
          <v:textpath style="font-family:&quot;Calibri&quot;;font-size:1pt" string="ORDENANZA COT SESIÓN ORDINARIA NRO.04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18EDA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6204B71"/>
    <w:multiLevelType w:val="hybridMultilevel"/>
    <w:tmpl w:val="A90CB204"/>
    <w:lvl w:ilvl="0" w:tplc="749E376C">
      <w:numFmt w:val="bullet"/>
      <w:lvlText w:val=""/>
      <w:lvlJc w:val="left"/>
      <w:pPr>
        <w:ind w:left="720" w:hanging="360"/>
      </w:pPr>
      <w:rPr>
        <w:rFonts w:ascii="Symbol" w:eastAsia="Calibri"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1C2984"/>
    <w:multiLevelType w:val="hybridMultilevel"/>
    <w:tmpl w:val="546051B2"/>
    <w:lvl w:ilvl="0" w:tplc="E9B8F1A2">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5830123"/>
    <w:multiLevelType w:val="hybridMultilevel"/>
    <w:tmpl w:val="47DAC956"/>
    <w:lvl w:ilvl="0" w:tplc="D80AAE74">
      <w:numFmt w:val="bullet"/>
      <w:lvlText w:val=""/>
      <w:lvlJc w:val="left"/>
      <w:pPr>
        <w:ind w:left="720" w:hanging="360"/>
      </w:pPr>
      <w:rPr>
        <w:rFonts w:ascii="Symbol" w:eastAsia="Calibri" w:hAnsi="Symbol" w:cs="Calibr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4EB0"/>
    <w:rsid w:val="000064E4"/>
    <w:rsid w:val="0001046B"/>
    <w:rsid w:val="000167EF"/>
    <w:rsid w:val="00027720"/>
    <w:rsid w:val="00035AA2"/>
    <w:rsid w:val="00036673"/>
    <w:rsid w:val="00041B05"/>
    <w:rsid w:val="00043ED8"/>
    <w:rsid w:val="00063B9D"/>
    <w:rsid w:val="00074B92"/>
    <w:rsid w:val="00075710"/>
    <w:rsid w:val="0008195B"/>
    <w:rsid w:val="00086319"/>
    <w:rsid w:val="000875A2"/>
    <w:rsid w:val="000915A8"/>
    <w:rsid w:val="000A2768"/>
    <w:rsid w:val="000C08CE"/>
    <w:rsid w:val="000C6795"/>
    <w:rsid w:val="000D0216"/>
    <w:rsid w:val="000E2F4B"/>
    <w:rsid w:val="000E5DD6"/>
    <w:rsid w:val="000F64D7"/>
    <w:rsid w:val="00100949"/>
    <w:rsid w:val="00114132"/>
    <w:rsid w:val="00120BF8"/>
    <w:rsid w:val="0013148B"/>
    <w:rsid w:val="00136ABD"/>
    <w:rsid w:val="00143767"/>
    <w:rsid w:val="0015104B"/>
    <w:rsid w:val="00162895"/>
    <w:rsid w:val="00164F09"/>
    <w:rsid w:val="00181DFD"/>
    <w:rsid w:val="0018614A"/>
    <w:rsid w:val="001C105C"/>
    <w:rsid w:val="001D2B3C"/>
    <w:rsid w:val="001E3001"/>
    <w:rsid w:val="00207361"/>
    <w:rsid w:val="00215B16"/>
    <w:rsid w:val="002352BF"/>
    <w:rsid w:val="00260C8E"/>
    <w:rsid w:val="00263746"/>
    <w:rsid w:val="002678E8"/>
    <w:rsid w:val="00292C30"/>
    <w:rsid w:val="00295607"/>
    <w:rsid w:val="00295D34"/>
    <w:rsid w:val="002962DF"/>
    <w:rsid w:val="002A1359"/>
    <w:rsid w:val="002D2BD2"/>
    <w:rsid w:val="002D34DE"/>
    <w:rsid w:val="002E0160"/>
    <w:rsid w:val="002E765F"/>
    <w:rsid w:val="00300CD8"/>
    <w:rsid w:val="00301C5F"/>
    <w:rsid w:val="00311381"/>
    <w:rsid w:val="0031365A"/>
    <w:rsid w:val="003137C4"/>
    <w:rsid w:val="00330EB3"/>
    <w:rsid w:val="003326A0"/>
    <w:rsid w:val="003361F2"/>
    <w:rsid w:val="003469EA"/>
    <w:rsid w:val="00355E66"/>
    <w:rsid w:val="003637C5"/>
    <w:rsid w:val="0036505A"/>
    <w:rsid w:val="00366B8D"/>
    <w:rsid w:val="00367458"/>
    <w:rsid w:val="0037046C"/>
    <w:rsid w:val="003800C3"/>
    <w:rsid w:val="00390459"/>
    <w:rsid w:val="00392F60"/>
    <w:rsid w:val="00393178"/>
    <w:rsid w:val="003A63D7"/>
    <w:rsid w:val="003B5D95"/>
    <w:rsid w:val="003B62BD"/>
    <w:rsid w:val="003C02AD"/>
    <w:rsid w:val="003C085B"/>
    <w:rsid w:val="003D1AE7"/>
    <w:rsid w:val="003D5B95"/>
    <w:rsid w:val="003E2228"/>
    <w:rsid w:val="003E22B4"/>
    <w:rsid w:val="003E3A9B"/>
    <w:rsid w:val="00400B2A"/>
    <w:rsid w:val="004126DC"/>
    <w:rsid w:val="00427ABA"/>
    <w:rsid w:val="00444444"/>
    <w:rsid w:val="00463172"/>
    <w:rsid w:val="00475E1D"/>
    <w:rsid w:val="00480B16"/>
    <w:rsid w:val="00496F70"/>
    <w:rsid w:val="004973AA"/>
    <w:rsid w:val="004978A7"/>
    <w:rsid w:val="004A68DB"/>
    <w:rsid w:val="004B149D"/>
    <w:rsid w:val="004B151D"/>
    <w:rsid w:val="004B270F"/>
    <w:rsid w:val="004B5301"/>
    <w:rsid w:val="004C792D"/>
    <w:rsid w:val="004D49CE"/>
    <w:rsid w:val="004F6334"/>
    <w:rsid w:val="00502DD5"/>
    <w:rsid w:val="00506910"/>
    <w:rsid w:val="00513C65"/>
    <w:rsid w:val="00533206"/>
    <w:rsid w:val="00534A8A"/>
    <w:rsid w:val="00540585"/>
    <w:rsid w:val="00563148"/>
    <w:rsid w:val="005825CC"/>
    <w:rsid w:val="00582B27"/>
    <w:rsid w:val="00593CDA"/>
    <w:rsid w:val="00595FCF"/>
    <w:rsid w:val="005A3951"/>
    <w:rsid w:val="005A4AF7"/>
    <w:rsid w:val="005D62ED"/>
    <w:rsid w:val="005F6A2B"/>
    <w:rsid w:val="00613000"/>
    <w:rsid w:val="00622680"/>
    <w:rsid w:val="0063062B"/>
    <w:rsid w:val="006367AC"/>
    <w:rsid w:val="0064064C"/>
    <w:rsid w:val="00643251"/>
    <w:rsid w:val="00646B92"/>
    <w:rsid w:val="00647F65"/>
    <w:rsid w:val="00651356"/>
    <w:rsid w:val="0065211A"/>
    <w:rsid w:val="00653A29"/>
    <w:rsid w:val="0066739C"/>
    <w:rsid w:val="00670472"/>
    <w:rsid w:val="0067323C"/>
    <w:rsid w:val="006741CB"/>
    <w:rsid w:val="00677453"/>
    <w:rsid w:val="00685A6E"/>
    <w:rsid w:val="00686AD4"/>
    <w:rsid w:val="00692773"/>
    <w:rsid w:val="006A67A8"/>
    <w:rsid w:val="006B14A9"/>
    <w:rsid w:val="006C0EDD"/>
    <w:rsid w:val="006C3D86"/>
    <w:rsid w:val="006D6856"/>
    <w:rsid w:val="006F23E0"/>
    <w:rsid w:val="006F3DD9"/>
    <w:rsid w:val="00710C84"/>
    <w:rsid w:val="0071753F"/>
    <w:rsid w:val="00752F61"/>
    <w:rsid w:val="007573D1"/>
    <w:rsid w:val="00766CB9"/>
    <w:rsid w:val="00767A62"/>
    <w:rsid w:val="00770578"/>
    <w:rsid w:val="007805A2"/>
    <w:rsid w:val="00785685"/>
    <w:rsid w:val="007867AD"/>
    <w:rsid w:val="00792627"/>
    <w:rsid w:val="007A1D4A"/>
    <w:rsid w:val="007A528A"/>
    <w:rsid w:val="007A55A2"/>
    <w:rsid w:val="007A564A"/>
    <w:rsid w:val="007D266B"/>
    <w:rsid w:val="007E28B6"/>
    <w:rsid w:val="007F5149"/>
    <w:rsid w:val="007F6251"/>
    <w:rsid w:val="00805FE5"/>
    <w:rsid w:val="00807D00"/>
    <w:rsid w:val="008115DD"/>
    <w:rsid w:val="0081220D"/>
    <w:rsid w:val="0082016C"/>
    <w:rsid w:val="00826CCA"/>
    <w:rsid w:val="00826CCF"/>
    <w:rsid w:val="00834746"/>
    <w:rsid w:val="00836E91"/>
    <w:rsid w:val="008455D6"/>
    <w:rsid w:val="0085525F"/>
    <w:rsid w:val="00867F57"/>
    <w:rsid w:val="008A03D9"/>
    <w:rsid w:val="008A6C91"/>
    <w:rsid w:val="008A7CC7"/>
    <w:rsid w:val="008B2FD2"/>
    <w:rsid w:val="008D2E1E"/>
    <w:rsid w:val="008D43D7"/>
    <w:rsid w:val="008D6354"/>
    <w:rsid w:val="008D7C24"/>
    <w:rsid w:val="008F28CF"/>
    <w:rsid w:val="0091131E"/>
    <w:rsid w:val="009211B0"/>
    <w:rsid w:val="009314BA"/>
    <w:rsid w:val="00932CA7"/>
    <w:rsid w:val="00932DCF"/>
    <w:rsid w:val="00933DAB"/>
    <w:rsid w:val="00941A37"/>
    <w:rsid w:val="00946426"/>
    <w:rsid w:val="009527B2"/>
    <w:rsid w:val="009631D9"/>
    <w:rsid w:val="009725E6"/>
    <w:rsid w:val="0098408A"/>
    <w:rsid w:val="00984AFB"/>
    <w:rsid w:val="009853A8"/>
    <w:rsid w:val="009A39FF"/>
    <w:rsid w:val="009A67CB"/>
    <w:rsid w:val="009B5FF1"/>
    <w:rsid w:val="009B777F"/>
    <w:rsid w:val="009D6C77"/>
    <w:rsid w:val="009D7CCA"/>
    <w:rsid w:val="009E1E4F"/>
    <w:rsid w:val="009F3F6E"/>
    <w:rsid w:val="009F75FA"/>
    <w:rsid w:val="00A0248D"/>
    <w:rsid w:val="00A025C2"/>
    <w:rsid w:val="00A21EF8"/>
    <w:rsid w:val="00A27D42"/>
    <w:rsid w:val="00A34770"/>
    <w:rsid w:val="00A36C94"/>
    <w:rsid w:val="00A43A92"/>
    <w:rsid w:val="00A47F66"/>
    <w:rsid w:val="00A53FB6"/>
    <w:rsid w:val="00A83129"/>
    <w:rsid w:val="00A84CA5"/>
    <w:rsid w:val="00A87030"/>
    <w:rsid w:val="00AA53DC"/>
    <w:rsid w:val="00AA57D5"/>
    <w:rsid w:val="00AB077C"/>
    <w:rsid w:val="00AC2238"/>
    <w:rsid w:val="00AC2771"/>
    <w:rsid w:val="00AE282F"/>
    <w:rsid w:val="00AE410C"/>
    <w:rsid w:val="00AF345C"/>
    <w:rsid w:val="00B0045F"/>
    <w:rsid w:val="00B05238"/>
    <w:rsid w:val="00B0685F"/>
    <w:rsid w:val="00B27C4B"/>
    <w:rsid w:val="00B34807"/>
    <w:rsid w:val="00B34E33"/>
    <w:rsid w:val="00B411FD"/>
    <w:rsid w:val="00B4364F"/>
    <w:rsid w:val="00B46FF0"/>
    <w:rsid w:val="00B527B9"/>
    <w:rsid w:val="00B54150"/>
    <w:rsid w:val="00B57D20"/>
    <w:rsid w:val="00B61351"/>
    <w:rsid w:val="00B62764"/>
    <w:rsid w:val="00B630E8"/>
    <w:rsid w:val="00B662D1"/>
    <w:rsid w:val="00B6663F"/>
    <w:rsid w:val="00B7156B"/>
    <w:rsid w:val="00B76F3D"/>
    <w:rsid w:val="00B811B5"/>
    <w:rsid w:val="00B83524"/>
    <w:rsid w:val="00B94032"/>
    <w:rsid w:val="00BA05A6"/>
    <w:rsid w:val="00BB1DCD"/>
    <w:rsid w:val="00BB2B1F"/>
    <w:rsid w:val="00BB7F83"/>
    <w:rsid w:val="00BC5D32"/>
    <w:rsid w:val="00BD1980"/>
    <w:rsid w:val="00C05591"/>
    <w:rsid w:val="00C06AEE"/>
    <w:rsid w:val="00C16ED9"/>
    <w:rsid w:val="00C225D9"/>
    <w:rsid w:val="00C23F47"/>
    <w:rsid w:val="00C2623C"/>
    <w:rsid w:val="00C27593"/>
    <w:rsid w:val="00C32ACF"/>
    <w:rsid w:val="00C40309"/>
    <w:rsid w:val="00C40500"/>
    <w:rsid w:val="00C44153"/>
    <w:rsid w:val="00C50E03"/>
    <w:rsid w:val="00C56673"/>
    <w:rsid w:val="00C63163"/>
    <w:rsid w:val="00C8773F"/>
    <w:rsid w:val="00C92A4E"/>
    <w:rsid w:val="00C96549"/>
    <w:rsid w:val="00CA494C"/>
    <w:rsid w:val="00CB0A14"/>
    <w:rsid w:val="00CC00B2"/>
    <w:rsid w:val="00CD179A"/>
    <w:rsid w:val="00CD68F9"/>
    <w:rsid w:val="00CD6F53"/>
    <w:rsid w:val="00CD7F88"/>
    <w:rsid w:val="00CE243C"/>
    <w:rsid w:val="00CE2708"/>
    <w:rsid w:val="00CF4640"/>
    <w:rsid w:val="00CF5858"/>
    <w:rsid w:val="00D0165E"/>
    <w:rsid w:val="00D017B9"/>
    <w:rsid w:val="00D11D32"/>
    <w:rsid w:val="00D11EC0"/>
    <w:rsid w:val="00D12171"/>
    <w:rsid w:val="00D13D91"/>
    <w:rsid w:val="00D15EA4"/>
    <w:rsid w:val="00D23CEE"/>
    <w:rsid w:val="00D30540"/>
    <w:rsid w:val="00D43634"/>
    <w:rsid w:val="00D547C8"/>
    <w:rsid w:val="00D66A71"/>
    <w:rsid w:val="00D735C7"/>
    <w:rsid w:val="00D75F28"/>
    <w:rsid w:val="00D76D3E"/>
    <w:rsid w:val="00D76EEC"/>
    <w:rsid w:val="00D76FB9"/>
    <w:rsid w:val="00D7773E"/>
    <w:rsid w:val="00D80EE1"/>
    <w:rsid w:val="00D817EF"/>
    <w:rsid w:val="00D92125"/>
    <w:rsid w:val="00D9456D"/>
    <w:rsid w:val="00DA336A"/>
    <w:rsid w:val="00DB2043"/>
    <w:rsid w:val="00DB2488"/>
    <w:rsid w:val="00DC2CAB"/>
    <w:rsid w:val="00DC6DB9"/>
    <w:rsid w:val="00DC74D0"/>
    <w:rsid w:val="00DD65F3"/>
    <w:rsid w:val="00DD71C0"/>
    <w:rsid w:val="00DE22AA"/>
    <w:rsid w:val="00E04234"/>
    <w:rsid w:val="00E043F0"/>
    <w:rsid w:val="00E050A7"/>
    <w:rsid w:val="00E07080"/>
    <w:rsid w:val="00E3058B"/>
    <w:rsid w:val="00E53753"/>
    <w:rsid w:val="00E54064"/>
    <w:rsid w:val="00E63371"/>
    <w:rsid w:val="00E644C5"/>
    <w:rsid w:val="00E6723F"/>
    <w:rsid w:val="00E70FF4"/>
    <w:rsid w:val="00E9265B"/>
    <w:rsid w:val="00E929B6"/>
    <w:rsid w:val="00EA6761"/>
    <w:rsid w:val="00EC2596"/>
    <w:rsid w:val="00EC65B9"/>
    <w:rsid w:val="00EC7454"/>
    <w:rsid w:val="00ED0422"/>
    <w:rsid w:val="00ED6B4F"/>
    <w:rsid w:val="00ED76AA"/>
    <w:rsid w:val="00EE20FC"/>
    <w:rsid w:val="00EE2F25"/>
    <w:rsid w:val="00EE4C4F"/>
    <w:rsid w:val="00EF526F"/>
    <w:rsid w:val="00EF75A6"/>
    <w:rsid w:val="00EF7E62"/>
    <w:rsid w:val="00F043D7"/>
    <w:rsid w:val="00F103B4"/>
    <w:rsid w:val="00F136B5"/>
    <w:rsid w:val="00F13BB8"/>
    <w:rsid w:val="00F15502"/>
    <w:rsid w:val="00F227F1"/>
    <w:rsid w:val="00F2288A"/>
    <w:rsid w:val="00F27E15"/>
    <w:rsid w:val="00F32455"/>
    <w:rsid w:val="00F44957"/>
    <w:rsid w:val="00F46A9E"/>
    <w:rsid w:val="00F47532"/>
    <w:rsid w:val="00F518E6"/>
    <w:rsid w:val="00F561D0"/>
    <w:rsid w:val="00F7749D"/>
    <w:rsid w:val="00FA1495"/>
    <w:rsid w:val="00FA1FEE"/>
    <w:rsid w:val="00FA216F"/>
    <w:rsid w:val="00FA429B"/>
    <w:rsid w:val="00FB05C4"/>
    <w:rsid w:val="00FB46B3"/>
    <w:rsid w:val="00FB72F0"/>
    <w:rsid w:val="00FC0B61"/>
    <w:rsid w:val="00FD2CA8"/>
    <w:rsid w:val="00FE16AA"/>
    <w:rsid w:val="00FE3DB2"/>
    <w:rsid w:val="00FE754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477144"/>
  <w15:docId w15:val="{32C5F9A1-A8A6-4A47-A7CB-2664145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295607"/>
    <w:rPr>
      <w:sz w:val="16"/>
      <w:szCs w:val="16"/>
    </w:rPr>
  </w:style>
  <w:style w:type="paragraph" w:styleId="Textocomentario">
    <w:name w:val="annotation text"/>
    <w:basedOn w:val="Normal"/>
    <w:link w:val="TextocomentarioCar"/>
    <w:uiPriority w:val="99"/>
    <w:semiHidden/>
    <w:unhideWhenUsed/>
    <w:rsid w:val="002956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607"/>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295607"/>
    <w:rPr>
      <w:b/>
      <w:bCs/>
    </w:rPr>
  </w:style>
  <w:style w:type="character" w:customStyle="1" w:styleId="AsuntodelcomentarioCar">
    <w:name w:val="Asunto del comentario Car"/>
    <w:basedOn w:val="TextocomentarioCar"/>
    <w:link w:val="Asuntodelcomentario"/>
    <w:uiPriority w:val="99"/>
    <w:semiHidden/>
    <w:rsid w:val="00295607"/>
    <w:rPr>
      <w:rFonts w:ascii="Calibri" w:eastAsia="Calibri" w:hAnsi="Calibri" w:cs="Calibr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B98A-409A-4010-8B2F-DF90CEC3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4879</Words>
  <Characters>26839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4</cp:revision>
  <cp:lastPrinted>2015-11-05T22:38:00Z</cp:lastPrinted>
  <dcterms:created xsi:type="dcterms:W3CDTF">2021-03-12T15:41:00Z</dcterms:created>
  <dcterms:modified xsi:type="dcterms:W3CDTF">2021-05-21T21:07:00Z</dcterms:modified>
</cp:coreProperties>
</file>