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59B42" w14:textId="53BD645D" w:rsidR="002931C0" w:rsidRPr="00160CE2" w:rsidRDefault="002931C0" w:rsidP="006E0E33">
      <w:pPr>
        <w:jc w:val="center"/>
        <w:rPr>
          <w:rFonts w:ascii="Century Gothic" w:hAnsi="Century Gothic"/>
          <w:b/>
          <w:bCs/>
        </w:rPr>
      </w:pPr>
      <w:r w:rsidRPr="00160CE2">
        <w:rPr>
          <w:rFonts w:ascii="Century Gothic" w:hAnsi="Century Gothic"/>
          <w:b/>
          <w:bCs/>
        </w:rPr>
        <w:t>EXPOSICIÓN DE MOTIVOS</w:t>
      </w:r>
      <w:r w:rsidR="002810AC" w:rsidRPr="00160CE2">
        <w:rPr>
          <w:rFonts w:ascii="Century Gothic" w:hAnsi="Century Gothic"/>
          <w:b/>
          <w:bCs/>
        </w:rPr>
        <w:t>.</w:t>
      </w:r>
    </w:p>
    <w:p w14:paraId="09F6CE75" w14:textId="605AFD47" w:rsidR="002931C0" w:rsidRPr="00160CE2" w:rsidRDefault="002931C0" w:rsidP="002931C0">
      <w:pPr>
        <w:jc w:val="both"/>
        <w:rPr>
          <w:rFonts w:ascii="Century Gothic" w:hAnsi="Century Gothic"/>
        </w:rPr>
      </w:pPr>
      <w:r w:rsidRPr="00160CE2">
        <w:rPr>
          <w:rFonts w:ascii="Century Gothic" w:hAnsi="Century Gothic"/>
        </w:rPr>
        <w:t>La Constitución de la República del Ecuador, en su artículo 30, garantiza a las personas el “derecho a un hábitat seguro y saludable, y a una vivienda adecuada y digna, con independencia de su situación social y económica”.</w:t>
      </w:r>
    </w:p>
    <w:p w14:paraId="2DC4D0BC" w14:textId="33555B7D" w:rsidR="002931C0" w:rsidRPr="00160CE2" w:rsidRDefault="0072385B" w:rsidP="002931C0">
      <w:pPr>
        <w:jc w:val="both"/>
        <w:rPr>
          <w:rFonts w:ascii="Century Gothic" w:hAnsi="Century Gothic"/>
        </w:rPr>
      </w:pPr>
      <w:r w:rsidRPr="00160CE2">
        <w:rPr>
          <w:rFonts w:ascii="Century Gothic" w:hAnsi="Century Gothic"/>
        </w:rPr>
        <w:t>El Concejo Metropolitano de Quito, la Administración Municipal, a través de la Unidad Especial “Regula Tu Barrio”, y de la Comisión de Ordenamiento Territorial</w:t>
      </w:r>
      <w:r w:rsidRPr="00160CE2" w:rsidDel="0072385B">
        <w:rPr>
          <w:rFonts w:ascii="Century Gothic" w:hAnsi="Century Gothic"/>
        </w:rPr>
        <w:t xml:space="preserve"> </w:t>
      </w:r>
      <w:r w:rsidR="002931C0" w:rsidRPr="00160CE2">
        <w:rPr>
          <w:rFonts w:ascii="Century Gothic" w:hAnsi="Century Gothic"/>
        </w:rPr>
        <w:t xml:space="preserve">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0146892" w14:textId="072E53D7" w:rsidR="002810AC" w:rsidRPr="00160CE2" w:rsidRDefault="002810AC" w:rsidP="002931C0">
      <w:pPr>
        <w:jc w:val="both"/>
        <w:rPr>
          <w:rFonts w:ascii="Century Gothic" w:hAnsi="Century Gothic"/>
        </w:rPr>
      </w:pPr>
      <w:r w:rsidRPr="00160CE2">
        <w:rPr>
          <w:rFonts w:ascii="Century Gothic" w:hAnsi="Century Gothic"/>
        </w:rPr>
        <w:t>El asentamiento humano de hecho y consolidado de interés social denominado “Comité Pro Mejoras del Barrio Ontaneda Alta” Segunda Etapa, ubicado en la parroquia Conocoto, tiene una consolidación del 48.57%; al inicio del proceso de regularización contaba con 14 años de existencia; sin embargo, al momento de la sanción de la presente ordenanza el asentamiento cuenta con 21 años de asentamiento, 35 lotes a fraccionarse y 140 beneficiarios.</w:t>
      </w:r>
    </w:p>
    <w:p w14:paraId="04DA2826" w14:textId="23C03740" w:rsidR="002931C0" w:rsidRPr="00160CE2" w:rsidRDefault="002931C0" w:rsidP="002931C0">
      <w:pPr>
        <w:jc w:val="both"/>
        <w:rPr>
          <w:rFonts w:ascii="Century Gothic" w:hAnsi="Century Gothic"/>
        </w:rPr>
      </w:pPr>
      <w:r w:rsidRPr="00160CE2">
        <w:rPr>
          <w:rFonts w:ascii="Century Gothic" w:hAnsi="Century Gothic"/>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042FAB1" w14:textId="0CD8F6CA" w:rsidR="002931C0" w:rsidRPr="00160CE2" w:rsidRDefault="002931C0" w:rsidP="002931C0">
      <w:pPr>
        <w:jc w:val="both"/>
        <w:rPr>
          <w:rFonts w:ascii="Century Gothic" w:hAnsi="Century Gothic"/>
        </w:rPr>
      </w:pPr>
      <w:r w:rsidRPr="00160CE2">
        <w:rPr>
          <w:rFonts w:ascii="Century Gothic" w:hAnsi="Century Gothic"/>
        </w:rPr>
        <w:t xml:space="preserve">En este sentido, la presente ordenanza contiene la normativa tendiente al fraccionamiento de los predios sobre el que se encuentra el asentamiento humano de hecho y consolidado de interés social denominado </w:t>
      </w:r>
      <w:r w:rsidR="0072385B" w:rsidRPr="00160CE2">
        <w:rPr>
          <w:rFonts w:ascii="Century Gothic" w:hAnsi="Century Gothic" w:cs="Times New Roman"/>
        </w:rPr>
        <w:t>“Comité Pro Mejoras del Barrio Ontaneda Alta</w:t>
      </w:r>
      <w:r w:rsidR="00160CE2" w:rsidRPr="00160CE2">
        <w:rPr>
          <w:rFonts w:ascii="Century Gothic" w:hAnsi="Century Gothic" w:cs="Times New Roman"/>
        </w:rPr>
        <w:t>”</w:t>
      </w:r>
      <w:r w:rsidR="00160CE2" w:rsidRPr="00160CE2">
        <w:rPr>
          <w:rFonts w:ascii="Times New Roman" w:hAnsi="Times New Roman" w:cs="Times New Roman"/>
        </w:rPr>
        <w:t>,</w:t>
      </w:r>
      <w:r w:rsidRPr="00160CE2">
        <w:rPr>
          <w:rFonts w:ascii="Century Gothic" w:hAnsi="Century Gothic"/>
        </w:rPr>
        <w:t xml:space="preserve"> a fin de garantizar a los beneficiarios el ejercicio de su derecho a la vivienda y el acceso a servicios básicos de calidad.</w:t>
      </w:r>
    </w:p>
    <w:p w14:paraId="64983DAD" w14:textId="4546F2D0" w:rsidR="002931C0" w:rsidRPr="00160CE2" w:rsidRDefault="002931C0" w:rsidP="002931C0">
      <w:pPr>
        <w:jc w:val="both"/>
        <w:rPr>
          <w:rFonts w:ascii="Century Gothic" w:hAnsi="Century Gothic"/>
        </w:rPr>
      </w:pPr>
      <w:r w:rsidRPr="00160CE2">
        <w:rPr>
          <w:rFonts w:ascii="Century Gothic" w:hAnsi="Century Gothic"/>
        </w:rPr>
        <w:t xml:space="preserve"> </w:t>
      </w:r>
    </w:p>
    <w:p w14:paraId="4DDDE3DD" w14:textId="547B6801" w:rsidR="00BD6238" w:rsidRPr="00160CE2" w:rsidRDefault="00BD6238" w:rsidP="002931C0">
      <w:pPr>
        <w:jc w:val="both"/>
        <w:rPr>
          <w:rFonts w:ascii="Century Gothic" w:hAnsi="Century Gothic"/>
        </w:rPr>
      </w:pPr>
    </w:p>
    <w:p w14:paraId="1D51DC96" w14:textId="68882162" w:rsidR="00BD6238" w:rsidRPr="00160CE2" w:rsidRDefault="00BD6238" w:rsidP="002931C0">
      <w:pPr>
        <w:jc w:val="both"/>
        <w:rPr>
          <w:rFonts w:ascii="Century Gothic" w:hAnsi="Century Gothic"/>
        </w:rPr>
      </w:pPr>
    </w:p>
    <w:p w14:paraId="4975A3F6" w14:textId="411FFBC5" w:rsidR="00BD6238" w:rsidRPr="00160CE2" w:rsidRDefault="00BD6238" w:rsidP="002931C0">
      <w:pPr>
        <w:jc w:val="both"/>
        <w:rPr>
          <w:rFonts w:ascii="Century Gothic" w:hAnsi="Century Gothic"/>
        </w:rPr>
      </w:pPr>
    </w:p>
    <w:p w14:paraId="030A8186" w14:textId="451793B2" w:rsidR="00BD6238" w:rsidRPr="00160CE2" w:rsidRDefault="00BD6238" w:rsidP="002931C0">
      <w:pPr>
        <w:jc w:val="both"/>
        <w:rPr>
          <w:rFonts w:ascii="Century Gothic" w:hAnsi="Century Gothic"/>
        </w:rPr>
      </w:pPr>
    </w:p>
    <w:p w14:paraId="3489FF57" w14:textId="2D1577C3" w:rsidR="00BD6238" w:rsidRPr="00160CE2" w:rsidRDefault="00BD6238" w:rsidP="002931C0">
      <w:pPr>
        <w:jc w:val="both"/>
        <w:rPr>
          <w:rFonts w:ascii="Century Gothic" w:hAnsi="Century Gothic"/>
        </w:rPr>
      </w:pPr>
    </w:p>
    <w:p w14:paraId="2BA02E6F" w14:textId="3B2233D0" w:rsidR="00BD6238" w:rsidRPr="00160CE2" w:rsidRDefault="00BD6238" w:rsidP="002931C0">
      <w:pPr>
        <w:jc w:val="both"/>
        <w:rPr>
          <w:rFonts w:ascii="Century Gothic" w:hAnsi="Century Gothic"/>
        </w:rPr>
      </w:pPr>
    </w:p>
    <w:p w14:paraId="2A2A8416" w14:textId="1753210C" w:rsidR="00BD6238" w:rsidRPr="00160CE2" w:rsidRDefault="00BD6238" w:rsidP="002931C0">
      <w:pPr>
        <w:jc w:val="both"/>
        <w:rPr>
          <w:rFonts w:ascii="Century Gothic" w:hAnsi="Century Gothic"/>
        </w:rPr>
      </w:pPr>
    </w:p>
    <w:p w14:paraId="6B2776D7" w14:textId="77777777" w:rsidR="002810AC" w:rsidRPr="00160CE2" w:rsidRDefault="002810AC" w:rsidP="002931C0">
      <w:pPr>
        <w:jc w:val="both"/>
        <w:rPr>
          <w:rFonts w:ascii="Century Gothic" w:hAnsi="Century Gothic"/>
        </w:rPr>
      </w:pPr>
    </w:p>
    <w:p w14:paraId="4E35EAE1" w14:textId="3430FDD5" w:rsidR="00BD6238" w:rsidRPr="00160CE2" w:rsidRDefault="00BD6238" w:rsidP="002931C0">
      <w:pPr>
        <w:jc w:val="both"/>
        <w:rPr>
          <w:rFonts w:ascii="Century Gothic" w:hAnsi="Century Gothic"/>
        </w:rPr>
      </w:pPr>
    </w:p>
    <w:p w14:paraId="568691BE" w14:textId="77777777" w:rsidR="00BD6238" w:rsidRPr="00160CE2" w:rsidRDefault="00BD6238" w:rsidP="002931C0">
      <w:pPr>
        <w:jc w:val="both"/>
        <w:rPr>
          <w:rFonts w:ascii="Century Gothic" w:hAnsi="Century Gothic"/>
        </w:rPr>
      </w:pPr>
    </w:p>
    <w:p w14:paraId="2190324E" w14:textId="17758065" w:rsidR="002931C0" w:rsidRPr="00160CE2" w:rsidRDefault="002931C0" w:rsidP="00BD6238">
      <w:pPr>
        <w:jc w:val="center"/>
        <w:rPr>
          <w:rFonts w:ascii="Century Gothic" w:hAnsi="Century Gothic"/>
          <w:b/>
          <w:bCs/>
        </w:rPr>
      </w:pPr>
      <w:r w:rsidRPr="00160CE2">
        <w:rPr>
          <w:rFonts w:ascii="Century Gothic" w:hAnsi="Century Gothic"/>
          <w:b/>
          <w:bCs/>
        </w:rPr>
        <w:t>EL CONCEJO METROPOLITANO DE QUITO</w:t>
      </w:r>
      <w:r w:rsidR="00BD6238" w:rsidRPr="00160CE2">
        <w:rPr>
          <w:rFonts w:ascii="Century Gothic" w:hAnsi="Century Gothic"/>
          <w:b/>
          <w:bCs/>
        </w:rPr>
        <w:t>:</w:t>
      </w:r>
    </w:p>
    <w:p w14:paraId="300348EA" w14:textId="4D5814DB" w:rsidR="002931C0" w:rsidRPr="00160CE2" w:rsidRDefault="00FA2CAE" w:rsidP="00ED13B7">
      <w:pPr>
        <w:jc w:val="both"/>
        <w:rPr>
          <w:rFonts w:ascii="Century Gothic" w:hAnsi="Century Gothic"/>
        </w:rPr>
      </w:pPr>
      <w:r w:rsidRPr="00160CE2">
        <w:rPr>
          <w:rFonts w:ascii="Century Gothic" w:hAnsi="Century Gothic"/>
        </w:rPr>
        <w:t xml:space="preserve">Visto el Informe Nro. </w:t>
      </w:r>
      <w:r w:rsidR="00665028" w:rsidRPr="00665028">
        <w:rPr>
          <w:rFonts w:ascii="Century Gothic" w:hAnsi="Century Gothic"/>
        </w:rPr>
        <w:t>IC-COT-2021-046</w:t>
      </w:r>
      <w:r w:rsidR="00665028" w:rsidRPr="00665028">
        <w:rPr>
          <w:rFonts w:ascii="Century Gothic" w:hAnsi="Century Gothic"/>
        </w:rPr>
        <w:t xml:space="preserve"> </w:t>
      </w:r>
      <w:r w:rsidRPr="00160CE2">
        <w:rPr>
          <w:rFonts w:ascii="Century Gothic" w:hAnsi="Century Gothic"/>
        </w:rPr>
        <w:t>de</w:t>
      </w:r>
      <w:r w:rsidR="00665028">
        <w:rPr>
          <w:rFonts w:ascii="Century Gothic" w:hAnsi="Century Gothic"/>
        </w:rPr>
        <w:t>14 de mayo</w:t>
      </w:r>
      <w:r w:rsidRPr="00160CE2">
        <w:rPr>
          <w:rFonts w:ascii="Century Gothic" w:hAnsi="Century Gothic"/>
        </w:rPr>
        <w:t xml:space="preserve"> de 2021, de la Comisión de Ordenamiento Territorial.</w:t>
      </w:r>
      <w:bookmarkStart w:id="0" w:name="_GoBack"/>
      <w:bookmarkEnd w:id="0"/>
    </w:p>
    <w:p w14:paraId="6E9CC58C" w14:textId="25A9938C" w:rsidR="002931C0" w:rsidRPr="00160CE2" w:rsidRDefault="002931C0" w:rsidP="00ED13B7">
      <w:pPr>
        <w:jc w:val="center"/>
        <w:rPr>
          <w:rFonts w:ascii="Century Gothic" w:hAnsi="Century Gothic"/>
          <w:b/>
          <w:bCs/>
        </w:rPr>
      </w:pPr>
      <w:r w:rsidRPr="00160CE2">
        <w:rPr>
          <w:rFonts w:ascii="Century Gothic" w:hAnsi="Century Gothic"/>
          <w:b/>
          <w:bCs/>
        </w:rPr>
        <w:t>CONSIDERANDO:</w:t>
      </w:r>
    </w:p>
    <w:p w14:paraId="0E76EA15" w14:textId="05A75859" w:rsidR="002931C0" w:rsidRPr="00160CE2" w:rsidRDefault="002931C0" w:rsidP="004C6F79">
      <w:pPr>
        <w:ind w:left="708" w:hanging="708"/>
        <w:jc w:val="both"/>
        <w:rPr>
          <w:rFonts w:ascii="Century Gothic" w:hAnsi="Century Gothic"/>
        </w:rPr>
      </w:pPr>
      <w:r w:rsidRPr="00160CE2">
        <w:rPr>
          <w:rFonts w:ascii="Century Gothic" w:hAnsi="Century Gothic"/>
          <w:b/>
          <w:bCs/>
        </w:rPr>
        <w:t>Que,</w:t>
      </w:r>
      <w:r w:rsidR="00BD6238" w:rsidRPr="00160CE2">
        <w:rPr>
          <w:rFonts w:ascii="Century Gothic" w:hAnsi="Century Gothic"/>
        </w:rPr>
        <w:t xml:space="preserve"> </w:t>
      </w:r>
      <w:r w:rsidRPr="00160CE2">
        <w:rPr>
          <w:rFonts w:ascii="Century Gothic" w:hAnsi="Century Gothic"/>
        </w:rPr>
        <w:t>el artículo 30 de la Constitución de la República del Ecuador establece que</w:t>
      </w:r>
      <w:r w:rsidR="00BD6238" w:rsidRPr="00160CE2">
        <w:rPr>
          <w:rFonts w:ascii="Century Gothic" w:hAnsi="Century Gothic"/>
        </w:rPr>
        <w:t xml:space="preserve"> </w:t>
      </w:r>
      <w:r w:rsidRPr="00160CE2">
        <w:rPr>
          <w:rFonts w:ascii="Century Gothic" w:hAnsi="Century Gothic"/>
        </w:rPr>
        <w:t>“Las personas tienen derecho a un hábitat seguro y saludable, y a una vivienda adecuada y digna, con independencia de su situación social y económica.”</w:t>
      </w:r>
      <w:r w:rsidR="00BD6238" w:rsidRPr="00160CE2">
        <w:rPr>
          <w:rFonts w:ascii="Century Gothic" w:hAnsi="Century Gothic"/>
        </w:rPr>
        <w:t>;</w:t>
      </w:r>
    </w:p>
    <w:p w14:paraId="09786655" w14:textId="2B884CDD" w:rsidR="002931C0" w:rsidRPr="00160CE2" w:rsidRDefault="002931C0"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ab/>
        <w:t xml:space="preserve">el artículo 31 </w:t>
      </w:r>
      <w:r w:rsidR="00BD6238" w:rsidRPr="00160CE2">
        <w:rPr>
          <w:rFonts w:ascii="Century Gothic" w:hAnsi="Century Gothic"/>
        </w:rPr>
        <w:t>ibidem</w:t>
      </w:r>
      <w:r w:rsidRPr="00160CE2">
        <w:rPr>
          <w:rFonts w:ascii="Century Gothic" w:hAnsi="Century Gothic"/>
        </w:rPr>
        <w:t xml:space="preserve"> expresa </w:t>
      </w:r>
      <w:r w:rsidR="00BD6238" w:rsidRPr="00160CE2">
        <w:rPr>
          <w:rFonts w:ascii="Century Gothic" w:hAnsi="Century Gothic"/>
        </w:rPr>
        <w:t>que “Las</w:t>
      </w:r>
      <w:r w:rsidRPr="00160CE2">
        <w:rPr>
          <w:rFonts w:ascii="Century Gothic" w:hAnsi="Century Gothic"/>
        </w:rPr>
        <w:t xml:space="preserve">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28861DF0" w14:textId="2E5EAEE9" w:rsidR="002931C0" w:rsidRPr="00160CE2" w:rsidRDefault="002931C0"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 xml:space="preserve"> el artículo 240 </w:t>
      </w:r>
      <w:r w:rsidR="003A1C94" w:rsidRPr="00160CE2">
        <w:rPr>
          <w:rFonts w:ascii="Century Gothic" w:hAnsi="Century Gothic"/>
        </w:rPr>
        <w:t>ibidem</w:t>
      </w:r>
      <w:r w:rsidR="00BD6238" w:rsidRPr="00160CE2">
        <w:rPr>
          <w:rFonts w:ascii="Century Gothic" w:hAnsi="Century Gothic"/>
        </w:rPr>
        <w:t xml:space="preserve"> </w:t>
      </w:r>
      <w:r w:rsidRPr="00160CE2">
        <w:rPr>
          <w:rFonts w:ascii="Century Gothic" w:hAnsi="Century Gothic"/>
        </w:rPr>
        <w:t>establece que: “Los gobiernos autónomos descentralizados de las regiones, distritos metropolitanos, provincias y cantones tendrán facultades legislativas en el ámbito de sus competencias y jurisdicciones territoriales (…)</w:t>
      </w:r>
      <w:r w:rsidR="00BD6238" w:rsidRPr="00160CE2">
        <w:rPr>
          <w:rFonts w:ascii="Century Gothic" w:hAnsi="Century Gothic"/>
        </w:rPr>
        <w:t xml:space="preserve"> Todos los gobiernos autónomos descentralizados ejercerán facultades ejecutivas en el ámbito de sus competencias y jurisdicciones territoriales.</w:t>
      </w:r>
      <w:r w:rsidRPr="00160CE2">
        <w:rPr>
          <w:rFonts w:ascii="Century Gothic" w:hAnsi="Century Gothic"/>
        </w:rPr>
        <w:t>”;</w:t>
      </w:r>
    </w:p>
    <w:p w14:paraId="456FEDA0" w14:textId="575E2EE9" w:rsidR="002931C0" w:rsidRPr="00160CE2" w:rsidRDefault="002931C0"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ab/>
        <w:t xml:space="preserve">el artículo 266 </w:t>
      </w:r>
      <w:r w:rsidR="003A1C94" w:rsidRPr="00160CE2">
        <w:rPr>
          <w:rFonts w:ascii="Century Gothic" w:hAnsi="Century Gothic"/>
        </w:rPr>
        <w:t xml:space="preserve">ibidem </w:t>
      </w:r>
      <w:r w:rsidR="00BD6238" w:rsidRPr="00160CE2">
        <w:rPr>
          <w:rFonts w:ascii="Century Gothic" w:hAnsi="Century Gothic"/>
        </w:rPr>
        <w:t>dispone que</w:t>
      </w:r>
      <w:r w:rsidRPr="00160CE2">
        <w:rPr>
          <w:rFonts w:ascii="Century Gothic" w:hAnsi="Century Gothic"/>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BD6238" w:rsidRPr="00160CE2">
        <w:rPr>
          <w:rFonts w:ascii="Century Gothic" w:hAnsi="Century Gothic"/>
        </w:rPr>
        <w:t xml:space="preserve"> </w:t>
      </w:r>
      <w:r w:rsidRPr="00160CE2">
        <w:rPr>
          <w:rFonts w:ascii="Century Gothic" w:hAnsi="Century Gothic"/>
        </w:rPr>
        <w:t>En el ámbito de sus competencias y territorio, y en uso de sus facultades, expedirán ordenanzas distritales.”</w:t>
      </w:r>
    </w:p>
    <w:p w14:paraId="6A7EFD3A" w14:textId="1CB8F245" w:rsidR="002931C0" w:rsidRPr="00160CE2" w:rsidRDefault="002931C0"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ab/>
      </w:r>
      <w:r w:rsidR="003A1C94" w:rsidRPr="00160CE2">
        <w:rPr>
          <w:rFonts w:ascii="Century Gothic" w:hAnsi="Century Gothic"/>
        </w:rPr>
        <w:t xml:space="preserve">el artículo 84, letra </w:t>
      </w:r>
      <w:r w:rsidR="003F6F37" w:rsidRPr="00160CE2">
        <w:rPr>
          <w:rFonts w:ascii="Century Gothic" w:hAnsi="Century Gothic"/>
        </w:rPr>
        <w:t>c</w:t>
      </w:r>
      <w:r w:rsidR="003A1C94" w:rsidRPr="00160CE2">
        <w:rPr>
          <w:rFonts w:ascii="Century Gothic" w:hAnsi="Century Gothic"/>
        </w:rPr>
        <w:t>)</w:t>
      </w:r>
      <w:r w:rsidRPr="00160CE2">
        <w:rPr>
          <w:rFonts w:ascii="Century Gothic" w:hAnsi="Century Gothic"/>
        </w:rPr>
        <w:t xml:space="preserve"> del Código Orgánico de Organización Territorial, Autonomía y Descentralización</w:t>
      </w:r>
      <w:r w:rsidR="003A1C94" w:rsidRPr="00160CE2">
        <w:rPr>
          <w:rFonts w:ascii="Century Gothic" w:hAnsi="Century Gothic"/>
        </w:rPr>
        <w:t xml:space="preserve">, </w:t>
      </w:r>
      <w:r w:rsidR="003F6F37" w:rsidRPr="00160CE2">
        <w:rPr>
          <w:rFonts w:ascii="Century Gothic" w:hAnsi="Century Gothic"/>
        </w:rPr>
        <w:t>señala como una de las funciones del gobierno del distrito autónomo metropolitano el</w:t>
      </w:r>
      <w:r w:rsidRPr="00160CE2">
        <w:rPr>
          <w:rFonts w:ascii="Century Gothic" w:hAnsi="Century Gothic"/>
        </w:rPr>
        <w:t xml:space="preserve"> </w:t>
      </w:r>
      <w:r w:rsidR="003F6F37" w:rsidRPr="00160CE2">
        <w:rPr>
          <w:rFonts w:ascii="Century Gothic" w:hAnsi="Century Gothic"/>
        </w:rPr>
        <w:t>“</w:t>
      </w:r>
      <w:r w:rsidRPr="00160CE2">
        <w:rPr>
          <w:rFonts w:ascii="Century Gothic" w:hAnsi="Century Gothic"/>
        </w:rPr>
        <w:t>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003F6F37" w:rsidRPr="00160CE2">
        <w:rPr>
          <w:rFonts w:ascii="Century Gothic" w:hAnsi="Century Gothic"/>
        </w:rPr>
        <w:t>.</w:t>
      </w:r>
      <w:r w:rsidRPr="00160CE2">
        <w:rPr>
          <w:rFonts w:ascii="Century Gothic" w:hAnsi="Century Gothic"/>
        </w:rPr>
        <w:t>”;</w:t>
      </w:r>
    </w:p>
    <w:p w14:paraId="475573CC" w14:textId="19D893A9" w:rsidR="002931C0" w:rsidRPr="00160CE2" w:rsidRDefault="002931C0"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b/>
          <w:bCs/>
        </w:rPr>
        <w:tab/>
      </w:r>
      <w:r w:rsidR="003F6F37" w:rsidRPr="00160CE2">
        <w:rPr>
          <w:rFonts w:ascii="Century Gothic" w:hAnsi="Century Gothic"/>
        </w:rPr>
        <w:t>el artículo 87, letra a) ibidem señala como atribución del Concejo Metropolitano el</w:t>
      </w:r>
      <w:r w:rsidRPr="00160CE2">
        <w:rPr>
          <w:rFonts w:ascii="Century Gothic" w:hAnsi="Century Gothic"/>
        </w:rPr>
        <w:t xml:space="preserve"> </w:t>
      </w:r>
      <w:r w:rsidR="003F6F37" w:rsidRPr="00160CE2">
        <w:rPr>
          <w:rFonts w:ascii="Century Gothic" w:hAnsi="Century Gothic"/>
        </w:rPr>
        <w:t>“</w:t>
      </w:r>
      <w:r w:rsidRPr="00160CE2">
        <w:rPr>
          <w:rFonts w:ascii="Century Gothic" w:hAnsi="Century Gothic"/>
        </w:rPr>
        <w:t>Ejercer la facultad normativa en las materias de competencia del gobierno autónomo descentralizado metropolitano, mediante la expedición de ordenanzas metropolitanas, acuerdos y resoluciones</w:t>
      </w:r>
      <w:r w:rsidR="003F6F37" w:rsidRPr="00160CE2">
        <w:rPr>
          <w:rFonts w:ascii="Century Gothic" w:hAnsi="Century Gothic"/>
        </w:rPr>
        <w:t>”</w:t>
      </w:r>
      <w:r w:rsidRPr="00160CE2">
        <w:rPr>
          <w:rFonts w:ascii="Century Gothic" w:hAnsi="Century Gothic"/>
        </w:rPr>
        <w:t xml:space="preserve">; </w:t>
      </w:r>
      <w:r w:rsidR="003F6F37" w:rsidRPr="00160CE2">
        <w:rPr>
          <w:rFonts w:ascii="Century Gothic" w:hAnsi="Century Gothic"/>
        </w:rPr>
        <w:t>y, su letra x) manifiesta en igual sentido el “</w:t>
      </w:r>
      <w:r w:rsidRPr="00160CE2">
        <w:rPr>
          <w:rFonts w:ascii="Century Gothic" w:hAnsi="Century Gothic"/>
        </w:rPr>
        <w:t xml:space="preserve">Regular mediante ordenanza la delimitación de los barrios y parroquias urbanas tomando en cuenta la configuración territorial, identidad, historia, </w:t>
      </w:r>
      <w:r w:rsidRPr="00160CE2">
        <w:rPr>
          <w:rFonts w:ascii="Century Gothic" w:hAnsi="Century Gothic"/>
        </w:rPr>
        <w:lastRenderedPageBreak/>
        <w:t xml:space="preserve">necesidades urbanísticas y administrativas y la aplicación del principio de equidad </w:t>
      </w:r>
      <w:proofErr w:type="spellStart"/>
      <w:r w:rsidRPr="00160CE2">
        <w:rPr>
          <w:rFonts w:ascii="Century Gothic" w:hAnsi="Century Gothic"/>
        </w:rPr>
        <w:t>interbarrial</w:t>
      </w:r>
      <w:proofErr w:type="spellEnd"/>
      <w:r w:rsidR="003F6F37" w:rsidRPr="00160CE2">
        <w:rPr>
          <w:rFonts w:ascii="Century Gothic" w:hAnsi="Century Gothic"/>
        </w:rPr>
        <w:t>.”</w:t>
      </w:r>
      <w:r w:rsidRPr="00160CE2">
        <w:rPr>
          <w:rFonts w:ascii="Century Gothic" w:hAnsi="Century Gothic"/>
        </w:rPr>
        <w:t xml:space="preserve">;  </w:t>
      </w:r>
    </w:p>
    <w:p w14:paraId="24A58A6C" w14:textId="1D2E1410" w:rsidR="003F6F37" w:rsidRPr="00160CE2" w:rsidRDefault="003F6F37"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 xml:space="preserve"> el artículo 90, letra d) ídem refiere como una atribución del Alcalde Metropolitano “Presentar proyectos de ordenanzas distritales en materias de competencia del gobierno metropolitano autónomo.”;</w:t>
      </w:r>
    </w:p>
    <w:p w14:paraId="344836B2" w14:textId="32C00B7E" w:rsidR="002931C0" w:rsidRPr="00160CE2" w:rsidRDefault="002931C0"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 xml:space="preserve"> </w:t>
      </w:r>
      <w:r w:rsidRPr="00160CE2">
        <w:rPr>
          <w:rFonts w:ascii="Century Gothic" w:hAnsi="Century Gothic"/>
        </w:rPr>
        <w:tab/>
        <w:t xml:space="preserve">el artículo 322 </w:t>
      </w:r>
      <w:r w:rsidR="003F6F37" w:rsidRPr="00160CE2">
        <w:rPr>
          <w:rFonts w:ascii="Century Gothic" w:hAnsi="Century Gothic"/>
        </w:rPr>
        <w:t xml:space="preserve">ídem, que se refiere sobre las decisiones legislativas, </w:t>
      </w:r>
      <w:r w:rsidRPr="00160CE2">
        <w:rPr>
          <w:rFonts w:ascii="Century Gothic" w:hAnsi="Century Gothic"/>
        </w:rPr>
        <w:t xml:space="preserve">establece el procedimiento para la aprobación de las ordenanzas </w:t>
      </w:r>
      <w:r w:rsidR="003F6F37" w:rsidRPr="00160CE2">
        <w:rPr>
          <w:rFonts w:ascii="Century Gothic" w:hAnsi="Century Gothic"/>
        </w:rPr>
        <w:t>metropolitanas</w:t>
      </w:r>
      <w:r w:rsidRPr="00160CE2">
        <w:rPr>
          <w:rFonts w:ascii="Century Gothic" w:hAnsi="Century Gothic"/>
        </w:rPr>
        <w:t>;</w:t>
      </w:r>
    </w:p>
    <w:p w14:paraId="41C66508" w14:textId="2A4F003C" w:rsidR="002931C0" w:rsidRPr="00160CE2" w:rsidRDefault="002931C0"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 xml:space="preserve"> </w:t>
      </w:r>
      <w:r w:rsidRPr="00160CE2">
        <w:rPr>
          <w:rFonts w:ascii="Century Gothic" w:hAnsi="Century Gothic"/>
        </w:rPr>
        <w:tab/>
        <w:t xml:space="preserve">el artículo 486 </w:t>
      </w:r>
      <w:r w:rsidR="003D58E2" w:rsidRPr="00160CE2">
        <w:rPr>
          <w:rFonts w:ascii="Century Gothic" w:hAnsi="Century Gothic"/>
        </w:rPr>
        <w:t>ibidem</w:t>
      </w:r>
      <w:r w:rsidRPr="00160CE2">
        <w:rPr>
          <w:rFonts w:ascii="Century Gothic" w:hAnsi="Century Gothic"/>
        </w:rPr>
        <w:t xml:space="preserve"> reformado establece que: “Cuando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w:t>
      </w:r>
      <w:r w:rsidR="003D58E2" w:rsidRPr="00160CE2">
        <w:rPr>
          <w:rFonts w:ascii="Century Gothic" w:hAnsi="Century Gothic"/>
        </w:rPr>
        <w:t xml:space="preserve"> </w:t>
      </w:r>
      <w:r w:rsidRPr="00160CE2">
        <w:rPr>
          <w:rFonts w:ascii="Century Gothic" w:hAnsi="Century Gothic"/>
        </w:rPr>
        <w:t>(…)”;</w:t>
      </w:r>
    </w:p>
    <w:p w14:paraId="3A5EA163" w14:textId="77777777" w:rsidR="0072385B" w:rsidRPr="00160CE2" w:rsidRDefault="0072385B" w:rsidP="000A6D5B">
      <w:pPr>
        <w:pStyle w:val="Sinespaciado"/>
        <w:spacing w:before="240" w:after="240" w:line="276" w:lineRule="auto"/>
        <w:ind w:left="709" w:hanging="709"/>
        <w:jc w:val="both"/>
        <w:rPr>
          <w:rFonts w:ascii="Century Gothic" w:eastAsiaTheme="minorHAnsi" w:hAnsi="Century Gothic" w:cstheme="minorBidi"/>
        </w:rPr>
      </w:pPr>
      <w:r w:rsidRPr="00160CE2">
        <w:rPr>
          <w:rFonts w:ascii="Century Gothic" w:hAnsi="Century Gothic"/>
          <w:b/>
          <w:bCs/>
        </w:rPr>
        <w:t>Que,</w:t>
      </w:r>
      <w:r w:rsidRPr="00160CE2">
        <w:rPr>
          <w:rFonts w:ascii="Century Gothic" w:hAnsi="Century Gothic"/>
          <w:b/>
          <w:bCs/>
        </w:rPr>
        <w:tab/>
      </w:r>
      <w:r w:rsidRPr="00160CE2">
        <w:rPr>
          <w:rFonts w:ascii="Century Gothic" w:eastAsiaTheme="minorHAnsi" w:hAnsi="Century Gothic" w:cstheme="minorBidi"/>
        </w:rPr>
        <w:t>la Disposición Transitoria Décima Cuarta del COOTAD, señala: “(…) Excepcionalmente en los casos de asentamientos de hecho y consolidados declarados de interés social, en que no se ha previsto el porcentaje de áreas verdes y comunales establecidas en la ley, serán exoneradas de este porcentaje.”;</w:t>
      </w:r>
    </w:p>
    <w:p w14:paraId="5B623532" w14:textId="77777777" w:rsidR="0072385B" w:rsidRPr="00160CE2" w:rsidRDefault="0072385B" w:rsidP="000A6D5B">
      <w:pPr>
        <w:pStyle w:val="Sinespaciado"/>
        <w:ind w:left="705" w:hanging="705"/>
        <w:jc w:val="both"/>
        <w:rPr>
          <w:rFonts w:ascii="Century Gothic" w:hAnsi="Century Gothic"/>
          <w:i/>
        </w:rPr>
      </w:pPr>
      <w:r w:rsidRPr="00160CE2">
        <w:rPr>
          <w:rFonts w:ascii="Century Gothic" w:hAnsi="Century Gothic"/>
          <w:b/>
        </w:rPr>
        <w:t>Que</w:t>
      </w:r>
      <w:r w:rsidRPr="00160CE2">
        <w:rPr>
          <w:rFonts w:ascii="Century Gothic" w:hAnsi="Century Gothic"/>
          <w:b/>
          <w:i/>
        </w:rPr>
        <w:t>,</w:t>
      </w:r>
      <w:r w:rsidRPr="00160CE2">
        <w:rPr>
          <w:rFonts w:ascii="Century Gothic" w:hAnsi="Century Gothic"/>
        </w:rPr>
        <w:t xml:space="preserve"> </w:t>
      </w:r>
      <w:r w:rsidRPr="00160CE2">
        <w:rPr>
          <w:rFonts w:ascii="Century Gothic" w:hAnsi="Century Gothic"/>
        </w:rPr>
        <w:tab/>
        <w:t>de conformidad a la Ley Orgánica de Tierras Rurales y Territorios Ancestrales, que, dentro de las Disposiciones Reformatorias, Primera, se reforma el Art. 424 del COOTAD, sobre el porcentaje de área verde, comunal y vías, en su último párrafo manifiesta que</w:t>
      </w:r>
      <w:r w:rsidRPr="00160CE2">
        <w:rPr>
          <w:rFonts w:ascii="Century Gothic" w:hAnsi="Century Gothic"/>
          <w:i/>
        </w:rPr>
        <w:t xml:space="preserve"> “…se exceptúan de esta entrega, las tierras rurales que se dividan con fines de partición hereditaria, donación o ventas…”; </w:t>
      </w:r>
    </w:p>
    <w:p w14:paraId="619F9E06" w14:textId="77777777" w:rsidR="0072385B" w:rsidRPr="00160CE2" w:rsidRDefault="0072385B" w:rsidP="000A6D5B">
      <w:pPr>
        <w:pStyle w:val="Sinespaciado"/>
        <w:ind w:left="705" w:hanging="705"/>
        <w:jc w:val="both"/>
        <w:rPr>
          <w:rFonts w:ascii="Century Gothic" w:hAnsi="Century Gothic"/>
          <w:i/>
        </w:rPr>
      </w:pPr>
    </w:p>
    <w:p w14:paraId="33C8D34B" w14:textId="4033F7CC" w:rsidR="0072385B" w:rsidRPr="00160CE2" w:rsidRDefault="0072385B" w:rsidP="000A6D5B">
      <w:pPr>
        <w:pStyle w:val="Sinespaciado"/>
        <w:spacing w:after="240" w:line="276" w:lineRule="auto"/>
        <w:ind w:left="709" w:hanging="709"/>
        <w:jc w:val="both"/>
        <w:rPr>
          <w:rFonts w:ascii="Century Gothic" w:hAnsi="Century Gothic"/>
        </w:rPr>
      </w:pPr>
      <w:r w:rsidRPr="00160CE2">
        <w:rPr>
          <w:rFonts w:ascii="Century Gothic" w:hAnsi="Century Gothic"/>
          <w:b/>
          <w:bCs/>
        </w:rPr>
        <w:t>Que,</w:t>
      </w:r>
      <w:r w:rsidRPr="00160CE2">
        <w:rPr>
          <w:rFonts w:ascii="Century Gothic" w:hAnsi="Century Gothic"/>
          <w:b/>
          <w:bCs/>
        </w:rPr>
        <w:tab/>
      </w:r>
      <w:r w:rsidRPr="00160CE2">
        <w:rPr>
          <w:rFonts w:ascii="Century Gothic" w:hAnsi="Century Gothic"/>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FBDBEE6" w14:textId="38B4E91F" w:rsidR="002931C0" w:rsidRPr="00160CE2" w:rsidRDefault="002931C0"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ab/>
        <w:t xml:space="preserve">el </w:t>
      </w:r>
      <w:r w:rsidR="00B16BBC" w:rsidRPr="00160CE2">
        <w:rPr>
          <w:rFonts w:ascii="Century Gothic" w:hAnsi="Century Gothic"/>
        </w:rPr>
        <w:t xml:space="preserve">artículo 2, número 1 </w:t>
      </w:r>
      <w:r w:rsidRPr="00160CE2">
        <w:rPr>
          <w:rFonts w:ascii="Century Gothic" w:hAnsi="Century Gothic"/>
        </w:rPr>
        <w:t>de la Ley de Régimen para el Distrito Metropolitano de Quito establece que el Municipio del Distrito Metropolitano de Quito</w:t>
      </w:r>
      <w:r w:rsidR="00B16BBC" w:rsidRPr="00160CE2">
        <w:t xml:space="preserve"> “</w:t>
      </w:r>
      <w:r w:rsidR="00B16BBC" w:rsidRPr="00160CE2">
        <w:rPr>
          <w:rFonts w:ascii="Century Gothic" w:hAnsi="Century Gothic"/>
        </w:rPr>
        <w:t>Regulará el uso y la adecuada ocupación del suelo y ejercerá control sobre el mismo con competencia exclusiva y privativa (…)”</w:t>
      </w:r>
      <w:r w:rsidRPr="00160CE2">
        <w:rPr>
          <w:rFonts w:ascii="Century Gothic" w:hAnsi="Century Gothic"/>
        </w:rPr>
        <w:t xml:space="preserve">; </w:t>
      </w:r>
    </w:p>
    <w:p w14:paraId="4D252F12" w14:textId="29396946" w:rsidR="002931C0" w:rsidRPr="00160CE2" w:rsidRDefault="002931C0"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ab/>
      </w:r>
      <w:r w:rsidR="00B16BBC" w:rsidRPr="00160CE2">
        <w:rPr>
          <w:rFonts w:ascii="Century Gothic" w:hAnsi="Century Gothic"/>
        </w:rPr>
        <w:t xml:space="preserve">el </w:t>
      </w:r>
      <w:r w:rsidRPr="00160CE2">
        <w:rPr>
          <w:rFonts w:ascii="Century Gothic" w:hAnsi="Century Gothic"/>
        </w:rPr>
        <w:t>artículo 8</w:t>
      </w:r>
      <w:r w:rsidR="00B16BBC" w:rsidRPr="00160CE2">
        <w:rPr>
          <w:rFonts w:ascii="Century Gothic" w:hAnsi="Century Gothic"/>
        </w:rPr>
        <w:t>, número 1</w:t>
      </w:r>
      <w:r w:rsidRPr="00160CE2">
        <w:rPr>
          <w:rFonts w:ascii="Century Gothic" w:hAnsi="Century Gothic"/>
        </w:rPr>
        <w:t xml:space="preserve"> </w:t>
      </w:r>
      <w:r w:rsidR="00B16BBC" w:rsidRPr="00160CE2">
        <w:rPr>
          <w:rFonts w:ascii="Century Gothic" w:hAnsi="Century Gothic"/>
        </w:rPr>
        <w:t>ibidem</w:t>
      </w:r>
      <w:r w:rsidRPr="00160CE2">
        <w:rPr>
          <w:rFonts w:ascii="Century Gothic" w:hAnsi="Century Gothic"/>
        </w:rPr>
        <w:t xml:space="preserve">, establece que le corresponde </w:t>
      </w:r>
      <w:r w:rsidR="00B16BBC" w:rsidRPr="00160CE2">
        <w:rPr>
          <w:rFonts w:ascii="Century Gothic" w:hAnsi="Century Gothic"/>
        </w:rPr>
        <w:t xml:space="preserve">especialmente </w:t>
      </w:r>
      <w:r w:rsidRPr="00160CE2">
        <w:rPr>
          <w:rFonts w:ascii="Century Gothic" w:hAnsi="Century Gothic"/>
        </w:rPr>
        <w:t xml:space="preserve">al Concejo Metropolitano </w:t>
      </w:r>
      <w:r w:rsidR="00B16BBC" w:rsidRPr="00160CE2">
        <w:rPr>
          <w:rFonts w:ascii="Century Gothic" w:hAnsi="Century Gothic"/>
        </w:rPr>
        <w:t>el “Decidir, mediante Ordenanza, sobre los asuntos de interés general, relativos al desarrollo integral y a la ordenación urbanística del Distrito (…)”;</w:t>
      </w:r>
    </w:p>
    <w:p w14:paraId="1A8872AE" w14:textId="7FA4454A" w:rsidR="0072385B" w:rsidRPr="00160CE2" w:rsidRDefault="0072385B" w:rsidP="004C6F79">
      <w:pPr>
        <w:ind w:left="708" w:hanging="708"/>
        <w:jc w:val="both"/>
        <w:rPr>
          <w:rFonts w:ascii="Century Gothic" w:hAnsi="Century Gothic"/>
        </w:rPr>
      </w:pPr>
    </w:p>
    <w:p w14:paraId="7EA47711" w14:textId="53C60B47" w:rsidR="0072385B" w:rsidRPr="00160CE2" w:rsidRDefault="0072385B" w:rsidP="0072385B">
      <w:pPr>
        <w:pStyle w:val="Sinespaciado"/>
        <w:spacing w:after="240" w:line="276" w:lineRule="auto"/>
        <w:ind w:left="709" w:hanging="709"/>
        <w:jc w:val="both"/>
        <w:rPr>
          <w:rFonts w:ascii="Century Gothic" w:eastAsiaTheme="minorHAnsi" w:hAnsi="Century Gothic" w:cstheme="minorBidi"/>
        </w:rPr>
      </w:pPr>
      <w:r w:rsidRPr="00160CE2">
        <w:rPr>
          <w:rFonts w:ascii="Century Gothic" w:hAnsi="Century Gothic"/>
          <w:b/>
          <w:bCs/>
        </w:rPr>
        <w:lastRenderedPageBreak/>
        <w:t xml:space="preserve">Que, </w:t>
      </w:r>
      <w:r w:rsidRPr="00160CE2">
        <w:rPr>
          <w:rFonts w:ascii="Century Gothic" w:hAnsi="Century Gothic"/>
          <w:b/>
          <w:bCs/>
        </w:rPr>
        <w:tab/>
      </w:r>
      <w:r w:rsidRPr="00160CE2">
        <w:rPr>
          <w:rFonts w:ascii="Century Gothic" w:eastAsiaTheme="minorHAnsi" w:hAnsi="Century Gothic" w:cstheme="minorBidi"/>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0678B6AC" w14:textId="77777777" w:rsidR="0072385B" w:rsidRPr="00160CE2" w:rsidRDefault="0072385B" w:rsidP="0072385B">
      <w:pPr>
        <w:pStyle w:val="Textoindependienteprimerasangra2"/>
        <w:ind w:left="709" w:hanging="709"/>
        <w:jc w:val="both"/>
        <w:rPr>
          <w:rFonts w:ascii="Century Gothic" w:eastAsiaTheme="minorHAnsi" w:hAnsi="Century Gothic" w:cstheme="minorBidi"/>
          <w:sz w:val="22"/>
          <w:szCs w:val="22"/>
          <w:lang w:val="es-EC" w:eastAsia="en-US"/>
        </w:rPr>
      </w:pPr>
      <w:r w:rsidRPr="00160CE2">
        <w:rPr>
          <w:rFonts w:ascii="Century Gothic" w:hAnsi="Century Gothic"/>
          <w:b/>
          <w:bCs/>
          <w:sz w:val="22"/>
          <w:szCs w:val="22"/>
        </w:rPr>
        <w:t xml:space="preserve">Que, </w:t>
      </w:r>
      <w:r w:rsidRPr="00160CE2">
        <w:rPr>
          <w:rFonts w:ascii="Century Gothic" w:hAnsi="Century Gothic"/>
          <w:b/>
          <w:bCs/>
          <w:sz w:val="22"/>
          <w:szCs w:val="22"/>
        </w:rPr>
        <w:tab/>
      </w:r>
      <w:r w:rsidRPr="00160CE2">
        <w:rPr>
          <w:rFonts w:ascii="Century Gothic" w:eastAsiaTheme="minorHAnsi" w:hAnsi="Century Gothic" w:cstheme="minorBidi"/>
          <w:sz w:val="22"/>
          <w:szCs w:val="22"/>
          <w:lang w:val="es-EC" w:eastAsia="en-U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C031E0B" w14:textId="77777777" w:rsidR="0072385B" w:rsidRPr="00160CE2" w:rsidRDefault="0072385B" w:rsidP="004C6F79">
      <w:pPr>
        <w:ind w:left="708" w:hanging="708"/>
        <w:jc w:val="both"/>
        <w:rPr>
          <w:rFonts w:ascii="Century Gothic" w:hAnsi="Century Gothic"/>
          <w:lang w:val="es-ES"/>
        </w:rPr>
      </w:pPr>
    </w:p>
    <w:p w14:paraId="5800604B" w14:textId="71769521" w:rsidR="002931C0" w:rsidRPr="00160CE2" w:rsidRDefault="002931C0" w:rsidP="004C6F79">
      <w:pPr>
        <w:ind w:left="708" w:hanging="708"/>
        <w:jc w:val="both"/>
        <w:rPr>
          <w:rFonts w:ascii="Century Gothic" w:hAnsi="Century Gothic"/>
        </w:rPr>
      </w:pPr>
      <w:r w:rsidRPr="00160CE2">
        <w:rPr>
          <w:rFonts w:ascii="Century Gothic" w:hAnsi="Century Gothic"/>
          <w:b/>
          <w:bCs/>
        </w:rPr>
        <w:t>Que,</w:t>
      </w:r>
      <w:r w:rsidR="00EB375A" w:rsidRPr="00160CE2">
        <w:rPr>
          <w:rFonts w:ascii="Century Gothic" w:hAnsi="Century Gothic"/>
        </w:rPr>
        <w:t xml:space="preserve"> el artículo IV.7.27 del Código Municipal para el Distrito Metropolitano de Quito establece como objeto del Título II del libro IV: “establecer los procesos y procedimientos para la regularización integral de los asentamientos humanos de hecho y consolidados y precarios, así como su declaratoria de interés social para aquellos asentamientos que cumplen las condiciones socioeconómicas, legales y físicas establecidas para este efecto (…)”</w:t>
      </w:r>
      <w:r w:rsidRPr="00160CE2">
        <w:rPr>
          <w:rFonts w:ascii="Century Gothic" w:hAnsi="Century Gothic"/>
        </w:rPr>
        <w:t>;</w:t>
      </w:r>
    </w:p>
    <w:p w14:paraId="330B4AAB" w14:textId="77777777" w:rsidR="00160CE2" w:rsidRPr="00160CE2" w:rsidRDefault="00160CE2" w:rsidP="000A6D5B">
      <w:pPr>
        <w:pStyle w:val="Textoindependienteprimerasangra2"/>
        <w:ind w:left="709" w:hanging="709"/>
        <w:jc w:val="both"/>
        <w:rPr>
          <w:rFonts w:ascii="Century Gothic" w:hAnsi="Century Gothic"/>
          <w:b/>
          <w:bCs/>
          <w:sz w:val="22"/>
          <w:szCs w:val="22"/>
        </w:rPr>
      </w:pPr>
    </w:p>
    <w:p w14:paraId="0FBA32FF" w14:textId="40CDD258" w:rsidR="0072385B" w:rsidRPr="00160CE2" w:rsidRDefault="0072385B" w:rsidP="000A6D5B">
      <w:pPr>
        <w:pStyle w:val="Textoindependienteprimerasangra2"/>
        <w:ind w:left="709" w:hanging="709"/>
        <w:jc w:val="both"/>
        <w:rPr>
          <w:rFonts w:ascii="Century Gothic" w:hAnsi="Century Gothic"/>
          <w:bCs/>
          <w:sz w:val="22"/>
          <w:szCs w:val="22"/>
        </w:rPr>
      </w:pPr>
      <w:r w:rsidRPr="00160CE2">
        <w:rPr>
          <w:rFonts w:ascii="Century Gothic" w:hAnsi="Century Gothic"/>
          <w:b/>
          <w:bCs/>
          <w:sz w:val="22"/>
          <w:szCs w:val="22"/>
        </w:rPr>
        <w:t>Que,</w:t>
      </w:r>
      <w:r w:rsidRPr="00160CE2">
        <w:rPr>
          <w:rFonts w:ascii="Century Gothic" w:hAnsi="Century Gothic"/>
          <w:b/>
          <w:bCs/>
          <w:sz w:val="22"/>
          <w:szCs w:val="22"/>
        </w:rPr>
        <w:tab/>
      </w:r>
      <w:r w:rsidRPr="00160CE2">
        <w:rPr>
          <w:rFonts w:ascii="Century Gothic" w:hAnsi="Century Gothic"/>
          <w:sz w:val="22"/>
          <w:szCs w:val="22"/>
        </w:rPr>
        <w:t>el</w:t>
      </w:r>
      <w:r w:rsidRPr="00160CE2">
        <w:rPr>
          <w:rFonts w:ascii="Century Gothic" w:hAnsi="Century Gothic"/>
          <w:bCs/>
          <w:sz w:val="22"/>
          <w:szCs w:val="22"/>
        </w:rPr>
        <w:t xml:space="preserve"> Art. IV.7.31, último párrafo de la Ordenanza No. 001 de 29 de marzo de 2019, establece que con la declaratoria de interés social del asentamiento humano de hecho y consolidado dará lugar a la exoneración referentes a la contribución de áreas verdes;</w:t>
      </w:r>
    </w:p>
    <w:p w14:paraId="3DE1850E" w14:textId="77777777" w:rsidR="0072385B" w:rsidRPr="00160CE2" w:rsidRDefault="0072385B" w:rsidP="004C6F79">
      <w:pPr>
        <w:ind w:left="708"/>
        <w:jc w:val="both"/>
        <w:rPr>
          <w:rFonts w:ascii="Century Gothic" w:hAnsi="Century Gothic"/>
          <w:lang w:val="es-ES"/>
        </w:rPr>
      </w:pPr>
    </w:p>
    <w:p w14:paraId="3E2EDCF9" w14:textId="26B526C1" w:rsidR="002931C0" w:rsidRPr="00160CE2" w:rsidRDefault="002931C0" w:rsidP="004C6F79">
      <w:pPr>
        <w:ind w:left="708" w:hanging="708"/>
        <w:jc w:val="both"/>
        <w:rPr>
          <w:rFonts w:ascii="Century Gothic" w:hAnsi="Century Gothic"/>
        </w:rPr>
      </w:pPr>
      <w:r w:rsidRPr="00160CE2">
        <w:rPr>
          <w:rFonts w:ascii="Century Gothic" w:hAnsi="Century Gothic"/>
          <w:b/>
          <w:bCs/>
        </w:rPr>
        <w:t>Que,</w:t>
      </w:r>
      <w:r w:rsidR="00581EC0" w:rsidRPr="00160CE2">
        <w:rPr>
          <w:rFonts w:ascii="Century Gothic" w:hAnsi="Century Gothic"/>
          <w:b/>
          <w:bCs/>
        </w:rPr>
        <w:t xml:space="preserve"> </w:t>
      </w:r>
      <w:r w:rsidRPr="00160CE2">
        <w:rPr>
          <w:rFonts w:ascii="Century Gothic" w:hAnsi="Century Gothic"/>
        </w:rPr>
        <w:t xml:space="preserve">el artículo IV.7.43 </w:t>
      </w:r>
      <w:r w:rsidR="00581EC0" w:rsidRPr="00160CE2">
        <w:rPr>
          <w:rFonts w:ascii="Century Gothic" w:hAnsi="Century Gothic"/>
        </w:rPr>
        <w:t>ibidem, sobre el ordenamiento territorial establece que “</w:t>
      </w:r>
      <w:r w:rsidRPr="00160CE2">
        <w:rPr>
          <w:rFonts w:ascii="Century Gothic" w:hAnsi="Century Gothic"/>
        </w:rPr>
        <w:t>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0E9C8F4F" w14:textId="15EEEDA6" w:rsidR="002810AC" w:rsidRPr="00160CE2" w:rsidRDefault="002810AC" w:rsidP="004C6F79">
      <w:pPr>
        <w:ind w:left="708" w:hanging="708"/>
        <w:jc w:val="both"/>
        <w:rPr>
          <w:rFonts w:ascii="Century Gothic" w:hAnsi="Century Gothic"/>
        </w:rPr>
      </w:pPr>
      <w:r w:rsidRPr="00160CE2">
        <w:rPr>
          <w:rFonts w:ascii="Century Gothic" w:hAnsi="Century Gothic"/>
          <w:b/>
          <w:bCs/>
        </w:rPr>
        <w:t xml:space="preserve">Que, </w:t>
      </w:r>
      <w:r w:rsidRPr="00160CE2">
        <w:rPr>
          <w:rFonts w:ascii="Century Gothic" w:hAnsi="Century Gothic"/>
        </w:rPr>
        <w:t>el artículo IV.7.45 ídem, en su parte pertinente de la excepción de las áreas verdes dispone que “(…) El faltante de áreas verdes será compensado pecuniariamente con excepción de los asentamientos declarados de interés social (...)”;</w:t>
      </w:r>
    </w:p>
    <w:p w14:paraId="0A1FA5BE" w14:textId="32C2A837" w:rsidR="002810AC" w:rsidRPr="00160CE2" w:rsidRDefault="002810AC"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 xml:space="preserve"> el artículo IV.7.65 ídem, en su parte pertinente sobre la regularización de barrios ubicados en parroquias rurales dispone: “(…) En lo referente a la contribución de las áreas verdes y de equipamiento público de </w:t>
      </w:r>
      <w:r w:rsidRPr="00160CE2">
        <w:rPr>
          <w:rFonts w:ascii="Century Gothic" w:hAnsi="Century Gothic"/>
        </w:rPr>
        <w:lastRenderedPageBreak/>
        <w:t>asentamientos ubicados en áreas rurales, se exceptúan de esta entrega las tierras rurales que se dividan con fines de partición hereditaria, donación o venta, siempre y cuando no se destinen para urbanización o lotización.”;</w:t>
      </w:r>
    </w:p>
    <w:p w14:paraId="70BC2669" w14:textId="1E7A08B6" w:rsidR="004C6F79" w:rsidRPr="00160CE2" w:rsidRDefault="004C6F79"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 xml:space="preserve"> la Ordenanza No. 001 de 29 de marzo de 2019, determina en su disposición derogatoria lo siguiente: “(…) Deróguense todas las Ordenanzas que se detallan en el cuadro adjunto (Anexo Derogatorias), con excepción de sus disposiciones de carácter transitorio hasta la verificación del efectivo cumplimiento de las mismas;(…)”;</w:t>
      </w:r>
    </w:p>
    <w:p w14:paraId="546286A7" w14:textId="75C84132" w:rsidR="004C6F79" w:rsidRPr="00160CE2" w:rsidRDefault="004C6F79"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 xml:space="preserve"> 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p>
    <w:p w14:paraId="7A407BC2" w14:textId="2D6AD316" w:rsidR="002931C0" w:rsidRPr="00160CE2" w:rsidRDefault="002931C0"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 xml:space="preserve"> mediante Resolución N</w:t>
      </w:r>
      <w:r w:rsidR="00ED13B7" w:rsidRPr="00160CE2">
        <w:rPr>
          <w:rFonts w:ascii="Century Gothic" w:hAnsi="Century Gothic"/>
        </w:rPr>
        <w:t>r</w:t>
      </w:r>
      <w:r w:rsidRPr="00160CE2">
        <w:rPr>
          <w:rFonts w:ascii="Century Gothic" w:hAnsi="Century Gothic"/>
        </w:rPr>
        <w:t>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160CE2">
        <w:rPr>
          <w:rFonts w:ascii="Century Gothic" w:hAnsi="Century Gothic"/>
        </w:rPr>
        <w:t>rectificatorios</w:t>
      </w:r>
      <w:proofErr w:type="spellEnd"/>
      <w:r w:rsidRPr="00160CE2">
        <w:rPr>
          <w:rFonts w:ascii="Century Gothic" w:hAnsi="Century Gothic"/>
        </w:rPr>
        <w:t xml:space="preserve"> de acuerdo a los plazos señalados en la norma. </w:t>
      </w:r>
    </w:p>
    <w:p w14:paraId="7630BE38" w14:textId="66EF9C83" w:rsidR="004359F1" w:rsidRPr="00160CE2" w:rsidRDefault="004359F1" w:rsidP="004C6F79">
      <w:pPr>
        <w:ind w:left="708" w:hanging="708"/>
        <w:jc w:val="both"/>
        <w:rPr>
          <w:rFonts w:ascii="Century Gothic" w:hAnsi="Century Gothic"/>
        </w:rPr>
      </w:pPr>
      <w:r w:rsidRPr="00160CE2">
        <w:rPr>
          <w:rFonts w:ascii="Century Gothic" w:hAnsi="Century Gothic"/>
          <w:b/>
          <w:bCs/>
        </w:rPr>
        <w:t xml:space="preserve">Que, </w:t>
      </w:r>
      <w:r w:rsidRPr="00160CE2">
        <w:rPr>
          <w:rFonts w:ascii="Century Gothic" w:hAnsi="Century Gothic"/>
        </w:rPr>
        <w:t>mediante Resolución No. 011-COT-2020, la Comisión de Ordenamiento Territorial, en la continuación de la sesión No. 018 - extraordinaria</w:t>
      </w:r>
      <w:r w:rsidRPr="00160CE2">
        <w:rPr>
          <w:rFonts w:ascii="Century Gothic" w:hAnsi="Century Gothic"/>
          <w:b/>
          <w:bCs/>
        </w:rPr>
        <w:t xml:space="preserve"> </w:t>
      </w:r>
      <w:r w:rsidRPr="00160CE2">
        <w:rPr>
          <w:rFonts w:ascii="Century Gothic" w:hAnsi="Century Gothic"/>
        </w:rPr>
        <w:t>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 Resolvió: 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w:t>
      </w:r>
    </w:p>
    <w:p w14:paraId="11542F73" w14:textId="5DC3597A" w:rsidR="004359F1" w:rsidRPr="00160CE2" w:rsidRDefault="004359F1" w:rsidP="004C6F79">
      <w:pPr>
        <w:ind w:left="708" w:hanging="708"/>
        <w:jc w:val="both"/>
        <w:rPr>
          <w:rFonts w:ascii="Century Gothic" w:hAnsi="Century Gothic"/>
        </w:rPr>
      </w:pPr>
      <w:r w:rsidRPr="00160CE2">
        <w:rPr>
          <w:rFonts w:ascii="Century Gothic" w:hAnsi="Century Gothic"/>
          <w:b/>
          <w:bCs/>
        </w:rPr>
        <w:t xml:space="preserve">Que, </w:t>
      </w:r>
      <w:r w:rsidRPr="00160CE2">
        <w:rPr>
          <w:rFonts w:ascii="Century Gothic" w:hAnsi="Century Gothic"/>
        </w:rPr>
        <w:t xml:space="preserve">la Mesa Institucional de Trabajo, reunida el 17 de diciembre del 2014 en la Administración Zona Los Chillos, integrada por los siguientes órganos y dependencias: Lic. Tomas Guerrero Rousseau, Administración Zona Los Chillos; Dr. Milton Espinosa, Director de Asesoría Jurídica Zona Los Chillos, Arq. Vinicio Robalino Hernández, Director de Gestión de Territorio, Zona </w:t>
      </w:r>
      <w:r w:rsidRPr="00160CE2">
        <w:rPr>
          <w:rFonts w:ascii="Century Gothic" w:hAnsi="Century Gothic"/>
        </w:rPr>
        <w:lastRenderedPageBreak/>
        <w:t xml:space="preserve">Los Chillos, sr. Miguel </w:t>
      </w:r>
      <w:proofErr w:type="spellStart"/>
      <w:r w:rsidRPr="00160CE2">
        <w:rPr>
          <w:rFonts w:ascii="Century Gothic" w:hAnsi="Century Gothic"/>
        </w:rPr>
        <w:t>Bosquez</w:t>
      </w:r>
      <w:proofErr w:type="spellEnd"/>
      <w:r w:rsidRPr="00160CE2">
        <w:rPr>
          <w:rFonts w:ascii="Century Gothic" w:hAnsi="Century Gothic"/>
        </w:rPr>
        <w:t xml:space="preserve">, Delegado de la Dirección Metropolitana de Catastro Arq. </w:t>
      </w:r>
      <w:proofErr w:type="spellStart"/>
      <w:r w:rsidRPr="00160CE2">
        <w:rPr>
          <w:rFonts w:ascii="Century Gothic" w:hAnsi="Century Gothic"/>
        </w:rPr>
        <w:t>Ivan</w:t>
      </w:r>
      <w:proofErr w:type="spellEnd"/>
      <w:r w:rsidRPr="00160CE2">
        <w:rPr>
          <w:rFonts w:ascii="Century Gothic" w:hAnsi="Century Gothic"/>
        </w:rPr>
        <w:t xml:space="preserve"> </w:t>
      </w:r>
      <w:proofErr w:type="spellStart"/>
      <w:r w:rsidRPr="00160CE2">
        <w:rPr>
          <w:rFonts w:ascii="Century Gothic" w:hAnsi="Century Gothic"/>
        </w:rPr>
        <w:t>Martinez</w:t>
      </w:r>
      <w:proofErr w:type="spellEnd"/>
      <w:r w:rsidRPr="00160CE2">
        <w:rPr>
          <w:rFonts w:ascii="Century Gothic" w:hAnsi="Century Gothic"/>
        </w:rPr>
        <w:t xml:space="preserve">; Delegado de la Secretaría de Territorio, Hábitat y Vivienda; Lic. María </w:t>
      </w:r>
      <w:proofErr w:type="spellStart"/>
      <w:r w:rsidRPr="00160CE2">
        <w:rPr>
          <w:rFonts w:ascii="Century Gothic" w:hAnsi="Century Gothic"/>
        </w:rPr>
        <w:t>Jose</w:t>
      </w:r>
      <w:proofErr w:type="spellEnd"/>
      <w:r w:rsidRPr="00160CE2">
        <w:rPr>
          <w:rFonts w:ascii="Century Gothic" w:hAnsi="Century Gothic"/>
        </w:rPr>
        <w:t xml:space="preserve"> Cruz, delegada de la Unidad Especial Regula Tu Barrio, y responsable socio organizativa, Ab. Luis Armas Responsable Legal de la Unidad Especial Regula Tu Barrio, y Arq. Edwin Semblantes Responsable Técnico de la Unidad Especial Regula Tu Barrio, emitieron el informe Nº 010- ZCH-UERB-OC-SOLT-2014, de 17 de diciembre de 2014, para la aprobación del Asentamiento Humano de Hecho y Consolidado denominado “Comité Pro Mejoras del Barrio Ontaneda Alta” Segunda Etapa, a favor de sus copropietarios.</w:t>
      </w:r>
    </w:p>
    <w:p w14:paraId="2A4C8420" w14:textId="210A2D16" w:rsidR="004359F1" w:rsidRPr="00160CE2" w:rsidRDefault="004359F1" w:rsidP="004C6F79">
      <w:pPr>
        <w:ind w:left="708" w:hanging="708"/>
        <w:jc w:val="both"/>
        <w:rPr>
          <w:rFonts w:ascii="Century Gothic" w:hAnsi="Century Gothic"/>
        </w:rPr>
      </w:pPr>
      <w:r w:rsidRPr="00160CE2">
        <w:rPr>
          <w:rFonts w:ascii="Century Gothic" w:hAnsi="Century Gothic"/>
          <w:b/>
          <w:bCs/>
        </w:rPr>
        <w:t xml:space="preserve">Que, </w:t>
      </w:r>
      <w:r w:rsidRPr="00160CE2">
        <w:rPr>
          <w:rFonts w:ascii="Century Gothic" w:hAnsi="Century Gothic"/>
        </w:rPr>
        <w:t>el informe de la Dirección Metropolitana de Gestión de riesgos No. 182-AT-DMGR-2018, fecha 13 de julio del 2018, determina: Riesgo por movimientos en masa: el AHHYC “Ontaneda Alta II Etapa” en general presenta un Riesgo Moderado Mitigable, para todos los lotes.</w:t>
      </w:r>
    </w:p>
    <w:p w14:paraId="1E707026" w14:textId="720559CA" w:rsidR="004359F1" w:rsidRPr="00160CE2" w:rsidRDefault="004359F1" w:rsidP="004C6F79">
      <w:pPr>
        <w:ind w:left="708" w:hanging="708"/>
        <w:jc w:val="both"/>
        <w:rPr>
          <w:rFonts w:ascii="Century Gothic" w:hAnsi="Century Gothic"/>
        </w:rPr>
      </w:pPr>
      <w:r w:rsidRPr="00160CE2">
        <w:rPr>
          <w:rFonts w:ascii="Century Gothic" w:hAnsi="Century Gothic"/>
          <w:b/>
          <w:bCs/>
        </w:rPr>
        <w:t xml:space="preserve">Que, </w:t>
      </w:r>
      <w:r w:rsidRPr="00160CE2">
        <w:rPr>
          <w:rFonts w:ascii="Century Gothic" w:hAnsi="Century Gothic"/>
        </w:rPr>
        <w:t>mediante Oficio Nro. GADDMQ-SGSG-DMGR-2020-0208-OF, de fecha 31 de marzo de 2020, emitido por el Director Metropolitano de Gestión de Riesgos, de la Secretaría General de Seguridad y Gobernabilidad se ratifica en la calificación del nivel del riesgo frente a movimientos en masa, indicando que el AHHYC “Ontaneda Alta II Etapa” presenta Riesgo Moderado Mitigable para todos los lotes.</w:t>
      </w:r>
    </w:p>
    <w:p w14:paraId="52528A7A" w14:textId="73CE6240" w:rsidR="004359F1" w:rsidRPr="00160CE2" w:rsidRDefault="004359F1" w:rsidP="004C6F79">
      <w:pPr>
        <w:ind w:left="708" w:hanging="708"/>
        <w:jc w:val="both"/>
        <w:rPr>
          <w:rFonts w:ascii="Century Gothic" w:hAnsi="Century Gothic"/>
        </w:rPr>
      </w:pPr>
      <w:r w:rsidRPr="00160CE2">
        <w:rPr>
          <w:rFonts w:ascii="Century Gothic" w:hAnsi="Century Gothic"/>
          <w:b/>
          <w:bCs/>
        </w:rPr>
        <w:t xml:space="preserve">Que, </w:t>
      </w:r>
      <w:r w:rsidRPr="00160CE2">
        <w:rPr>
          <w:rFonts w:ascii="Century Gothic" w:hAnsi="Century Gothic"/>
        </w:rPr>
        <w:t>mediante Oficio Nro. STHV-DMPPS-2020-0611-O, de fecha 15 de diciembre de 2020, emitido por el director metropolitano de Políticas y Planeamiento del Suelo, manifiesta “Luego de la reunión mantenida el jueves 29 de octubre de 2020, mediante el uso de la plataforma zoom, se lleva a cabo una mesa de trabajo virtual entre el equipo de UERB Oficina Central, en la cual se trató principalmente lo relativo al Informe No. IC-O-2017-279 de la Comisión de Uso de Suelo del año 2017. (…) Con los antecedentes y la información mencionada constante en el presente documento, la Secretaría de Territorio Hábitat y Vivienda considera factible el cambio de uso de suelo y forma de ocupación y edificabilidad (zonificación) del Asentamiento Humano de Hecho y Consolidado “Comité pro mejoras Ontaneda Alta- Segunda Etapa”, con la excepción de la clasificación de suelo que continúa con la norma vigente de suelo rural; a fin de que se continúe con el proceso de regularización correspondiente.</w:t>
      </w:r>
    </w:p>
    <w:p w14:paraId="4F9C2324" w14:textId="4B199C50" w:rsidR="004359F1" w:rsidRPr="00160CE2" w:rsidRDefault="004359F1" w:rsidP="004C6F79">
      <w:pPr>
        <w:ind w:left="708" w:hanging="708"/>
        <w:jc w:val="both"/>
        <w:rPr>
          <w:rFonts w:ascii="Century Gothic" w:hAnsi="Century Gothic"/>
          <w:b/>
          <w:bCs/>
        </w:rPr>
      </w:pPr>
      <w:r w:rsidRPr="00160CE2">
        <w:rPr>
          <w:rFonts w:ascii="Century Gothic" w:hAnsi="Century Gothic"/>
          <w:b/>
          <w:bCs/>
        </w:rPr>
        <w:t xml:space="preserve">Que, </w:t>
      </w:r>
      <w:r w:rsidRPr="00160CE2">
        <w:rPr>
          <w:rFonts w:ascii="Century Gothic" w:hAnsi="Century Gothic"/>
        </w:rPr>
        <w:t>mediante decisión de la Comisión de Ordenamiento Territorial en sesión Ordinaria No. 014, de 10 de enero de 2020, se solicita la elaboración de un alcance al Informe Técnico contenido en el Informe No. 010-UERB-OC-SOLT-2014, de 17 de diciembre de 2014, para que se determinen todos los lotes inferiores a la zonificación propuesta como lotes por excepción; y,</w:t>
      </w:r>
    </w:p>
    <w:p w14:paraId="7DF3B639" w14:textId="53C42718" w:rsidR="004359F1" w:rsidRPr="00160CE2" w:rsidRDefault="004359F1" w:rsidP="004C6F79">
      <w:pPr>
        <w:ind w:left="708" w:hanging="708"/>
        <w:jc w:val="both"/>
        <w:rPr>
          <w:rFonts w:ascii="Century Gothic" w:hAnsi="Century Gothic"/>
        </w:rPr>
      </w:pPr>
      <w:r w:rsidRPr="00160CE2">
        <w:rPr>
          <w:rFonts w:ascii="Century Gothic" w:hAnsi="Century Gothic"/>
          <w:b/>
          <w:bCs/>
        </w:rPr>
        <w:t>Que,</w:t>
      </w:r>
      <w:r w:rsidRPr="00160CE2">
        <w:rPr>
          <w:rFonts w:ascii="Century Gothic" w:hAnsi="Century Gothic"/>
        </w:rPr>
        <w:t xml:space="preserve"> mediante Informe Técnico s/n de fecha 06 de febrero de 2021, emitido por el Responsable Técnico de la UERB Oficina Central, se realiza un alcance del Informe Técnico contenido en el Informe No. 010-UERB-OC-SOLT-2014, de 17 de diciembre de 2014, conforme al Artículo IV.7.43 de la Ordenanza No. 001 de 29 de marzo de 2019, se determinan los lotes por excepción a </w:t>
      </w:r>
      <w:r w:rsidRPr="00160CE2">
        <w:rPr>
          <w:rFonts w:ascii="Century Gothic" w:hAnsi="Century Gothic"/>
        </w:rPr>
        <w:lastRenderedPageBreak/>
        <w:t>todos aquellos lotes que tengan una superficie inferior a la zonificación propuesta.</w:t>
      </w:r>
    </w:p>
    <w:p w14:paraId="5F29FC2D" w14:textId="78F8E73E" w:rsidR="002931C0" w:rsidRPr="00160CE2" w:rsidRDefault="002931C0" w:rsidP="002931C0">
      <w:pPr>
        <w:jc w:val="both"/>
        <w:rPr>
          <w:rFonts w:ascii="Century Gothic" w:hAnsi="Century Gothic"/>
        </w:rPr>
      </w:pPr>
      <w:r w:rsidRPr="00160CE2">
        <w:rPr>
          <w:rFonts w:ascii="Century Gothic" w:hAnsi="Century Gothic"/>
        </w:rPr>
        <w:t>En ejercicio de sus atribuciones legales constantes en los artículos 30, 31, 240 numerales 1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15CAAB58" w14:textId="021EF711" w:rsidR="002931C0" w:rsidRPr="00160CE2" w:rsidRDefault="002931C0" w:rsidP="00ED13B7">
      <w:pPr>
        <w:jc w:val="center"/>
        <w:rPr>
          <w:rFonts w:ascii="Century Gothic" w:hAnsi="Century Gothic"/>
          <w:b/>
          <w:bCs/>
        </w:rPr>
      </w:pPr>
      <w:r w:rsidRPr="00160CE2">
        <w:rPr>
          <w:rFonts w:ascii="Century Gothic" w:hAnsi="Century Gothic"/>
          <w:b/>
          <w:bCs/>
        </w:rPr>
        <w:t>EXPIDE LA SIGUIENTE:</w:t>
      </w:r>
    </w:p>
    <w:p w14:paraId="1DCFF2FE" w14:textId="7A8057C1" w:rsidR="002931C0" w:rsidRPr="00160CE2" w:rsidRDefault="00581EC0" w:rsidP="004359F1">
      <w:pPr>
        <w:pStyle w:val="Encabezado"/>
        <w:jc w:val="center"/>
        <w:rPr>
          <w:rFonts w:ascii="Century Gothic" w:hAnsi="Century Gothic"/>
          <w:b/>
          <w:bCs/>
        </w:rPr>
      </w:pPr>
      <w:r w:rsidRPr="00160CE2">
        <w:rPr>
          <w:rFonts w:ascii="Century Gothic" w:hAnsi="Century Gothic"/>
          <w:b/>
          <w:bCs/>
        </w:rPr>
        <w:t>ORDENANZA QUE APRUEBA EL PROCESO INTEGRAL DE REGULARIZACIÓN DEL ASENTAMIENTO HUMANO DE HECHO Y CONSOLIDADO DE INTERÉS SOCIAL DENOMINADO “COMITÉ PRO MEJORAS DEL BARRIO ONTANEDA ALTA</w:t>
      </w:r>
      <w:r w:rsidR="004C6F79" w:rsidRPr="00160CE2">
        <w:rPr>
          <w:rFonts w:ascii="Century Gothic" w:hAnsi="Century Gothic"/>
          <w:b/>
          <w:bCs/>
        </w:rPr>
        <w:t>”</w:t>
      </w:r>
      <w:r w:rsidRPr="00160CE2">
        <w:rPr>
          <w:rFonts w:ascii="Century Gothic" w:hAnsi="Century Gothic"/>
          <w:b/>
          <w:bCs/>
        </w:rPr>
        <w:t xml:space="preserve"> SEGUNDA ETAPA</w:t>
      </w:r>
      <w:r w:rsidR="0072385B" w:rsidRPr="00160CE2">
        <w:rPr>
          <w:rFonts w:ascii="Century Gothic" w:hAnsi="Century Gothic"/>
          <w:b/>
          <w:bCs/>
        </w:rPr>
        <w:t xml:space="preserve">, </w:t>
      </w:r>
      <w:r w:rsidR="0072385B" w:rsidRPr="00160CE2">
        <w:rPr>
          <w:rFonts w:ascii="Times New Roman" w:hAnsi="Times New Roman"/>
          <w:b/>
          <w:bCs/>
        </w:rPr>
        <w:t>A FAVOR DE SUS COPROPIETARIOS.</w:t>
      </w:r>
    </w:p>
    <w:p w14:paraId="4FBEECB7" w14:textId="77777777" w:rsidR="00ED13B7" w:rsidRPr="00160CE2" w:rsidRDefault="00ED13B7" w:rsidP="00ED13B7">
      <w:pPr>
        <w:pStyle w:val="Encabezado"/>
        <w:jc w:val="both"/>
        <w:rPr>
          <w:rFonts w:ascii="Century Gothic" w:hAnsi="Century Gothic"/>
          <w:b/>
          <w:bCs/>
        </w:rPr>
      </w:pPr>
    </w:p>
    <w:p w14:paraId="03167DEF" w14:textId="1B20A87B" w:rsidR="002931C0" w:rsidRPr="00160CE2" w:rsidRDefault="00933E9A" w:rsidP="002931C0">
      <w:pPr>
        <w:jc w:val="both"/>
        <w:rPr>
          <w:rFonts w:ascii="Century Gothic" w:hAnsi="Century Gothic"/>
        </w:rPr>
      </w:pPr>
      <w:r w:rsidRPr="00160CE2">
        <w:rPr>
          <w:rFonts w:ascii="Century Gothic" w:hAnsi="Century Gothic"/>
          <w:b/>
          <w:bCs/>
        </w:rPr>
        <w:t>Artículo</w:t>
      </w:r>
      <w:r w:rsidR="002931C0" w:rsidRPr="00160CE2">
        <w:rPr>
          <w:rFonts w:ascii="Century Gothic" w:hAnsi="Century Gothic"/>
          <w:b/>
          <w:bCs/>
        </w:rPr>
        <w:t xml:space="preserve"> 1. Objeto.</w:t>
      </w:r>
      <w:r w:rsidRPr="00160CE2">
        <w:rPr>
          <w:rFonts w:ascii="Century Gothic" w:hAnsi="Century Gothic"/>
          <w:b/>
          <w:bCs/>
        </w:rPr>
        <w:t xml:space="preserve"> </w:t>
      </w:r>
      <w:r w:rsidR="002931C0" w:rsidRPr="00160CE2">
        <w:rPr>
          <w:rFonts w:ascii="Century Gothic" w:hAnsi="Century Gothic"/>
          <w:b/>
          <w:bCs/>
        </w:rPr>
        <w:t>-</w:t>
      </w:r>
      <w:r w:rsidR="002931C0" w:rsidRPr="00160CE2">
        <w:rPr>
          <w:rFonts w:ascii="Century Gothic" w:hAnsi="Century Gothic"/>
        </w:rPr>
        <w:t xml:space="preserve"> La presente ordenanza tiene por objeto reconocer y aprobar el fraccionamiento de los predios </w:t>
      </w:r>
      <w:r w:rsidR="004359F1" w:rsidRPr="00160CE2">
        <w:rPr>
          <w:rFonts w:ascii="Century Gothic" w:hAnsi="Century Gothic"/>
        </w:rPr>
        <w:t>5126592 y 5559638</w:t>
      </w:r>
      <w:r w:rsidR="002931C0" w:rsidRPr="00160CE2">
        <w:rPr>
          <w:rFonts w:ascii="Century Gothic" w:hAnsi="Century Gothic"/>
        </w:rPr>
        <w:t xml:space="preserve">, </w:t>
      </w:r>
      <w:r w:rsidR="004359F1" w:rsidRPr="00160CE2">
        <w:rPr>
          <w:rFonts w:ascii="Century Gothic" w:hAnsi="Century Gothic"/>
        </w:rPr>
        <w:t xml:space="preserve">sus vías, escalinatas, modificar y mantener la zonificación actual, transferencia de área verde, equipamiento comunal y área municipal, </w:t>
      </w:r>
      <w:r w:rsidR="002931C0" w:rsidRPr="00160CE2">
        <w:rPr>
          <w:rFonts w:ascii="Century Gothic" w:hAnsi="Century Gothic"/>
        </w:rPr>
        <w:t xml:space="preserve">sobre el que se encuentra el asentamiento humano de hecho y consolidado de interés social denominado </w:t>
      </w:r>
      <w:r w:rsidR="004C6F79" w:rsidRPr="00160CE2">
        <w:rPr>
          <w:rFonts w:ascii="Century Gothic" w:hAnsi="Century Gothic"/>
        </w:rPr>
        <w:t>"Comité Pro Mejoras del Barrio Ontaneda Alta" Segunda Etapa</w:t>
      </w:r>
      <w:r w:rsidR="002931C0" w:rsidRPr="00160CE2">
        <w:rPr>
          <w:rFonts w:ascii="Century Gothic" w:hAnsi="Century Gothic"/>
        </w:rPr>
        <w:t>, a favor de sus copropietarios.</w:t>
      </w:r>
    </w:p>
    <w:p w14:paraId="771C6D58" w14:textId="1DAC07A5" w:rsidR="002931C0" w:rsidRPr="00160CE2" w:rsidRDefault="002931C0" w:rsidP="002931C0">
      <w:pPr>
        <w:jc w:val="both"/>
        <w:rPr>
          <w:rFonts w:ascii="Century Gothic" w:hAnsi="Century Gothic"/>
        </w:rPr>
      </w:pPr>
      <w:r w:rsidRPr="00160CE2">
        <w:rPr>
          <w:rFonts w:ascii="Century Gothic" w:hAnsi="Century Gothic"/>
          <w:b/>
          <w:bCs/>
        </w:rPr>
        <w:t>Artículo 2.</w:t>
      </w:r>
      <w:r w:rsidR="00933E9A" w:rsidRPr="00160CE2">
        <w:rPr>
          <w:rFonts w:ascii="Century Gothic" w:hAnsi="Century Gothic"/>
          <w:b/>
          <w:bCs/>
        </w:rPr>
        <w:t xml:space="preserve"> </w:t>
      </w:r>
      <w:r w:rsidRPr="00160CE2">
        <w:rPr>
          <w:rFonts w:ascii="Century Gothic" w:hAnsi="Century Gothic"/>
          <w:b/>
          <w:bCs/>
        </w:rPr>
        <w:t>-</w:t>
      </w:r>
      <w:r w:rsidRPr="00160CE2">
        <w:rPr>
          <w:rFonts w:ascii="Century Gothic" w:hAnsi="Century Gothic"/>
        </w:rPr>
        <w:t xml:space="preserve"> De los planos y documentos presentados.- Los planos y documentos presentados para la aprobación del presente acto normativo son de exclusiva responsabilidad del proyectista y de los copropietarios del asentamiento humano de hecho y consolidado de interés social denominado </w:t>
      </w:r>
      <w:r w:rsidR="004359F1" w:rsidRPr="00160CE2">
        <w:rPr>
          <w:rFonts w:ascii="Century Gothic" w:hAnsi="Century Gothic"/>
        </w:rPr>
        <w:t>"Comité Pro Mejoras del Barrio Ontaneda Alta" Segunda Etapa</w:t>
      </w:r>
      <w:r w:rsidRPr="00160CE2">
        <w:rPr>
          <w:rFonts w:ascii="Century Gothic" w:hAnsi="Century Gothic"/>
        </w:rPr>
        <w:t xml:space="preserve">, ubicado en la parroquia </w:t>
      </w:r>
      <w:r w:rsidR="00933E9A" w:rsidRPr="00160CE2">
        <w:rPr>
          <w:rFonts w:ascii="Century Gothic" w:hAnsi="Century Gothic"/>
        </w:rPr>
        <w:t>Conocoto</w:t>
      </w:r>
      <w:r w:rsidRPr="00160CE2">
        <w:rPr>
          <w:rFonts w:ascii="Century Gothic" w:hAnsi="Century Gothic"/>
        </w:rPr>
        <w:t>, y de los funcionarios municipales que revisaron los planos y los documentos legales</w:t>
      </w:r>
      <w:r w:rsidR="00933E9A" w:rsidRPr="00160CE2">
        <w:rPr>
          <w:rFonts w:ascii="Century Gothic" w:hAnsi="Century Gothic"/>
        </w:rPr>
        <w:t>,</w:t>
      </w:r>
      <w:r w:rsidRPr="00160CE2">
        <w:rPr>
          <w:rFonts w:ascii="Century Gothic" w:hAnsi="Century Gothic"/>
        </w:rPr>
        <w:t xml:space="preserve"> y/o emitieron los informes técnicos habilitantes de este procedimiento de regularización, salvo que estos hayan sido inducidos a engaño o al error.</w:t>
      </w:r>
    </w:p>
    <w:p w14:paraId="189BCD38" w14:textId="77777777" w:rsidR="002931C0" w:rsidRPr="00160CE2" w:rsidRDefault="002931C0" w:rsidP="002931C0">
      <w:pPr>
        <w:jc w:val="both"/>
        <w:rPr>
          <w:rFonts w:ascii="Century Gothic" w:hAnsi="Century Gothic"/>
        </w:rPr>
      </w:pPr>
      <w:r w:rsidRPr="00160CE2">
        <w:rPr>
          <w:rFonts w:ascii="Century Gothic" w:hAnsi="Century Gothic"/>
        </w:rPr>
        <w:t>En caso de comprobarse ocultación o falsedad en planos, datos, documentos, o de existir reclamos de terceros afectados, será de exclusiva responsabilidad del técnico y de los copropietarios del predio.</w:t>
      </w:r>
    </w:p>
    <w:p w14:paraId="625C3263" w14:textId="7EBEB664" w:rsidR="002931C0" w:rsidRPr="00160CE2" w:rsidRDefault="002931C0" w:rsidP="002931C0">
      <w:pPr>
        <w:jc w:val="both"/>
        <w:rPr>
          <w:rFonts w:ascii="Century Gothic" w:hAnsi="Century Gothic"/>
        </w:rPr>
      </w:pPr>
      <w:r w:rsidRPr="00160CE2">
        <w:rPr>
          <w:rFonts w:ascii="Century Gothic" w:hAnsi="Century Gothic"/>
        </w:rPr>
        <w:t>Las dimensiones y superficies de los lotes son las determinadas en el plano aprobatorio que forma parte integrante de esta Ordenanza.</w:t>
      </w:r>
    </w:p>
    <w:p w14:paraId="2A2DFDC0" w14:textId="4AC21898" w:rsidR="002931C0" w:rsidRPr="00160CE2" w:rsidRDefault="002931C0" w:rsidP="002931C0">
      <w:pPr>
        <w:jc w:val="both"/>
        <w:rPr>
          <w:rFonts w:ascii="Century Gothic" w:hAnsi="Century Gothic"/>
        </w:rPr>
      </w:pPr>
      <w:r w:rsidRPr="00160CE2">
        <w:rPr>
          <w:rFonts w:ascii="Century Gothic" w:hAnsi="Century Gothic"/>
        </w:rPr>
        <w:t xml:space="preserve">Los copropietarios del asentamiento humano de hecho y consolidado de interés social denominado </w:t>
      </w:r>
      <w:r w:rsidR="004359F1" w:rsidRPr="00160CE2">
        <w:rPr>
          <w:rFonts w:ascii="Century Gothic" w:hAnsi="Century Gothic"/>
        </w:rPr>
        <w:t>"Comité Pro Mejoras del Barrio Ontaneda Alta" Segunda Etapa</w:t>
      </w:r>
      <w:r w:rsidRPr="00160CE2">
        <w:rPr>
          <w:rFonts w:ascii="Century Gothic" w:hAnsi="Century Gothic"/>
        </w:rPr>
        <w:t xml:space="preserve">, ubicado en la parroquia </w:t>
      </w:r>
      <w:r w:rsidR="00933E9A" w:rsidRPr="00160CE2">
        <w:rPr>
          <w:rFonts w:ascii="Century Gothic" w:hAnsi="Century Gothic"/>
        </w:rPr>
        <w:t>Conocoto</w:t>
      </w:r>
      <w:r w:rsidRPr="00160CE2">
        <w:rPr>
          <w:rFonts w:ascii="Century Gothic" w:hAnsi="Century Gothic"/>
        </w:rPr>
        <w:t>, se comprometen a respetar las características de los lotes establecidas en el Plano y en este instrumento; por tanto, no podrán fraccionarlos o dividirlos.</w:t>
      </w:r>
    </w:p>
    <w:p w14:paraId="792038C9" w14:textId="2089A642" w:rsidR="002931C0" w:rsidRPr="00160CE2" w:rsidRDefault="002931C0" w:rsidP="002931C0">
      <w:pPr>
        <w:jc w:val="both"/>
        <w:rPr>
          <w:rFonts w:ascii="Century Gothic" w:hAnsi="Century Gothic"/>
        </w:rPr>
      </w:pPr>
      <w:r w:rsidRPr="00160CE2">
        <w:rPr>
          <w:rFonts w:ascii="Century Gothic" w:hAnsi="Century Gothic"/>
        </w:rPr>
        <w:t xml:space="preserve">El incumplimiento de lo dispuesto en la presente Ordenanza y en la normativa metropolitana y nacional vigente al respecto, dará lugar a la imposición de las sanciones correspondientes. </w:t>
      </w:r>
    </w:p>
    <w:p w14:paraId="0CB58F2E" w14:textId="73CDFD23" w:rsidR="002931C0" w:rsidRPr="00160CE2" w:rsidRDefault="002931C0" w:rsidP="002931C0">
      <w:pPr>
        <w:jc w:val="both"/>
        <w:rPr>
          <w:rFonts w:ascii="Century Gothic" w:hAnsi="Century Gothic"/>
        </w:rPr>
      </w:pPr>
      <w:r w:rsidRPr="00160CE2">
        <w:rPr>
          <w:rFonts w:ascii="Century Gothic" w:hAnsi="Century Gothic"/>
          <w:b/>
          <w:bCs/>
        </w:rPr>
        <w:lastRenderedPageBreak/>
        <w:t>Artículo 3.</w:t>
      </w:r>
      <w:r w:rsidR="00933E9A" w:rsidRPr="00160CE2">
        <w:rPr>
          <w:rFonts w:ascii="Century Gothic" w:hAnsi="Century Gothic"/>
          <w:b/>
          <w:bCs/>
        </w:rPr>
        <w:t xml:space="preserve"> </w:t>
      </w:r>
      <w:r w:rsidRPr="00160CE2">
        <w:rPr>
          <w:rFonts w:ascii="Century Gothic" w:hAnsi="Century Gothic"/>
          <w:b/>
          <w:bCs/>
        </w:rPr>
        <w:t>Declaratoria de Interés Social.</w:t>
      </w:r>
      <w:r w:rsidR="00933E9A" w:rsidRPr="00160CE2">
        <w:rPr>
          <w:rFonts w:ascii="Century Gothic" w:hAnsi="Century Gothic"/>
          <w:b/>
          <w:bCs/>
        </w:rPr>
        <w:t xml:space="preserve"> </w:t>
      </w:r>
      <w:r w:rsidRPr="00160CE2">
        <w:rPr>
          <w:rFonts w:ascii="Century Gothic" w:hAnsi="Century Gothic"/>
          <w:b/>
          <w:bCs/>
        </w:rPr>
        <w:t>-</w:t>
      </w:r>
      <w:r w:rsidRPr="00160CE2">
        <w:rPr>
          <w:rFonts w:ascii="Century Gothic" w:hAnsi="Century Gothic"/>
        </w:rPr>
        <w:t xml:space="preserve"> Por las condiciones del asentamiento humano de hecho y consolidado, se lo aprueba considerándolo de Interés Social de conformidad con la normativa vigente.</w:t>
      </w:r>
    </w:p>
    <w:p w14:paraId="11948E96" w14:textId="46D99980" w:rsidR="002931C0" w:rsidRPr="00160CE2" w:rsidRDefault="002931C0" w:rsidP="002931C0">
      <w:pPr>
        <w:jc w:val="both"/>
        <w:rPr>
          <w:rFonts w:ascii="Century Gothic" w:hAnsi="Century Gothic"/>
        </w:rPr>
      </w:pPr>
      <w:r w:rsidRPr="00160CE2">
        <w:rPr>
          <w:rFonts w:ascii="Century Gothic" w:hAnsi="Century Gothic"/>
          <w:b/>
          <w:bCs/>
        </w:rPr>
        <w:t>Artículo 4.</w:t>
      </w:r>
      <w:r w:rsidR="00933E9A" w:rsidRPr="00160CE2">
        <w:rPr>
          <w:rFonts w:ascii="Century Gothic" w:hAnsi="Century Gothic"/>
          <w:b/>
          <w:bCs/>
        </w:rPr>
        <w:t xml:space="preserve"> </w:t>
      </w:r>
      <w:r w:rsidRPr="00160CE2">
        <w:rPr>
          <w:rFonts w:ascii="Century Gothic" w:hAnsi="Century Gothic"/>
          <w:b/>
          <w:bCs/>
        </w:rPr>
        <w:t>Especificaciones técnicas.</w:t>
      </w:r>
      <w:r w:rsidR="00933E9A" w:rsidRPr="00160CE2">
        <w:rPr>
          <w:rFonts w:ascii="Century Gothic" w:hAnsi="Century Gothic"/>
          <w:b/>
          <w:bCs/>
        </w:rPr>
        <w:t xml:space="preserve"> - </w:t>
      </w:r>
      <w:r w:rsidR="00933E9A" w:rsidRPr="00160CE2">
        <w:rPr>
          <w:rFonts w:ascii="Century Gothic" w:hAnsi="Century Gothic"/>
        </w:rPr>
        <w:t>Las especificaciones técnicas son las siguientes:</w:t>
      </w:r>
    </w:p>
    <w:tbl>
      <w:tblPr>
        <w:tblStyle w:val="Tablaconcuadrcula"/>
        <w:tblW w:w="0" w:type="auto"/>
        <w:tblInd w:w="-5" w:type="dxa"/>
        <w:tblLook w:val="04A0" w:firstRow="1" w:lastRow="0" w:firstColumn="1" w:lastColumn="0" w:noHBand="0" w:noVBand="1"/>
      </w:tblPr>
      <w:tblGrid>
        <w:gridCol w:w="2264"/>
        <w:gridCol w:w="3118"/>
        <w:gridCol w:w="3117"/>
      </w:tblGrid>
      <w:tr w:rsidR="004F1336" w:rsidRPr="00160CE2" w14:paraId="320266F9" w14:textId="77777777" w:rsidTr="00F64062">
        <w:trPr>
          <w:trHeight w:val="68"/>
        </w:trPr>
        <w:tc>
          <w:tcPr>
            <w:tcW w:w="2268" w:type="dxa"/>
            <w:tcBorders>
              <w:top w:val="single" w:sz="4" w:space="0" w:color="auto"/>
              <w:left w:val="single" w:sz="4" w:space="0" w:color="auto"/>
              <w:bottom w:val="single" w:sz="4" w:space="0" w:color="auto"/>
              <w:right w:val="single" w:sz="4" w:space="0" w:color="auto"/>
            </w:tcBorders>
            <w:vAlign w:val="center"/>
            <w:hideMark/>
          </w:tcPr>
          <w:p w14:paraId="649DAA4B" w14:textId="77777777" w:rsidR="004F1336" w:rsidRPr="00160CE2" w:rsidRDefault="004F1336" w:rsidP="00F64062">
            <w:pPr>
              <w:pStyle w:val="Sinespaciado"/>
              <w:rPr>
                <w:rFonts w:ascii="Century Gothic" w:hAnsi="Century Gothic"/>
                <w:b/>
              </w:rPr>
            </w:pPr>
            <w:r w:rsidRPr="00160CE2">
              <w:rPr>
                <w:rFonts w:ascii="Century Gothic" w:hAnsi="Century Gothic"/>
                <w:b/>
              </w:rPr>
              <w:t>Predio Número: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F9AEDC5" w14:textId="77777777" w:rsidR="004F1336" w:rsidRPr="00160CE2" w:rsidRDefault="004F1336" w:rsidP="00F64062">
            <w:pPr>
              <w:pStyle w:val="Sinespaciado"/>
              <w:jc w:val="center"/>
              <w:rPr>
                <w:rFonts w:ascii="Century Gothic" w:hAnsi="Century Gothic"/>
                <w:bCs/>
              </w:rPr>
            </w:pPr>
            <w:r w:rsidRPr="00160CE2">
              <w:rPr>
                <w:rFonts w:ascii="Century Gothic" w:hAnsi="Century Gothic"/>
                <w:bCs/>
                <w:color w:val="000000" w:themeColor="text1"/>
              </w:rPr>
              <w:t>5559638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5A04EF8" w14:textId="77777777" w:rsidR="004F1336" w:rsidRPr="00160CE2" w:rsidRDefault="004F1336" w:rsidP="00F64062">
            <w:pPr>
              <w:pStyle w:val="Sinespaciado"/>
              <w:jc w:val="center"/>
              <w:rPr>
                <w:rFonts w:ascii="Century Gothic" w:hAnsi="Century Gothic"/>
                <w:bCs/>
              </w:rPr>
            </w:pPr>
            <w:r w:rsidRPr="00160CE2">
              <w:rPr>
                <w:rFonts w:ascii="Century Gothic" w:hAnsi="Century Gothic"/>
                <w:bCs/>
                <w:color w:val="000000" w:themeColor="text1"/>
              </w:rPr>
              <w:t>5126592</w:t>
            </w:r>
          </w:p>
        </w:tc>
      </w:tr>
      <w:tr w:rsidR="004F1336" w:rsidRPr="00160CE2" w14:paraId="05214607" w14:textId="77777777" w:rsidTr="00F64062">
        <w:trPr>
          <w:trHeight w:val="86"/>
        </w:trPr>
        <w:tc>
          <w:tcPr>
            <w:tcW w:w="2268" w:type="dxa"/>
            <w:tcBorders>
              <w:top w:val="single" w:sz="4" w:space="0" w:color="auto"/>
              <w:left w:val="single" w:sz="4" w:space="0" w:color="auto"/>
              <w:bottom w:val="single" w:sz="4" w:space="0" w:color="auto"/>
              <w:right w:val="single" w:sz="4" w:space="0" w:color="auto"/>
            </w:tcBorders>
            <w:vAlign w:val="center"/>
            <w:hideMark/>
          </w:tcPr>
          <w:p w14:paraId="213520FF" w14:textId="77777777" w:rsidR="004F1336" w:rsidRPr="00160CE2" w:rsidRDefault="004F1336" w:rsidP="00F64062">
            <w:pPr>
              <w:pStyle w:val="Sinespaciado"/>
              <w:rPr>
                <w:rFonts w:ascii="Century Gothic" w:hAnsi="Century Gothic"/>
                <w:b/>
                <w:color w:val="000000" w:themeColor="text1"/>
                <w:lang w:val="es-ES" w:eastAsia="es-ES"/>
              </w:rPr>
            </w:pPr>
            <w:r w:rsidRPr="00160CE2">
              <w:rPr>
                <w:rFonts w:ascii="Century Gothic" w:hAnsi="Century Gothic"/>
                <w:b/>
              </w:rPr>
              <w:t>Zonificación actual: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E3F9581" w14:textId="77777777" w:rsidR="004F1336" w:rsidRPr="00160CE2" w:rsidRDefault="004F1336" w:rsidP="00F64062">
            <w:pPr>
              <w:pStyle w:val="Sinespaciado"/>
              <w:jc w:val="center"/>
              <w:rPr>
                <w:rFonts w:ascii="Century Gothic" w:hAnsi="Century Gothic"/>
                <w:color w:val="000000" w:themeColor="text1"/>
                <w:lang w:val="es-ES" w:eastAsia="es-ES"/>
              </w:rPr>
            </w:pPr>
            <w:r w:rsidRPr="00160CE2">
              <w:rPr>
                <w:rFonts w:ascii="Century Gothic" w:eastAsia="Times New Roman" w:hAnsi="Century Gothic"/>
                <w:color w:val="000000" w:themeColor="text1"/>
                <w:lang w:eastAsia="es-ES"/>
              </w:rPr>
              <w:t>A4 (A5002-5) /A6 (A25002-1.5)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57388D" w14:textId="77777777" w:rsidR="004F1336" w:rsidRPr="00160CE2" w:rsidRDefault="004F1336" w:rsidP="00F64062">
            <w:pPr>
              <w:pStyle w:val="Sinespaciado"/>
              <w:jc w:val="center"/>
              <w:rPr>
                <w:rFonts w:ascii="Century Gothic" w:eastAsia="Times New Roman" w:hAnsi="Century Gothic"/>
                <w:color w:val="000000" w:themeColor="text1"/>
                <w:lang w:eastAsia="es-ES"/>
              </w:rPr>
            </w:pPr>
            <w:r w:rsidRPr="00160CE2">
              <w:rPr>
                <w:rFonts w:ascii="Century Gothic" w:eastAsia="Times New Roman" w:hAnsi="Century Gothic"/>
                <w:color w:val="000000" w:themeColor="text1"/>
                <w:lang w:eastAsia="es-ES"/>
              </w:rPr>
              <w:t>A4 (A5002-5) /A31(PQ)</w:t>
            </w:r>
          </w:p>
        </w:tc>
      </w:tr>
      <w:tr w:rsidR="004F1336" w:rsidRPr="00160CE2" w14:paraId="21A22C8F" w14:textId="77777777" w:rsidTr="00F64062">
        <w:trPr>
          <w:trHeight w:val="60"/>
        </w:trPr>
        <w:tc>
          <w:tcPr>
            <w:tcW w:w="2268" w:type="dxa"/>
            <w:tcBorders>
              <w:top w:val="single" w:sz="4" w:space="0" w:color="auto"/>
              <w:left w:val="single" w:sz="4" w:space="0" w:color="auto"/>
              <w:bottom w:val="single" w:sz="4" w:space="0" w:color="auto"/>
              <w:right w:val="single" w:sz="4" w:space="0" w:color="auto"/>
            </w:tcBorders>
            <w:vAlign w:val="center"/>
            <w:hideMark/>
          </w:tcPr>
          <w:p w14:paraId="688834FC" w14:textId="77777777" w:rsidR="004F1336" w:rsidRPr="00160CE2" w:rsidRDefault="004F1336" w:rsidP="00F64062">
            <w:pPr>
              <w:pStyle w:val="Sinespaciado"/>
              <w:rPr>
                <w:rFonts w:ascii="Century Gothic" w:hAnsi="Century Gothic"/>
                <w:b/>
              </w:rPr>
            </w:pPr>
            <w:r w:rsidRPr="00160CE2">
              <w:rPr>
                <w:rFonts w:ascii="Century Gothic" w:hAnsi="Century Gothic"/>
                <w:b/>
              </w:rPr>
              <w:t>Lote mínimo: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C659B76" w14:textId="77777777" w:rsidR="004F1336" w:rsidRPr="00160CE2" w:rsidRDefault="004F1336" w:rsidP="00F64062">
            <w:pPr>
              <w:pStyle w:val="Sinespaciado"/>
              <w:jc w:val="center"/>
              <w:rPr>
                <w:rFonts w:ascii="Century Gothic" w:hAnsi="Century Gothic"/>
              </w:rPr>
            </w:pPr>
            <w:r w:rsidRPr="00160CE2">
              <w:rPr>
                <w:rFonts w:ascii="Century Gothic" w:hAnsi="Century Gothic"/>
                <w:color w:val="000000" w:themeColor="text1"/>
              </w:rPr>
              <w:t>5000m2 / 25000m2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109D7A1" w14:textId="77777777" w:rsidR="004F1336" w:rsidRPr="00160CE2" w:rsidRDefault="004F1336" w:rsidP="00F64062">
            <w:pPr>
              <w:pStyle w:val="Sinespaciado"/>
              <w:jc w:val="center"/>
              <w:rPr>
                <w:rFonts w:ascii="Century Gothic" w:hAnsi="Century Gothic"/>
              </w:rPr>
            </w:pPr>
            <w:r w:rsidRPr="00160CE2">
              <w:rPr>
                <w:rFonts w:ascii="Century Gothic" w:hAnsi="Century Gothic"/>
                <w:color w:val="000000" w:themeColor="text1"/>
              </w:rPr>
              <w:t>5000m2</w:t>
            </w:r>
          </w:p>
        </w:tc>
      </w:tr>
      <w:tr w:rsidR="004F1336" w:rsidRPr="00160CE2" w14:paraId="0ACDA0F2" w14:textId="77777777" w:rsidTr="00F64062">
        <w:trPr>
          <w:trHeight w:val="60"/>
        </w:trPr>
        <w:tc>
          <w:tcPr>
            <w:tcW w:w="2268" w:type="dxa"/>
            <w:tcBorders>
              <w:top w:val="single" w:sz="4" w:space="0" w:color="auto"/>
              <w:left w:val="single" w:sz="4" w:space="0" w:color="auto"/>
              <w:bottom w:val="single" w:sz="4" w:space="0" w:color="auto"/>
              <w:right w:val="single" w:sz="4" w:space="0" w:color="auto"/>
            </w:tcBorders>
            <w:vAlign w:val="center"/>
            <w:hideMark/>
          </w:tcPr>
          <w:p w14:paraId="6594212B" w14:textId="77777777" w:rsidR="004F1336" w:rsidRPr="00160CE2" w:rsidRDefault="004F1336" w:rsidP="00F64062">
            <w:pPr>
              <w:pStyle w:val="Sinespaciado"/>
              <w:rPr>
                <w:rFonts w:ascii="Century Gothic" w:hAnsi="Century Gothic"/>
                <w:b/>
              </w:rPr>
            </w:pPr>
            <w:r w:rsidRPr="00160CE2">
              <w:rPr>
                <w:rFonts w:ascii="Century Gothic" w:hAnsi="Century Gothic"/>
                <w:b/>
              </w:rPr>
              <w:t>Forma ocupación del suelo: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EC969CD" w14:textId="77777777" w:rsidR="004F1336" w:rsidRPr="00160CE2" w:rsidRDefault="004F1336" w:rsidP="00F64062">
            <w:pPr>
              <w:pStyle w:val="Sinespaciado"/>
              <w:jc w:val="center"/>
              <w:rPr>
                <w:rFonts w:ascii="Century Gothic" w:hAnsi="Century Gothic"/>
              </w:rPr>
            </w:pPr>
            <w:r w:rsidRPr="00160CE2">
              <w:rPr>
                <w:rFonts w:ascii="Century Gothic" w:hAnsi="Century Gothic"/>
              </w:rPr>
              <w:t>(A) Aislada</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FECCEFE" w14:textId="77777777" w:rsidR="004F1336" w:rsidRPr="00160CE2" w:rsidRDefault="004F1336" w:rsidP="00F64062">
            <w:pPr>
              <w:pStyle w:val="Sinespaciado"/>
              <w:jc w:val="center"/>
              <w:rPr>
                <w:rFonts w:ascii="Century Gothic" w:hAnsi="Century Gothic"/>
              </w:rPr>
            </w:pPr>
            <w:r w:rsidRPr="00160CE2">
              <w:rPr>
                <w:rFonts w:ascii="Century Gothic" w:hAnsi="Century Gothic"/>
              </w:rPr>
              <w:t>(A) Aislada</w:t>
            </w:r>
          </w:p>
        </w:tc>
      </w:tr>
      <w:tr w:rsidR="004F1336" w:rsidRPr="00160CE2" w14:paraId="3F5BD7DF" w14:textId="77777777" w:rsidTr="00F64062">
        <w:trPr>
          <w:trHeight w:val="113"/>
        </w:trPr>
        <w:tc>
          <w:tcPr>
            <w:tcW w:w="2268" w:type="dxa"/>
            <w:tcBorders>
              <w:top w:val="single" w:sz="4" w:space="0" w:color="auto"/>
              <w:left w:val="single" w:sz="4" w:space="0" w:color="auto"/>
              <w:bottom w:val="single" w:sz="4" w:space="0" w:color="auto"/>
              <w:right w:val="single" w:sz="4" w:space="0" w:color="auto"/>
            </w:tcBorders>
            <w:vAlign w:val="center"/>
            <w:hideMark/>
          </w:tcPr>
          <w:p w14:paraId="0DA42003" w14:textId="77777777" w:rsidR="004F1336" w:rsidRPr="00160CE2" w:rsidRDefault="004F1336" w:rsidP="00F64062">
            <w:pPr>
              <w:pStyle w:val="Sinespaciado"/>
              <w:rPr>
                <w:rFonts w:ascii="Century Gothic" w:hAnsi="Century Gothic"/>
                <w:b/>
              </w:rPr>
            </w:pPr>
            <w:r w:rsidRPr="00160CE2">
              <w:rPr>
                <w:rFonts w:ascii="Century Gothic" w:hAnsi="Century Gothic"/>
                <w:b/>
              </w:rPr>
              <w:t>Uso principal del suelo: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C6CBA20" w14:textId="77777777" w:rsidR="004F1336" w:rsidRPr="00160CE2" w:rsidRDefault="004F1336" w:rsidP="00F64062">
            <w:pPr>
              <w:pStyle w:val="Sinespaciado"/>
              <w:jc w:val="center"/>
              <w:rPr>
                <w:rFonts w:ascii="Century Gothic" w:hAnsi="Century Gothic"/>
              </w:rPr>
            </w:pPr>
            <w:r w:rsidRPr="00160CE2">
              <w:rPr>
                <w:rFonts w:ascii="Century Gothic" w:eastAsia="Times New Roman" w:hAnsi="Century Gothic"/>
                <w:lang w:eastAsia="es-ES"/>
              </w:rPr>
              <w:t>(RN/PS) Recurso Natural/ Producción sostenible; (PE/CPN) Protección Ecológica/conservación del Patrimonio Natural</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22D4FD1" w14:textId="77777777" w:rsidR="004F1336" w:rsidRPr="00160CE2" w:rsidRDefault="004F1336" w:rsidP="00F64062">
            <w:pPr>
              <w:pStyle w:val="Sinespaciado"/>
              <w:jc w:val="center"/>
              <w:rPr>
                <w:rFonts w:ascii="Century Gothic" w:hAnsi="Century Gothic"/>
              </w:rPr>
            </w:pPr>
            <w:r w:rsidRPr="00160CE2">
              <w:rPr>
                <w:rFonts w:ascii="Century Gothic" w:eastAsia="Times New Roman" w:hAnsi="Century Gothic"/>
                <w:lang w:eastAsia="es-ES"/>
              </w:rPr>
              <w:t>(RN/PS) Recurso Natural/ Producción sostenible; (PE/CPN) Protección Ecológica/conservación del Patrimonio Natural</w:t>
            </w:r>
          </w:p>
        </w:tc>
      </w:tr>
      <w:tr w:rsidR="004F1336" w:rsidRPr="00160CE2" w14:paraId="09A8A2C5" w14:textId="77777777" w:rsidTr="00F64062">
        <w:trPr>
          <w:trHeight w:val="274"/>
        </w:trPr>
        <w:tc>
          <w:tcPr>
            <w:tcW w:w="2268" w:type="dxa"/>
            <w:tcBorders>
              <w:top w:val="single" w:sz="4" w:space="0" w:color="auto"/>
              <w:left w:val="single" w:sz="4" w:space="0" w:color="auto"/>
              <w:bottom w:val="single" w:sz="4" w:space="0" w:color="auto"/>
              <w:right w:val="single" w:sz="4" w:space="0" w:color="auto"/>
            </w:tcBorders>
            <w:vAlign w:val="center"/>
            <w:hideMark/>
          </w:tcPr>
          <w:p w14:paraId="417562C6" w14:textId="77777777" w:rsidR="004F1336" w:rsidRPr="00160CE2" w:rsidRDefault="004F1336" w:rsidP="00F64062">
            <w:pPr>
              <w:pStyle w:val="Sinespaciado"/>
              <w:rPr>
                <w:rFonts w:ascii="Century Gothic" w:hAnsi="Century Gothic"/>
                <w:b/>
              </w:rPr>
            </w:pPr>
            <w:r w:rsidRPr="00160CE2">
              <w:rPr>
                <w:rFonts w:ascii="Century Gothic" w:hAnsi="Century Gothic"/>
                <w:b/>
              </w:rPr>
              <w:t>Clasificación del Suelo:</w:t>
            </w:r>
            <w:r w:rsidRPr="00160CE2">
              <w:rPr>
                <w:rFonts w:ascii="Century Gothic" w:hAnsi="Century Gothic"/>
                <w:b/>
              </w:rPr>
              <w:tab/>
              <w:t xml:space="preserve">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F5B1AD3" w14:textId="77777777" w:rsidR="004F1336" w:rsidRPr="00160CE2" w:rsidRDefault="004F1336" w:rsidP="00F64062">
            <w:pPr>
              <w:pStyle w:val="Sinespaciado"/>
              <w:jc w:val="center"/>
              <w:rPr>
                <w:rFonts w:ascii="Century Gothic" w:hAnsi="Century Gothic"/>
              </w:rPr>
            </w:pPr>
            <w:r w:rsidRPr="00160CE2">
              <w:rPr>
                <w:rFonts w:ascii="Century Gothic" w:hAnsi="Century Gothic"/>
                <w:color w:val="000000" w:themeColor="text1"/>
              </w:rPr>
              <w:t>(SRU) Suelo Rural</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20E2C5" w14:textId="77777777" w:rsidR="004F1336" w:rsidRPr="00160CE2" w:rsidRDefault="004F1336" w:rsidP="00F64062">
            <w:pPr>
              <w:pStyle w:val="Sinespaciado"/>
              <w:jc w:val="center"/>
              <w:rPr>
                <w:rFonts w:ascii="Century Gothic" w:hAnsi="Century Gothic"/>
              </w:rPr>
            </w:pPr>
            <w:r w:rsidRPr="00160CE2">
              <w:rPr>
                <w:rFonts w:ascii="Century Gothic" w:hAnsi="Century Gothic"/>
                <w:color w:val="000000" w:themeColor="text1"/>
              </w:rPr>
              <w:t>(SRU) Suelo Rural</w:t>
            </w:r>
          </w:p>
        </w:tc>
      </w:tr>
      <w:tr w:rsidR="004F1336" w:rsidRPr="00160CE2" w14:paraId="20DC3474" w14:textId="77777777" w:rsidTr="00F64062">
        <w:trPr>
          <w:trHeight w:val="220"/>
        </w:trPr>
        <w:tc>
          <w:tcPr>
            <w:tcW w:w="5387" w:type="dxa"/>
            <w:gridSpan w:val="2"/>
          </w:tcPr>
          <w:p w14:paraId="25791524" w14:textId="77777777" w:rsidR="004F1336" w:rsidRPr="00160CE2" w:rsidRDefault="004F1336" w:rsidP="00F64062">
            <w:pPr>
              <w:pStyle w:val="Sinespaciado"/>
              <w:rPr>
                <w:rFonts w:ascii="Century Gothic" w:hAnsi="Century Gothic"/>
                <w:b/>
              </w:rPr>
            </w:pPr>
            <w:r w:rsidRPr="00160CE2">
              <w:rPr>
                <w:rFonts w:ascii="Century Gothic" w:hAnsi="Century Gothic"/>
                <w:b/>
              </w:rPr>
              <w:t>Número de lotes:</w:t>
            </w:r>
          </w:p>
        </w:tc>
        <w:tc>
          <w:tcPr>
            <w:tcW w:w="3118" w:type="dxa"/>
          </w:tcPr>
          <w:p w14:paraId="312CDB0C" w14:textId="77777777" w:rsidR="004F1336" w:rsidRPr="00160CE2" w:rsidRDefault="004F1336" w:rsidP="00F64062">
            <w:pPr>
              <w:pStyle w:val="Sinespaciado"/>
              <w:rPr>
                <w:rFonts w:ascii="Century Gothic" w:hAnsi="Century Gothic"/>
                <w:b/>
              </w:rPr>
            </w:pPr>
            <w:r w:rsidRPr="00160CE2">
              <w:rPr>
                <w:rFonts w:ascii="Century Gothic" w:hAnsi="Century Gothic"/>
                <w:b/>
              </w:rPr>
              <w:t>35</w:t>
            </w:r>
          </w:p>
        </w:tc>
      </w:tr>
      <w:tr w:rsidR="004F1336" w:rsidRPr="00160CE2" w14:paraId="2017FB92" w14:textId="77777777" w:rsidTr="00F64062">
        <w:trPr>
          <w:trHeight w:val="272"/>
        </w:trPr>
        <w:tc>
          <w:tcPr>
            <w:tcW w:w="5387" w:type="dxa"/>
            <w:gridSpan w:val="2"/>
          </w:tcPr>
          <w:p w14:paraId="3AD4F87E" w14:textId="77777777" w:rsidR="004F1336" w:rsidRPr="00160CE2" w:rsidRDefault="004F1336" w:rsidP="00F64062">
            <w:pPr>
              <w:pStyle w:val="Sinespaciado"/>
              <w:rPr>
                <w:rFonts w:ascii="Century Gothic" w:hAnsi="Century Gothic"/>
                <w:b/>
              </w:rPr>
            </w:pPr>
            <w:r w:rsidRPr="00160CE2">
              <w:rPr>
                <w:rFonts w:ascii="Century Gothic" w:hAnsi="Century Gothic"/>
                <w:b/>
              </w:rPr>
              <w:t>Área útil de lotes</w:t>
            </w:r>
          </w:p>
        </w:tc>
        <w:tc>
          <w:tcPr>
            <w:tcW w:w="3118" w:type="dxa"/>
          </w:tcPr>
          <w:p w14:paraId="174DD603" w14:textId="77777777" w:rsidR="004F1336" w:rsidRPr="00160CE2" w:rsidRDefault="004F1336" w:rsidP="00F64062">
            <w:pPr>
              <w:pStyle w:val="Sinespaciado"/>
              <w:rPr>
                <w:rFonts w:ascii="Century Gothic" w:hAnsi="Century Gothic"/>
                <w:color w:val="000000" w:themeColor="text1"/>
              </w:rPr>
            </w:pPr>
            <w:r w:rsidRPr="00160CE2">
              <w:rPr>
                <w:rFonts w:ascii="Century Gothic" w:hAnsi="Century Gothic"/>
              </w:rPr>
              <w:t>37.297,34 m</w:t>
            </w:r>
            <w:r w:rsidRPr="00160CE2">
              <w:rPr>
                <w:rFonts w:ascii="Century Gothic" w:hAnsi="Century Gothic"/>
                <w:vertAlign w:val="superscript"/>
              </w:rPr>
              <w:t>2</w:t>
            </w:r>
          </w:p>
        </w:tc>
      </w:tr>
      <w:tr w:rsidR="004F1336" w:rsidRPr="00160CE2" w14:paraId="453D28AE" w14:textId="77777777" w:rsidTr="00F64062">
        <w:trPr>
          <w:trHeight w:val="339"/>
        </w:trPr>
        <w:tc>
          <w:tcPr>
            <w:tcW w:w="5387" w:type="dxa"/>
            <w:gridSpan w:val="2"/>
          </w:tcPr>
          <w:p w14:paraId="531AD8A5" w14:textId="77777777" w:rsidR="004F1336" w:rsidRPr="00160CE2" w:rsidRDefault="004F1336" w:rsidP="00F64062">
            <w:pPr>
              <w:pStyle w:val="Sinespaciado"/>
              <w:rPr>
                <w:rFonts w:ascii="Century Gothic" w:hAnsi="Century Gothic"/>
                <w:b/>
                <w:bCs/>
              </w:rPr>
            </w:pPr>
            <w:r w:rsidRPr="00160CE2">
              <w:rPr>
                <w:rFonts w:ascii="Century Gothic" w:hAnsi="Century Gothic"/>
                <w:b/>
              </w:rPr>
              <w:t>Área de Vías y Escalinatas:</w:t>
            </w:r>
            <w:r w:rsidRPr="00160CE2">
              <w:rPr>
                <w:rFonts w:ascii="Century Gothic" w:hAnsi="Century Gothic"/>
              </w:rPr>
              <w:t xml:space="preserve"> </w:t>
            </w:r>
          </w:p>
        </w:tc>
        <w:tc>
          <w:tcPr>
            <w:tcW w:w="3118" w:type="dxa"/>
          </w:tcPr>
          <w:p w14:paraId="47F60C28" w14:textId="77777777" w:rsidR="004F1336" w:rsidRPr="00160CE2" w:rsidRDefault="004F1336" w:rsidP="00F64062">
            <w:pPr>
              <w:pStyle w:val="Sinespaciado"/>
              <w:rPr>
                <w:rFonts w:ascii="Century Gothic" w:hAnsi="Century Gothic"/>
              </w:rPr>
            </w:pPr>
            <w:r w:rsidRPr="00160CE2">
              <w:rPr>
                <w:rFonts w:ascii="Century Gothic" w:hAnsi="Century Gothic"/>
              </w:rPr>
              <w:t>8.877,72 m</w:t>
            </w:r>
            <w:r w:rsidRPr="00160CE2">
              <w:rPr>
                <w:rFonts w:ascii="Century Gothic" w:hAnsi="Century Gothic"/>
                <w:vertAlign w:val="superscript"/>
              </w:rPr>
              <w:t>2</w:t>
            </w:r>
          </w:p>
        </w:tc>
      </w:tr>
      <w:tr w:rsidR="004F1336" w:rsidRPr="00160CE2" w14:paraId="1D1599D4" w14:textId="77777777" w:rsidTr="00F64062">
        <w:trPr>
          <w:trHeight w:val="339"/>
        </w:trPr>
        <w:tc>
          <w:tcPr>
            <w:tcW w:w="5387" w:type="dxa"/>
            <w:gridSpan w:val="2"/>
          </w:tcPr>
          <w:p w14:paraId="564E865B" w14:textId="77777777" w:rsidR="004F1336" w:rsidRPr="00160CE2" w:rsidRDefault="004F1336" w:rsidP="00F64062">
            <w:pPr>
              <w:pStyle w:val="Sinespaciado"/>
              <w:rPr>
                <w:rFonts w:ascii="Century Gothic" w:hAnsi="Century Gothic"/>
                <w:b/>
                <w:bCs/>
              </w:rPr>
            </w:pPr>
            <w:r w:rsidRPr="00160CE2">
              <w:rPr>
                <w:rFonts w:ascii="Century Gothic" w:hAnsi="Century Gothic"/>
                <w:b/>
              </w:rPr>
              <w:t>Área Verde y Equipamiento Comunal:</w:t>
            </w:r>
          </w:p>
        </w:tc>
        <w:tc>
          <w:tcPr>
            <w:tcW w:w="3118" w:type="dxa"/>
          </w:tcPr>
          <w:p w14:paraId="1D854786" w14:textId="77777777" w:rsidR="004F1336" w:rsidRPr="00160CE2" w:rsidRDefault="004F1336" w:rsidP="00F64062">
            <w:pPr>
              <w:pStyle w:val="Sinespaciado"/>
              <w:rPr>
                <w:rFonts w:ascii="Century Gothic" w:hAnsi="Century Gothic"/>
              </w:rPr>
            </w:pPr>
            <w:r w:rsidRPr="00160CE2">
              <w:rPr>
                <w:rFonts w:ascii="Century Gothic" w:hAnsi="Century Gothic"/>
              </w:rPr>
              <w:t>5.297,43 m</w:t>
            </w:r>
            <w:r w:rsidRPr="00160CE2">
              <w:rPr>
                <w:rFonts w:ascii="Century Gothic" w:hAnsi="Century Gothic"/>
                <w:vertAlign w:val="superscript"/>
              </w:rPr>
              <w:t>2</w:t>
            </w:r>
          </w:p>
        </w:tc>
      </w:tr>
      <w:tr w:rsidR="004F1336" w:rsidRPr="00160CE2" w14:paraId="12103D6E" w14:textId="77777777" w:rsidTr="00F64062">
        <w:trPr>
          <w:trHeight w:val="341"/>
        </w:trPr>
        <w:tc>
          <w:tcPr>
            <w:tcW w:w="5387" w:type="dxa"/>
            <w:gridSpan w:val="2"/>
          </w:tcPr>
          <w:p w14:paraId="60BB0BB1" w14:textId="77777777" w:rsidR="004F1336" w:rsidRPr="00160CE2" w:rsidRDefault="004F1336" w:rsidP="00F64062">
            <w:pPr>
              <w:pStyle w:val="Sinespaciado"/>
              <w:rPr>
                <w:rFonts w:ascii="Century Gothic" w:hAnsi="Century Gothic"/>
                <w:b/>
                <w:bCs/>
              </w:rPr>
            </w:pPr>
            <w:r w:rsidRPr="00160CE2">
              <w:rPr>
                <w:rFonts w:ascii="Century Gothic" w:hAnsi="Century Gothic"/>
                <w:b/>
              </w:rPr>
              <w:t>Área Faja de Protección de Quebrada (Área Municipal)</w:t>
            </w:r>
          </w:p>
        </w:tc>
        <w:tc>
          <w:tcPr>
            <w:tcW w:w="3118" w:type="dxa"/>
            <w:vAlign w:val="center"/>
          </w:tcPr>
          <w:p w14:paraId="02BC6F8E" w14:textId="77777777" w:rsidR="004F1336" w:rsidRPr="00160CE2" w:rsidRDefault="004F1336" w:rsidP="00F64062">
            <w:pPr>
              <w:pStyle w:val="Sinespaciado"/>
              <w:rPr>
                <w:rFonts w:ascii="Century Gothic" w:hAnsi="Century Gothic"/>
              </w:rPr>
            </w:pPr>
            <w:r w:rsidRPr="00160CE2">
              <w:rPr>
                <w:rFonts w:ascii="Century Gothic" w:hAnsi="Century Gothic"/>
              </w:rPr>
              <w:t>3.507,27 m</w:t>
            </w:r>
            <w:r w:rsidRPr="00160CE2">
              <w:rPr>
                <w:rFonts w:ascii="Century Gothic" w:hAnsi="Century Gothic"/>
                <w:vertAlign w:val="superscript"/>
              </w:rPr>
              <w:t>2</w:t>
            </w:r>
          </w:p>
        </w:tc>
      </w:tr>
      <w:tr w:rsidR="004F1336" w:rsidRPr="00160CE2" w14:paraId="2BF02D32" w14:textId="77777777" w:rsidTr="00F64062">
        <w:trPr>
          <w:trHeight w:val="332"/>
        </w:trPr>
        <w:tc>
          <w:tcPr>
            <w:tcW w:w="5387" w:type="dxa"/>
            <w:gridSpan w:val="2"/>
          </w:tcPr>
          <w:p w14:paraId="14116A33" w14:textId="77777777" w:rsidR="004F1336" w:rsidRPr="00160CE2" w:rsidRDefault="004F1336" w:rsidP="00F64062">
            <w:pPr>
              <w:pStyle w:val="Sinespaciado"/>
              <w:rPr>
                <w:rFonts w:ascii="Century Gothic" w:hAnsi="Century Gothic"/>
                <w:b/>
              </w:rPr>
            </w:pPr>
            <w:r w:rsidRPr="00160CE2">
              <w:rPr>
                <w:rFonts w:ascii="Century Gothic" w:hAnsi="Century Gothic"/>
                <w:b/>
                <w:bCs/>
              </w:rPr>
              <w:t>Área de protección de quebrada (lotes)</w:t>
            </w:r>
          </w:p>
        </w:tc>
        <w:tc>
          <w:tcPr>
            <w:tcW w:w="3118" w:type="dxa"/>
          </w:tcPr>
          <w:p w14:paraId="7B23EAB5" w14:textId="77777777" w:rsidR="004F1336" w:rsidRPr="00160CE2" w:rsidRDefault="004F1336" w:rsidP="00F64062">
            <w:pPr>
              <w:rPr>
                <w:rFonts w:ascii="Century Gothic" w:hAnsi="Century Gothic"/>
                <w:vertAlign w:val="superscript"/>
              </w:rPr>
            </w:pPr>
            <w:r w:rsidRPr="00160CE2">
              <w:rPr>
                <w:rFonts w:ascii="Century Gothic" w:hAnsi="Century Gothic"/>
              </w:rPr>
              <w:t>880,69 m</w:t>
            </w:r>
            <w:r w:rsidRPr="00160CE2">
              <w:rPr>
                <w:rFonts w:ascii="Century Gothic" w:hAnsi="Century Gothic"/>
                <w:vertAlign w:val="superscript"/>
              </w:rPr>
              <w:t>2</w:t>
            </w:r>
          </w:p>
        </w:tc>
      </w:tr>
      <w:tr w:rsidR="004F1336" w:rsidRPr="00160CE2" w14:paraId="2251B5B1" w14:textId="77777777" w:rsidTr="00F64062">
        <w:trPr>
          <w:trHeight w:val="307"/>
        </w:trPr>
        <w:tc>
          <w:tcPr>
            <w:tcW w:w="5387" w:type="dxa"/>
            <w:gridSpan w:val="2"/>
          </w:tcPr>
          <w:p w14:paraId="3802B25A" w14:textId="77777777" w:rsidR="004F1336" w:rsidRPr="00160CE2" w:rsidRDefault="004F1336" w:rsidP="00F64062">
            <w:pPr>
              <w:rPr>
                <w:rFonts w:ascii="Century Gothic" w:hAnsi="Century Gothic"/>
                <w:b/>
              </w:rPr>
            </w:pPr>
            <w:r w:rsidRPr="00160CE2">
              <w:rPr>
                <w:rFonts w:ascii="Century Gothic" w:hAnsi="Century Gothic"/>
                <w:b/>
              </w:rPr>
              <w:t>Área quebrada abierta (lotes)</w:t>
            </w:r>
          </w:p>
        </w:tc>
        <w:tc>
          <w:tcPr>
            <w:tcW w:w="3118" w:type="dxa"/>
          </w:tcPr>
          <w:p w14:paraId="5A8102B5" w14:textId="77777777" w:rsidR="004F1336" w:rsidRPr="00160CE2" w:rsidRDefault="004F1336" w:rsidP="00F64062">
            <w:pPr>
              <w:rPr>
                <w:rFonts w:ascii="Century Gothic" w:hAnsi="Century Gothic"/>
              </w:rPr>
            </w:pPr>
            <w:r w:rsidRPr="00160CE2">
              <w:rPr>
                <w:rFonts w:ascii="Century Gothic" w:hAnsi="Century Gothic"/>
              </w:rPr>
              <w:t>223,90 m</w:t>
            </w:r>
            <w:r w:rsidRPr="00160CE2">
              <w:rPr>
                <w:rFonts w:ascii="Century Gothic" w:hAnsi="Century Gothic"/>
                <w:vertAlign w:val="superscript"/>
              </w:rPr>
              <w:t>2</w:t>
            </w:r>
          </w:p>
        </w:tc>
      </w:tr>
      <w:tr w:rsidR="004F1336" w:rsidRPr="00160CE2" w14:paraId="58B5433F" w14:textId="77777777" w:rsidTr="00F64062">
        <w:trPr>
          <w:trHeight w:val="326"/>
        </w:trPr>
        <w:tc>
          <w:tcPr>
            <w:tcW w:w="5387" w:type="dxa"/>
            <w:gridSpan w:val="2"/>
          </w:tcPr>
          <w:p w14:paraId="33B41C45" w14:textId="77777777" w:rsidR="004F1336" w:rsidRPr="00160CE2" w:rsidRDefault="004F1336" w:rsidP="00F64062">
            <w:pPr>
              <w:pStyle w:val="Sinespaciado"/>
              <w:rPr>
                <w:rFonts w:ascii="Century Gothic" w:eastAsia="Times New Roman" w:hAnsi="Century Gothic"/>
                <w:b/>
                <w:bCs/>
                <w:lang w:val="es-ES" w:eastAsia="es-ES"/>
              </w:rPr>
            </w:pPr>
            <w:r w:rsidRPr="00160CE2">
              <w:rPr>
                <w:rFonts w:ascii="Century Gothic" w:eastAsia="Times New Roman" w:hAnsi="Century Gothic"/>
                <w:b/>
                <w:bCs/>
                <w:lang w:val="es-ES" w:eastAsia="es-ES"/>
              </w:rPr>
              <w:t>Área bruta del terreno (área total)</w:t>
            </w:r>
          </w:p>
        </w:tc>
        <w:tc>
          <w:tcPr>
            <w:tcW w:w="3118" w:type="dxa"/>
          </w:tcPr>
          <w:p w14:paraId="1FAD5C29" w14:textId="77777777" w:rsidR="004F1336" w:rsidRPr="00160CE2" w:rsidRDefault="004F1336" w:rsidP="00F64062">
            <w:pPr>
              <w:rPr>
                <w:rFonts w:ascii="Century Gothic" w:hAnsi="Century Gothic"/>
                <w:b/>
              </w:rPr>
            </w:pPr>
            <w:r w:rsidRPr="00160CE2">
              <w:rPr>
                <w:rFonts w:ascii="Century Gothic" w:hAnsi="Century Gothic"/>
              </w:rPr>
              <w:t>56.084,35</w:t>
            </w:r>
            <w:r w:rsidRPr="00160CE2">
              <w:rPr>
                <w:rFonts w:ascii="Century Gothic" w:hAnsi="Century Gothic"/>
                <w:b/>
              </w:rPr>
              <w:t xml:space="preserve"> </w:t>
            </w:r>
            <w:r w:rsidRPr="00160CE2">
              <w:rPr>
                <w:rFonts w:ascii="Century Gothic" w:hAnsi="Century Gothic"/>
              </w:rPr>
              <w:t>m</w:t>
            </w:r>
            <w:r w:rsidRPr="00160CE2">
              <w:rPr>
                <w:rFonts w:ascii="Century Gothic" w:hAnsi="Century Gothic"/>
                <w:vertAlign w:val="superscript"/>
              </w:rPr>
              <w:t>2</w:t>
            </w:r>
          </w:p>
        </w:tc>
      </w:tr>
    </w:tbl>
    <w:p w14:paraId="49DEBDC3" w14:textId="77777777" w:rsidR="004F1336" w:rsidRPr="00160CE2" w:rsidRDefault="004F1336" w:rsidP="002931C0">
      <w:pPr>
        <w:jc w:val="both"/>
        <w:rPr>
          <w:rFonts w:ascii="Century Gothic" w:hAnsi="Century Gothic"/>
        </w:rPr>
      </w:pPr>
    </w:p>
    <w:p w14:paraId="4E15877A" w14:textId="43C0299B" w:rsidR="002931C0" w:rsidRPr="00160CE2" w:rsidRDefault="002931C0" w:rsidP="002931C0">
      <w:pPr>
        <w:jc w:val="both"/>
        <w:rPr>
          <w:rFonts w:ascii="Century Gothic" w:hAnsi="Century Gothic"/>
        </w:rPr>
      </w:pPr>
      <w:r w:rsidRPr="00160CE2">
        <w:rPr>
          <w:rFonts w:ascii="Century Gothic" w:hAnsi="Century Gothic"/>
        </w:rPr>
        <w:t>El número total de lotes, producto del fraccionamiento, es de 3</w:t>
      </w:r>
      <w:r w:rsidR="004F1336" w:rsidRPr="00160CE2">
        <w:rPr>
          <w:rFonts w:ascii="Century Gothic" w:hAnsi="Century Gothic"/>
        </w:rPr>
        <w:t>5</w:t>
      </w:r>
      <w:r w:rsidRPr="00160CE2">
        <w:rPr>
          <w:rFonts w:ascii="Century Gothic" w:hAnsi="Century Gothic"/>
        </w:rPr>
        <w:t xml:space="preserve">, signados del uno (1) al treinta y </w:t>
      </w:r>
      <w:r w:rsidR="004F1336" w:rsidRPr="00160CE2">
        <w:rPr>
          <w:rFonts w:ascii="Century Gothic" w:hAnsi="Century Gothic"/>
        </w:rPr>
        <w:t>cinco</w:t>
      </w:r>
      <w:r w:rsidRPr="00160CE2">
        <w:rPr>
          <w:rFonts w:ascii="Century Gothic" w:hAnsi="Century Gothic"/>
        </w:rPr>
        <w:t xml:space="preserve"> (3</w:t>
      </w:r>
      <w:r w:rsidR="004F1336" w:rsidRPr="00160CE2">
        <w:rPr>
          <w:rFonts w:ascii="Century Gothic" w:hAnsi="Century Gothic"/>
        </w:rPr>
        <w:t>5</w:t>
      </w:r>
      <w:r w:rsidRPr="00160CE2">
        <w:rPr>
          <w:rFonts w:ascii="Century Gothic" w:hAnsi="Century Gothic"/>
        </w:rPr>
        <w:t>)</w:t>
      </w:r>
      <w:r w:rsidR="004F1336" w:rsidRPr="00160CE2">
        <w:rPr>
          <w:rFonts w:ascii="Century Gothic" w:hAnsi="Century Gothic"/>
        </w:rPr>
        <w:t>,</w:t>
      </w:r>
      <w:r w:rsidRPr="00160CE2">
        <w:rPr>
          <w:rFonts w:ascii="Century Gothic" w:hAnsi="Century Gothic"/>
        </w:rPr>
        <w:t xml:space="preserve"> cuyo detalle es el que consta en los planos aprobatorios que forman parte de la presente Ordenanza. </w:t>
      </w:r>
    </w:p>
    <w:p w14:paraId="0065168E" w14:textId="1CEC787F" w:rsidR="002931C0" w:rsidRPr="00160CE2" w:rsidRDefault="002931C0" w:rsidP="002931C0">
      <w:pPr>
        <w:jc w:val="both"/>
        <w:rPr>
          <w:rFonts w:ascii="Century Gothic" w:hAnsi="Century Gothic"/>
        </w:rPr>
      </w:pPr>
      <w:r w:rsidRPr="00160CE2">
        <w:rPr>
          <w:rFonts w:ascii="Century Gothic" w:hAnsi="Century Gothic"/>
        </w:rPr>
        <w:t>El área total del predio N</w:t>
      </w:r>
      <w:r w:rsidR="004F1336" w:rsidRPr="00160CE2">
        <w:rPr>
          <w:rFonts w:ascii="Century Gothic" w:hAnsi="Century Gothic"/>
        </w:rPr>
        <w:t>r</w:t>
      </w:r>
      <w:r w:rsidRPr="00160CE2">
        <w:rPr>
          <w:rFonts w:ascii="Century Gothic" w:hAnsi="Century Gothic"/>
        </w:rPr>
        <w:t xml:space="preserve">o. </w:t>
      </w:r>
      <w:r w:rsidR="004F1336" w:rsidRPr="00160CE2">
        <w:rPr>
          <w:rFonts w:ascii="Century Gothic" w:hAnsi="Century Gothic"/>
        </w:rPr>
        <w:t>5559638</w:t>
      </w:r>
      <w:r w:rsidRPr="00160CE2">
        <w:rPr>
          <w:rFonts w:ascii="Century Gothic" w:hAnsi="Century Gothic"/>
        </w:rPr>
        <w:t>, es la que consta en la Cédula Catastral N</w:t>
      </w:r>
      <w:r w:rsidR="004F1336" w:rsidRPr="00160CE2">
        <w:rPr>
          <w:rFonts w:ascii="Century Gothic" w:hAnsi="Century Gothic"/>
        </w:rPr>
        <w:t>r</w:t>
      </w:r>
      <w:r w:rsidRPr="00160CE2">
        <w:rPr>
          <w:rFonts w:ascii="Century Gothic" w:hAnsi="Century Gothic"/>
        </w:rPr>
        <w:t xml:space="preserve">o. </w:t>
      </w:r>
      <w:r w:rsidR="004F1336" w:rsidRPr="00160CE2">
        <w:rPr>
          <w:rFonts w:ascii="Century Gothic" w:hAnsi="Century Gothic"/>
        </w:rPr>
        <w:t>12009</w:t>
      </w:r>
      <w:r w:rsidRPr="00160CE2">
        <w:rPr>
          <w:rFonts w:ascii="Century Gothic" w:hAnsi="Century Gothic"/>
        </w:rPr>
        <w:t>, del 0</w:t>
      </w:r>
      <w:r w:rsidR="004F1336" w:rsidRPr="00160CE2">
        <w:rPr>
          <w:rFonts w:ascii="Century Gothic" w:hAnsi="Century Gothic"/>
        </w:rPr>
        <w:t>8</w:t>
      </w:r>
      <w:r w:rsidRPr="00160CE2">
        <w:rPr>
          <w:rFonts w:ascii="Century Gothic" w:hAnsi="Century Gothic"/>
        </w:rPr>
        <w:t xml:space="preserve"> de </w:t>
      </w:r>
      <w:r w:rsidR="004F1336" w:rsidRPr="00160CE2">
        <w:rPr>
          <w:rFonts w:ascii="Century Gothic" w:hAnsi="Century Gothic"/>
        </w:rPr>
        <w:t>diciembre</w:t>
      </w:r>
      <w:r w:rsidRPr="00160CE2">
        <w:rPr>
          <w:rFonts w:ascii="Century Gothic" w:hAnsi="Century Gothic"/>
        </w:rPr>
        <w:t xml:space="preserve"> d</w:t>
      </w:r>
      <w:r w:rsidR="004F1336" w:rsidRPr="00160CE2">
        <w:rPr>
          <w:rFonts w:ascii="Century Gothic" w:hAnsi="Century Gothic"/>
        </w:rPr>
        <w:t>el</w:t>
      </w:r>
      <w:r w:rsidRPr="00160CE2">
        <w:rPr>
          <w:rFonts w:ascii="Century Gothic" w:hAnsi="Century Gothic"/>
        </w:rPr>
        <w:t xml:space="preserve"> 20</w:t>
      </w:r>
      <w:r w:rsidR="004F1336" w:rsidRPr="00160CE2">
        <w:rPr>
          <w:rFonts w:ascii="Century Gothic" w:hAnsi="Century Gothic"/>
        </w:rPr>
        <w:t>20</w:t>
      </w:r>
      <w:r w:rsidRPr="00160CE2">
        <w:rPr>
          <w:rFonts w:ascii="Century Gothic" w:hAnsi="Century Gothic"/>
        </w:rPr>
        <w:t>, emitida por la Dirección Metropolitana de Catastro y</w:t>
      </w:r>
      <w:r w:rsidR="004F1336" w:rsidRPr="00160CE2">
        <w:rPr>
          <w:rFonts w:ascii="Century Gothic" w:hAnsi="Century Gothic"/>
        </w:rPr>
        <w:t>,</w:t>
      </w:r>
      <w:r w:rsidRPr="00160CE2">
        <w:rPr>
          <w:rFonts w:ascii="Century Gothic" w:hAnsi="Century Gothic"/>
        </w:rPr>
        <w:t xml:space="preserve"> </w:t>
      </w:r>
      <w:r w:rsidR="004F1336" w:rsidRPr="00160CE2">
        <w:rPr>
          <w:rFonts w:ascii="Century Gothic" w:hAnsi="Century Gothic"/>
        </w:rPr>
        <w:t xml:space="preserve">que </w:t>
      </w:r>
      <w:r w:rsidRPr="00160CE2">
        <w:rPr>
          <w:rFonts w:ascii="Century Gothic" w:hAnsi="Century Gothic"/>
        </w:rPr>
        <w:t>se encuentra rectificada y regularizada de conformidad al Art. IV.1.164 del Código Municipal.</w:t>
      </w:r>
    </w:p>
    <w:p w14:paraId="5B0F3A74" w14:textId="38C1E764" w:rsidR="002931C0" w:rsidRPr="00160CE2" w:rsidRDefault="002931C0" w:rsidP="002931C0">
      <w:pPr>
        <w:jc w:val="both"/>
        <w:rPr>
          <w:rFonts w:ascii="Century Gothic" w:hAnsi="Century Gothic"/>
        </w:rPr>
      </w:pPr>
      <w:r w:rsidRPr="00160CE2">
        <w:rPr>
          <w:rFonts w:ascii="Century Gothic" w:hAnsi="Century Gothic"/>
        </w:rPr>
        <w:t xml:space="preserve">El área total del predio No. </w:t>
      </w:r>
      <w:r w:rsidR="004F1336" w:rsidRPr="00160CE2">
        <w:rPr>
          <w:rFonts w:ascii="Century Gothic" w:hAnsi="Century Gothic"/>
        </w:rPr>
        <w:t>5126592</w:t>
      </w:r>
      <w:r w:rsidRPr="00160CE2">
        <w:rPr>
          <w:rFonts w:ascii="Century Gothic" w:hAnsi="Century Gothic"/>
        </w:rPr>
        <w:t xml:space="preserve">, es la que consta en la </w:t>
      </w:r>
      <w:r w:rsidR="004F1336" w:rsidRPr="00160CE2">
        <w:rPr>
          <w:rFonts w:ascii="Century Gothic" w:hAnsi="Century Gothic"/>
        </w:rPr>
        <w:t xml:space="preserve">Resolución de excedentes y/o diferencias de áreas Nro. GADDMQ-DMC-2020-0479-R, del 11 de noviembre del 2020, </w:t>
      </w:r>
      <w:r w:rsidRPr="00160CE2">
        <w:rPr>
          <w:rFonts w:ascii="Century Gothic" w:hAnsi="Century Gothic"/>
        </w:rPr>
        <w:t>emitida por la Dirección Metropolitana de Catastro y se encuentra rectificada y regularizada de conformidad al Art. IV.1.164 del Código Municipal</w:t>
      </w:r>
    </w:p>
    <w:p w14:paraId="522A7B48" w14:textId="77777777" w:rsidR="0072385B" w:rsidRPr="00160CE2" w:rsidRDefault="002931C0" w:rsidP="002931C0">
      <w:pPr>
        <w:jc w:val="both"/>
        <w:rPr>
          <w:rFonts w:ascii="Century Gothic" w:hAnsi="Century Gothic"/>
        </w:rPr>
      </w:pPr>
      <w:r w:rsidRPr="00160CE2">
        <w:rPr>
          <w:rFonts w:ascii="Century Gothic" w:hAnsi="Century Gothic"/>
          <w:b/>
          <w:bCs/>
        </w:rPr>
        <w:t>Artículo 5. Zonificación de los lotes.</w:t>
      </w:r>
      <w:r w:rsidR="00933E9A" w:rsidRPr="00160CE2">
        <w:rPr>
          <w:rFonts w:ascii="Century Gothic" w:hAnsi="Century Gothic"/>
          <w:b/>
          <w:bCs/>
        </w:rPr>
        <w:t xml:space="preserve"> </w:t>
      </w:r>
      <w:r w:rsidRPr="00160CE2">
        <w:rPr>
          <w:rFonts w:ascii="Century Gothic" w:hAnsi="Century Gothic"/>
          <w:b/>
          <w:bCs/>
        </w:rPr>
        <w:t>-</w:t>
      </w:r>
      <w:r w:rsidRPr="00160CE2">
        <w:rPr>
          <w:rFonts w:ascii="Century Gothic" w:hAnsi="Century Gothic"/>
        </w:rPr>
        <w:t xml:space="preserve"> </w:t>
      </w:r>
      <w:r w:rsidR="004F1336" w:rsidRPr="00160CE2">
        <w:rPr>
          <w:rFonts w:ascii="Century Gothic" w:hAnsi="Century Gothic"/>
        </w:rPr>
        <w:t xml:space="preserve">Los lotes fraccionados 1, 2, 3, 4, 5, 6, 7, 8, 9, 10, 11, 12, 13, 14, 20, 21, 22, 23, 24, 25, 27, 28, 29, 30, 31, 32, 33, 34 y 35,  modificarán la zonificación conforme se detalla a continuación: D1 (D202-80), lote mínimo 200 m2, uso principal del suelo  (RR2) Residencia Rural 2 y forma de ocupación </w:t>
      </w:r>
      <w:r w:rsidR="004F1336" w:rsidRPr="00160CE2">
        <w:rPr>
          <w:rFonts w:ascii="Century Gothic" w:hAnsi="Century Gothic"/>
        </w:rPr>
        <w:lastRenderedPageBreak/>
        <w:t xml:space="preserve">del suelo (D) Sobre línea de fábrica; Número de pisos  2, COS planta baja: 80%, COS total: 160%; </w:t>
      </w:r>
    </w:p>
    <w:p w14:paraId="0BA03B1A" w14:textId="28B3860B" w:rsidR="0072385B" w:rsidRPr="00160CE2" w:rsidRDefault="0072385B" w:rsidP="002931C0">
      <w:pPr>
        <w:jc w:val="both"/>
        <w:rPr>
          <w:rFonts w:ascii="Century Gothic" w:hAnsi="Century Gothic"/>
        </w:rPr>
      </w:pPr>
      <w:r w:rsidRPr="00160CE2">
        <w:rPr>
          <w:rFonts w:ascii="Century Gothic" w:hAnsi="Century Gothic"/>
        </w:rPr>
        <w:t>L</w:t>
      </w:r>
      <w:r w:rsidR="004F1336" w:rsidRPr="00160CE2">
        <w:rPr>
          <w:rFonts w:ascii="Century Gothic" w:hAnsi="Century Gothic"/>
        </w:rPr>
        <w:t xml:space="preserve">os lotes fraccionados 8, 9, 10, 11,  modificarán la zonificación conforme se detalla a continuación: D1 (D202-80), lote mínimo 200 m2, uso principal del suelo  (RR2) Residencia Rural 2 y forma de ocupación del suelo (D) Sobre línea de fábrica; Número de pisos  2, COS planta baja: 80%, COS total: 160% y mantendrán la zonificación conforme se detalla: A31 (PQ), (PE/CPN) Protección Ecológica/ Conservación del Patrimonio Natural; </w:t>
      </w:r>
    </w:p>
    <w:p w14:paraId="646C5EE0" w14:textId="52B200E7" w:rsidR="004D4967" w:rsidRPr="00160CE2" w:rsidRDefault="0072385B" w:rsidP="002931C0">
      <w:pPr>
        <w:jc w:val="both"/>
        <w:rPr>
          <w:rFonts w:ascii="Century Gothic" w:hAnsi="Century Gothic"/>
        </w:rPr>
      </w:pPr>
      <w:r w:rsidRPr="00160CE2">
        <w:rPr>
          <w:rFonts w:ascii="Century Gothic" w:hAnsi="Century Gothic"/>
        </w:rPr>
        <w:t>L</w:t>
      </w:r>
      <w:r w:rsidR="004F1336" w:rsidRPr="00160CE2">
        <w:rPr>
          <w:rFonts w:ascii="Century Gothic" w:hAnsi="Century Gothic"/>
        </w:rPr>
        <w:t xml:space="preserve">os lotes fraccionados 15, 18, 19 y </w:t>
      </w:r>
      <w:r w:rsidR="00160CE2" w:rsidRPr="00160CE2">
        <w:rPr>
          <w:rFonts w:ascii="Century Gothic" w:hAnsi="Century Gothic"/>
        </w:rPr>
        <w:t>26 modificarán</w:t>
      </w:r>
      <w:r w:rsidR="004F1336" w:rsidRPr="00160CE2">
        <w:rPr>
          <w:rFonts w:ascii="Century Gothic" w:hAnsi="Century Gothic"/>
        </w:rPr>
        <w:t xml:space="preserve"> la zonificación conforme se detalla: A2 (A1002-35), lote mínimo 1000 m2, uso principal del </w:t>
      </w:r>
      <w:r w:rsidR="00160CE2" w:rsidRPr="00160CE2">
        <w:rPr>
          <w:rFonts w:ascii="Century Gothic" w:hAnsi="Century Gothic"/>
        </w:rPr>
        <w:t>suelo (</w:t>
      </w:r>
      <w:r w:rsidR="004F1336" w:rsidRPr="00160CE2">
        <w:rPr>
          <w:rFonts w:ascii="Century Gothic" w:hAnsi="Century Gothic"/>
        </w:rPr>
        <w:t xml:space="preserve">RR2) Residencia Rural 2 y forma de ocupación del suelo (A) Aislada; Número de </w:t>
      </w:r>
      <w:r w:rsidR="00160CE2" w:rsidRPr="00160CE2">
        <w:rPr>
          <w:rFonts w:ascii="Century Gothic" w:hAnsi="Century Gothic"/>
        </w:rPr>
        <w:t>pisos 2</w:t>
      </w:r>
      <w:r w:rsidR="004F1336" w:rsidRPr="00160CE2">
        <w:rPr>
          <w:rFonts w:ascii="Century Gothic" w:hAnsi="Century Gothic"/>
        </w:rPr>
        <w:t>, COS planta baja: 35%, COS total: 70%;</w:t>
      </w:r>
    </w:p>
    <w:p w14:paraId="2CE835EE" w14:textId="36BA1768" w:rsidR="002931C0" w:rsidRPr="00160CE2" w:rsidRDefault="00160CE2" w:rsidP="002931C0">
      <w:pPr>
        <w:jc w:val="both"/>
        <w:rPr>
          <w:rFonts w:ascii="Century Gothic" w:hAnsi="Century Gothic"/>
        </w:rPr>
      </w:pPr>
      <w:r w:rsidRPr="00160CE2">
        <w:rPr>
          <w:rFonts w:ascii="Century Gothic" w:hAnsi="Century Gothic"/>
        </w:rPr>
        <w:t>Los lotes</w:t>
      </w:r>
      <w:r w:rsidR="004F1336" w:rsidRPr="00160CE2">
        <w:rPr>
          <w:rFonts w:ascii="Century Gothic" w:hAnsi="Century Gothic"/>
        </w:rPr>
        <w:t xml:space="preserve"> fraccionados 16 y </w:t>
      </w:r>
      <w:r w:rsidRPr="00160CE2">
        <w:rPr>
          <w:rFonts w:ascii="Century Gothic" w:hAnsi="Century Gothic"/>
        </w:rPr>
        <w:t>17 mantendrán</w:t>
      </w:r>
      <w:r w:rsidR="004F1336" w:rsidRPr="00160CE2">
        <w:rPr>
          <w:rFonts w:ascii="Century Gothic" w:hAnsi="Century Gothic"/>
        </w:rPr>
        <w:t xml:space="preserve"> la zonificación conforme se detalla: A4 (A5002-5), lote mínimo 5000 m2, uso principal del </w:t>
      </w:r>
      <w:r w:rsidRPr="00160CE2">
        <w:rPr>
          <w:rFonts w:ascii="Century Gothic" w:hAnsi="Century Gothic"/>
        </w:rPr>
        <w:t>suelo (</w:t>
      </w:r>
      <w:r w:rsidR="004F1336" w:rsidRPr="00160CE2">
        <w:rPr>
          <w:rFonts w:ascii="Century Gothic" w:hAnsi="Century Gothic"/>
        </w:rPr>
        <w:t xml:space="preserve">RN/PS) Recursos Naturales / Producción Sostenible y forma de ocupación del suelo (A) Aislada; Número de </w:t>
      </w:r>
      <w:r w:rsidRPr="00160CE2">
        <w:rPr>
          <w:rFonts w:ascii="Century Gothic" w:hAnsi="Century Gothic"/>
        </w:rPr>
        <w:t>pisos 2</w:t>
      </w:r>
      <w:r w:rsidR="004F1336" w:rsidRPr="00160CE2">
        <w:rPr>
          <w:rFonts w:ascii="Century Gothic" w:hAnsi="Century Gothic"/>
        </w:rPr>
        <w:t>, COS planta baja: 5%, COS total: 10%.</w:t>
      </w:r>
    </w:p>
    <w:p w14:paraId="68B22FF3" w14:textId="50E98012" w:rsidR="002931C0" w:rsidRPr="00160CE2" w:rsidRDefault="002931C0" w:rsidP="002931C0">
      <w:pPr>
        <w:jc w:val="both"/>
        <w:rPr>
          <w:rFonts w:ascii="Century Gothic" w:hAnsi="Century Gothic"/>
        </w:rPr>
      </w:pPr>
      <w:r w:rsidRPr="00160CE2">
        <w:rPr>
          <w:rFonts w:ascii="Century Gothic" w:hAnsi="Century Gothic"/>
          <w:b/>
          <w:bCs/>
        </w:rPr>
        <w:t>Artículo 6. Clasificación del Suelo.</w:t>
      </w:r>
      <w:r w:rsidR="00933E9A" w:rsidRPr="00160CE2">
        <w:rPr>
          <w:rFonts w:ascii="Century Gothic" w:hAnsi="Century Gothic"/>
          <w:b/>
          <w:bCs/>
        </w:rPr>
        <w:t xml:space="preserve"> </w:t>
      </w:r>
      <w:r w:rsidRPr="00160CE2">
        <w:rPr>
          <w:rFonts w:ascii="Century Gothic" w:hAnsi="Century Gothic"/>
          <w:b/>
          <w:bCs/>
        </w:rPr>
        <w:t>-</w:t>
      </w:r>
      <w:r w:rsidRPr="00160CE2">
        <w:rPr>
          <w:rFonts w:ascii="Century Gothic" w:hAnsi="Century Gothic"/>
        </w:rPr>
        <w:t xml:space="preserve"> Los lotes fraccionados mantendrán la clasificación vigente esto es (S</w:t>
      </w:r>
      <w:r w:rsidR="004F1336" w:rsidRPr="00160CE2">
        <w:rPr>
          <w:rFonts w:ascii="Century Gothic" w:hAnsi="Century Gothic"/>
        </w:rPr>
        <w:t>R</w:t>
      </w:r>
      <w:r w:rsidRPr="00160CE2">
        <w:rPr>
          <w:rFonts w:ascii="Century Gothic" w:hAnsi="Century Gothic"/>
        </w:rPr>
        <w:t xml:space="preserve">U) Suelo </w:t>
      </w:r>
      <w:r w:rsidR="004F1336" w:rsidRPr="00160CE2">
        <w:rPr>
          <w:rFonts w:ascii="Century Gothic" w:hAnsi="Century Gothic"/>
        </w:rPr>
        <w:t>Rural.</w:t>
      </w:r>
    </w:p>
    <w:p w14:paraId="5CE23926" w14:textId="77777777" w:rsidR="004F1336" w:rsidRPr="00160CE2" w:rsidRDefault="002931C0" w:rsidP="002931C0">
      <w:pPr>
        <w:jc w:val="both"/>
        <w:rPr>
          <w:rFonts w:ascii="Century Gothic" w:hAnsi="Century Gothic"/>
        </w:rPr>
      </w:pPr>
      <w:r w:rsidRPr="00160CE2">
        <w:rPr>
          <w:rFonts w:ascii="Century Gothic" w:hAnsi="Century Gothic"/>
          <w:b/>
          <w:bCs/>
        </w:rPr>
        <w:t>Artículo 7.</w:t>
      </w:r>
      <w:r w:rsidR="00933E9A" w:rsidRPr="00160CE2">
        <w:rPr>
          <w:rFonts w:ascii="Century Gothic" w:hAnsi="Century Gothic"/>
          <w:b/>
          <w:bCs/>
        </w:rPr>
        <w:t xml:space="preserve"> </w:t>
      </w:r>
      <w:r w:rsidRPr="00160CE2">
        <w:rPr>
          <w:rFonts w:ascii="Century Gothic" w:hAnsi="Century Gothic"/>
          <w:b/>
          <w:bCs/>
        </w:rPr>
        <w:t>Lotes por excepción</w:t>
      </w:r>
      <w:r w:rsidR="00933E9A" w:rsidRPr="00160CE2">
        <w:rPr>
          <w:rFonts w:ascii="Century Gothic" w:hAnsi="Century Gothic"/>
          <w:b/>
          <w:bCs/>
        </w:rPr>
        <w:t>. -</w:t>
      </w:r>
      <w:r w:rsidRPr="00160CE2">
        <w:rPr>
          <w:rFonts w:ascii="Century Gothic" w:hAnsi="Century Gothic"/>
        </w:rPr>
        <w:t xml:space="preserve"> </w:t>
      </w:r>
      <w:r w:rsidR="004F1336" w:rsidRPr="00160CE2">
        <w:rPr>
          <w:rFonts w:ascii="Century Gothic" w:hAnsi="Century Gothic"/>
        </w:rPr>
        <w:t>Por tratarse de un asentamiento de hecho y consolidado de interés social, se aprueban por excepción, esto es, con áreas inferiores a las mínimas establecidas en la zonificación propuesta, el lote 30.</w:t>
      </w:r>
    </w:p>
    <w:p w14:paraId="0574CFD6" w14:textId="753D06F3" w:rsidR="002931C0" w:rsidRPr="00160CE2" w:rsidRDefault="002931C0" w:rsidP="002931C0">
      <w:pPr>
        <w:jc w:val="both"/>
        <w:rPr>
          <w:rFonts w:ascii="Century Gothic" w:hAnsi="Century Gothic"/>
        </w:rPr>
      </w:pPr>
      <w:r w:rsidRPr="00160CE2">
        <w:rPr>
          <w:rFonts w:ascii="Century Gothic" w:hAnsi="Century Gothic"/>
          <w:b/>
          <w:bCs/>
        </w:rPr>
        <w:t xml:space="preserve">Artículo 8. </w:t>
      </w:r>
      <w:r w:rsidR="004F1336" w:rsidRPr="00160CE2">
        <w:rPr>
          <w:rFonts w:ascii="Century Gothic" w:hAnsi="Century Gothic"/>
          <w:b/>
          <w:bCs/>
        </w:rPr>
        <w:t xml:space="preserve">Área </w:t>
      </w:r>
      <w:r w:rsidRPr="00160CE2">
        <w:rPr>
          <w:rFonts w:ascii="Century Gothic" w:hAnsi="Century Gothic"/>
          <w:b/>
          <w:bCs/>
        </w:rPr>
        <w:t>verde y de equipamiento comunal.</w:t>
      </w:r>
      <w:r w:rsidR="00933E9A" w:rsidRPr="00160CE2">
        <w:rPr>
          <w:rFonts w:ascii="Century Gothic" w:hAnsi="Century Gothic"/>
          <w:b/>
          <w:bCs/>
        </w:rPr>
        <w:t xml:space="preserve"> </w:t>
      </w:r>
      <w:r w:rsidRPr="00160CE2">
        <w:rPr>
          <w:rFonts w:ascii="Century Gothic" w:hAnsi="Century Gothic"/>
          <w:b/>
          <w:bCs/>
        </w:rPr>
        <w:t>-</w:t>
      </w:r>
      <w:r w:rsidRPr="00160CE2">
        <w:rPr>
          <w:rFonts w:ascii="Century Gothic" w:hAnsi="Century Gothic"/>
        </w:rPr>
        <w:t xml:space="preserve"> </w:t>
      </w:r>
      <w:r w:rsidR="004F1336" w:rsidRPr="00160CE2">
        <w:rPr>
          <w:rFonts w:ascii="Century Gothic" w:hAnsi="Century Gothic"/>
        </w:rPr>
        <w:t>Los copropietarios del predio donde se encuentra el asentamiento humano de hecho y consolidado de interés social denominado “Comité Pro Mejoras del Barrio Ontaneda Alta” Segunda Etapa,  se les exonera del porcentaje del 15% de contribución de áreas verdes y equipamiento comunal por ser considerado de interés social; sin embargo de manera libre y voluntaria transfieren al Municipio del Distrito Metropolitano de Quito, como áreas verdes y áreas de equipamiento comunal el área de 5.297,43 m², del área útil de los lotes,  de conformidad al siguiente detalle: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907"/>
        <w:gridCol w:w="2982"/>
        <w:gridCol w:w="1562"/>
        <w:gridCol w:w="1352"/>
      </w:tblGrid>
      <w:tr w:rsidR="004F1336" w:rsidRPr="00160CE2" w14:paraId="64B25E6E" w14:textId="77777777" w:rsidTr="00F64062">
        <w:trPr>
          <w:trHeight w:val="172"/>
          <w:jc w:val="center"/>
        </w:trPr>
        <w:tc>
          <w:tcPr>
            <w:tcW w:w="882" w:type="pct"/>
            <w:vMerge w:val="restart"/>
            <w:shd w:val="clear" w:color="auto" w:fill="auto"/>
            <w:vAlign w:val="center"/>
          </w:tcPr>
          <w:p w14:paraId="6437CC6B" w14:textId="77777777" w:rsidR="004F1336" w:rsidRPr="00160CE2" w:rsidRDefault="004F1336" w:rsidP="00F64062">
            <w:pPr>
              <w:rPr>
                <w:rFonts w:ascii="Century Gothic" w:hAnsi="Century Gothic"/>
                <w:b/>
              </w:rPr>
            </w:pPr>
            <w:r w:rsidRPr="00160CE2">
              <w:rPr>
                <w:rFonts w:ascii="Century Gothic" w:hAnsi="Century Gothic"/>
                <w:b/>
              </w:rPr>
              <w:t xml:space="preserve">Área Verde y Equipamiento Comunal </w:t>
            </w:r>
          </w:p>
        </w:tc>
        <w:tc>
          <w:tcPr>
            <w:tcW w:w="3236" w:type="pct"/>
            <w:gridSpan w:val="3"/>
            <w:shd w:val="clear" w:color="auto" w:fill="auto"/>
          </w:tcPr>
          <w:p w14:paraId="4BAA07DA" w14:textId="77777777" w:rsidR="004F1336" w:rsidRPr="00160CE2" w:rsidRDefault="004F1336" w:rsidP="00F64062">
            <w:pPr>
              <w:jc w:val="center"/>
              <w:rPr>
                <w:rFonts w:ascii="Century Gothic" w:hAnsi="Century Gothic"/>
                <w:b/>
              </w:rPr>
            </w:pPr>
            <w:r w:rsidRPr="00160CE2">
              <w:rPr>
                <w:rFonts w:ascii="Century Gothic" w:hAnsi="Century Gothic"/>
                <w:b/>
              </w:rPr>
              <w:t>LINDEROS</w:t>
            </w:r>
          </w:p>
        </w:tc>
        <w:tc>
          <w:tcPr>
            <w:tcW w:w="882" w:type="pct"/>
            <w:shd w:val="clear" w:color="auto" w:fill="auto"/>
          </w:tcPr>
          <w:p w14:paraId="54FC0E03" w14:textId="77777777" w:rsidR="004F1336" w:rsidRPr="00160CE2" w:rsidRDefault="004F1336" w:rsidP="00F64062">
            <w:pPr>
              <w:jc w:val="center"/>
              <w:rPr>
                <w:rFonts w:ascii="Century Gothic" w:hAnsi="Century Gothic"/>
                <w:b/>
              </w:rPr>
            </w:pPr>
            <w:r w:rsidRPr="00160CE2">
              <w:rPr>
                <w:rFonts w:ascii="Century Gothic" w:hAnsi="Century Gothic"/>
                <w:b/>
              </w:rPr>
              <w:t>SUPERFICIE</w:t>
            </w:r>
          </w:p>
        </w:tc>
      </w:tr>
      <w:tr w:rsidR="004F1336" w:rsidRPr="00160CE2" w14:paraId="266D358C" w14:textId="77777777" w:rsidTr="00F64062">
        <w:trPr>
          <w:trHeight w:val="126"/>
          <w:jc w:val="center"/>
        </w:trPr>
        <w:tc>
          <w:tcPr>
            <w:tcW w:w="882" w:type="pct"/>
            <w:vMerge/>
            <w:shd w:val="clear" w:color="auto" w:fill="auto"/>
          </w:tcPr>
          <w:p w14:paraId="29DD9DE5" w14:textId="77777777" w:rsidR="004F1336" w:rsidRPr="00160CE2" w:rsidRDefault="004F1336" w:rsidP="00F64062">
            <w:pPr>
              <w:rPr>
                <w:rFonts w:ascii="Century Gothic" w:hAnsi="Century Gothic"/>
                <w:b/>
              </w:rPr>
            </w:pPr>
          </w:p>
        </w:tc>
        <w:tc>
          <w:tcPr>
            <w:tcW w:w="488" w:type="pct"/>
            <w:shd w:val="clear" w:color="auto" w:fill="auto"/>
          </w:tcPr>
          <w:p w14:paraId="35FF1E4D" w14:textId="77777777" w:rsidR="004F1336" w:rsidRPr="00160CE2" w:rsidRDefault="004F1336" w:rsidP="00F64062">
            <w:pPr>
              <w:rPr>
                <w:rFonts w:ascii="Century Gothic" w:hAnsi="Century Gothic"/>
                <w:b/>
              </w:rPr>
            </w:pPr>
            <w:r w:rsidRPr="00160CE2">
              <w:rPr>
                <w:rFonts w:ascii="Century Gothic" w:hAnsi="Century Gothic"/>
                <w:b/>
              </w:rPr>
              <w:t>Norte:</w:t>
            </w:r>
          </w:p>
        </w:tc>
        <w:tc>
          <w:tcPr>
            <w:tcW w:w="2012" w:type="pct"/>
            <w:shd w:val="clear" w:color="auto" w:fill="auto"/>
            <w:vAlign w:val="center"/>
          </w:tcPr>
          <w:p w14:paraId="173A4E16" w14:textId="77777777" w:rsidR="004F1336" w:rsidRPr="00160CE2" w:rsidRDefault="004F1336" w:rsidP="00F64062">
            <w:pPr>
              <w:rPr>
                <w:rFonts w:ascii="Century Gothic" w:hAnsi="Century Gothic"/>
              </w:rPr>
            </w:pPr>
            <w:r w:rsidRPr="00160CE2">
              <w:rPr>
                <w:rFonts w:ascii="Century Gothic" w:hAnsi="Century Gothic"/>
              </w:rPr>
              <w:t>Calle S11D RAMON MIÑO</w:t>
            </w:r>
          </w:p>
        </w:tc>
        <w:tc>
          <w:tcPr>
            <w:tcW w:w="736" w:type="pct"/>
            <w:shd w:val="clear" w:color="auto" w:fill="auto"/>
          </w:tcPr>
          <w:p w14:paraId="32D25ADD" w14:textId="77777777" w:rsidR="004F1336" w:rsidRPr="00160CE2" w:rsidRDefault="004F1336" w:rsidP="00F64062">
            <w:pPr>
              <w:jc w:val="right"/>
              <w:rPr>
                <w:rFonts w:ascii="Century Gothic" w:hAnsi="Century Gothic"/>
              </w:rPr>
            </w:pPr>
            <w:r w:rsidRPr="00160CE2">
              <w:rPr>
                <w:rFonts w:ascii="Century Gothic" w:hAnsi="Century Gothic"/>
              </w:rPr>
              <w:t>201.67 m</w:t>
            </w:r>
          </w:p>
          <w:p w14:paraId="4AF4A4F4" w14:textId="77777777" w:rsidR="004F1336" w:rsidRPr="00160CE2" w:rsidRDefault="004F1336" w:rsidP="00F64062">
            <w:pPr>
              <w:jc w:val="right"/>
              <w:rPr>
                <w:rFonts w:ascii="Century Gothic" w:hAnsi="Century Gothic"/>
              </w:rPr>
            </w:pPr>
            <w:r w:rsidRPr="00160CE2">
              <w:rPr>
                <w:rFonts w:ascii="Century Gothic" w:hAnsi="Century Gothic"/>
              </w:rPr>
              <w:t>en longitud desarrollada</w:t>
            </w:r>
          </w:p>
        </w:tc>
        <w:tc>
          <w:tcPr>
            <w:tcW w:w="882" w:type="pct"/>
            <w:vMerge w:val="restart"/>
            <w:shd w:val="clear" w:color="auto" w:fill="auto"/>
            <w:vAlign w:val="center"/>
          </w:tcPr>
          <w:p w14:paraId="26690839" w14:textId="77777777" w:rsidR="004F1336" w:rsidRPr="00160CE2" w:rsidRDefault="004F1336" w:rsidP="00F64062">
            <w:pPr>
              <w:jc w:val="center"/>
              <w:rPr>
                <w:rFonts w:ascii="Century Gothic" w:hAnsi="Century Gothic"/>
                <w:b/>
              </w:rPr>
            </w:pPr>
            <w:r w:rsidRPr="00160CE2">
              <w:rPr>
                <w:rFonts w:ascii="Century Gothic" w:hAnsi="Century Gothic"/>
                <w:b/>
              </w:rPr>
              <w:t>5.297,43 m²,</w:t>
            </w:r>
          </w:p>
        </w:tc>
      </w:tr>
      <w:tr w:rsidR="004F1336" w:rsidRPr="00160CE2" w14:paraId="18EBBE60" w14:textId="77777777" w:rsidTr="00F64062">
        <w:trPr>
          <w:trHeight w:val="141"/>
          <w:jc w:val="center"/>
        </w:trPr>
        <w:tc>
          <w:tcPr>
            <w:tcW w:w="882" w:type="pct"/>
            <w:vMerge/>
            <w:shd w:val="clear" w:color="auto" w:fill="auto"/>
          </w:tcPr>
          <w:p w14:paraId="46ABF03C" w14:textId="77777777" w:rsidR="004F1336" w:rsidRPr="00160CE2" w:rsidRDefault="004F1336" w:rsidP="00F64062">
            <w:pPr>
              <w:rPr>
                <w:rFonts w:ascii="Century Gothic" w:hAnsi="Century Gothic"/>
                <w:b/>
              </w:rPr>
            </w:pPr>
          </w:p>
        </w:tc>
        <w:tc>
          <w:tcPr>
            <w:tcW w:w="488" w:type="pct"/>
            <w:shd w:val="clear" w:color="auto" w:fill="auto"/>
          </w:tcPr>
          <w:p w14:paraId="4D2C065D" w14:textId="77777777" w:rsidR="004F1336" w:rsidRPr="00160CE2" w:rsidRDefault="004F1336" w:rsidP="00F64062">
            <w:pPr>
              <w:rPr>
                <w:rFonts w:ascii="Century Gothic" w:hAnsi="Century Gothic"/>
                <w:b/>
              </w:rPr>
            </w:pPr>
            <w:r w:rsidRPr="00160CE2">
              <w:rPr>
                <w:rFonts w:ascii="Century Gothic" w:hAnsi="Century Gothic"/>
                <w:b/>
              </w:rPr>
              <w:t>Sur:</w:t>
            </w:r>
          </w:p>
        </w:tc>
        <w:tc>
          <w:tcPr>
            <w:tcW w:w="2012" w:type="pct"/>
            <w:shd w:val="clear" w:color="auto" w:fill="auto"/>
          </w:tcPr>
          <w:p w14:paraId="2CFCEC16" w14:textId="77777777" w:rsidR="004F1336" w:rsidRPr="00160CE2" w:rsidRDefault="004F1336" w:rsidP="00F64062">
            <w:pPr>
              <w:rPr>
                <w:rFonts w:ascii="Century Gothic" w:hAnsi="Century Gothic"/>
              </w:rPr>
            </w:pPr>
            <w:r w:rsidRPr="00160CE2">
              <w:rPr>
                <w:rFonts w:ascii="Century Gothic" w:hAnsi="Century Gothic"/>
              </w:rPr>
              <w:t xml:space="preserve">Franja de protección de Quebrada </w:t>
            </w:r>
          </w:p>
          <w:p w14:paraId="7DF9DAB6" w14:textId="6E4A8C15" w:rsidR="004F1336" w:rsidRPr="00160CE2" w:rsidRDefault="004F1336" w:rsidP="00F64062">
            <w:pPr>
              <w:rPr>
                <w:rFonts w:ascii="Century Gothic" w:hAnsi="Century Gothic"/>
              </w:rPr>
            </w:pPr>
            <w:r w:rsidRPr="00160CE2">
              <w:rPr>
                <w:rFonts w:ascii="Century Gothic" w:hAnsi="Century Gothic"/>
              </w:rPr>
              <w:t xml:space="preserve">(Área Municipal) </w:t>
            </w:r>
          </w:p>
        </w:tc>
        <w:tc>
          <w:tcPr>
            <w:tcW w:w="736" w:type="pct"/>
            <w:shd w:val="clear" w:color="auto" w:fill="auto"/>
          </w:tcPr>
          <w:p w14:paraId="75486655" w14:textId="77777777" w:rsidR="004F1336" w:rsidRPr="00160CE2" w:rsidRDefault="004F1336" w:rsidP="00F64062">
            <w:pPr>
              <w:jc w:val="right"/>
              <w:rPr>
                <w:rFonts w:ascii="Century Gothic" w:hAnsi="Century Gothic"/>
              </w:rPr>
            </w:pPr>
            <w:r w:rsidRPr="00160CE2">
              <w:rPr>
                <w:rFonts w:ascii="Century Gothic" w:hAnsi="Century Gothic"/>
              </w:rPr>
              <w:t xml:space="preserve">230.97 m </w:t>
            </w:r>
          </w:p>
          <w:p w14:paraId="758AD292" w14:textId="77777777" w:rsidR="004F1336" w:rsidRPr="00160CE2" w:rsidRDefault="004F1336" w:rsidP="00F64062">
            <w:pPr>
              <w:jc w:val="right"/>
              <w:rPr>
                <w:rFonts w:ascii="Century Gothic" w:hAnsi="Century Gothic"/>
              </w:rPr>
            </w:pPr>
          </w:p>
        </w:tc>
        <w:tc>
          <w:tcPr>
            <w:tcW w:w="882" w:type="pct"/>
            <w:vMerge/>
            <w:shd w:val="clear" w:color="auto" w:fill="auto"/>
            <w:vAlign w:val="center"/>
          </w:tcPr>
          <w:p w14:paraId="69BD2971" w14:textId="77777777" w:rsidR="004F1336" w:rsidRPr="00160CE2" w:rsidRDefault="004F1336" w:rsidP="00F64062">
            <w:pPr>
              <w:jc w:val="center"/>
              <w:rPr>
                <w:rFonts w:ascii="Century Gothic" w:hAnsi="Century Gothic"/>
                <w:color w:val="FF0000"/>
              </w:rPr>
            </w:pPr>
          </w:p>
        </w:tc>
      </w:tr>
      <w:tr w:rsidR="004F1336" w:rsidRPr="00160CE2" w14:paraId="6569657D" w14:textId="77777777" w:rsidTr="00F64062">
        <w:trPr>
          <w:trHeight w:val="149"/>
          <w:jc w:val="center"/>
        </w:trPr>
        <w:tc>
          <w:tcPr>
            <w:tcW w:w="882" w:type="pct"/>
            <w:vMerge/>
            <w:shd w:val="clear" w:color="auto" w:fill="auto"/>
          </w:tcPr>
          <w:p w14:paraId="26F3390D" w14:textId="77777777" w:rsidR="004F1336" w:rsidRPr="00160CE2" w:rsidRDefault="004F1336" w:rsidP="00F64062">
            <w:pPr>
              <w:rPr>
                <w:rFonts w:ascii="Century Gothic" w:hAnsi="Century Gothic"/>
                <w:b/>
              </w:rPr>
            </w:pPr>
          </w:p>
        </w:tc>
        <w:tc>
          <w:tcPr>
            <w:tcW w:w="488" w:type="pct"/>
            <w:shd w:val="clear" w:color="auto" w:fill="auto"/>
          </w:tcPr>
          <w:p w14:paraId="5BE068D5" w14:textId="77777777" w:rsidR="004F1336" w:rsidRPr="00160CE2" w:rsidRDefault="004F1336" w:rsidP="00F64062">
            <w:pPr>
              <w:rPr>
                <w:rFonts w:ascii="Century Gothic" w:hAnsi="Century Gothic"/>
                <w:b/>
              </w:rPr>
            </w:pPr>
            <w:r w:rsidRPr="00160CE2">
              <w:rPr>
                <w:rFonts w:ascii="Century Gothic" w:hAnsi="Century Gothic"/>
                <w:b/>
              </w:rPr>
              <w:t>Este:</w:t>
            </w:r>
          </w:p>
        </w:tc>
        <w:tc>
          <w:tcPr>
            <w:tcW w:w="2012" w:type="pct"/>
            <w:shd w:val="clear" w:color="auto" w:fill="auto"/>
          </w:tcPr>
          <w:p w14:paraId="4B22ADA9" w14:textId="77777777" w:rsidR="004F1336" w:rsidRPr="00160CE2" w:rsidRDefault="004F1336" w:rsidP="00F64062">
            <w:pPr>
              <w:rPr>
                <w:rFonts w:ascii="Century Gothic" w:hAnsi="Century Gothic"/>
              </w:rPr>
            </w:pPr>
            <w:r w:rsidRPr="00160CE2">
              <w:rPr>
                <w:rFonts w:ascii="Century Gothic" w:hAnsi="Century Gothic"/>
              </w:rPr>
              <w:t>Propiedad Particular</w:t>
            </w:r>
          </w:p>
        </w:tc>
        <w:tc>
          <w:tcPr>
            <w:tcW w:w="736" w:type="pct"/>
            <w:shd w:val="clear" w:color="auto" w:fill="auto"/>
          </w:tcPr>
          <w:p w14:paraId="0C6D1705" w14:textId="77777777" w:rsidR="004F1336" w:rsidRPr="00160CE2" w:rsidRDefault="004F1336" w:rsidP="00F64062">
            <w:pPr>
              <w:jc w:val="right"/>
              <w:rPr>
                <w:rFonts w:ascii="Century Gothic" w:hAnsi="Century Gothic"/>
              </w:rPr>
            </w:pPr>
            <w:r w:rsidRPr="00160CE2">
              <w:rPr>
                <w:rFonts w:ascii="Century Gothic" w:hAnsi="Century Gothic"/>
              </w:rPr>
              <w:t>33.84 m</w:t>
            </w:r>
          </w:p>
        </w:tc>
        <w:tc>
          <w:tcPr>
            <w:tcW w:w="882" w:type="pct"/>
            <w:vMerge/>
            <w:shd w:val="clear" w:color="auto" w:fill="auto"/>
            <w:vAlign w:val="center"/>
          </w:tcPr>
          <w:p w14:paraId="5018E080" w14:textId="77777777" w:rsidR="004F1336" w:rsidRPr="00160CE2" w:rsidRDefault="004F1336" w:rsidP="00F64062">
            <w:pPr>
              <w:jc w:val="center"/>
              <w:rPr>
                <w:rFonts w:ascii="Century Gothic" w:hAnsi="Century Gothic"/>
                <w:color w:val="FF0000"/>
              </w:rPr>
            </w:pPr>
          </w:p>
        </w:tc>
      </w:tr>
      <w:tr w:rsidR="004F1336" w:rsidRPr="00160CE2" w14:paraId="589036A7" w14:textId="77777777" w:rsidTr="00F64062">
        <w:trPr>
          <w:trHeight w:val="103"/>
          <w:jc w:val="center"/>
        </w:trPr>
        <w:tc>
          <w:tcPr>
            <w:tcW w:w="882" w:type="pct"/>
            <w:vMerge/>
            <w:shd w:val="clear" w:color="auto" w:fill="auto"/>
          </w:tcPr>
          <w:p w14:paraId="17676832" w14:textId="77777777" w:rsidR="004F1336" w:rsidRPr="00160CE2" w:rsidRDefault="004F1336" w:rsidP="00F64062">
            <w:pPr>
              <w:rPr>
                <w:rFonts w:ascii="Century Gothic" w:hAnsi="Century Gothic"/>
                <w:b/>
              </w:rPr>
            </w:pPr>
          </w:p>
        </w:tc>
        <w:tc>
          <w:tcPr>
            <w:tcW w:w="488" w:type="pct"/>
            <w:shd w:val="clear" w:color="auto" w:fill="auto"/>
          </w:tcPr>
          <w:p w14:paraId="7514FC56" w14:textId="77777777" w:rsidR="004F1336" w:rsidRPr="00160CE2" w:rsidRDefault="004F1336" w:rsidP="00F64062">
            <w:pPr>
              <w:rPr>
                <w:rFonts w:ascii="Century Gothic" w:hAnsi="Century Gothic"/>
                <w:b/>
              </w:rPr>
            </w:pPr>
            <w:r w:rsidRPr="00160CE2">
              <w:rPr>
                <w:rFonts w:ascii="Century Gothic" w:hAnsi="Century Gothic"/>
                <w:b/>
              </w:rPr>
              <w:t>Oeste:</w:t>
            </w:r>
          </w:p>
        </w:tc>
        <w:tc>
          <w:tcPr>
            <w:tcW w:w="2012" w:type="pct"/>
            <w:shd w:val="clear" w:color="auto" w:fill="auto"/>
          </w:tcPr>
          <w:p w14:paraId="41215598" w14:textId="77777777" w:rsidR="004F1336" w:rsidRPr="00160CE2" w:rsidRDefault="004F1336" w:rsidP="00F64062">
            <w:pPr>
              <w:rPr>
                <w:rFonts w:ascii="Century Gothic" w:hAnsi="Century Gothic"/>
              </w:rPr>
            </w:pPr>
            <w:r w:rsidRPr="00160CE2">
              <w:rPr>
                <w:rFonts w:ascii="Century Gothic" w:hAnsi="Century Gothic"/>
              </w:rPr>
              <w:t>Propiedad Particular</w:t>
            </w:r>
          </w:p>
        </w:tc>
        <w:tc>
          <w:tcPr>
            <w:tcW w:w="736" w:type="pct"/>
            <w:shd w:val="clear" w:color="auto" w:fill="auto"/>
          </w:tcPr>
          <w:p w14:paraId="36DD86DB" w14:textId="77777777" w:rsidR="004F1336" w:rsidRPr="00160CE2" w:rsidRDefault="004F1336" w:rsidP="00F64062">
            <w:pPr>
              <w:jc w:val="right"/>
              <w:rPr>
                <w:rFonts w:ascii="Century Gothic" w:hAnsi="Century Gothic"/>
              </w:rPr>
            </w:pPr>
            <w:r w:rsidRPr="00160CE2">
              <w:rPr>
                <w:rFonts w:ascii="Century Gothic" w:hAnsi="Century Gothic"/>
              </w:rPr>
              <w:t>27.36 m</w:t>
            </w:r>
          </w:p>
        </w:tc>
        <w:tc>
          <w:tcPr>
            <w:tcW w:w="882" w:type="pct"/>
            <w:vMerge/>
            <w:shd w:val="clear" w:color="auto" w:fill="auto"/>
          </w:tcPr>
          <w:p w14:paraId="6B8B42D8" w14:textId="77777777" w:rsidR="004F1336" w:rsidRPr="00160CE2" w:rsidRDefault="004F1336" w:rsidP="00F64062">
            <w:pPr>
              <w:jc w:val="right"/>
              <w:rPr>
                <w:rFonts w:ascii="Century Gothic" w:hAnsi="Century Gothic"/>
                <w:color w:val="FF0000"/>
              </w:rPr>
            </w:pPr>
          </w:p>
        </w:tc>
      </w:tr>
    </w:tbl>
    <w:p w14:paraId="41407D81" w14:textId="77777777" w:rsidR="004F1336" w:rsidRPr="00160CE2" w:rsidRDefault="004F1336" w:rsidP="002931C0">
      <w:pPr>
        <w:jc w:val="both"/>
        <w:rPr>
          <w:rFonts w:ascii="Century Gothic" w:hAnsi="Century Gothic"/>
        </w:rPr>
      </w:pPr>
    </w:p>
    <w:p w14:paraId="20D2F72E" w14:textId="33A95164" w:rsidR="002931C0" w:rsidRPr="00160CE2" w:rsidRDefault="002931C0" w:rsidP="004F1336">
      <w:pPr>
        <w:jc w:val="both"/>
        <w:rPr>
          <w:rFonts w:ascii="Century Gothic" w:hAnsi="Century Gothic"/>
        </w:rPr>
      </w:pPr>
      <w:r w:rsidRPr="00160CE2">
        <w:rPr>
          <w:rFonts w:ascii="Century Gothic" w:hAnsi="Century Gothic"/>
          <w:b/>
          <w:bCs/>
        </w:rPr>
        <w:lastRenderedPageBreak/>
        <w:t xml:space="preserve">Artículo 9. </w:t>
      </w:r>
      <w:r w:rsidR="004F1336" w:rsidRPr="00160CE2">
        <w:rPr>
          <w:rFonts w:ascii="Century Gothic" w:hAnsi="Century Gothic"/>
          <w:b/>
          <w:bCs/>
        </w:rPr>
        <w:t xml:space="preserve">De la franja de Protección de Quebrada (Área Municipal). - </w:t>
      </w:r>
      <w:r w:rsidR="004F1336" w:rsidRPr="00160CE2">
        <w:rPr>
          <w:rFonts w:ascii="Century Gothic" w:hAnsi="Century Gothic"/>
        </w:rPr>
        <w:t>Los copropietarios del asentamiento humano de hecho y consolidado de interés social “Comité Pro Mejoras del Barrio Ontaneda Alta” Segunda Etapa, transfieren al Municipio del Distrito Metropolitano de Quito de manera voluntaria como Área Municipal, un área total de 3.507,27 m2 establecidas en la franja de protección de Quebrada, de conformidad al siguiente detalle: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
        <w:gridCol w:w="907"/>
        <w:gridCol w:w="3478"/>
        <w:gridCol w:w="1562"/>
        <w:gridCol w:w="1162"/>
      </w:tblGrid>
      <w:tr w:rsidR="004F1336" w:rsidRPr="00160CE2" w14:paraId="0DB6CE72" w14:textId="77777777" w:rsidTr="00F64062">
        <w:trPr>
          <w:trHeight w:val="103"/>
          <w:jc w:val="center"/>
        </w:trPr>
        <w:tc>
          <w:tcPr>
            <w:tcW w:w="886" w:type="pct"/>
            <w:vMerge w:val="restart"/>
            <w:shd w:val="clear" w:color="auto" w:fill="auto"/>
          </w:tcPr>
          <w:p w14:paraId="54BF9703" w14:textId="77777777" w:rsidR="004F1336" w:rsidRPr="00160CE2" w:rsidRDefault="004F1336" w:rsidP="00F64062">
            <w:pPr>
              <w:rPr>
                <w:rFonts w:ascii="Century Gothic" w:hAnsi="Century Gothic"/>
                <w:b/>
              </w:rPr>
            </w:pPr>
            <w:r w:rsidRPr="00160CE2">
              <w:rPr>
                <w:rFonts w:ascii="Century Gothic" w:hAnsi="Century Gothic"/>
                <w:b/>
              </w:rPr>
              <w:t>Faja de Protección de Quebrada (Área Municipal)</w:t>
            </w:r>
          </w:p>
        </w:tc>
        <w:tc>
          <w:tcPr>
            <w:tcW w:w="507" w:type="pct"/>
            <w:shd w:val="clear" w:color="auto" w:fill="auto"/>
          </w:tcPr>
          <w:p w14:paraId="55112A40" w14:textId="77777777" w:rsidR="004F1336" w:rsidRPr="00160CE2" w:rsidRDefault="004F1336" w:rsidP="00F64062">
            <w:pPr>
              <w:rPr>
                <w:rFonts w:ascii="Century Gothic" w:hAnsi="Century Gothic"/>
                <w:b/>
              </w:rPr>
            </w:pPr>
            <w:r w:rsidRPr="00160CE2">
              <w:rPr>
                <w:rFonts w:ascii="Century Gothic" w:hAnsi="Century Gothic"/>
                <w:b/>
              </w:rPr>
              <w:t>Norte:</w:t>
            </w:r>
          </w:p>
        </w:tc>
        <w:tc>
          <w:tcPr>
            <w:tcW w:w="2118" w:type="pct"/>
            <w:shd w:val="clear" w:color="auto" w:fill="auto"/>
          </w:tcPr>
          <w:p w14:paraId="0E8EC321" w14:textId="77777777" w:rsidR="004F1336" w:rsidRPr="00160CE2" w:rsidRDefault="004F1336" w:rsidP="00F64062">
            <w:pPr>
              <w:rPr>
                <w:rFonts w:ascii="Century Gothic" w:hAnsi="Century Gothic"/>
              </w:rPr>
            </w:pPr>
            <w:r w:rsidRPr="00160CE2">
              <w:rPr>
                <w:rFonts w:ascii="Century Gothic" w:hAnsi="Century Gothic"/>
              </w:rPr>
              <w:t>Área Verde y Equipamiento Comunal</w:t>
            </w:r>
          </w:p>
        </w:tc>
        <w:tc>
          <w:tcPr>
            <w:tcW w:w="735" w:type="pct"/>
            <w:shd w:val="clear" w:color="auto" w:fill="auto"/>
          </w:tcPr>
          <w:p w14:paraId="15E06F5B" w14:textId="77777777" w:rsidR="004F1336" w:rsidRPr="00160CE2" w:rsidRDefault="004F1336" w:rsidP="00F64062">
            <w:pPr>
              <w:jc w:val="right"/>
              <w:rPr>
                <w:rFonts w:ascii="Century Gothic" w:hAnsi="Century Gothic"/>
              </w:rPr>
            </w:pPr>
            <w:r w:rsidRPr="00160CE2">
              <w:rPr>
                <w:rFonts w:ascii="Century Gothic" w:hAnsi="Century Gothic"/>
              </w:rPr>
              <w:t>230.99 m</w:t>
            </w:r>
          </w:p>
          <w:p w14:paraId="5E1CA988" w14:textId="77777777" w:rsidR="004F1336" w:rsidRPr="00160CE2" w:rsidRDefault="004F1336" w:rsidP="00F64062">
            <w:pPr>
              <w:jc w:val="right"/>
              <w:rPr>
                <w:rFonts w:ascii="Century Gothic" w:hAnsi="Century Gothic"/>
              </w:rPr>
            </w:pPr>
            <w:r w:rsidRPr="00160CE2">
              <w:rPr>
                <w:rFonts w:ascii="Century Gothic" w:hAnsi="Century Gothic"/>
              </w:rPr>
              <w:t>en longitud desarrollada</w:t>
            </w:r>
          </w:p>
        </w:tc>
        <w:tc>
          <w:tcPr>
            <w:tcW w:w="754" w:type="pct"/>
            <w:vMerge w:val="restart"/>
            <w:shd w:val="clear" w:color="auto" w:fill="auto"/>
            <w:vAlign w:val="center"/>
          </w:tcPr>
          <w:p w14:paraId="0CA0BE72" w14:textId="77777777" w:rsidR="004F1336" w:rsidRPr="00160CE2" w:rsidRDefault="004F1336" w:rsidP="00F64062">
            <w:pPr>
              <w:jc w:val="center"/>
              <w:rPr>
                <w:rFonts w:ascii="Century Gothic" w:hAnsi="Century Gothic"/>
              </w:rPr>
            </w:pPr>
            <w:r w:rsidRPr="00160CE2">
              <w:rPr>
                <w:rFonts w:ascii="Century Gothic" w:hAnsi="Century Gothic"/>
                <w:b/>
              </w:rPr>
              <w:t>3.507,27  m²</w:t>
            </w:r>
          </w:p>
        </w:tc>
      </w:tr>
      <w:tr w:rsidR="004F1336" w:rsidRPr="00160CE2" w14:paraId="17697493" w14:textId="77777777" w:rsidTr="00F64062">
        <w:trPr>
          <w:trHeight w:val="103"/>
          <w:jc w:val="center"/>
        </w:trPr>
        <w:tc>
          <w:tcPr>
            <w:tcW w:w="886" w:type="pct"/>
            <w:vMerge/>
            <w:shd w:val="clear" w:color="auto" w:fill="auto"/>
          </w:tcPr>
          <w:p w14:paraId="391A9347" w14:textId="77777777" w:rsidR="004F1336" w:rsidRPr="00160CE2" w:rsidRDefault="004F1336" w:rsidP="00F64062">
            <w:pPr>
              <w:rPr>
                <w:rFonts w:ascii="Century Gothic" w:hAnsi="Century Gothic"/>
                <w:b/>
              </w:rPr>
            </w:pPr>
          </w:p>
        </w:tc>
        <w:tc>
          <w:tcPr>
            <w:tcW w:w="507" w:type="pct"/>
            <w:shd w:val="clear" w:color="auto" w:fill="auto"/>
          </w:tcPr>
          <w:p w14:paraId="4B90D68C" w14:textId="77777777" w:rsidR="004F1336" w:rsidRPr="00160CE2" w:rsidRDefault="004F1336" w:rsidP="00F64062">
            <w:pPr>
              <w:rPr>
                <w:rFonts w:ascii="Century Gothic" w:hAnsi="Century Gothic"/>
                <w:b/>
              </w:rPr>
            </w:pPr>
            <w:r w:rsidRPr="00160CE2">
              <w:rPr>
                <w:rFonts w:ascii="Century Gothic" w:hAnsi="Century Gothic"/>
                <w:b/>
              </w:rPr>
              <w:t>Sur:</w:t>
            </w:r>
          </w:p>
        </w:tc>
        <w:tc>
          <w:tcPr>
            <w:tcW w:w="2118" w:type="pct"/>
            <w:shd w:val="clear" w:color="auto" w:fill="auto"/>
          </w:tcPr>
          <w:p w14:paraId="0E8384D7" w14:textId="77777777" w:rsidR="004F1336" w:rsidRPr="00160CE2" w:rsidRDefault="004F1336" w:rsidP="00F64062">
            <w:pPr>
              <w:rPr>
                <w:rFonts w:ascii="Century Gothic" w:hAnsi="Century Gothic"/>
              </w:rPr>
            </w:pPr>
            <w:r w:rsidRPr="00160CE2">
              <w:rPr>
                <w:rFonts w:ascii="Century Gothic" w:hAnsi="Century Gothic"/>
              </w:rPr>
              <w:t xml:space="preserve">Quebrada </w:t>
            </w:r>
          </w:p>
        </w:tc>
        <w:tc>
          <w:tcPr>
            <w:tcW w:w="735" w:type="pct"/>
            <w:shd w:val="clear" w:color="auto" w:fill="auto"/>
          </w:tcPr>
          <w:p w14:paraId="668BE69F" w14:textId="77777777" w:rsidR="004F1336" w:rsidRPr="00160CE2" w:rsidRDefault="004F1336" w:rsidP="00F64062">
            <w:pPr>
              <w:jc w:val="right"/>
              <w:rPr>
                <w:rFonts w:ascii="Century Gothic" w:hAnsi="Century Gothic"/>
              </w:rPr>
            </w:pPr>
            <w:r w:rsidRPr="00160CE2">
              <w:rPr>
                <w:rFonts w:ascii="Century Gothic" w:hAnsi="Century Gothic"/>
              </w:rPr>
              <w:t>236.67 m</w:t>
            </w:r>
          </w:p>
          <w:p w14:paraId="201B5CA5" w14:textId="77777777" w:rsidR="004F1336" w:rsidRPr="00160CE2" w:rsidRDefault="004F1336" w:rsidP="00F64062">
            <w:pPr>
              <w:jc w:val="right"/>
              <w:rPr>
                <w:rFonts w:ascii="Century Gothic" w:hAnsi="Century Gothic"/>
              </w:rPr>
            </w:pPr>
            <w:r w:rsidRPr="00160CE2">
              <w:rPr>
                <w:rFonts w:ascii="Century Gothic" w:hAnsi="Century Gothic"/>
              </w:rPr>
              <w:t xml:space="preserve">en longitud desarrollada </w:t>
            </w:r>
          </w:p>
        </w:tc>
        <w:tc>
          <w:tcPr>
            <w:tcW w:w="754" w:type="pct"/>
            <w:vMerge/>
            <w:shd w:val="clear" w:color="auto" w:fill="auto"/>
            <w:vAlign w:val="center"/>
          </w:tcPr>
          <w:p w14:paraId="54BDFB95" w14:textId="77777777" w:rsidR="004F1336" w:rsidRPr="00160CE2" w:rsidRDefault="004F1336" w:rsidP="00F64062">
            <w:pPr>
              <w:jc w:val="center"/>
              <w:rPr>
                <w:rFonts w:ascii="Century Gothic" w:hAnsi="Century Gothic"/>
                <w:color w:val="FF0000"/>
              </w:rPr>
            </w:pPr>
          </w:p>
        </w:tc>
      </w:tr>
      <w:tr w:rsidR="004F1336" w:rsidRPr="00160CE2" w14:paraId="700CCCDB" w14:textId="77777777" w:rsidTr="00F64062">
        <w:trPr>
          <w:trHeight w:val="103"/>
          <w:jc w:val="center"/>
        </w:trPr>
        <w:tc>
          <w:tcPr>
            <w:tcW w:w="886" w:type="pct"/>
            <w:vMerge/>
            <w:shd w:val="clear" w:color="auto" w:fill="auto"/>
          </w:tcPr>
          <w:p w14:paraId="43A9DF07" w14:textId="77777777" w:rsidR="004F1336" w:rsidRPr="00160CE2" w:rsidRDefault="004F1336" w:rsidP="00F64062">
            <w:pPr>
              <w:rPr>
                <w:rFonts w:ascii="Century Gothic" w:hAnsi="Century Gothic"/>
                <w:b/>
              </w:rPr>
            </w:pPr>
          </w:p>
        </w:tc>
        <w:tc>
          <w:tcPr>
            <w:tcW w:w="507" w:type="pct"/>
            <w:shd w:val="clear" w:color="auto" w:fill="auto"/>
          </w:tcPr>
          <w:p w14:paraId="66DDEF26" w14:textId="77777777" w:rsidR="004F1336" w:rsidRPr="00160CE2" w:rsidRDefault="004F1336" w:rsidP="00F64062">
            <w:pPr>
              <w:rPr>
                <w:rFonts w:ascii="Century Gothic" w:hAnsi="Century Gothic"/>
                <w:b/>
              </w:rPr>
            </w:pPr>
            <w:r w:rsidRPr="00160CE2">
              <w:rPr>
                <w:rFonts w:ascii="Century Gothic" w:hAnsi="Century Gothic"/>
                <w:b/>
              </w:rPr>
              <w:t>Este:</w:t>
            </w:r>
          </w:p>
        </w:tc>
        <w:tc>
          <w:tcPr>
            <w:tcW w:w="2118" w:type="pct"/>
            <w:shd w:val="clear" w:color="auto" w:fill="auto"/>
          </w:tcPr>
          <w:p w14:paraId="6B2C7C50" w14:textId="77777777" w:rsidR="004F1336" w:rsidRPr="00160CE2" w:rsidRDefault="004F1336" w:rsidP="00F64062">
            <w:pPr>
              <w:rPr>
                <w:rFonts w:ascii="Century Gothic" w:hAnsi="Century Gothic"/>
              </w:rPr>
            </w:pPr>
            <w:r w:rsidRPr="00160CE2">
              <w:rPr>
                <w:rFonts w:ascii="Century Gothic" w:hAnsi="Century Gothic"/>
              </w:rPr>
              <w:t>Propiedad Particular</w:t>
            </w:r>
          </w:p>
        </w:tc>
        <w:tc>
          <w:tcPr>
            <w:tcW w:w="735" w:type="pct"/>
            <w:shd w:val="clear" w:color="auto" w:fill="auto"/>
          </w:tcPr>
          <w:p w14:paraId="24A9FE67" w14:textId="77777777" w:rsidR="004F1336" w:rsidRPr="00160CE2" w:rsidRDefault="004F1336" w:rsidP="00F64062">
            <w:pPr>
              <w:jc w:val="right"/>
              <w:rPr>
                <w:rFonts w:ascii="Century Gothic" w:hAnsi="Century Gothic"/>
              </w:rPr>
            </w:pPr>
            <w:r w:rsidRPr="00160CE2">
              <w:rPr>
                <w:rFonts w:ascii="Century Gothic" w:hAnsi="Century Gothic"/>
              </w:rPr>
              <w:t>17.96 m</w:t>
            </w:r>
          </w:p>
        </w:tc>
        <w:tc>
          <w:tcPr>
            <w:tcW w:w="754" w:type="pct"/>
            <w:vMerge/>
            <w:shd w:val="clear" w:color="auto" w:fill="auto"/>
            <w:vAlign w:val="center"/>
          </w:tcPr>
          <w:p w14:paraId="28917A47" w14:textId="77777777" w:rsidR="004F1336" w:rsidRPr="00160CE2" w:rsidRDefault="004F1336" w:rsidP="00F64062">
            <w:pPr>
              <w:jc w:val="center"/>
              <w:rPr>
                <w:rFonts w:ascii="Century Gothic" w:hAnsi="Century Gothic"/>
                <w:color w:val="FF0000"/>
              </w:rPr>
            </w:pPr>
          </w:p>
        </w:tc>
      </w:tr>
      <w:tr w:rsidR="004F1336" w:rsidRPr="00160CE2" w14:paraId="399200B8" w14:textId="77777777" w:rsidTr="00F64062">
        <w:trPr>
          <w:trHeight w:val="103"/>
          <w:jc w:val="center"/>
        </w:trPr>
        <w:tc>
          <w:tcPr>
            <w:tcW w:w="886" w:type="pct"/>
            <w:vMerge/>
            <w:shd w:val="clear" w:color="auto" w:fill="auto"/>
          </w:tcPr>
          <w:p w14:paraId="361BF04F" w14:textId="77777777" w:rsidR="004F1336" w:rsidRPr="00160CE2" w:rsidRDefault="004F1336" w:rsidP="00F64062">
            <w:pPr>
              <w:rPr>
                <w:rFonts w:ascii="Century Gothic" w:hAnsi="Century Gothic"/>
                <w:b/>
              </w:rPr>
            </w:pPr>
          </w:p>
        </w:tc>
        <w:tc>
          <w:tcPr>
            <w:tcW w:w="507" w:type="pct"/>
            <w:shd w:val="clear" w:color="auto" w:fill="auto"/>
          </w:tcPr>
          <w:p w14:paraId="68DEDF30" w14:textId="77777777" w:rsidR="004F1336" w:rsidRPr="00160CE2" w:rsidRDefault="004F1336" w:rsidP="00F64062">
            <w:pPr>
              <w:rPr>
                <w:rFonts w:ascii="Century Gothic" w:hAnsi="Century Gothic"/>
                <w:b/>
              </w:rPr>
            </w:pPr>
            <w:r w:rsidRPr="00160CE2">
              <w:rPr>
                <w:rFonts w:ascii="Century Gothic" w:hAnsi="Century Gothic"/>
                <w:b/>
              </w:rPr>
              <w:t>Oeste:</w:t>
            </w:r>
          </w:p>
        </w:tc>
        <w:tc>
          <w:tcPr>
            <w:tcW w:w="2118" w:type="pct"/>
            <w:shd w:val="clear" w:color="auto" w:fill="auto"/>
          </w:tcPr>
          <w:p w14:paraId="49252222" w14:textId="77777777" w:rsidR="004F1336" w:rsidRPr="00160CE2" w:rsidRDefault="004F1336" w:rsidP="00F64062">
            <w:pPr>
              <w:rPr>
                <w:rFonts w:ascii="Century Gothic" w:hAnsi="Century Gothic"/>
              </w:rPr>
            </w:pPr>
            <w:r w:rsidRPr="00160CE2">
              <w:rPr>
                <w:rFonts w:ascii="Century Gothic" w:hAnsi="Century Gothic"/>
              </w:rPr>
              <w:t>Propiedad Particular</w:t>
            </w:r>
          </w:p>
        </w:tc>
        <w:tc>
          <w:tcPr>
            <w:tcW w:w="735" w:type="pct"/>
            <w:shd w:val="clear" w:color="auto" w:fill="auto"/>
          </w:tcPr>
          <w:p w14:paraId="309B4932" w14:textId="77777777" w:rsidR="004F1336" w:rsidRPr="00160CE2" w:rsidRDefault="004F1336" w:rsidP="00F64062">
            <w:pPr>
              <w:jc w:val="right"/>
              <w:rPr>
                <w:rFonts w:ascii="Century Gothic" w:hAnsi="Century Gothic"/>
              </w:rPr>
            </w:pPr>
            <w:r w:rsidRPr="00160CE2">
              <w:rPr>
                <w:rFonts w:ascii="Century Gothic" w:hAnsi="Century Gothic"/>
              </w:rPr>
              <w:t>16.55 m</w:t>
            </w:r>
          </w:p>
        </w:tc>
        <w:tc>
          <w:tcPr>
            <w:tcW w:w="754" w:type="pct"/>
            <w:vMerge/>
            <w:shd w:val="clear" w:color="auto" w:fill="auto"/>
          </w:tcPr>
          <w:p w14:paraId="5053CAA5" w14:textId="77777777" w:rsidR="004F1336" w:rsidRPr="00160CE2" w:rsidRDefault="004F1336" w:rsidP="00F64062">
            <w:pPr>
              <w:jc w:val="right"/>
              <w:rPr>
                <w:rFonts w:ascii="Century Gothic" w:hAnsi="Century Gothic"/>
                <w:color w:val="FF0000"/>
              </w:rPr>
            </w:pPr>
          </w:p>
        </w:tc>
      </w:tr>
    </w:tbl>
    <w:p w14:paraId="01A444BF" w14:textId="77777777" w:rsidR="004F1336" w:rsidRPr="00160CE2" w:rsidRDefault="004F1336" w:rsidP="004F1336">
      <w:pPr>
        <w:jc w:val="both"/>
        <w:rPr>
          <w:rFonts w:ascii="Century Gothic" w:hAnsi="Century Gothic"/>
        </w:rPr>
      </w:pPr>
    </w:p>
    <w:p w14:paraId="1FF98256" w14:textId="4B617A0D" w:rsidR="006951B1" w:rsidRPr="00160CE2" w:rsidRDefault="006951B1" w:rsidP="006951B1">
      <w:pPr>
        <w:jc w:val="both"/>
        <w:rPr>
          <w:rFonts w:ascii="Century Gothic" w:hAnsi="Century Gothic"/>
        </w:rPr>
      </w:pPr>
      <w:r w:rsidRPr="00160CE2">
        <w:rPr>
          <w:rFonts w:ascii="Century Gothic" w:hAnsi="Century Gothic"/>
          <w:b/>
          <w:bCs/>
        </w:rPr>
        <w:t xml:space="preserve">Artículo 10. Calificación de Riesgos. -  </w:t>
      </w:r>
      <w:r w:rsidRPr="00160CE2">
        <w:rPr>
          <w:rFonts w:ascii="Century Gothic" w:hAnsi="Century Gothic"/>
        </w:rPr>
        <w:t>El asentamiento humano de hecho y consolidado de interés social denominado “Comité Pro Mejoras del Barrio Ontaneda Alta” Segunda Etapa, deberá cumplir y acatar las recomendaciones que se encuentran determinadas en el informe de la Dirección Metropolitana de Gestión de Riesgos No. 182-AT-DMGR-2018, fecha 13 de julio del 2018, determina: “Riesgo por movimientos en masa: el AHHYC “Ontaneda Alta II Etapa” en general presenta un Riesgo Moderado Mitigable, para todos los lotes.”</w:t>
      </w:r>
    </w:p>
    <w:p w14:paraId="4209F343" w14:textId="77777777" w:rsidR="006951B1" w:rsidRPr="00160CE2" w:rsidRDefault="006951B1" w:rsidP="006951B1">
      <w:pPr>
        <w:jc w:val="both"/>
        <w:rPr>
          <w:rFonts w:ascii="Century Gothic" w:hAnsi="Century Gothic"/>
        </w:rPr>
      </w:pPr>
      <w:r w:rsidRPr="00160CE2">
        <w:rPr>
          <w:rFonts w:ascii="Century Gothic" w:hAnsi="Century Gothic"/>
        </w:rPr>
        <w:t>Así como las constantes en el Oficio Nro. GADDMQ-SGSG-DMGR-2020-0208-OF, de fecha 31 de marzo de 2020, emitido por el Director Metropolitano de Gestión de Riesgos, de la Secretaría General de Seguridad y Gobernabilidad, en el que se “ratifica en la calificación del nivel del riesgo frente a movimientos en masa, indicando que el AHHYC “Ontaneda Alta II Etapa” presenta Riesgo Moderado Mitigable para todos los lotes.”</w:t>
      </w:r>
    </w:p>
    <w:p w14:paraId="54B5F4F0" w14:textId="759418F0" w:rsidR="006951B1" w:rsidRPr="00160CE2" w:rsidRDefault="006951B1" w:rsidP="006951B1">
      <w:pPr>
        <w:jc w:val="both"/>
        <w:rPr>
          <w:rFonts w:ascii="Century Gothic" w:hAnsi="Century Gothic"/>
        </w:rPr>
      </w:pPr>
      <w:r w:rsidRPr="00160CE2">
        <w:rPr>
          <w:rFonts w:ascii="Century Gothic" w:hAnsi="Century Gothic"/>
        </w:rPr>
        <w:t>“Finalmente solicitarle que el articulado referente a la realización del estudio y cronograma de obras de mitigación no sea incluido en el cuerpo de la Ordenanza de regularización de AHHYC, debido a las condiciones morfológicas observadas en el asentamiento.”</w:t>
      </w:r>
    </w:p>
    <w:p w14:paraId="2AEFCB38" w14:textId="507FD636" w:rsidR="006951B1" w:rsidRPr="00160CE2" w:rsidRDefault="006951B1" w:rsidP="006951B1">
      <w:pPr>
        <w:jc w:val="both"/>
        <w:rPr>
          <w:rFonts w:ascii="Century Gothic" w:hAnsi="Century Gothic"/>
        </w:rPr>
      </w:pPr>
      <w:r w:rsidRPr="00160CE2">
        <w:rPr>
          <w:rFonts w:ascii="Century Gothic" w:hAnsi="Century Gothic"/>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52000411" w14:textId="4C53F16B" w:rsidR="006951B1" w:rsidRPr="00160CE2" w:rsidRDefault="006951B1" w:rsidP="006951B1">
      <w:pPr>
        <w:jc w:val="both"/>
        <w:rPr>
          <w:rFonts w:ascii="Century Gothic" w:hAnsi="Century Gothic"/>
        </w:rPr>
      </w:pPr>
      <w:r w:rsidRPr="00160CE2">
        <w:rPr>
          <w:rFonts w:ascii="Century Gothic" w:hAnsi="Century Gothic"/>
        </w:rPr>
        <w:t xml:space="preserve">La Secretaria de Territorio, Hábitat y Vivienda, a través de la instancia correspondiente y una vez sancionada la presente Ordenanza, deberá actualizar el Informe de Regulación Metropolitana (I.R.M.), de acuerdo con las </w:t>
      </w:r>
      <w:r w:rsidRPr="00160CE2">
        <w:rPr>
          <w:rFonts w:ascii="Century Gothic" w:hAnsi="Century Gothic"/>
        </w:rPr>
        <w:lastRenderedPageBreak/>
        <w:t>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A98336E" w14:textId="5BA4A884" w:rsidR="006951B1" w:rsidRPr="00160CE2" w:rsidRDefault="006951B1" w:rsidP="002931C0">
      <w:pPr>
        <w:jc w:val="both"/>
        <w:rPr>
          <w:rFonts w:ascii="Century Gothic" w:hAnsi="Century Gothic"/>
        </w:rPr>
      </w:pPr>
      <w:r w:rsidRPr="00160CE2">
        <w:rPr>
          <w:rFonts w:ascii="Century Gothic" w:hAnsi="Century Gothic"/>
          <w:b/>
          <w:bCs/>
        </w:rPr>
        <w:t xml:space="preserve">Artículo 11. De las Vías y escalinatas. - </w:t>
      </w:r>
      <w:r w:rsidRPr="00160CE2">
        <w:rPr>
          <w:rFonts w:ascii="Century Gothic" w:hAnsi="Century Gothic"/>
        </w:rPr>
        <w:t xml:space="preserve">El asentamiento humano de hecho y consolidado de interés social denominado “Comité Pro Mejoras del Barrio Ontaneda Alta” Segunda Etapa, contempla un sistema vial de uso público, debido a que éste es un asentamiento humano de hecho y consolidado de interés social de </w:t>
      </w:r>
      <w:r w:rsidR="004D4967" w:rsidRPr="00160CE2">
        <w:rPr>
          <w:rFonts w:ascii="Century Gothic" w:hAnsi="Century Gothic"/>
        </w:rPr>
        <w:t xml:space="preserve">21 </w:t>
      </w:r>
      <w:r w:rsidRPr="00160CE2">
        <w:rPr>
          <w:rFonts w:ascii="Century Gothic" w:hAnsi="Century Gothic"/>
        </w:rPr>
        <w:t>años de existencia, con 48.57% de consolidación de viviendas y se encuentra ejecutando obras de infraestructura, razón por la cual los anchos viales se sujetarán al plano adjunto a la presente ordenanza.</w:t>
      </w:r>
    </w:p>
    <w:p w14:paraId="01A66A6D" w14:textId="1EC20B9D" w:rsidR="006951B1" w:rsidRPr="00160CE2" w:rsidRDefault="006951B1" w:rsidP="002931C0">
      <w:pPr>
        <w:jc w:val="both"/>
        <w:rPr>
          <w:rFonts w:ascii="Century Gothic" w:hAnsi="Century Gothic"/>
        </w:rPr>
      </w:pPr>
      <w:r w:rsidRPr="00160CE2">
        <w:rPr>
          <w:rFonts w:ascii="Century Gothic" w:hAnsi="Century Gothic"/>
        </w:rPr>
        <w:t>Se regularizan las vías y escalinatas con el siguiente ancho: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2"/>
        <w:gridCol w:w="4472"/>
      </w:tblGrid>
      <w:tr w:rsidR="006951B1" w:rsidRPr="00160CE2" w14:paraId="1D65B83F" w14:textId="77777777" w:rsidTr="00F64062">
        <w:trPr>
          <w:trHeight w:val="287"/>
        </w:trPr>
        <w:tc>
          <w:tcPr>
            <w:tcW w:w="4111" w:type="dxa"/>
          </w:tcPr>
          <w:p w14:paraId="3BB18FFB" w14:textId="77777777" w:rsidR="006951B1" w:rsidRPr="00160CE2" w:rsidRDefault="006951B1" w:rsidP="00F64062">
            <w:pPr>
              <w:pStyle w:val="Sinespaciado"/>
              <w:jc w:val="both"/>
              <w:rPr>
                <w:rFonts w:ascii="Century Gothic" w:hAnsi="Century Gothic"/>
                <w:b/>
                <w:bCs/>
                <w:color w:val="000000" w:themeColor="text1"/>
              </w:rPr>
            </w:pPr>
            <w:r w:rsidRPr="00160CE2">
              <w:rPr>
                <w:rFonts w:ascii="Century Gothic" w:hAnsi="Century Gothic"/>
                <w:b/>
                <w:bCs/>
                <w:color w:val="000000" w:themeColor="text1"/>
              </w:rPr>
              <w:t>Calle S11D RAMÓN MIÑO</w:t>
            </w:r>
          </w:p>
        </w:tc>
        <w:tc>
          <w:tcPr>
            <w:tcW w:w="4678" w:type="dxa"/>
          </w:tcPr>
          <w:p w14:paraId="25ED586B" w14:textId="77777777" w:rsidR="006951B1" w:rsidRPr="00160CE2" w:rsidRDefault="006951B1" w:rsidP="00F64062">
            <w:pPr>
              <w:pStyle w:val="Sinespaciado"/>
              <w:jc w:val="both"/>
              <w:rPr>
                <w:rFonts w:ascii="Century Gothic" w:hAnsi="Century Gothic"/>
                <w:b/>
                <w:color w:val="000000" w:themeColor="text1"/>
              </w:rPr>
            </w:pPr>
            <w:r w:rsidRPr="00160CE2">
              <w:rPr>
                <w:rFonts w:ascii="Century Gothic" w:hAnsi="Century Gothic"/>
                <w:color w:val="000000" w:themeColor="text1"/>
              </w:rPr>
              <w:t>10.00m.</w:t>
            </w:r>
          </w:p>
        </w:tc>
      </w:tr>
      <w:tr w:rsidR="006951B1" w:rsidRPr="00160CE2" w14:paraId="5AEA93E2" w14:textId="77777777" w:rsidTr="00F64062">
        <w:trPr>
          <w:trHeight w:val="260"/>
        </w:trPr>
        <w:tc>
          <w:tcPr>
            <w:tcW w:w="4111" w:type="dxa"/>
          </w:tcPr>
          <w:p w14:paraId="625A0547" w14:textId="77777777" w:rsidR="006951B1" w:rsidRPr="00160CE2" w:rsidRDefault="006951B1" w:rsidP="00F64062">
            <w:pPr>
              <w:pStyle w:val="Sinespaciado"/>
              <w:jc w:val="both"/>
              <w:rPr>
                <w:rFonts w:ascii="Century Gothic" w:hAnsi="Century Gothic"/>
                <w:b/>
                <w:bCs/>
                <w:color w:val="000000" w:themeColor="text1"/>
              </w:rPr>
            </w:pPr>
            <w:r w:rsidRPr="00160CE2">
              <w:rPr>
                <w:rFonts w:ascii="Century Gothic" w:hAnsi="Century Gothic"/>
                <w:b/>
                <w:bCs/>
                <w:color w:val="000000" w:themeColor="text1"/>
              </w:rPr>
              <w:t>Calle S11</w:t>
            </w:r>
          </w:p>
        </w:tc>
        <w:tc>
          <w:tcPr>
            <w:tcW w:w="4678" w:type="dxa"/>
          </w:tcPr>
          <w:p w14:paraId="32895E12" w14:textId="77777777" w:rsidR="006951B1" w:rsidRPr="00160CE2" w:rsidRDefault="006951B1" w:rsidP="00F64062">
            <w:pPr>
              <w:pStyle w:val="Sinespaciado"/>
              <w:jc w:val="both"/>
              <w:rPr>
                <w:rFonts w:ascii="Century Gothic" w:hAnsi="Century Gothic"/>
                <w:b/>
                <w:color w:val="000000" w:themeColor="text1"/>
              </w:rPr>
            </w:pPr>
            <w:r w:rsidRPr="00160CE2">
              <w:rPr>
                <w:rFonts w:ascii="Century Gothic" w:hAnsi="Century Gothic"/>
                <w:color w:val="000000" w:themeColor="text1"/>
              </w:rPr>
              <w:t>10.00m.</w:t>
            </w:r>
          </w:p>
        </w:tc>
      </w:tr>
      <w:tr w:rsidR="006951B1" w:rsidRPr="00160CE2" w14:paraId="4BBDFD1E" w14:textId="77777777" w:rsidTr="00F64062">
        <w:trPr>
          <w:trHeight w:val="254"/>
        </w:trPr>
        <w:tc>
          <w:tcPr>
            <w:tcW w:w="4111" w:type="dxa"/>
          </w:tcPr>
          <w:p w14:paraId="7438198B" w14:textId="77777777" w:rsidR="006951B1" w:rsidRPr="00160CE2" w:rsidRDefault="006951B1" w:rsidP="00F64062">
            <w:pPr>
              <w:pStyle w:val="Sinespaciado"/>
              <w:jc w:val="both"/>
              <w:rPr>
                <w:rFonts w:ascii="Century Gothic" w:hAnsi="Century Gothic"/>
                <w:b/>
                <w:bCs/>
                <w:color w:val="000000" w:themeColor="text1"/>
              </w:rPr>
            </w:pPr>
            <w:r w:rsidRPr="00160CE2">
              <w:rPr>
                <w:rFonts w:ascii="Century Gothic" w:hAnsi="Century Gothic"/>
                <w:b/>
                <w:bCs/>
                <w:color w:val="000000" w:themeColor="text1"/>
              </w:rPr>
              <w:t>Calle Oe9E</w:t>
            </w:r>
          </w:p>
        </w:tc>
        <w:tc>
          <w:tcPr>
            <w:tcW w:w="4678" w:type="dxa"/>
          </w:tcPr>
          <w:p w14:paraId="2738DE89" w14:textId="77777777" w:rsidR="006951B1" w:rsidRPr="00160CE2" w:rsidRDefault="006951B1" w:rsidP="00F64062">
            <w:pPr>
              <w:pStyle w:val="Sinespaciado"/>
              <w:jc w:val="both"/>
              <w:rPr>
                <w:rFonts w:ascii="Century Gothic" w:hAnsi="Century Gothic"/>
                <w:b/>
                <w:color w:val="000000" w:themeColor="text1"/>
              </w:rPr>
            </w:pPr>
            <w:r w:rsidRPr="00160CE2">
              <w:rPr>
                <w:rFonts w:ascii="Century Gothic" w:hAnsi="Century Gothic"/>
                <w:color w:val="000000" w:themeColor="text1"/>
              </w:rPr>
              <w:t>8.00m.</w:t>
            </w:r>
          </w:p>
        </w:tc>
      </w:tr>
      <w:tr w:rsidR="006951B1" w:rsidRPr="00160CE2" w14:paraId="0EAD6543" w14:textId="77777777" w:rsidTr="00F64062">
        <w:trPr>
          <w:trHeight w:val="172"/>
        </w:trPr>
        <w:tc>
          <w:tcPr>
            <w:tcW w:w="4111" w:type="dxa"/>
          </w:tcPr>
          <w:p w14:paraId="52A44F73" w14:textId="77777777" w:rsidR="006951B1" w:rsidRPr="00160CE2" w:rsidRDefault="006951B1" w:rsidP="00F64062">
            <w:pPr>
              <w:pStyle w:val="Sinespaciado"/>
              <w:jc w:val="both"/>
              <w:rPr>
                <w:rFonts w:ascii="Century Gothic" w:hAnsi="Century Gothic"/>
                <w:b/>
                <w:bCs/>
                <w:color w:val="000000" w:themeColor="text1"/>
              </w:rPr>
            </w:pPr>
            <w:r w:rsidRPr="00160CE2">
              <w:rPr>
                <w:rFonts w:ascii="Century Gothic" w:hAnsi="Century Gothic"/>
                <w:b/>
                <w:bCs/>
                <w:color w:val="000000" w:themeColor="text1"/>
              </w:rPr>
              <w:t>Calle Oe9H</w:t>
            </w:r>
          </w:p>
        </w:tc>
        <w:tc>
          <w:tcPr>
            <w:tcW w:w="4678" w:type="dxa"/>
          </w:tcPr>
          <w:p w14:paraId="0488C9AB" w14:textId="77777777" w:rsidR="006951B1" w:rsidRPr="00160CE2" w:rsidRDefault="006951B1" w:rsidP="00F64062">
            <w:pPr>
              <w:pStyle w:val="Sinespaciado"/>
              <w:jc w:val="both"/>
              <w:rPr>
                <w:rFonts w:ascii="Century Gothic" w:hAnsi="Century Gothic"/>
                <w:b/>
                <w:color w:val="000000" w:themeColor="text1"/>
              </w:rPr>
            </w:pPr>
            <w:r w:rsidRPr="00160CE2">
              <w:rPr>
                <w:rFonts w:ascii="Century Gothic" w:hAnsi="Century Gothic"/>
                <w:color w:val="000000" w:themeColor="text1"/>
              </w:rPr>
              <w:t>8.00m.</w:t>
            </w:r>
          </w:p>
        </w:tc>
      </w:tr>
      <w:tr w:rsidR="006951B1" w:rsidRPr="00160CE2" w14:paraId="6C4370DB" w14:textId="77777777" w:rsidTr="00F64062">
        <w:trPr>
          <w:trHeight w:val="236"/>
        </w:trPr>
        <w:tc>
          <w:tcPr>
            <w:tcW w:w="4111" w:type="dxa"/>
          </w:tcPr>
          <w:p w14:paraId="2D128166" w14:textId="77777777" w:rsidR="006951B1" w:rsidRPr="00160CE2" w:rsidRDefault="006951B1" w:rsidP="00F64062">
            <w:pPr>
              <w:pStyle w:val="Sinespaciado"/>
              <w:jc w:val="both"/>
              <w:rPr>
                <w:rFonts w:ascii="Century Gothic" w:hAnsi="Century Gothic"/>
                <w:b/>
                <w:bCs/>
                <w:color w:val="000000" w:themeColor="text1"/>
              </w:rPr>
            </w:pPr>
            <w:r w:rsidRPr="00160CE2">
              <w:rPr>
                <w:rFonts w:ascii="Century Gothic" w:hAnsi="Century Gothic"/>
                <w:b/>
                <w:bCs/>
                <w:color w:val="000000" w:themeColor="text1"/>
              </w:rPr>
              <w:t>Calle Oe9G</w:t>
            </w:r>
          </w:p>
        </w:tc>
        <w:tc>
          <w:tcPr>
            <w:tcW w:w="4678" w:type="dxa"/>
          </w:tcPr>
          <w:p w14:paraId="39FAF987" w14:textId="77777777" w:rsidR="006951B1" w:rsidRPr="00160CE2" w:rsidRDefault="006951B1" w:rsidP="00F64062">
            <w:pPr>
              <w:pStyle w:val="Sinespaciado"/>
              <w:jc w:val="both"/>
              <w:rPr>
                <w:rFonts w:ascii="Century Gothic" w:hAnsi="Century Gothic"/>
                <w:b/>
                <w:color w:val="000000" w:themeColor="text1"/>
              </w:rPr>
            </w:pPr>
            <w:r w:rsidRPr="00160CE2">
              <w:rPr>
                <w:rFonts w:ascii="Century Gothic" w:hAnsi="Century Gothic"/>
                <w:color w:val="000000" w:themeColor="text1"/>
              </w:rPr>
              <w:t>8.00m.</w:t>
            </w:r>
          </w:p>
        </w:tc>
      </w:tr>
      <w:tr w:rsidR="006951B1" w:rsidRPr="00160CE2" w14:paraId="26ECD95E" w14:textId="77777777" w:rsidTr="00F64062">
        <w:trPr>
          <w:trHeight w:val="255"/>
        </w:trPr>
        <w:tc>
          <w:tcPr>
            <w:tcW w:w="4111" w:type="dxa"/>
          </w:tcPr>
          <w:p w14:paraId="724D5FF7" w14:textId="77777777" w:rsidR="006951B1" w:rsidRPr="00160CE2" w:rsidRDefault="006951B1" w:rsidP="00F64062">
            <w:pPr>
              <w:pStyle w:val="Sinespaciado"/>
              <w:jc w:val="both"/>
              <w:rPr>
                <w:rFonts w:ascii="Century Gothic" w:hAnsi="Century Gothic"/>
                <w:b/>
                <w:bCs/>
                <w:color w:val="000000" w:themeColor="text1"/>
              </w:rPr>
            </w:pPr>
            <w:r w:rsidRPr="00160CE2">
              <w:rPr>
                <w:rFonts w:ascii="Century Gothic" w:hAnsi="Century Gothic"/>
                <w:b/>
                <w:bCs/>
                <w:color w:val="000000" w:themeColor="text1"/>
              </w:rPr>
              <w:t>Escalinata Oe9F</w:t>
            </w:r>
          </w:p>
        </w:tc>
        <w:tc>
          <w:tcPr>
            <w:tcW w:w="4678" w:type="dxa"/>
          </w:tcPr>
          <w:p w14:paraId="1D6781D7" w14:textId="77777777" w:rsidR="006951B1" w:rsidRPr="00160CE2" w:rsidRDefault="006951B1" w:rsidP="00F64062">
            <w:pPr>
              <w:pStyle w:val="Sinespaciado"/>
              <w:jc w:val="both"/>
              <w:rPr>
                <w:rFonts w:ascii="Century Gothic" w:hAnsi="Century Gothic"/>
                <w:color w:val="000000" w:themeColor="text1"/>
              </w:rPr>
            </w:pPr>
            <w:r w:rsidRPr="00160CE2">
              <w:rPr>
                <w:rFonts w:ascii="Century Gothic" w:hAnsi="Century Gothic"/>
                <w:color w:val="000000" w:themeColor="text1"/>
              </w:rPr>
              <w:t>8.00m.</w:t>
            </w:r>
          </w:p>
        </w:tc>
      </w:tr>
      <w:tr w:rsidR="006951B1" w:rsidRPr="00160CE2" w14:paraId="4716BBEE" w14:textId="77777777" w:rsidTr="00F64062">
        <w:trPr>
          <w:trHeight w:val="260"/>
        </w:trPr>
        <w:tc>
          <w:tcPr>
            <w:tcW w:w="4111" w:type="dxa"/>
          </w:tcPr>
          <w:p w14:paraId="675BB0D4" w14:textId="56E1B1F5" w:rsidR="006951B1" w:rsidRPr="00160CE2" w:rsidRDefault="004D4967" w:rsidP="00F64062">
            <w:pPr>
              <w:pStyle w:val="Sinespaciado"/>
              <w:jc w:val="both"/>
              <w:rPr>
                <w:rFonts w:ascii="Century Gothic" w:hAnsi="Century Gothic"/>
                <w:b/>
                <w:bCs/>
                <w:color w:val="000000" w:themeColor="text1"/>
              </w:rPr>
            </w:pPr>
            <w:r w:rsidRPr="00160CE2">
              <w:rPr>
                <w:rFonts w:ascii="Century Gothic" w:hAnsi="Century Gothic"/>
                <w:b/>
                <w:bCs/>
                <w:color w:val="000000" w:themeColor="text1"/>
              </w:rPr>
              <w:t xml:space="preserve">Escalinata </w:t>
            </w:r>
            <w:r w:rsidR="006951B1" w:rsidRPr="00160CE2">
              <w:rPr>
                <w:rFonts w:ascii="Century Gothic" w:hAnsi="Century Gothic"/>
                <w:b/>
                <w:bCs/>
                <w:color w:val="000000" w:themeColor="text1"/>
              </w:rPr>
              <w:t>Oe9E</w:t>
            </w:r>
          </w:p>
        </w:tc>
        <w:tc>
          <w:tcPr>
            <w:tcW w:w="4678" w:type="dxa"/>
          </w:tcPr>
          <w:p w14:paraId="439BB25F" w14:textId="77777777" w:rsidR="006951B1" w:rsidRPr="00160CE2" w:rsidRDefault="006951B1" w:rsidP="00F64062">
            <w:pPr>
              <w:pStyle w:val="Sinespaciado"/>
              <w:jc w:val="both"/>
              <w:rPr>
                <w:rFonts w:ascii="Century Gothic" w:hAnsi="Century Gothic"/>
                <w:b/>
                <w:color w:val="000000" w:themeColor="text1"/>
              </w:rPr>
            </w:pPr>
            <w:r w:rsidRPr="00160CE2">
              <w:rPr>
                <w:rFonts w:ascii="Century Gothic" w:hAnsi="Century Gothic"/>
                <w:color w:val="000000" w:themeColor="text1"/>
              </w:rPr>
              <w:t>6.00m.</w:t>
            </w:r>
          </w:p>
        </w:tc>
      </w:tr>
      <w:tr w:rsidR="006951B1" w:rsidRPr="00160CE2" w14:paraId="7F7CD164" w14:textId="77777777" w:rsidTr="00F64062">
        <w:trPr>
          <w:trHeight w:val="240"/>
        </w:trPr>
        <w:tc>
          <w:tcPr>
            <w:tcW w:w="4111" w:type="dxa"/>
          </w:tcPr>
          <w:p w14:paraId="4E3475FF" w14:textId="2B74F453" w:rsidR="006951B1" w:rsidRPr="00160CE2" w:rsidRDefault="004D4967" w:rsidP="00F64062">
            <w:pPr>
              <w:pStyle w:val="Sinespaciado"/>
              <w:jc w:val="both"/>
              <w:rPr>
                <w:rFonts w:ascii="Century Gothic" w:hAnsi="Century Gothic"/>
                <w:b/>
                <w:bCs/>
                <w:color w:val="000000" w:themeColor="text1"/>
              </w:rPr>
            </w:pPr>
            <w:r w:rsidRPr="00160CE2">
              <w:rPr>
                <w:rFonts w:ascii="Century Gothic" w:hAnsi="Century Gothic"/>
                <w:b/>
                <w:bCs/>
                <w:color w:val="000000" w:themeColor="text1"/>
              </w:rPr>
              <w:t xml:space="preserve">Escalinata </w:t>
            </w:r>
            <w:r w:rsidR="006951B1" w:rsidRPr="00160CE2">
              <w:rPr>
                <w:rFonts w:ascii="Century Gothic" w:hAnsi="Century Gothic"/>
                <w:b/>
                <w:bCs/>
                <w:color w:val="000000" w:themeColor="text1"/>
              </w:rPr>
              <w:t>Oe9G</w:t>
            </w:r>
          </w:p>
        </w:tc>
        <w:tc>
          <w:tcPr>
            <w:tcW w:w="4678" w:type="dxa"/>
          </w:tcPr>
          <w:p w14:paraId="4D9F9DFD" w14:textId="77777777" w:rsidR="006951B1" w:rsidRPr="00160CE2" w:rsidRDefault="006951B1" w:rsidP="00F64062">
            <w:pPr>
              <w:pStyle w:val="Sinespaciado"/>
              <w:jc w:val="both"/>
              <w:rPr>
                <w:rFonts w:ascii="Century Gothic" w:hAnsi="Century Gothic"/>
                <w:b/>
                <w:color w:val="000000" w:themeColor="text1"/>
              </w:rPr>
            </w:pPr>
            <w:r w:rsidRPr="00160CE2">
              <w:rPr>
                <w:rFonts w:ascii="Century Gothic" w:hAnsi="Century Gothic"/>
                <w:color w:val="000000" w:themeColor="text1"/>
              </w:rPr>
              <w:t>6.00m.</w:t>
            </w:r>
          </w:p>
        </w:tc>
      </w:tr>
    </w:tbl>
    <w:p w14:paraId="70A6965D" w14:textId="4AAC4F5A" w:rsidR="006951B1" w:rsidRPr="00160CE2" w:rsidRDefault="006951B1" w:rsidP="002931C0">
      <w:pPr>
        <w:jc w:val="both"/>
        <w:rPr>
          <w:rFonts w:ascii="Century Gothic" w:hAnsi="Century Gothic"/>
          <w:b/>
          <w:bCs/>
        </w:rPr>
      </w:pPr>
    </w:p>
    <w:p w14:paraId="4F6D1227" w14:textId="4B6FB2AA" w:rsidR="006951B1" w:rsidRPr="00160CE2" w:rsidRDefault="006951B1" w:rsidP="002931C0">
      <w:pPr>
        <w:jc w:val="both"/>
        <w:rPr>
          <w:rFonts w:ascii="Century Gothic" w:hAnsi="Century Gothic"/>
        </w:rPr>
      </w:pPr>
      <w:r w:rsidRPr="00160CE2">
        <w:rPr>
          <w:rFonts w:ascii="Century Gothic" w:hAnsi="Century Gothic"/>
          <w:b/>
          <w:bCs/>
        </w:rPr>
        <w:t xml:space="preserve">Artículo 12. De las obras a ejecutarse. - </w:t>
      </w:r>
      <w:r w:rsidRPr="00160CE2">
        <w:rPr>
          <w:rFonts w:ascii="Century Gothic" w:hAnsi="Century Gothic"/>
        </w:rPr>
        <w:t>Las obras civiles y de infraestructura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3961"/>
        <w:gridCol w:w="4425"/>
      </w:tblGrid>
      <w:tr w:rsidR="006951B1" w:rsidRPr="00160CE2" w14:paraId="6C90D938" w14:textId="77777777" w:rsidTr="00F64062">
        <w:trPr>
          <w:trHeight w:val="191"/>
        </w:trPr>
        <w:tc>
          <w:tcPr>
            <w:tcW w:w="4111" w:type="dxa"/>
          </w:tcPr>
          <w:p w14:paraId="7BC1A994" w14:textId="77777777" w:rsidR="006951B1" w:rsidRPr="00160CE2" w:rsidRDefault="006951B1" w:rsidP="00F64062">
            <w:pPr>
              <w:pStyle w:val="Sinespaciado"/>
              <w:jc w:val="both"/>
              <w:rPr>
                <w:rFonts w:ascii="Century Gothic" w:hAnsi="Century Gothic"/>
                <w:b/>
              </w:rPr>
            </w:pPr>
            <w:r w:rsidRPr="00160CE2">
              <w:rPr>
                <w:rFonts w:ascii="Century Gothic" w:hAnsi="Century Gothic"/>
                <w:b/>
              </w:rPr>
              <w:t>Calzadas:</w:t>
            </w:r>
          </w:p>
        </w:tc>
        <w:tc>
          <w:tcPr>
            <w:tcW w:w="4678" w:type="dxa"/>
          </w:tcPr>
          <w:p w14:paraId="4F939A3C" w14:textId="77777777" w:rsidR="006951B1" w:rsidRPr="00160CE2" w:rsidRDefault="006951B1" w:rsidP="00F64062">
            <w:pPr>
              <w:pStyle w:val="Sinespaciado"/>
              <w:jc w:val="both"/>
              <w:rPr>
                <w:rFonts w:ascii="Century Gothic" w:hAnsi="Century Gothic"/>
                <w:bCs/>
              </w:rPr>
            </w:pPr>
            <w:r w:rsidRPr="00160CE2">
              <w:rPr>
                <w:rFonts w:ascii="Century Gothic" w:hAnsi="Century Gothic"/>
                <w:bCs/>
              </w:rPr>
              <w:t>100%</w:t>
            </w:r>
          </w:p>
        </w:tc>
      </w:tr>
      <w:tr w:rsidR="006951B1" w:rsidRPr="00160CE2" w14:paraId="15E86DB4" w14:textId="77777777" w:rsidTr="00F64062">
        <w:trPr>
          <w:trHeight w:val="234"/>
        </w:trPr>
        <w:tc>
          <w:tcPr>
            <w:tcW w:w="4111" w:type="dxa"/>
          </w:tcPr>
          <w:p w14:paraId="0BEA28FE" w14:textId="77777777" w:rsidR="006951B1" w:rsidRPr="00160CE2" w:rsidRDefault="006951B1" w:rsidP="00F64062">
            <w:pPr>
              <w:pStyle w:val="Sinespaciado"/>
              <w:jc w:val="both"/>
              <w:rPr>
                <w:rFonts w:ascii="Century Gothic" w:hAnsi="Century Gothic"/>
                <w:b/>
              </w:rPr>
            </w:pPr>
            <w:r w:rsidRPr="00160CE2">
              <w:rPr>
                <w:rFonts w:ascii="Century Gothic" w:hAnsi="Century Gothic"/>
                <w:b/>
              </w:rPr>
              <w:t>Aceras:</w:t>
            </w:r>
          </w:p>
        </w:tc>
        <w:tc>
          <w:tcPr>
            <w:tcW w:w="4678" w:type="dxa"/>
          </w:tcPr>
          <w:p w14:paraId="31333E43" w14:textId="77777777" w:rsidR="006951B1" w:rsidRPr="00160CE2" w:rsidRDefault="006951B1" w:rsidP="00F64062">
            <w:pPr>
              <w:pStyle w:val="Sinespaciado"/>
              <w:jc w:val="both"/>
              <w:rPr>
                <w:rFonts w:ascii="Century Gothic" w:hAnsi="Century Gothic"/>
                <w:bCs/>
              </w:rPr>
            </w:pPr>
            <w:r w:rsidRPr="00160CE2">
              <w:rPr>
                <w:rFonts w:ascii="Century Gothic" w:hAnsi="Century Gothic"/>
                <w:bCs/>
              </w:rPr>
              <w:t>100%</w:t>
            </w:r>
          </w:p>
        </w:tc>
      </w:tr>
      <w:tr w:rsidR="006951B1" w:rsidRPr="00160CE2" w14:paraId="1D97F808" w14:textId="77777777" w:rsidTr="00F64062">
        <w:trPr>
          <w:trHeight w:val="214"/>
        </w:trPr>
        <w:tc>
          <w:tcPr>
            <w:tcW w:w="4111" w:type="dxa"/>
          </w:tcPr>
          <w:p w14:paraId="10C5524F" w14:textId="77777777" w:rsidR="006951B1" w:rsidRPr="00160CE2" w:rsidRDefault="006951B1" w:rsidP="00F64062">
            <w:pPr>
              <w:pStyle w:val="Sinespaciado"/>
              <w:jc w:val="both"/>
              <w:rPr>
                <w:rFonts w:ascii="Century Gothic" w:hAnsi="Century Gothic"/>
                <w:b/>
              </w:rPr>
            </w:pPr>
            <w:r w:rsidRPr="00160CE2">
              <w:rPr>
                <w:rFonts w:ascii="Century Gothic" w:hAnsi="Century Gothic"/>
                <w:b/>
              </w:rPr>
              <w:t>Bordillos:</w:t>
            </w:r>
          </w:p>
        </w:tc>
        <w:tc>
          <w:tcPr>
            <w:tcW w:w="4678" w:type="dxa"/>
          </w:tcPr>
          <w:p w14:paraId="7CF351D9" w14:textId="77777777" w:rsidR="006951B1" w:rsidRPr="00160CE2" w:rsidRDefault="006951B1" w:rsidP="00F64062">
            <w:pPr>
              <w:pStyle w:val="Sinespaciado"/>
              <w:jc w:val="both"/>
              <w:rPr>
                <w:rFonts w:ascii="Century Gothic" w:hAnsi="Century Gothic"/>
                <w:bCs/>
              </w:rPr>
            </w:pPr>
            <w:r w:rsidRPr="00160CE2">
              <w:rPr>
                <w:rFonts w:ascii="Century Gothic" w:hAnsi="Century Gothic"/>
                <w:bCs/>
              </w:rPr>
              <w:t>100%</w:t>
            </w:r>
          </w:p>
        </w:tc>
      </w:tr>
      <w:tr w:rsidR="006951B1" w:rsidRPr="00160CE2" w14:paraId="7EC677E2" w14:textId="77777777" w:rsidTr="00F64062">
        <w:trPr>
          <w:trHeight w:val="292"/>
        </w:trPr>
        <w:tc>
          <w:tcPr>
            <w:tcW w:w="4111" w:type="dxa"/>
          </w:tcPr>
          <w:p w14:paraId="6A130AAB" w14:textId="77777777" w:rsidR="006951B1" w:rsidRPr="00160CE2" w:rsidRDefault="006951B1" w:rsidP="00F64062">
            <w:pPr>
              <w:pStyle w:val="Sinespaciado"/>
              <w:jc w:val="both"/>
              <w:rPr>
                <w:rFonts w:ascii="Century Gothic" w:hAnsi="Century Gothic"/>
                <w:b/>
              </w:rPr>
            </w:pPr>
            <w:r w:rsidRPr="00160CE2">
              <w:rPr>
                <w:rFonts w:ascii="Century Gothic" w:hAnsi="Century Gothic"/>
                <w:b/>
              </w:rPr>
              <w:t>Agua potable:</w:t>
            </w:r>
          </w:p>
        </w:tc>
        <w:tc>
          <w:tcPr>
            <w:tcW w:w="4678" w:type="dxa"/>
          </w:tcPr>
          <w:p w14:paraId="778D3210" w14:textId="77777777" w:rsidR="006951B1" w:rsidRPr="00160CE2" w:rsidRDefault="006951B1" w:rsidP="00F64062">
            <w:pPr>
              <w:pStyle w:val="Sinespaciado"/>
              <w:jc w:val="both"/>
              <w:rPr>
                <w:rFonts w:ascii="Century Gothic" w:hAnsi="Century Gothic"/>
                <w:bCs/>
              </w:rPr>
            </w:pPr>
            <w:r w:rsidRPr="00160CE2">
              <w:rPr>
                <w:rFonts w:ascii="Century Gothic" w:hAnsi="Century Gothic"/>
                <w:bCs/>
              </w:rPr>
              <w:t>70%</w:t>
            </w:r>
          </w:p>
        </w:tc>
      </w:tr>
      <w:tr w:rsidR="006951B1" w:rsidRPr="00160CE2" w14:paraId="1C299427" w14:textId="77777777" w:rsidTr="00F64062">
        <w:tc>
          <w:tcPr>
            <w:tcW w:w="4111" w:type="dxa"/>
          </w:tcPr>
          <w:p w14:paraId="1EF224D8" w14:textId="77777777" w:rsidR="006951B1" w:rsidRPr="00160CE2" w:rsidRDefault="006951B1" w:rsidP="00F64062">
            <w:pPr>
              <w:pStyle w:val="Sinespaciado"/>
              <w:jc w:val="both"/>
              <w:rPr>
                <w:rFonts w:ascii="Century Gothic" w:hAnsi="Century Gothic"/>
                <w:b/>
              </w:rPr>
            </w:pPr>
            <w:r w:rsidRPr="00160CE2">
              <w:rPr>
                <w:rFonts w:ascii="Century Gothic" w:hAnsi="Century Gothic"/>
                <w:b/>
              </w:rPr>
              <w:t>Alcantarillado:</w:t>
            </w:r>
          </w:p>
        </w:tc>
        <w:tc>
          <w:tcPr>
            <w:tcW w:w="4678" w:type="dxa"/>
          </w:tcPr>
          <w:p w14:paraId="4A7C432B" w14:textId="77777777" w:rsidR="006951B1" w:rsidRPr="00160CE2" w:rsidRDefault="006951B1" w:rsidP="00F64062">
            <w:pPr>
              <w:pStyle w:val="Sinespaciado"/>
              <w:jc w:val="both"/>
              <w:rPr>
                <w:rFonts w:ascii="Century Gothic" w:hAnsi="Century Gothic"/>
                <w:bCs/>
              </w:rPr>
            </w:pPr>
            <w:r w:rsidRPr="00160CE2">
              <w:rPr>
                <w:rFonts w:ascii="Century Gothic" w:hAnsi="Century Gothic"/>
                <w:bCs/>
              </w:rPr>
              <w:t>70%</w:t>
            </w:r>
          </w:p>
        </w:tc>
      </w:tr>
      <w:tr w:rsidR="006951B1" w:rsidRPr="00160CE2" w14:paraId="633BC12D" w14:textId="77777777" w:rsidTr="00F64062">
        <w:tc>
          <w:tcPr>
            <w:tcW w:w="4111" w:type="dxa"/>
          </w:tcPr>
          <w:p w14:paraId="0225533F" w14:textId="77777777" w:rsidR="006951B1" w:rsidRPr="00160CE2" w:rsidRDefault="006951B1" w:rsidP="00F64062">
            <w:pPr>
              <w:pStyle w:val="Sinespaciado"/>
              <w:jc w:val="both"/>
              <w:rPr>
                <w:rFonts w:ascii="Century Gothic" w:hAnsi="Century Gothic"/>
                <w:b/>
              </w:rPr>
            </w:pPr>
            <w:r w:rsidRPr="00160CE2">
              <w:rPr>
                <w:rFonts w:ascii="Century Gothic" w:hAnsi="Century Gothic"/>
                <w:b/>
              </w:rPr>
              <w:t>Electricidad:</w:t>
            </w:r>
            <w:r w:rsidRPr="00160CE2">
              <w:rPr>
                <w:rFonts w:ascii="Century Gothic" w:hAnsi="Century Gothic"/>
                <w:b/>
              </w:rPr>
              <w:tab/>
            </w:r>
          </w:p>
        </w:tc>
        <w:tc>
          <w:tcPr>
            <w:tcW w:w="4678" w:type="dxa"/>
          </w:tcPr>
          <w:p w14:paraId="6CF73867" w14:textId="77777777" w:rsidR="006951B1" w:rsidRPr="00160CE2" w:rsidRDefault="006951B1" w:rsidP="00F64062">
            <w:pPr>
              <w:pStyle w:val="Sinespaciado"/>
              <w:jc w:val="both"/>
              <w:rPr>
                <w:rFonts w:ascii="Century Gothic" w:hAnsi="Century Gothic"/>
                <w:bCs/>
              </w:rPr>
            </w:pPr>
            <w:r w:rsidRPr="00160CE2">
              <w:rPr>
                <w:rFonts w:ascii="Century Gothic" w:hAnsi="Century Gothic"/>
                <w:bCs/>
              </w:rPr>
              <w:t>70%</w:t>
            </w:r>
          </w:p>
        </w:tc>
      </w:tr>
    </w:tbl>
    <w:p w14:paraId="32395AB7" w14:textId="5D59E570" w:rsidR="006951B1" w:rsidRPr="00160CE2" w:rsidRDefault="006951B1" w:rsidP="006951B1">
      <w:pPr>
        <w:rPr>
          <w:rFonts w:ascii="Century Gothic" w:hAnsi="Century Gothic"/>
          <w:b/>
          <w:bCs/>
        </w:rPr>
      </w:pPr>
    </w:p>
    <w:p w14:paraId="1323D67D" w14:textId="6EA5C245" w:rsidR="006951B1" w:rsidRPr="00160CE2" w:rsidRDefault="006951B1" w:rsidP="006951B1">
      <w:pPr>
        <w:jc w:val="both"/>
        <w:rPr>
          <w:rFonts w:ascii="Century Gothic" w:hAnsi="Century Gothic"/>
        </w:rPr>
      </w:pPr>
      <w:r w:rsidRPr="00160CE2">
        <w:rPr>
          <w:rFonts w:ascii="Century Gothic" w:hAnsi="Century Gothic"/>
          <w:b/>
          <w:bCs/>
        </w:rPr>
        <w:t xml:space="preserve">Artículo 13. Del plazo de ejecución de las obras. - </w:t>
      </w:r>
      <w:r w:rsidRPr="00160CE2">
        <w:rPr>
          <w:rFonts w:ascii="Century Gothic" w:hAnsi="Century Gothic"/>
        </w:rPr>
        <w:t>El plazo de ejecución de la totalidad de las obras civiles y de infraestructura, será de ocho (8)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49F16564" w14:textId="7BFEB1D2" w:rsidR="006951B1" w:rsidRPr="00160CE2" w:rsidRDefault="006951B1" w:rsidP="006951B1">
      <w:pPr>
        <w:jc w:val="both"/>
        <w:rPr>
          <w:rFonts w:ascii="Century Gothic" w:hAnsi="Century Gothic"/>
        </w:rPr>
      </w:pPr>
      <w:r w:rsidRPr="00160CE2">
        <w:rPr>
          <w:rFonts w:ascii="Century Gothic" w:hAnsi="Century Gothic"/>
        </w:rPr>
        <w:t xml:space="preserve">Las obras civiles y de infraestructura podrán ser ejecutadas, mediante gestión individual o concurrente bajo las siguientes modalidades: gestión municipal o </w:t>
      </w:r>
      <w:r w:rsidRPr="00160CE2">
        <w:rPr>
          <w:rFonts w:ascii="Century Gothic" w:hAnsi="Century Gothic"/>
        </w:rPr>
        <w:lastRenderedPageBreak/>
        <w:t>pública, gestión directa o cogestión de conformidad a lo establecido en el artículo IV.7.72 de la Ordenanza No.001 de 29 de marzo de 2019, que contiene el Código Municipal. El valor por contribución especial a mejoras se aplicará conforme la modalidad ejecutada.</w:t>
      </w:r>
    </w:p>
    <w:p w14:paraId="3604DA31" w14:textId="681ACA99" w:rsidR="006951B1" w:rsidRPr="00160CE2" w:rsidRDefault="006951B1" w:rsidP="006951B1">
      <w:pPr>
        <w:jc w:val="both"/>
        <w:rPr>
          <w:rFonts w:ascii="Century Gothic" w:hAnsi="Century Gothic"/>
          <w:b/>
          <w:bCs/>
        </w:rPr>
      </w:pPr>
      <w:r w:rsidRPr="00160CE2">
        <w:rPr>
          <w:rFonts w:ascii="Century Gothic" w:hAnsi="Century Gothic"/>
          <w:b/>
          <w:bCs/>
        </w:rPr>
        <w:t xml:space="preserve">Artículo 14. Del control de ejecución de las obras. - </w:t>
      </w:r>
      <w:r w:rsidRPr="00160CE2">
        <w:rPr>
          <w:rFonts w:ascii="Century Gothic" w:hAnsi="Century Gothic"/>
        </w:rPr>
        <w:t>La Administración Zonal Los Chillos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Los Chillos, será indispensable para cancelar la hipoteca.</w:t>
      </w:r>
    </w:p>
    <w:p w14:paraId="14C4A4CA" w14:textId="41152BAF" w:rsidR="006951B1" w:rsidRPr="00160CE2" w:rsidRDefault="006951B1" w:rsidP="006951B1">
      <w:pPr>
        <w:jc w:val="both"/>
        <w:rPr>
          <w:rFonts w:ascii="Century Gothic" w:hAnsi="Century Gothic"/>
          <w:b/>
          <w:bCs/>
        </w:rPr>
      </w:pPr>
      <w:r w:rsidRPr="00160CE2">
        <w:rPr>
          <w:rFonts w:ascii="Century Gothic" w:hAnsi="Century Gothic"/>
          <w:b/>
          <w:bCs/>
        </w:rPr>
        <w:t xml:space="preserve">Artículo 15. De la multa por retraso en ejecución de obras. - </w:t>
      </w:r>
      <w:r w:rsidRPr="00160CE2">
        <w:rPr>
          <w:rFonts w:ascii="Century Gothic" w:hAnsi="Century Gothic"/>
        </w:rPr>
        <w:t>En caso de retraso en la ejecución de las obras civiles y de infraestructura, los copropietarios del inmueble sobre el cual se ubica el asentamiento humano de hecho y consolidado de interés social denominado “Comité Pro Mejoras del Barrio Ontaneda Alta” Segunda Etapa, se sujetará a las sanciones contempladas en el Ordenamiento Jurídico Nacional y Metropolitano.</w:t>
      </w:r>
    </w:p>
    <w:p w14:paraId="56F28FDB" w14:textId="1378C9F4" w:rsidR="006951B1" w:rsidRPr="00160CE2" w:rsidRDefault="006951B1" w:rsidP="006951B1">
      <w:pPr>
        <w:jc w:val="both"/>
        <w:rPr>
          <w:rFonts w:ascii="Century Gothic" w:hAnsi="Century Gothic"/>
          <w:b/>
          <w:bCs/>
        </w:rPr>
      </w:pPr>
      <w:r w:rsidRPr="00160CE2">
        <w:rPr>
          <w:rFonts w:ascii="Century Gothic" w:hAnsi="Century Gothic"/>
          <w:b/>
          <w:bCs/>
        </w:rPr>
        <w:t xml:space="preserve">Artículo 16. De la garantía de ejecución de las obras. - </w:t>
      </w:r>
      <w:r w:rsidRPr="00160CE2">
        <w:rPr>
          <w:rFonts w:ascii="Century Gothic" w:hAnsi="Century Gothic"/>
        </w:rPr>
        <w:t>Los lotes producto del fraccionamiento donde se encuentra ubicado el asentamiento humano de hecho y consolidado de interés social denominado “Comité Pro Mejoras del Barrio Ontaneda Alta” Segunda Etapa, 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3285A06C" w14:textId="77777777" w:rsidR="006951B1" w:rsidRPr="00160CE2" w:rsidRDefault="006951B1" w:rsidP="006951B1">
      <w:pPr>
        <w:rPr>
          <w:rFonts w:ascii="Century Gothic" w:hAnsi="Century Gothic"/>
          <w:b/>
          <w:bCs/>
        </w:rPr>
      </w:pPr>
    </w:p>
    <w:p w14:paraId="74366401" w14:textId="11444C33" w:rsidR="006951B1" w:rsidRPr="00160CE2" w:rsidRDefault="006951B1" w:rsidP="006951B1">
      <w:pPr>
        <w:jc w:val="both"/>
        <w:rPr>
          <w:rFonts w:ascii="Century Gothic" w:hAnsi="Century Gothic"/>
        </w:rPr>
      </w:pPr>
      <w:r w:rsidRPr="00160CE2">
        <w:rPr>
          <w:rFonts w:ascii="Century Gothic" w:hAnsi="Century Gothic"/>
          <w:b/>
          <w:bCs/>
        </w:rPr>
        <w:t xml:space="preserve">Artículo 17. De la Protocolización e inscripción de la Ordenanza. -  </w:t>
      </w:r>
      <w:r w:rsidRPr="00160CE2">
        <w:rPr>
          <w:rFonts w:ascii="Century Gothic" w:hAnsi="Century Gothic"/>
        </w:rPr>
        <w:t xml:space="preserve">Los copropietarios del predio del asentamiento humano de hecho y consolidado de interés social denominado “Comité Pro Mejoras del Barrio Ontaneda Alta” Segunda Etapa, deberán protocolizar la presente Ordenanza ante Notario Público e inscribirla en el Registro de la Propiedad del Distrito Metropolitano de Quito, con todos sus documentos habilitantes; </w:t>
      </w:r>
    </w:p>
    <w:p w14:paraId="64DC6102" w14:textId="414B0EA9" w:rsidR="006951B1" w:rsidRPr="00160CE2" w:rsidRDefault="006951B1" w:rsidP="006951B1">
      <w:pPr>
        <w:jc w:val="both"/>
        <w:rPr>
          <w:rFonts w:ascii="Century Gothic" w:hAnsi="Century Gothic"/>
        </w:rPr>
      </w:pPr>
      <w:r w:rsidRPr="00160CE2">
        <w:rPr>
          <w:rFonts w:ascii="Century Gothic" w:hAnsi="Century Gothic"/>
        </w:rPr>
        <w:t xml:space="preserve">En caso de no inscribir la presente ordenanza, ésta caducará en el plazo de tres (03) años de conformidad con lo dispuesto en el artículo IV.7.64 de la Ordenanza No. 001 de 29 de marzo de 2019. </w:t>
      </w:r>
    </w:p>
    <w:p w14:paraId="28070E45" w14:textId="777E30A6" w:rsidR="006951B1" w:rsidRPr="00160CE2" w:rsidRDefault="006951B1" w:rsidP="006951B1">
      <w:pPr>
        <w:jc w:val="both"/>
        <w:rPr>
          <w:rFonts w:ascii="Century Gothic" w:hAnsi="Century Gothic"/>
        </w:rPr>
      </w:pPr>
      <w:r w:rsidRPr="00160CE2">
        <w:rPr>
          <w:rFonts w:ascii="Century Gothic" w:hAnsi="Century Gothic"/>
        </w:rPr>
        <w:t>La inscripción de la presente ordenanza en el Registro de la Propiedad, servirá como título de dominio para efectos de la transferencia de área verde y de equipamiento comunal y área municipal a favor del Municipio.</w:t>
      </w:r>
    </w:p>
    <w:p w14:paraId="759F665A" w14:textId="26923388" w:rsidR="006951B1" w:rsidRPr="00160CE2" w:rsidRDefault="006951B1" w:rsidP="006951B1">
      <w:pPr>
        <w:jc w:val="both"/>
        <w:rPr>
          <w:rFonts w:ascii="Century Gothic" w:hAnsi="Century Gothic"/>
          <w:b/>
          <w:bCs/>
        </w:rPr>
      </w:pPr>
      <w:r w:rsidRPr="00160CE2">
        <w:rPr>
          <w:rFonts w:ascii="Century Gothic" w:hAnsi="Century Gothic"/>
          <w:b/>
          <w:bCs/>
        </w:rPr>
        <w:t xml:space="preserve">Artículo 18. De la partición y adjudicación. - </w:t>
      </w:r>
      <w:r w:rsidRPr="00160CE2">
        <w:rPr>
          <w:rFonts w:ascii="Century Gothic" w:hAnsi="Century Gothic"/>
        </w:rPr>
        <w:t xml:space="preserve">Se faculta al señor Alcalde Metropolitano para que, mediante resolución administrativa, proceda con la partición administrativa correspondiente. Dicha resolución de partición y adjudicación se protocolizará ante un Notario Público y se inscribirá en el </w:t>
      </w:r>
      <w:r w:rsidRPr="00160CE2">
        <w:rPr>
          <w:rFonts w:ascii="Century Gothic" w:hAnsi="Century Gothic"/>
        </w:rPr>
        <w:lastRenderedPageBreak/>
        <w:t>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r w:rsidRPr="00160CE2">
        <w:rPr>
          <w:rFonts w:ascii="Century Gothic" w:hAnsi="Century Gothic"/>
          <w:b/>
          <w:bCs/>
        </w:rPr>
        <w:t xml:space="preserve">  </w:t>
      </w:r>
    </w:p>
    <w:p w14:paraId="02278846" w14:textId="2861D352" w:rsidR="006951B1" w:rsidRPr="00160CE2" w:rsidRDefault="006951B1" w:rsidP="006951B1">
      <w:pPr>
        <w:jc w:val="both"/>
        <w:rPr>
          <w:rFonts w:ascii="Century Gothic" w:hAnsi="Century Gothic"/>
        </w:rPr>
      </w:pPr>
      <w:r w:rsidRPr="00160CE2">
        <w:rPr>
          <w:rFonts w:ascii="Century Gothic" w:hAnsi="Century Gothic"/>
          <w:b/>
          <w:bCs/>
        </w:rPr>
        <w:t>Artículo 19. Solicitudes de ampliación de plazo. -</w:t>
      </w:r>
      <w:r w:rsidRPr="00160CE2">
        <w:rPr>
          <w:rFonts w:ascii="Century Gothic" w:hAnsi="Century Gothic"/>
        </w:rPr>
        <w:t xml:space="preserve"> La Administración Zonal Los Chillos queda plenamente facultada para resolver y aprobar las solicitudes de ampliación de plazo para ejecución de obras civiles y de infraestructura.</w:t>
      </w:r>
    </w:p>
    <w:p w14:paraId="3D86BE70" w14:textId="4BF4C695" w:rsidR="006951B1" w:rsidRPr="00160CE2" w:rsidRDefault="006951B1" w:rsidP="006951B1">
      <w:pPr>
        <w:jc w:val="both"/>
        <w:rPr>
          <w:rFonts w:ascii="Century Gothic" w:hAnsi="Century Gothic"/>
        </w:rPr>
      </w:pPr>
      <w:r w:rsidRPr="00160CE2">
        <w:rPr>
          <w:rFonts w:ascii="Century Gothic" w:hAnsi="Century Gothic"/>
        </w:rPr>
        <w:t>La Administración Zonal Los Chillos deberá notificar a los copropietarios del asentamiento 6 meses antes a la conclusión del plazo establecido.</w:t>
      </w:r>
    </w:p>
    <w:p w14:paraId="644488C2" w14:textId="08731B26" w:rsidR="006951B1" w:rsidRPr="00160CE2" w:rsidRDefault="006951B1" w:rsidP="006951B1">
      <w:pPr>
        <w:jc w:val="both"/>
        <w:rPr>
          <w:rFonts w:ascii="Century Gothic" w:hAnsi="Century Gothic"/>
        </w:rPr>
      </w:pPr>
      <w:r w:rsidRPr="00160CE2">
        <w:rPr>
          <w:rFonts w:ascii="Century Gothic" w:hAnsi="Century Gothic"/>
        </w:rPr>
        <w:t>La Administración Zonal Los Chillos realizará el seguimiento en la ejecución y avance del cronograma de obras civiles y de infraestructura hasta la terminación de las mismas.</w:t>
      </w:r>
    </w:p>
    <w:p w14:paraId="00414EAF" w14:textId="42E52C30" w:rsidR="006951B1" w:rsidRPr="00160CE2" w:rsidRDefault="006951B1" w:rsidP="006951B1">
      <w:pPr>
        <w:jc w:val="both"/>
        <w:rPr>
          <w:rFonts w:ascii="Century Gothic" w:hAnsi="Century Gothic"/>
        </w:rPr>
      </w:pPr>
      <w:r w:rsidRPr="00160CE2">
        <w:rPr>
          <w:rFonts w:ascii="Century Gothic" w:hAnsi="Century Gothic"/>
        </w:rPr>
        <w:t>Dichas solicitudes para ser evaluadas, deberán ser presentadas con al menos tres meses de anticipación a la conclusión del plazo establecido para la ejecución de las obras referidas y debidamente justificadas.</w:t>
      </w:r>
    </w:p>
    <w:p w14:paraId="3766321B" w14:textId="6CDD0DCB" w:rsidR="006951B1" w:rsidRPr="00160CE2" w:rsidRDefault="006951B1" w:rsidP="006951B1">
      <w:pPr>
        <w:jc w:val="both"/>
        <w:rPr>
          <w:rFonts w:ascii="Century Gothic" w:hAnsi="Century Gothic"/>
          <w:b/>
          <w:bCs/>
        </w:rPr>
      </w:pPr>
      <w:r w:rsidRPr="00160CE2">
        <w:rPr>
          <w:rFonts w:ascii="Century Gothic" w:hAnsi="Century Gothic"/>
          <w:b/>
          <w:bCs/>
        </w:rPr>
        <w:t xml:space="preserve">Artículo 20. Potestad de ejecución. - </w:t>
      </w:r>
      <w:r w:rsidRPr="00160CE2">
        <w:rPr>
          <w:rFonts w:ascii="Century Gothic" w:hAnsi="Century Gothic"/>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02AAFF3A" w14:textId="7494DF6D" w:rsidR="002931C0" w:rsidRPr="00160CE2" w:rsidRDefault="00A70C60" w:rsidP="00A70C60">
      <w:pPr>
        <w:jc w:val="center"/>
        <w:rPr>
          <w:rFonts w:ascii="Century Gothic" w:hAnsi="Century Gothic"/>
          <w:b/>
          <w:bCs/>
        </w:rPr>
      </w:pPr>
      <w:r w:rsidRPr="00160CE2">
        <w:rPr>
          <w:rFonts w:ascii="Century Gothic" w:hAnsi="Century Gothic"/>
          <w:b/>
          <w:bCs/>
        </w:rPr>
        <w:t>DISPOSICIONES GENERALES</w:t>
      </w:r>
      <w:r w:rsidR="00FA2CAE" w:rsidRPr="00160CE2">
        <w:rPr>
          <w:rFonts w:ascii="Century Gothic" w:hAnsi="Century Gothic"/>
          <w:b/>
          <w:bCs/>
        </w:rPr>
        <w:t>.</w:t>
      </w:r>
    </w:p>
    <w:p w14:paraId="37BCE698" w14:textId="59FEDE3F" w:rsidR="002931C0" w:rsidRPr="00160CE2" w:rsidRDefault="00A70C60" w:rsidP="002931C0">
      <w:pPr>
        <w:jc w:val="both"/>
        <w:rPr>
          <w:rFonts w:ascii="Century Gothic" w:hAnsi="Century Gothic"/>
        </w:rPr>
      </w:pPr>
      <w:r w:rsidRPr="00160CE2">
        <w:rPr>
          <w:rFonts w:ascii="Century Gothic" w:hAnsi="Century Gothic"/>
          <w:b/>
          <w:bCs/>
        </w:rPr>
        <w:t>PRIMERA. -</w:t>
      </w:r>
      <w:r w:rsidR="002931C0" w:rsidRPr="00160CE2">
        <w:rPr>
          <w:rFonts w:ascii="Century Gothic" w:hAnsi="Century Gothic"/>
        </w:rPr>
        <w:t xml:space="preserve"> Todos los anexos adjuntos al proyecto de regularización son </w:t>
      </w:r>
      <w:r w:rsidRPr="00160CE2">
        <w:rPr>
          <w:rFonts w:ascii="Century Gothic" w:hAnsi="Century Gothic"/>
        </w:rPr>
        <w:t xml:space="preserve">los </w:t>
      </w:r>
      <w:r w:rsidR="002931C0" w:rsidRPr="00160CE2">
        <w:rPr>
          <w:rFonts w:ascii="Century Gothic" w:hAnsi="Century Gothic"/>
        </w:rPr>
        <w:t>documentos habilitantes de esta Ordenanza.</w:t>
      </w:r>
    </w:p>
    <w:p w14:paraId="113C4432" w14:textId="08BCCE73" w:rsidR="002931C0" w:rsidRPr="00160CE2" w:rsidRDefault="00A70C60" w:rsidP="002931C0">
      <w:pPr>
        <w:jc w:val="both"/>
        <w:rPr>
          <w:rFonts w:ascii="Century Gothic" w:hAnsi="Century Gothic"/>
        </w:rPr>
      </w:pPr>
      <w:r w:rsidRPr="00160CE2">
        <w:rPr>
          <w:rFonts w:ascii="Century Gothic" w:hAnsi="Century Gothic"/>
          <w:b/>
          <w:bCs/>
        </w:rPr>
        <w:t>SEGUNDA. -</w:t>
      </w:r>
      <w:r w:rsidRPr="00160CE2">
        <w:rPr>
          <w:rFonts w:ascii="Century Gothic" w:hAnsi="Century Gothic"/>
        </w:rPr>
        <w:t xml:space="preserve">  </w:t>
      </w:r>
      <w:r w:rsidR="002931C0" w:rsidRPr="00160CE2">
        <w:rPr>
          <w:rFonts w:ascii="Century Gothic" w:hAnsi="Century Gothic"/>
        </w:rPr>
        <w:t>De acuerdo al Oficio N</w:t>
      </w:r>
      <w:r w:rsidR="006951B1" w:rsidRPr="00160CE2">
        <w:rPr>
          <w:rFonts w:ascii="Century Gothic" w:hAnsi="Century Gothic"/>
        </w:rPr>
        <w:t>r</w:t>
      </w:r>
      <w:r w:rsidR="002931C0" w:rsidRPr="00160CE2">
        <w:rPr>
          <w:rFonts w:ascii="Century Gothic" w:hAnsi="Century Gothic"/>
        </w:rPr>
        <w:t>o</w:t>
      </w:r>
      <w:r w:rsidR="006951B1" w:rsidRPr="00160CE2">
        <w:rPr>
          <w:rFonts w:ascii="Century Gothic" w:hAnsi="Century Gothic"/>
        </w:rPr>
        <w:t>.</w:t>
      </w:r>
      <w:r w:rsidR="002931C0" w:rsidRPr="00160CE2">
        <w:rPr>
          <w:rFonts w:ascii="Century Gothic" w:hAnsi="Century Gothic"/>
        </w:rPr>
        <w:t xml:space="preserve"> GADDMQ-SGSG-DMGR-2020-020</w:t>
      </w:r>
      <w:r w:rsidR="006951B1" w:rsidRPr="00160CE2">
        <w:rPr>
          <w:rFonts w:ascii="Century Gothic" w:hAnsi="Century Gothic"/>
        </w:rPr>
        <w:t>8</w:t>
      </w:r>
      <w:r w:rsidR="002931C0" w:rsidRPr="00160CE2">
        <w:rPr>
          <w:rFonts w:ascii="Century Gothic" w:hAnsi="Century Gothic"/>
        </w:rPr>
        <w:t>-OF, de fecha 31 de marzo de 2020, los copropietarios del asentamiento deberán cumplir las siguientes disposiciones, además de las recomendaciones generales y normativa legal vigente contenida en este mismo oficio y en el informe N</w:t>
      </w:r>
      <w:r w:rsidR="006951B1" w:rsidRPr="00160CE2">
        <w:rPr>
          <w:rFonts w:ascii="Century Gothic" w:hAnsi="Century Gothic"/>
        </w:rPr>
        <w:t>ro. 182</w:t>
      </w:r>
      <w:r w:rsidR="002931C0" w:rsidRPr="00160CE2">
        <w:rPr>
          <w:rFonts w:ascii="Century Gothic" w:hAnsi="Century Gothic"/>
        </w:rPr>
        <w:t>-AT-DMGR-201</w:t>
      </w:r>
      <w:r w:rsidR="006951B1" w:rsidRPr="00160CE2">
        <w:rPr>
          <w:rFonts w:ascii="Century Gothic" w:hAnsi="Century Gothic"/>
        </w:rPr>
        <w:t>8</w:t>
      </w:r>
      <w:r w:rsidR="002931C0" w:rsidRPr="00160CE2">
        <w:rPr>
          <w:rFonts w:ascii="Century Gothic" w:hAnsi="Century Gothic"/>
        </w:rPr>
        <w:t xml:space="preserve">, de </w:t>
      </w:r>
      <w:r w:rsidR="006951B1" w:rsidRPr="00160CE2">
        <w:rPr>
          <w:rFonts w:ascii="Century Gothic" w:hAnsi="Century Gothic"/>
        </w:rPr>
        <w:t>13</w:t>
      </w:r>
      <w:r w:rsidR="002931C0" w:rsidRPr="00160CE2">
        <w:rPr>
          <w:rFonts w:ascii="Century Gothic" w:hAnsi="Century Gothic"/>
        </w:rPr>
        <w:t xml:space="preserve"> de </w:t>
      </w:r>
      <w:r w:rsidR="006951B1" w:rsidRPr="00160CE2">
        <w:rPr>
          <w:rFonts w:ascii="Century Gothic" w:hAnsi="Century Gothic"/>
        </w:rPr>
        <w:t>julio</w:t>
      </w:r>
      <w:r w:rsidR="002931C0" w:rsidRPr="00160CE2">
        <w:rPr>
          <w:rFonts w:ascii="Century Gothic" w:hAnsi="Century Gothic"/>
        </w:rPr>
        <w:t xml:space="preserve"> de 201</w:t>
      </w:r>
      <w:r w:rsidR="006951B1" w:rsidRPr="00160CE2">
        <w:rPr>
          <w:rFonts w:ascii="Century Gothic" w:hAnsi="Century Gothic"/>
        </w:rPr>
        <w:t>8</w:t>
      </w:r>
      <w:r w:rsidR="002931C0" w:rsidRPr="00160CE2">
        <w:rPr>
          <w:rFonts w:ascii="Century Gothic" w:hAnsi="Century Gothic"/>
        </w:rPr>
        <w:t>.</w:t>
      </w:r>
    </w:p>
    <w:p w14:paraId="6A4FC0BE" w14:textId="1C20D09E" w:rsidR="006951B1" w:rsidRDefault="006951B1" w:rsidP="006951B1">
      <w:pPr>
        <w:pStyle w:val="Prrafodelista"/>
        <w:numPr>
          <w:ilvl w:val="0"/>
          <w:numId w:val="3"/>
        </w:numPr>
        <w:jc w:val="both"/>
        <w:rPr>
          <w:rFonts w:ascii="Century Gothic" w:hAnsi="Century Gothic"/>
        </w:rPr>
      </w:pPr>
      <w:r w:rsidRPr="00160CE2">
        <w:rPr>
          <w:rFonts w:ascii="Century Gothic" w:hAnsi="Century Gothic"/>
        </w:rPr>
        <w:t xml:space="preserve">Se dispone que los propietarios/posesionarios de los lotes donde se dejaron taludes expuestos y desprotegidos ante los efectos erosivos que causa la intemperie (precipitaciones, viento), deben contratar a un especialista geotécnico para que realice los estudios técnicos necesarios, como lo establece la Norma Ecuatoriana de Construcción vigente y su respectiva Guía Práctica (NEC-SE-GC), y determine las alternativas de mitigación del riesgo adecuadas según las características topográficas, geológicas, hidrogeológicas y mecánicas del suelo que conforma los taludes. Los estudios técnicos y diseños de las alternativas de mitigación seleccionadas no deberán </w:t>
      </w:r>
      <w:r w:rsidRPr="00160CE2">
        <w:rPr>
          <w:rFonts w:ascii="Century Gothic" w:hAnsi="Century Gothic"/>
        </w:rPr>
        <w:lastRenderedPageBreak/>
        <w:t xml:space="preserve">ser considerados como requisitos durante la etapa de regularización del asentamiento humano evaluado. </w:t>
      </w:r>
    </w:p>
    <w:p w14:paraId="31EFFD17" w14:textId="77777777" w:rsidR="00160CE2" w:rsidRPr="00160CE2" w:rsidRDefault="00160CE2" w:rsidP="00160CE2">
      <w:pPr>
        <w:pStyle w:val="Prrafodelista"/>
        <w:ind w:left="1065"/>
        <w:jc w:val="both"/>
        <w:rPr>
          <w:rFonts w:ascii="Century Gothic" w:hAnsi="Century Gothic"/>
        </w:rPr>
      </w:pPr>
    </w:p>
    <w:p w14:paraId="3612B918" w14:textId="27FF1DC6" w:rsidR="002931C0" w:rsidRPr="00160CE2" w:rsidRDefault="006951B1" w:rsidP="002931C0">
      <w:pPr>
        <w:pStyle w:val="Prrafodelista"/>
        <w:numPr>
          <w:ilvl w:val="0"/>
          <w:numId w:val="3"/>
        </w:numPr>
        <w:jc w:val="both"/>
        <w:rPr>
          <w:rFonts w:ascii="Century Gothic" w:hAnsi="Century Gothic"/>
        </w:rPr>
      </w:pPr>
      <w:r w:rsidRPr="00160CE2">
        <w:rPr>
          <w:rFonts w:ascii="Century Gothic" w:hAnsi="Century Gothic"/>
        </w:rPr>
        <w:t xml:space="preserve">Se dispone que los propietarios y/o posesionarios actuales no construyan más viviendas en el macro lote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 </w:t>
      </w:r>
    </w:p>
    <w:p w14:paraId="2FBD25B5" w14:textId="3AAEDD0D" w:rsidR="002931C0" w:rsidRPr="00160CE2" w:rsidRDefault="002931C0" w:rsidP="002931C0">
      <w:pPr>
        <w:jc w:val="both"/>
        <w:rPr>
          <w:rFonts w:ascii="Century Gothic" w:hAnsi="Century Gothic"/>
        </w:rPr>
      </w:pPr>
      <w:r w:rsidRPr="00160CE2">
        <w:rPr>
          <w:rFonts w:ascii="Century Gothic" w:hAnsi="Century Gothic"/>
        </w:rPr>
        <w:t xml:space="preserve">La Unidad Especial Regula Tu Barrio deberá comunicar a la comunidad </w:t>
      </w:r>
      <w:r w:rsidR="00A70C60" w:rsidRPr="00160CE2">
        <w:rPr>
          <w:rFonts w:ascii="Century Gothic" w:hAnsi="Century Gothic"/>
        </w:rPr>
        <w:t xml:space="preserve">del asentamiento humano de hecho y consolidado de interés social denominado </w:t>
      </w:r>
      <w:r w:rsidR="004359F1" w:rsidRPr="00160CE2">
        <w:rPr>
          <w:rFonts w:ascii="Century Gothic" w:hAnsi="Century Gothic"/>
        </w:rPr>
        <w:t xml:space="preserve">"Comité Pro Mejoras del Barrio Ontaneda Alta" Segunda Etapa </w:t>
      </w:r>
      <w:r w:rsidRPr="00160CE2">
        <w:rPr>
          <w:rFonts w:ascii="Century Gothic" w:hAnsi="Century Gothic"/>
        </w:rPr>
        <w:t>lo descrito en el presente informe, especialmente la calificación del riesgo ante las diferentes amenazas analizadas y las respectivas recomendaciones técnicas.</w:t>
      </w:r>
    </w:p>
    <w:p w14:paraId="14F8EAB1" w14:textId="5A2C67BF" w:rsidR="00A70C60" w:rsidRPr="00160CE2" w:rsidRDefault="00A70C60" w:rsidP="00A70C60">
      <w:pPr>
        <w:jc w:val="center"/>
        <w:rPr>
          <w:rFonts w:ascii="Century Gothic" w:hAnsi="Century Gothic"/>
          <w:b/>
          <w:bCs/>
        </w:rPr>
      </w:pPr>
      <w:r w:rsidRPr="00160CE2">
        <w:rPr>
          <w:rFonts w:ascii="Century Gothic" w:hAnsi="Century Gothic"/>
          <w:b/>
          <w:bCs/>
        </w:rPr>
        <w:t>DISPOSICIÓN FINAL</w:t>
      </w:r>
      <w:r w:rsidR="00FA2CAE" w:rsidRPr="00160CE2">
        <w:rPr>
          <w:rFonts w:ascii="Century Gothic" w:hAnsi="Century Gothic"/>
          <w:b/>
          <w:bCs/>
        </w:rPr>
        <w:t>.</w:t>
      </w:r>
    </w:p>
    <w:p w14:paraId="21E8211A" w14:textId="78128DB8" w:rsidR="002931C0" w:rsidRPr="00160CE2" w:rsidRDefault="002931C0" w:rsidP="002931C0">
      <w:pPr>
        <w:jc w:val="both"/>
        <w:rPr>
          <w:rFonts w:ascii="Century Gothic" w:hAnsi="Century Gothic"/>
        </w:rPr>
      </w:pPr>
      <w:r w:rsidRPr="00160CE2">
        <w:rPr>
          <w:rFonts w:ascii="Century Gothic" w:hAnsi="Century Gothic"/>
        </w:rPr>
        <w:t>Esta ordenanza entrará en vigencia a partir de la fecha de su sanción, sin perjuicio de su publicación en el Registro Oficial, Gaceta Municipal o la página web institucional de la Municipalidad.</w:t>
      </w:r>
    </w:p>
    <w:p w14:paraId="4E88E9AD" w14:textId="7EBF60A8" w:rsidR="002931C0" w:rsidRPr="00160CE2" w:rsidRDefault="002931C0" w:rsidP="002931C0">
      <w:pPr>
        <w:jc w:val="both"/>
        <w:rPr>
          <w:rFonts w:ascii="Century Gothic" w:hAnsi="Century Gothic"/>
        </w:rPr>
      </w:pPr>
      <w:r w:rsidRPr="00160CE2">
        <w:rPr>
          <w:rFonts w:ascii="Century Gothic" w:hAnsi="Century Gothic"/>
        </w:rPr>
        <w:t>Dada, en la Sala de Sesiones del Concejo Metropolitano de Quito, el</w:t>
      </w:r>
      <w:r w:rsidR="00A70C60" w:rsidRPr="00160CE2">
        <w:rPr>
          <w:rFonts w:ascii="Century Gothic" w:hAnsi="Century Gothic"/>
        </w:rPr>
        <w:t xml:space="preserve"> …</w:t>
      </w:r>
      <w:r w:rsidRPr="00160CE2">
        <w:rPr>
          <w:rFonts w:ascii="Century Gothic" w:hAnsi="Century Gothic"/>
        </w:rPr>
        <w:t xml:space="preserve"> de …</w:t>
      </w:r>
      <w:r w:rsidR="00FA2CAE" w:rsidRPr="00160CE2">
        <w:rPr>
          <w:rFonts w:ascii="Century Gothic" w:hAnsi="Century Gothic"/>
        </w:rPr>
        <w:t xml:space="preserve"> </w:t>
      </w:r>
      <w:r w:rsidRPr="00160CE2">
        <w:rPr>
          <w:rFonts w:ascii="Century Gothic" w:hAnsi="Century Gothic"/>
        </w:rPr>
        <w:t>de 20</w:t>
      </w:r>
      <w:r w:rsidR="00A70C60" w:rsidRPr="00160CE2">
        <w:rPr>
          <w:rFonts w:ascii="Century Gothic" w:hAnsi="Century Gothic"/>
        </w:rPr>
        <w:t>21</w:t>
      </w:r>
    </w:p>
    <w:p w14:paraId="7D60AE54" w14:textId="77777777" w:rsidR="00FA2CAE" w:rsidRPr="00160CE2" w:rsidRDefault="00FA2CAE" w:rsidP="002931C0">
      <w:pPr>
        <w:jc w:val="both"/>
        <w:rPr>
          <w:rFonts w:ascii="Century Gothic" w:hAnsi="Century Gothic"/>
        </w:rPr>
      </w:pPr>
    </w:p>
    <w:p w14:paraId="75796790" w14:textId="77777777" w:rsidR="002931C0" w:rsidRPr="00160CE2" w:rsidRDefault="002931C0" w:rsidP="00A70C60">
      <w:pPr>
        <w:spacing w:after="0"/>
        <w:jc w:val="center"/>
        <w:rPr>
          <w:rFonts w:ascii="Century Gothic" w:hAnsi="Century Gothic"/>
        </w:rPr>
      </w:pPr>
    </w:p>
    <w:p w14:paraId="4D86F7B9" w14:textId="77777777" w:rsidR="002931C0" w:rsidRPr="00160CE2" w:rsidRDefault="002931C0" w:rsidP="00A70C60">
      <w:pPr>
        <w:spacing w:after="0"/>
        <w:jc w:val="center"/>
        <w:rPr>
          <w:rFonts w:ascii="Century Gothic" w:hAnsi="Century Gothic"/>
        </w:rPr>
      </w:pPr>
      <w:r w:rsidRPr="00160CE2">
        <w:rPr>
          <w:rFonts w:ascii="Century Gothic" w:hAnsi="Century Gothic"/>
        </w:rPr>
        <w:t xml:space="preserve">Abg. Damaris Priscila </w:t>
      </w:r>
      <w:proofErr w:type="spellStart"/>
      <w:r w:rsidRPr="00160CE2">
        <w:rPr>
          <w:rFonts w:ascii="Century Gothic" w:hAnsi="Century Gothic"/>
        </w:rPr>
        <w:t>Ortíz</w:t>
      </w:r>
      <w:proofErr w:type="spellEnd"/>
      <w:r w:rsidRPr="00160CE2">
        <w:rPr>
          <w:rFonts w:ascii="Century Gothic" w:hAnsi="Century Gothic"/>
        </w:rPr>
        <w:t xml:space="preserve"> </w:t>
      </w:r>
      <w:proofErr w:type="spellStart"/>
      <w:r w:rsidRPr="00160CE2">
        <w:rPr>
          <w:rFonts w:ascii="Century Gothic" w:hAnsi="Century Gothic"/>
        </w:rPr>
        <w:t>Pasuy</w:t>
      </w:r>
      <w:proofErr w:type="spellEnd"/>
    </w:p>
    <w:p w14:paraId="4DDA4A26" w14:textId="77777777" w:rsidR="002931C0" w:rsidRPr="00160CE2" w:rsidRDefault="002931C0" w:rsidP="00A70C60">
      <w:pPr>
        <w:spacing w:after="0"/>
        <w:jc w:val="center"/>
        <w:rPr>
          <w:rFonts w:ascii="Century Gothic" w:hAnsi="Century Gothic"/>
          <w:b/>
          <w:bCs/>
        </w:rPr>
      </w:pPr>
      <w:r w:rsidRPr="00160CE2">
        <w:rPr>
          <w:rFonts w:ascii="Century Gothic" w:hAnsi="Century Gothic"/>
          <w:b/>
          <w:bCs/>
        </w:rPr>
        <w:t>SECRETARIA GENERAL DEL CONCEJO METROPOLITANO DE QUITO (E)</w:t>
      </w:r>
    </w:p>
    <w:p w14:paraId="4A5B7AC1" w14:textId="77777777" w:rsidR="002931C0" w:rsidRPr="00160CE2" w:rsidRDefault="002931C0" w:rsidP="00A70C60">
      <w:pPr>
        <w:spacing w:after="0"/>
        <w:jc w:val="both"/>
        <w:rPr>
          <w:rFonts w:ascii="Century Gothic" w:hAnsi="Century Gothic"/>
        </w:rPr>
      </w:pPr>
    </w:p>
    <w:p w14:paraId="1945AE18" w14:textId="77777777" w:rsidR="00A70C60" w:rsidRPr="00160CE2" w:rsidRDefault="00A70C60" w:rsidP="002931C0">
      <w:pPr>
        <w:jc w:val="both"/>
        <w:rPr>
          <w:rFonts w:ascii="Century Gothic" w:hAnsi="Century Gothic"/>
        </w:rPr>
      </w:pPr>
    </w:p>
    <w:tbl>
      <w:tblPr>
        <w:tblStyle w:val="Tablaconcuadrcula"/>
        <w:tblW w:w="0" w:type="auto"/>
        <w:jc w:val="center"/>
        <w:tblLook w:val="04A0" w:firstRow="1" w:lastRow="0" w:firstColumn="1" w:lastColumn="0" w:noHBand="0" w:noVBand="1"/>
      </w:tblPr>
      <w:tblGrid>
        <w:gridCol w:w="8494"/>
      </w:tblGrid>
      <w:tr w:rsidR="00A70C60" w:rsidRPr="00160CE2" w14:paraId="6D29E8C9" w14:textId="77777777" w:rsidTr="00A70C60">
        <w:trPr>
          <w:jc w:val="center"/>
        </w:trPr>
        <w:tc>
          <w:tcPr>
            <w:tcW w:w="8494" w:type="dxa"/>
          </w:tcPr>
          <w:p w14:paraId="7D70D860" w14:textId="77777777" w:rsidR="00A70C60" w:rsidRPr="00160CE2" w:rsidRDefault="00A70C60" w:rsidP="00A70C60">
            <w:pPr>
              <w:jc w:val="center"/>
              <w:rPr>
                <w:rFonts w:ascii="Century Gothic" w:hAnsi="Century Gothic"/>
                <w:b/>
                <w:bCs/>
              </w:rPr>
            </w:pPr>
            <w:r w:rsidRPr="00160CE2">
              <w:rPr>
                <w:rFonts w:ascii="Century Gothic" w:hAnsi="Century Gothic"/>
                <w:b/>
                <w:bCs/>
              </w:rPr>
              <w:t>CERTIFICADO DE DISCUSIÓN</w:t>
            </w:r>
          </w:p>
        </w:tc>
      </w:tr>
    </w:tbl>
    <w:p w14:paraId="397D4C7C" w14:textId="010CC049" w:rsidR="002931C0" w:rsidRPr="00160CE2" w:rsidRDefault="002931C0" w:rsidP="002931C0">
      <w:pPr>
        <w:jc w:val="both"/>
        <w:rPr>
          <w:rFonts w:ascii="Century Gothic" w:hAnsi="Century Gothic"/>
        </w:rPr>
      </w:pPr>
      <w:r w:rsidRPr="00160CE2">
        <w:rPr>
          <w:rFonts w:ascii="Century Gothic" w:hAnsi="Century Gothic"/>
        </w:rPr>
        <w:t>La infrascrita Secretaria General del Concejo Metropolitano de Quito, certifica que la presente ordenanza fue discutida y aprobada en dos debates, en sesiones de</w:t>
      </w:r>
      <w:r w:rsidR="00A70C60" w:rsidRPr="00160CE2">
        <w:rPr>
          <w:rFonts w:ascii="Century Gothic" w:hAnsi="Century Gothic"/>
        </w:rPr>
        <w:t xml:space="preserve"> … </w:t>
      </w:r>
      <w:r w:rsidRPr="00160CE2">
        <w:rPr>
          <w:rFonts w:ascii="Century Gothic" w:hAnsi="Century Gothic"/>
        </w:rPr>
        <w:t xml:space="preserve">de </w:t>
      </w:r>
      <w:r w:rsidR="00A70C60" w:rsidRPr="00160CE2">
        <w:rPr>
          <w:rFonts w:ascii="Century Gothic" w:hAnsi="Century Gothic"/>
        </w:rPr>
        <w:t>..</w:t>
      </w:r>
      <w:r w:rsidRPr="00160CE2">
        <w:rPr>
          <w:rFonts w:ascii="Century Gothic" w:hAnsi="Century Gothic"/>
        </w:rPr>
        <w:t xml:space="preserve">.  y </w:t>
      </w:r>
      <w:r w:rsidR="00A70C60" w:rsidRPr="00160CE2">
        <w:rPr>
          <w:rFonts w:ascii="Century Gothic" w:hAnsi="Century Gothic"/>
        </w:rPr>
        <w:t>…</w:t>
      </w:r>
      <w:r w:rsidRPr="00160CE2">
        <w:rPr>
          <w:rFonts w:ascii="Century Gothic" w:hAnsi="Century Gothic"/>
        </w:rPr>
        <w:t xml:space="preserve"> de </w:t>
      </w:r>
      <w:r w:rsidR="00A70C60" w:rsidRPr="00160CE2">
        <w:rPr>
          <w:rFonts w:ascii="Century Gothic" w:hAnsi="Century Gothic"/>
        </w:rPr>
        <w:t>…</w:t>
      </w:r>
      <w:r w:rsidRPr="00160CE2">
        <w:rPr>
          <w:rFonts w:ascii="Century Gothic" w:hAnsi="Century Gothic"/>
        </w:rPr>
        <w:t xml:space="preserve"> de 202</w:t>
      </w:r>
      <w:r w:rsidR="00A70C60" w:rsidRPr="00160CE2">
        <w:rPr>
          <w:rFonts w:ascii="Century Gothic" w:hAnsi="Century Gothic"/>
        </w:rPr>
        <w:t xml:space="preserve">1 </w:t>
      </w:r>
      <w:r w:rsidRPr="00160CE2">
        <w:rPr>
          <w:rFonts w:ascii="Century Gothic" w:hAnsi="Century Gothic"/>
        </w:rPr>
        <w:t>- Quito,</w:t>
      </w:r>
    </w:p>
    <w:p w14:paraId="16EC07D1" w14:textId="6FA7575D" w:rsidR="002931C0" w:rsidRPr="00160CE2" w:rsidRDefault="002931C0" w:rsidP="002931C0">
      <w:pPr>
        <w:jc w:val="both"/>
        <w:rPr>
          <w:rFonts w:ascii="Century Gothic" w:hAnsi="Century Gothic"/>
        </w:rPr>
      </w:pPr>
    </w:p>
    <w:p w14:paraId="01CF6EE5" w14:textId="198E3583" w:rsidR="00FA2CAE" w:rsidRPr="00160CE2" w:rsidRDefault="00FA2CAE" w:rsidP="002931C0">
      <w:pPr>
        <w:jc w:val="both"/>
        <w:rPr>
          <w:rFonts w:ascii="Century Gothic" w:hAnsi="Century Gothic"/>
        </w:rPr>
      </w:pPr>
    </w:p>
    <w:p w14:paraId="7FA78F2B" w14:textId="77777777" w:rsidR="00FA2CAE" w:rsidRPr="00160CE2" w:rsidRDefault="00FA2CAE" w:rsidP="002931C0">
      <w:pPr>
        <w:jc w:val="both"/>
        <w:rPr>
          <w:rFonts w:ascii="Century Gothic" w:hAnsi="Century Gothic"/>
        </w:rPr>
      </w:pPr>
    </w:p>
    <w:p w14:paraId="77F49D70" w14:textId="77777777" w:rsidR="002931C0" w:rsidRPr="00160CE2" w:rsidRDefault="002931C0" w:rsidP="00A70C60">
      <w:pPr>
        <w:spacing w:after="0"/>
        <w:jc w:val="center"/>
        <w:rPr>
          <w:rFonts w:ascii="Century Gothic" w:hAnsi="Century Gothic"/>
        </w:rPr>
      </w:pPr>
      <w:r w:rsidRPr="00160CE2">
        <w:rPr>
          <w:rFonts w:ascii="Century Gothic" w:hAnsi="Century Gothic"/>
        </w:rPr>
        <w:t xml:space="preserve">Abg. Damaris Priscila </w:t>
      </w:r>
      <w:proofErr w:type="spellStart"/>
      <w:r w:rsidRPr="00160CE2">
        <w:rPr>
          <w:rFonts w:ascii="Century Gothic" w:hAnsi="Century Gothic"/>
        </w:rPr>
        <w:t>Ortíz</w:t>
      </w:r>
      <w:proofErr w:type="spellEnd"/>
      <w:r w:rsidRPr="00160CE2">
        <w:rPr>
          <w:rFonts w:ascii="Century Gothic" w:hAnsi="Century Gothic"/>
        </w:rPr>
        <w:t xml:space="preserve"> </w:t>
      </w:r>
      <w:proofErr w:type="spellStart"/>
      <w:r w:rsidRPr="00160CE2">
        <w:rPr>
          <w:rFonts w:ascii="Century Gothic" w:hAnsi="Century Gothic"/>
        </w:rPr>
        <w:t>Pasuy</w:t>
      </w:r>
      <w:proofErr w:type="spellEnd"/>
    </w:p>
    <w:p w14:paraId="7E48BA95" w14:textId="77777777" w:rsidR="002931C0" w:rsidRPr="00160CE2" w:rsidRDefault="002931C0" w:rsidP="00A70C60">
      <w:pPr>
        <w:spacing w:after="0"/>
        <w:jc w:val="center"/>
        <w:rPr>
          <w:rFonts w:ascii="Century Gothic" w:hAnsi="Century Gothic"/>
          <w:b/>
          <w:bCs/>
        </w:rPr>
      </w:pPr>
      <w:r w:rsidRPr="00160CE2">
        <w:rPr>
          <w:rFonts w:ascii="Century Gothic" w:hAnsi="Century Gothic"/>
          <w:b/>
          <w:bCs/>
        </w:rPr>
        <w:t>SECRETARIA GENERAL DEL CONCEJO METROPOLITANO DE QUITO (E)</w:t>
      </w:r>
    </w:p>
    <w:p w14:paraId="472AF1B8" w14:textId="77777777" w:rsidR="002931C0" w:rsidRPr="00160CE2" w:rsidRDefault="002931C0" w:rsidP="002931C0">
      <w:pPr>
        <w:jc w:val="both"/>
        <w:rPr>
          <w:rFonts w:ascii="Century Gothic" w:hAnsi="Century Gothic"/>
        </w:rPr>
      </w:pPr>
    </w:p>
    <w:p w14:paraId="5ECCE5DD" w14:textId="12346BED" w:rsidR="002931C0" w:rsidRPr="00160CE2" w:rsidRDefault="002931C0" w:rsidP="00ED13B7">
      <w:pPr>
        <w:spacing w:after="0"/>
        <w:jc w:val="center"/>
        <w:rPr>
          <w:rFonts w:ascii="Century Gothic" w:hAnsi="Century Gothic"/>
        </w:rPr>
      </w:pPr>
      <w:r w:rsidRPr="00160CE2">
        <w:rPr>
          <w:rFonts w:ascii="Century Gothic" w:hAnsi="Century Gothic"/>
          <w:b/>
          <w:bCs/>
        </w:rPr>
        <w:t>ALCALDÍA DEL DISTRITO METROPOLITANO. -</w:t>
      </w:r>
      <w:r w:rsidRPr="00160CE2">
        <w:rPr>
          <w:rFonts w:ascii="Century Gothic" w:hAnsi="Century Gothic"/>
        </w:rPr>
        <w:t xml:space="preserve">  Distrito Metropolitano de Quito,</w:t>
      </w:r>
    </w:p>
    <w:p w14:paraId="759B2BF8" w14:textId="77777777" w:rsidR="002931C0" w:rsidRPr="00160CE2" w:rsidRDefault="002931C0" w:rsidP="00ED13B7">
      <w:pPr>
        <w:spacing w:after="0"/>
        <w:jc w:val="center"/>
        <w:rPr>
          <w:rFonts w:ascii="Century Gothic" w:hAnsi="Century Gothic"/>
          <w:b/>
          <w:bCs/>
        </w:rPr>
      </w:pPr>
      <w:r w:rsidRPr="00160CE2">
        <w:rPr>
          <w:rFonts w:ascii="Century Gothic" w:hAnsi="Century Gothic"/>
          <w:b/>
          <w:bCs/>
        </w:rPr>
        <w:t>EJECÚTESE:</w:t>
      </w:r>
    </w:p>
    <w:p w14:paraId="416CB9D8" w14:textId="77777777" w:rsidR="002931C0" w:rsidRPr="00160CE2" w:rsidRDefault="002931C0" w:rsidP="002931C0">
      <w:pPr>
        <w:jc w:val="both"/>
        <w:rPr>
          <w:rFonts w:ascii="Century Gothic" w:hAnsi="Century Gothic"/>
        </w:rPr>
      </w:pPr>
    </w:p>
    <w:p w14:paraId="03227614" w14:textId="0DDDEE15" w:rsidR="002931C0" w:rsidRPr="00160CE2" w:rsidRDefault="002931C0" w:rsidP="00ED13B7">
      <w:pPr>
        <w:jc w:val="center"/>
        <w:rPr>
          <w:rFonts w:ascii="Century Gothic" w:hAnsi="Century Gothic"/>
        </w:rPr>
      </w:pPr>
    </w:p>
    <w:p w14:paraId="16035986" w14:textId="77777777" w:rsidR="00FA2CAE" w:rsidRPr="00160CE2" w:rsidRDefault="00FA2CAE" w:rsidP="00ED13B7">
      <w:pPr>
        <w:jc w:val="center"/>
        <w:rPr>
          <w:rFonts w:ascii="Century Gothic" w:hAnsi="Century Gothic"/>
        </w:rPr>
      </w:pPr>
    </w:p>
    <w:p w14:paraId="5C18923D" w14:textId="77777777" w:rsidR="002931C0" w:rsidRPr="00160CE2" w:rsidRDefault="002931C0" w:rsidP="00ED13B7">
      <w:pPr>
        <w:spacing w:after="0"/>
        <w:jc w:val="center"/>
        <w:rPr>
          <w:rFonts w:ascii="Century Gothic" w:hAnsi="Century Gothic"/>
        </w:rPr>
      </w:pPr>
      <w:r w:rsidRPr="00160CE2">
        <w:rPr>
          <w:rFonts w:ascii="Century Gothic" w:hAnsi="Century Gothic"/>
        </w:rPr>
        <w:t>Dr. Jorge Yunda Machado</w:t>
      </w:r>
    </w:p>
    <w:p w14:paraId="35AF181D" w14:textId="77777777" w:rsidR="002931C0" w:rsidRPr="00160CE2" w:rsidRDefault="002931C0" w:rsidP="00ED13B7">
      <w:pPr>
        <w:spacing w:after="0"/>
        <w:jc w:val="center"/>
        <w:rPr>
          <w:rFonts w:ascii="Century Gothic" w:hAnsi="Century Gothic"/>
          <w:b/>
          <w:bCs/>
        </w:rPr>
      </w:pPr>
      <w:r w:rsidRPr="00160CE2">
        <w:rPr>
          <w:rFonts w:ascii="Century Gothic" w:hAnsi="Century Gothic"/>
          <w:b/>
          <w:bCs/>
        </w:rPr>
        <w:t>ALCALDE DEL DISTRITO METROPOLITANO DE QUITO</w:t>
      </w:r>
    </w:p>
    <w:p w14:paraId="4DBF3BAA" w14:textId="77777777" w:rsidR="002931C0" w:rsidRPr="00160CE2" w:rsidRDefault="002931C0" w:rsidP="002931C0">
      <w:pPr>
        <w:jc w:val="both"/>
        <w:rPr>
          <w:rFonts w:ascii="Century Gothic" w:hAnsi="Century Gothic"/>
        </w:rPr>
      </w:pPr>
    </w:p>
    <w:p w14:paraId="716CBC23" w14:textId="5214FA4F" w:rsidR="002931C0" w:rsidRPr="002931C0" w:rsidRDefault="002931C0" w:rsidP="00BA4480">
      <w:pPr>
        <w:jc w:val="both"/>
        <w:rPr>
          <w:rFonts w:ascii="Century Gothic" w:hAnsi="Century Gothic"/>
        </w:rPr>
      </w:pPr>
      <w:r w:rsidRPr="00160CE2">
        <w:rPr>
          <w:rFonts w:ascii="Century Gothic" w:hAnsi="Century Gothic"/>
          <w:b/>
          <w:bCs/>
        </w:rPr>
        <w:t>CERTIFICO</w:t>
      </w:r>
      <w:r w:rsidRPr="00160CE2">
        <w:rPr>
          <w:rFonts w:ascii="Century Gothic" w:hAnsi="Century Gothic"/>
        </w:rPr>
        <w:t>, que la presente ordenanza fue sancionada por el Dr. Jorge Yunda Machado,</w:t>
      </w:r>
      <w:r w:rsidR="00ED13B7" w:rsidRPr="00160CE2">
        <w:rPr>
          <w:rFonts w:ascii="Century Gothic" w:hAnsi="Century Gothic"/>
        </w:rPr>
        <w:t xml:space="preserve"> a</w:t>
      </w:r>
      <w:r w:rsidRPr="00160CE2">
        <w:rPr>
          <w:rFonts w:ascii="Century Gothic" w:hAnsi="Century Gothic"/>
        </w:rPr>
        <w:t xml:space="preserve">lcalde del Distrito Metropolitano de Quito, </w:t>
      </w:r>
      <w:proofErr w:type="gramStart"/>
      <w:r w:rsidRPr="00160CE2">
        <w:rPr>
          <w:rFonts w:ascii="Century Gothic" w:hAnsi="Century Gothic"/>
        </w:rPr>
        <w:t>el</w:t>
      </w:r>
      <w:r w:rsidR="00ED13B7" w:rsidRPr="00160CE2">
        <w:rPr>
          <w:rFonts w:ascii="Century Gothic" w:hAnsi="Century Gothic"/>
        </w:rPr>
        <w:t xml:space="preserve"> …</w:t>
      </w:r>
      <w:proofErr w:type="gramEnd"/>
      <w:r w:rsidR="00ED13B7" w:rsidRPr="00160CE2">
        <w:rPr>
          <w:rFonts w:ascii="Century Gothic" w:hAnsi="Century Gothic"/>
        </w:rPr>
        <w:t xml:space="preserve"> de … de … . </w:t>
      </w:r>
      <w:r w:rsidRPr="00160CE2">
        <w:rPr>
          <w:rFonts w:ascii="Century Gothic" w:hAnsi="Century Gothic"/>
        </w:rPr>
        <w:t>- Distrito Metropolitano de Quito</w:t>
      </w:r>
      <w:r w:rsidR="00ED13B7" w:rsidRPr="00160CE2">
        <w:rPr>
          <w:rFonts w:ascii="Century Gothic" w:hAnsi="Century Gothic"/>
        </w:rPr>
        <w:t>.</w:t>
      </w:r>
    </w:p>
    <w:sectPr w:rsidR="002931C0" w:rsidRPr="002931C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C7A91" w14:textId="77777777" w:rsidR="00E060CF" w:rsidRDefault="00E060CF" w:rsidP="002931C0">
      <w:pPr>
        <w:spacing w:after="0" w:line="240" w:lineRule="auto"/>
      </w:pPr>
      <w:r>
        <w:separator/>
      </w:r>
    </w:p>
  </w:endnote>
  <w:endnote w:type="continuationSeparator" w:id="0">
    <w:p w14:paraId="4158AC39" w14:textId="77777777" w:rsidR="00E060CF" w:rsidRDefault="00E060CF" w:rsidP="0029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1132B" w14:textId="77777777" w:rsidR="00B34C92" w:rsidRDefault="00B34C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B45B" w14:textId="77777777" w:rsidR="00ED13B7" w:rsidRPr="00FA2CAE" w:rsidRDefault="00ED13B7">
    <w:pPr>
      <w:pStyle w:val="Piedepgina"/>
      <w:jc w:val="center"/>
      <w:rPr>
        <w:rFonts w:ascii="Century Gothic" w:hAnsi="Century Gothic"/>
      </w:rPr>
    </w:pPr>
    <w:r w:rsidRPr="00FA2CAE">
      <w:rPr>
        <w:rFonts w:ascii="Century Gothic" w:hAnsi="Century Gothic"/>
        <w:lang w:val="es-ES"/>
      </w:rPr>
      <w:t xml:space="preserve">Página </w:t>
    </w:r>
    <w:r w:rsidRPr="00FA2CAE">
      <w:rPr>
        <w:rFonts w:ascii="Century Gothic" w:hAnsi="Century Gothic"/>
      </w:rPr>
      <w:fldChar w:fldCharType="begin"/>
    </w:r>
    <w:r w:rsidRPr="00FA2CAE">
      <w:rPr>
        <w:rFonts w:ascii="Century Gothic" w:hAnsi="Century Gothic"/>
      </w:rPr>
      <w:instrText>PAGE  \* Arabic  \* MERGEFORMAT</w:instrText>
    </w:r>
    <w:r w:rsidRPr="00FA2CAE">
      <w:rPr>
        <w:rFonts w:ascii="Century Gothic" w:hAnsi="Century Gothic"/>
      </w:rPr>
      <w:fldChar w:fldCharType="separate"/>
    </w:r>
    <w:r w:rsidR="00665028" w:rsidRPr="00665028">
      <w:rPr>
        <w:rFonts w:ascii="Century Gothic" w:hAnsi="Century Gothic"/>
        <w:noProof/>
        <w:lang w:val="es-ES"/>
      </w:rPr>
      <w:t>15</w:t>
    </w:r>
    <w:r w:rsidRPr="00FA2CAE">
      <w:rPr>
        <w:rFonts w:ascii="Century Gothic" w:hAnsi="Century Gothic"/>
      </w:rPr>
      <w:fldChar w:fldCharType="end"/>
    </w:r>
    <w:r w:rsidRPr="00FA2CAE">
      <w:rPr>
        <w:rFonts w:ascii="Century Gothic" w:hAnsi="Century Gothic"/>
        <w:lang w:val="es-ES"/>
      </w:rPr>
      <w:t xml:space="preserve"> de </w:t>
    </w:r>
    <w:r w:rsidRPr="00FA2CAE">
      <w:rPr>
        <w:rFonts w:ascii="Century Gothic" w:hAnsi="Century Gothic"/>
      </w:rPr>
      <w:fldChar w:fldCharType="begin"/>
    </w:r>
    <w:r w:rsidRPr="00FA2CAE">
      <w:rPr>
        <w:rFonts w:ascii="Century Gothic" w:hAnsi="Century Gothic"/>
      </w:rPr>
      <w:instrText>NUMPAGES  \* Arabic  \* MERGEFORMAT</w:instrText>
    </w:r>
    <w:r w:rsidRPr="00FA2CAE">
      <w:rPr>
        <w:rFonts w:ascii="Century Gothic" w:hAnsi="Century Gothic"/>
      </w:rPr>
      <w:fldChar w:fldCharType="separate"/>
    </w:r>
    <w:r w:rsidR="00665028" w:rsidRPr="00665028">
      <w:rPr>
        <w:rFonts w:ascii="Century Gothic" w:hAnsi="Century Gothic"/>
        <w:noProof/>
        <w:lang w:val="es-ES"/>
      </w:rPr>
      <w:t>15</w:t>
    </w:r>
    <w:r w:rsidRPr="00FA2CAE">
      <w:rPr>
        <w:rFonts w:ascii="Century Gothic" w:hAnsi="Century Gothic"/>
      </w:rPr>
      <w:fldChar w:fldCharType="end"/>
    </w:r>
  </w:p>
  <w:p w14:paraId="3DCC6EE8" w14:textId="77777777" w:rsidR="00ED13B7" w:rsidRDefault="00ED13B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A464" w14:textId="77777777" w:rsidR="00B34C92" w:rsidRDefault="00B34C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8529B" w14:textId="77777777" w:rsidR="00E060CF" w:rsidRDefault="00E060CF" w:rsidP="002931C0">
      <w:pPr>
        <w:spacing w:after="0" w:line="240" w:lineRule="auto"/>
      </w:pPr>
      <w:r>
        <w:separator/>
      </w:r>
    </w:p>
  </w:footnote>
  <w:footnote w:type="continuationSeparator" w:id="0">
    <w:p w14:paraId="6F97D89B" w14:textId="77777777" w:rsidR="00E060CF" w:rsidRDefault="00E060CF" w:rsidP="00293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4D0E9" w14:textId="2AA005DE" w:rsidR="006E0E33" w:rsidRDefault="00E060CF">
    <w:pPr>
      <w:pStyle w:val="Encabezado"/>
    </w:pPr>
    <w:r>
      <w:rPr>
        <w:noProof/>
      </w:rPr>
      <w:pict w14:anchorId="59D71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42235" o:spid="_x0000_s2053" type="#_x0000_t136" style="position:absolute;margin-left:0;margin-top:0;width:581.7pt;height:17.6pt;rotation:315;z-index:-251655168;mso-position-horizontal:center;mso-position-horizontal-relative:margin;mso-position-vertical:center;mso-position-vertical-relative:margin" o:allowincell="f" fillcolor="#9cc2e5 [1944]" stroked="f">
          <v:fill opacity=".5"/>
          <v:textpath style="font-family:&quot;Century Gothic&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DADA2" w14:textId="506E2094" w:rsidR="002931C0" w:rsidRPr="004F1336" w:rsidRDefault="00E060CF" w:rsidP="002931C0">
    <w:pPr>
      <w:pStyle w:val="Encabezado"/>
      <w:jc w:val="center"/>
      <w:rPr>
        <w:rFonts w:ascii="Century Gothic" w:hAnsi="Century Gothic"/>
      </w:rPr>
    </w:pPr>
    <w:r>
      <w:rPr>
        <w:rFonts w:ascii="Century Gothic" w:hAnsi="Century Gothic"/>
        <w:noProof/>
      </w:rPr>
      <w:pict w14:anchorId="77645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42236" o:spid="_x0000_s2054" type="#_x0000_t136" style="position:absolute;left:0;text-align:left;margin-left:0;margin-top:0;width:581.7pt;height:17.6pt;rotation:315;z-index:-251653120;mso-position-horizontal:center;mso-position-horizontal-relative:margin;mso-position-vertical:center;mso-position-vertical-relative:margin" o:allowincell="f" fillcolor="#9cc2e5 [1944]" stroked="f">
          <v:fill opacity=".5"/>
          <v:textpath style="font-family:&quot;Century Gothic&quot;;font-size:1pt" string="Proyecto de Ordenanza aprobado Comisión de Ordenamiento Territorial"/>
          <w10:wrap anchorx="margin" anchory="margin"/>
        </v:shape>
      </w:pict>
    </w:r>
    <w:r w:rsidR="004F1336" w:rsidRPr="004F1336">
      <w:rPr>
        <w:rFonts w:ascii="Century Gothic" w:hAnsi="Century Gothic"/>
      </w:rPr>
      <w:t>ORDENANZA NRO.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E7B7B" w14:textId="7C6611B5" w:rsidR="006E0E33" w:rsidRDefault="00E060CF">
    <w:pPr>
      <w:pStyle w:val="Encabezado"/>
    </w:pPr>
    <w:r>
      <w:rPr>
        <w:noProof/>
      </w:rPr>
      <w:pict w14:anchorId="6247E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42234" o:spid="_x0000_s2052" type="#_x0000_t136" style="position:absolute;margin-left:0;margin-top:0;width:581.7pt;height:17.6pt;rotation:315;z-index:-251657216;mso-position-horizontal:center;mso-position-horizontal-relative:margin;mso-position-vertical:center;mso-position-vertical-relative:margin" o:allowincell="f" fillcolor="#9cc2e5 [1944]" stroked="f">
          <v:fill opacity=".5"/>
          <v:textpath style="font-family:&quot;Century Gothic&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60D4"/>
    <w:multiLevelType w:val="hybridMultilevel"/>
    <w:tmpl w:val="C58E69B4"/>
    <w:lvl w:ilvl="0" w:tplc="D71C0118">
      <w:numFmt w:val="bullet"/>
      <w:lvlText w:val="•"/>
      <w:lvlJc w:val="left"/>
      <w:pPr>
        <w:ind w:left="1065" w:hanging="705"/>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4E7320F"/>
    <w:multiLevelType w:val="hybridMultilevel"/>
    <w:tmpl w:val="2FF2AC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6C698E"/>
    <w:multiLevelType w:val="hybridMultilevel"/>
    <w:tmpl w:val="AA6EB59A"/>
    <w:lvl w:ilvl="0" w:tplc="D71C0118">
      <w:numFmt w:val="bullet"/>
      <w:lvlText w:val="•"/>
      <w:lvlJc w:val="left"/>
      <w:pPr>
        <w:ind w:left="1065" w:hanging="705"/>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9A"/>
    <w:rsid w:val="00067EED"/>
    <w:rsid w:val="000A6D5B"/>
    <w:rsid w:val="000F5BCA"/>
    <w:rsid w:val="00160CE2"/>
    <w:rsid w:val="001D0A28"/>
    <w:rsid w:val="001F2AFF"/>
    <w:rsid w:val="00273832"/>
    <w:rsid w:val="002810AC"/>
    <w:rsid w:val="002931C0"/>
    <w:rsid w:val="002D2D9A"/>
    <w:rsid w:val="002F466E"/>
    <w:rsid w:val="00373255"/>
    <w:rsid w:val="003A1C94"/>
    <w:rsid w:val="003C2045"/>
    <w:rsid w:val="003D45D9"/>
    <w:rsid w:val="003D58E2"/>
    <w:rsid w:val="003F6F37"/>
    <w:rsid w:val="00424B94"/>
    <w:rsid w:val="004359F1"/>
    <w:rsid w:val="004C153B"/>
    <w:rsid w:val="004C6F79"/>
    <w:rsid w:val="004D4967"/>
    <w:rsid w:val="004F1336"/>
    <w:rsid w:val="005526F9"/>
    <w:rsid w:val="00581EC0"/>
    <w:rsid w:val="00665028"/>
    <w:rsid w:val="006865DA"/>
    <w:rsid w:val="006951B1"/>
    <w:rsid w:val="006D5908"/>
    <w:rsid w:val="006E0E33"/>
    <w:rsid w:val="0072385B"/>
    <w:rsid w:val="007A71AB"/>
    <w:rsid w:val="008B76BE"/>
    <w:rsid w:val="00913B08"/>
    <w:rsid w:val="00933E9A"/>
    <w:rsid w:val="00967B7D"/>
    <w:rsid w:val="00A70C60"/>
    <w:rsid w:val="00B16BBC"/>
    <w:rsid w:val="00B34C92"/>
    <w:rsid w:val="00B37309"/>
    <w:rsid w:val="00B54105"/>
    <w:rsid w:val="00B66B11"/>
    <w:rsid w:val="00BA4480"/>
    <w:rsid w:val="00BC75D6"/>
    <w:rsid w:val="00BD6238"/>
    <w:rsid w:val="00C070D3"/>
    <w:rsid w:val="00C14350"/>
    <w:rsid w:val="00D04CE7"/>
    <w:rsid w:val="00D826B8"/>
    <w:rsid w:val="00E060CF"/>
    <w:rsid w:val="00E65D28"/>
    <w:rsid w:val="00EB375A"/>
    <w:rsid w:val="00ED13B7"/>
    <w:rsid w:val="00F061CD"/>
    <w:rsid w:val="00F604A8"/>
    <w:rsid w:val="00FA2CA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7E193E"/>
  <w15:chartTrackingRefBased/>
  <w15:docId w15:val="{F280B6ED-B261-4874-89EE-4026FA92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31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31C0"/>
  </w:style>
  <w:style w:type="paragraph" w:styleId="Piedepgina">
    <w:name w:val="footer"/>
    <w:basedOn w:val="Normal"/>
    <w:link w:val="PiedepginaCar"/>
    <w:uiPriority w:val="99"/>
    <w:unhideWhenUsed/>
    <w:rsid w:val="002931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31C0"/>
  </w:style>
  <w:style w:type="paragraph" w:styleId="Prrafodelista">
    <w:name w:val="List Paragraph"/>
    <w:basedOn w:val="Normal"/>
    <w:uiPriority w:val="34"/>
    <w:qFormat/>
    <w:rsid w:val="00A70C60"/>
    <w:pPr>
      <w:ind w:left="720"/>
      <w:contextualSpacing/>
    </w:pPr>
  </w:style>
  <w:style w:type="table" w:styleId="Tablaconcuadrcula">
    <w:name w:val="Table Grid"/>
    <w:basedOn w:val="Tablanormal"/>
    <w:uiPriority w:val="59"/>
    <w:rsid w:val="00A7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F1336"/>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F1336"/>
    <w:rPr>
      <w:rFonts w:ascii="Calibri" w:eastAsia="Calibri" w:hAnsi="Calibri" w:cs="Times New Roman"/>
    </w:rPr>
  </w:style>
  <w:style w:type="paragraph" w:styleId="Textodeglobo">
    <w:name w:val="Balloon Text"/>
    <w:basedOn w:val="Normal"/>
    <w:link w:val="TextodegloboCar"/>
    <w:uiPriority w:val="99"/>
    <w:semiHidden/>
    <w:unhideWhenUsed/>
    <w:rsid w:val="000F5B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BCA"/>
    <w:rPr>
      <w:rFonts w:ascii="Segoe UI" w:hAnsi="Segoe UI" w:cs="Segoe UI"/>
      <w:sz w:val="18"/>
      <w:szCs w:val="18"/>
    </w:rPr>
  </w:style>
  <w:style w:type="character" w:styleId="Refdecomentario">
    <w:name w:val="annotation reference"/>
    <w:basedOn w:val="Fuentedeprrafopredeter"/>
    <w:uiPriority w:val="99"/>
    <w:semiHidden/>
    <w:unhideWhenUsed/>
    <w:rsid w:val="0072385B"/>
    <w:rPr>
      <w:sz w:val="16"/>
      <w:szCs w:val="16"/>
    </w:rPr>
  </w:style>
  <w:style w:type="paragraph" w:styleId="Textocomentario">
    <w:name w:val="annotation text"/>
    <w:basedOn w:val="Normal"/>
    <w:link w:val="TextocomentarioCar"/>
    <w:uiPriority w:val="99"/>
    <w:semiHidden/>
    <w:unhideWhenUsed/>
    <w:rsid w:val="007238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385B"/>
    <w:rPr>
      <w:sz w:val="20"/>
      <w:szCs w:val="20"/>
    </w:rPr>
  </w:style>
  <w:style w:type="paragraph" w:styleId="Asuntodelcomentario">
    <w:name w:val="annotation subject"/>
    <w:basedOn w:val="Textocomentario"/>
    <w:next w:val="Textocomentario"/>
    <w:link w:val="AsuntodelcomentarioCar"/>
    <w:uiPriority w:val="99"/>
    <w:semiHidden/>
    <w:unhideWhenUsed/>
    <w:rsid w:val="0072385B"/>
    <w:rPr>
      <w:b/>
      <w:bCs/>
    </w:rPr>
  </w:style>
  <w:style w:type="character" w:customStyle="1" w:styleId="AsuntodelcomentarioCar">
    <w:name w:val="Asunto del comentario Car"/>
    <w:basedOn w:val="TextocomentarioCar"/>
    <w:link w:val="Asuntodelcomentario"/>
    <w:uiPriority w:val="99"/>
    <w:semiHidden/>
    <w:rsid w:val="0072385B"/>
    <w:rPr>
      <w:b/>
      <w:bCs/>
      <w:sz w:val="20"/>
      <w:szCs w:val="20"/>
    </w:rPr>
  </w:style>
  <w:style w:type="paragraph" w:styleId="Sangradetextonormal">
    <w:name w:val="Body Text Indent"/>
    <w:basedOn w:val="Normal"/>
    <w:link w:val="SangradetextonormalCar"/>
    <w:uiPriority w:val="99"/>
    <w:semiHidden/>
    <w:unhideWhenUsed/>
    <w:rsid w:val="0072385B"/>
    <w:pPr>
      <w:spacing w:after="120"/>
      <w:ind w:left="283"/>
    </w:pPr>
  </w:style>
  <w:style w:type="character" w:customStyle="1" w:styleId="SangradetextonormalCar">
    <w:name w:val="Sangría de texto normal Car"/>
    <w:basedOn w:val="Fuentedeprrafopredeter"/>
    <w:link w:val="Sangradetextonormal"/>
    <w:uiPriority w:val="99"/>
    <w:semiHidden/>
    <w:rsid w:val="0072385B"/>
  </w:style>
  <w:style w:type="paragraph" w:styleId="Textoindependienteprimerasangra2">
    <w:name w:val="Body Text First Indent 2"/>
    <w:basedOn w:val="Sangradetextonormal"/>
    <w:link w:val="Textoindependienteprimerasangra2Car"/>
    <w:uiPriority w:val="99"/>
    <w:unhideWhenUsed/>
    <w:rsid w:val="0072385B"/>
    <w:pPr>
      <w:spacing w:after="0" w:line="240" w:lineRule="auto"/>
      <w:ind w:left="360" w:firstLine="360"/>
    </w:pPr>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2385B"/>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95731">
      <w:bodyDiv w:val="1"/>
      <w:marLeft w:val="0"/>
      <w:marRight w:val="0"/>
      <w:marTop w:val="0"/>
      <w:marBottom w:val="0"/>
      <w:divBdr>
        <w:top w:val="none" w:sz="0" w:space="0" w:color="auto"/>
        <w:left w:val="none" w:sz="0" w:space="0" w:color="auto"/>
        <w:bottom w:val="none" w:sz="0" w:space="0" w:color="auto"/>
        <w:right w:val="none" w:sz="0" w:space="0" w:color="auto"/>
      </w:divBdr>
      <w:divsChild>
        <w:div w:id="1347173863">
          <w:marLeft w:val="0"/>
          <w:marRight w:val="0"/>
          <w:marTop w:val="0"/>
          <w:marBottom w:val="0"/>
          <w:divBdr>
            <w:top w:val="none" w:sz="0" w:space="0" w:color="auto"/>
            <w:left w:val="none" w:sz="0" w:space="0" w:color="auto"/>
            <w:bottom w:val="none" w:sz="0" w:space="0" w:color="auto"/>
            <w:right w:val="none" w:sz="0" w:space="0" w:color="auto"/>
          </w:divBdr>
        </w:div>
        <w:div w:id="1881160120">
          <w:marLeft w:val="0"/>
          <w:marRight w:val="0"/>
          <w:marTop w:val="0"/>
          <w:marBottom w:val="0"/>
          <w:divBdr>
            <w:top w:val="none" w:sz="0" w:space="0" w:color="auto"/>
            <w:left w:val="none" w:sz="0" w:space="0" w:color="auto"/>
            <w:bottom w:val="none" w:sz="0" w:space="0" w:color="auto"/>
            <w:right w:val="none" w:sz="0" w:space="0" w:color="auto"/>
          </w:divBdr>
        </w:div>
        <w:div w:id="1838838341">
          <w:marLeft w:val="0"/>
          <w:marRight w:val="0"/>
          <w:marTop w:val="0"/>
          <w:marBottom w:val="0"/>
          <w:divBdr>
            <w:top w:val="none" w:sz="0" w:space="0" w:color="auto"/>
            <w:left w:val="none" w:sz="0" w:space="0" w:color="auto"/>
            <w:bottom w:val="none" w:sz="0" w:space="0" w:color="auto"/>
            <w:right w:val="none" w:sz="0" w:space="0" w:color="auto"/>
          </w:divBdr>
        </w:div>
        <w:div w:id="2033066793">
          <w:marLeft w:val="0"/>
          <w:marRight w:val="0"/>
          <w:marTop w:val="0"/>
          <w:marBottom w:val="0"/>
          <w:divBdr>
            <w:top w:val="none" w:sz="0" w:space="0" w:color="auto"/>
            <w:left w:val="none" w:sz="0" w:space="0" w:color="auto"/>
            <w:bottom w:val="none" w:sz="0" w:space="0" w:color="auto"/>
            <w:right w:val="none" w:sz="0" w:space="0" w:color="auto"/>
          </w:divBdr>
        </w:div>
        <w:div w:id="1751341920">
          <w:marLeft w:val="0"/>
          <w:marRight w:val="0"/>
          <w:marTop w:val="0"/>
          <w:marBottom w:val="0"/>
          <w:divBdr>
            <w:top w:val="none" w:sz="0" w:space="0" w:color="auto"/>
            <w:left w:val="none" w:sz="0" w:space="0" w:color="auto"/>
            <w:bottom w:val="none" w:sz="0" w:space="0" w:color="auto"/>
            <w:right w:val="none" w:sz="0" w:space="0" w:color="auto"/>
          </w:divBdr>
        </w:div>
        <w:div w:id="443110348">
          <w:marLeft w:val="0"/>
          <w:marRight w:val="0"/>
          <w:marTop w:val="0"/>
          <w:marBottom w:val="0"/>
          <w:divBdr>
            <w:top w:val="none" w:sz="0" w:space="0" w:color="auto"/>
            <w:left w:val="none" w:sz="0" w:space="0" w:color="auto"/>
            <w:bottom w:val="none" w:sz="0" w:space="0" w:color="auto"/>
            <w:right w:val="none" w:sz="0" w:space="0" w:color="auto"/>
          </w:divBdr>
        </w:div>
        <w:div w:id="1572816089">
          <w:marLeft w:val="0"/>
          <w:marRight w:val="0"/>
          <w:marTop w:val="0"/>
          <w:marBottom w:val="0"/>
          <w:divBdr>
            <w:top w:val="none" w:sz="0" w:space="0" w:color="auto"/>
            <w:left w:val="none" w:sz="0" w:space="0" w:color="auto"/>
            <w:bottom w:val="none" w:sz="0" w:space="0" w:color="auto"/>
            <w:right w:val="none" w:sz="0" w:space="0" w:color="auto"/>
          </w:divBdr>
        </w:div>
        <w:div w:id="1457141401">
          <w:marLeft w:val="0"/>
          <w:marRight w:val="0"/>
          <w:marTop w:val="0"/>
          <w:marBottom w:val="0"/>
          <w:divBdr>
            <w:top w:val="none" w:sz="0" w:space="0" w:color="auto"/>
            <w:left w:val="none" w:sz="0" w:space="0" w:color="auto"/>
            <w:bottom w:val="none" w:sz="0" w:space="0" w:color="auto"/>
            <w:right w:val="none" w:sz="0" w:space="0" w:color="auto"/>
          </w:divBdr>
        </w:div>
        <w:div w:id="867572427">
          <w:marLeft w:val="0"/>
          <w:marRight w:val="0"/>
          <w:marTop w:val="0"/>
          <w:marBottom w:val="0"/>
          <w:divBdr>
            <w:top w:val="none" w:sz="0" w:space="0" w:color="auto"/>
            <w:left w:val="none" w:sz="0" w:space="0" w:color="auto"/>
            <w:bottom w:val="none" w:sz="0" w:space="0" w:color="auto"/>
            <w:right w:val="none" w:sz="0" w:space="0" w:color="auto"/>
          </w:divBdr>
        </w:div>
        <w:div w:id="9722766">
          <w:marLeft w:val="0"/>
          <w:marRight w:val="0"/>
          <w:marTop w:val="0"/>
          <w:marBottom w:val="0"/>
          <w:divBdr>
            <w:top w:val="none" w:sz="0" w:space="0" w:color="auto"/>
            <w:left w:val="none" w:sz="0" w:space="0" w:color="auto"/>
            <w:bottom w:val="none" w:sz="0" w:space="0" w:color="auto"/>
            <w:right w:val="none" w:sz="0" w:space="0" w:color="auto"/>
          </w:divBdr>
        </w:div>
        <w:div w:id="1801682144">
          <w:marLeft w:val="0"/>
          <w:marRight w:val="0"/>
          <w:marTop w:val="0"/>
          <w:marBottom w:val="0"/>
          <w:divBdr>
            <w:top w:val="none" w:sz="0" w:space="0" w:color="auto"/>
            <w:left w:val="none" w:sz="0" w:space="0" w:color="auto"/>
            <w:bottom w:val="none" w:sz="0" w:space="0" w:color="auto"/>
            <w:right w:val="none" w:sz="0" w:space="0" w:color="auto"/>
          </w:divBdr>
        </w:div>
        <w:div w:id="1095831686">
          <w:marLeft w:val="0"/>
          <w:marRight w:val="0"/>
          <w:marTop w:val="0"/>
          <w:marBottom w:val="0"/>
          <w:divBdr>
            <w:top w:val="none" w:sz="0" w:space="0" w:color="auto"/>
            <w:left w:val="none" w:sz="0" w:space="0" w:color="auto"/>
            <w:bottom w:val="none" w:sz="0" w:space="0" w:color="auto"/>
            <w:right w:val="none" w:sz="0" w:space="0" w:color="auto"/>
          </w:divBdr>
        </w:div>
        <w:div w:id="2053574585">
          <w:marLeft w:val="0"/>
          <w:marRight w:val="0"/>
          <w:marTop w:val="0"/>
          <w:marBottom w:val="0"/>
          <w:divBdr>
            <w:top w:val="none" w:sz="0" w:space="0" w:color="auto"/>
            <w:left w:val="none" w:sz="0" w:space="0" w:color="auto"/>
            <w:bottom w:val="none" w:sz="0" w:space="0" w:color="auto"/>
            <w:right w:val="none" w:sz="0" w:space="0" w:color="auto"/>
          </w:divBdr>
        </w:div>
        <w:div w:id="995719155">
          <w:marLeft w:val="0"/>
          <w:marRight w:val="0"/>
          <w:marTop w:val="0"/>
          <w:marBottom w:val="0"/>
          <w:divBdr>
            <w:top w:val="none" w:sz="0" w:space="0" w:color="auto"/>
            <w:left w:val="none" w:sz="0" w:space="0" w:color="auto"/>
            <w:bottom w:val="none" w:sz="0" w:space="0" w:color="auto"/>
            <w:right w:val="none" w:sz="0" w:space="0" w:color="auto"/>
          </w:divBdr>
        </w:div>
        <w:div w:id="1634098518">
          <w:marLeft w:val="0"/>
          <w:marRight w:val="0"/>
          <w:marTop w:val="0"/>
          <w:marBottom w:val="0"/>
          <w:divBdr>
            <w:top w:val="none" w:sz="0" w:space="0" w:color="auto"/>
            <w:left w:val="none" w:sz="0" w:space="0" w:color="auto"/>
            <w:bottom w:val="none" w:sz="0" w:space="0" w:color="auto"/>
            <w:right w:val="none" w:sz="0" w:space="0" w:color="auto"/>
          </w:divBdr>
        </w:div>
        <w:div w:id="1277758654">
          <w:marLeft w:val="0"/>
          <w:marRight w:val="0"/>
          <w:marTop w:val="0"/>
          <w:marBottom w:val="0"/>
          <w:divBdr>
            <w:top w:val="none" w:sz="0" w:space="0" w:color="auto"/>
            <w:left w:val="none" w:sz="0" w:space="0" w:color="auto"/>
            <w:bottom w:val="none" w:sz="0" w:space="0" w:color="auto"/>
            <w:right w:val="none" w:sz="0" w:space="0" w:color="auto"/>
          </w:divBdr>
        </w:div>
        <w:div w:id="1527790828">
          <w:marLeft w:val="0"/>
          <w:marRight w:val="0"/>
          <w:marTop w:val="0"/>
          <w:marBottom w:val="0"/>
          <w:divBdr>
            <w:top w:val="none" w:sz="0" w:space="0" w:color="auto"/>
            <w:left w:val="none" w:sz="0" w:space="0" w:color="auto"/>
            <w:bottom w:val="none" w:sz="0" w:space="0" w:color="auto"/>
            <w:right w:val="none" w:sz="0" w:space="0" w:color="auto"/>
          </w:divBdr>
        </w:div>
        <w:div w:id="1211570214">
          <w:marLeft w:val="0"/>
          <w:marRight w:val="0"/>
          <w:marTop w:val="0"/>
          <w:marBottom w:val="0"/>
          <w:divBdr>
            <w:top w:val="none" w:sz="0" w:space="0" w:color="auto"/>
            <w:left w:val="none" w:sz="0" w:space="0" w:color="auto"/>
            <w:bottom w:val="none" w:sz="0" w:space="0" w:color="auto"/>
            <w:right w:val="none" w:sz="0" w:space="0" w:color="auto"/>
          </w:divBdr>
        </w:div>
        <w:div w:id="176160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7589E-8EE6-429D-BCE0-20A3F5A7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15</Pages>
  <Words>5529</Words>
  <Characters>30413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León Vélez</dc:creator>
  <cp:keywords/>
  <dc:description/>
  <cp:lastModifiedBy>Glenda Alexandra Allan Alegria</cp:lastModifiedBy>
  <cp:revision>10</cp:revision>
  <cp:lastPrinted>2021-04-26T22:39:00Z</cp:lastPrinted>
  <dcterms:created xsi:type="dcterms:W3CDTF">2021-05-14T11:20:00Z</dcterms:created>
  <dcterms:modified xsi:type="dcterms:W3CDTF">2021-07-19T00:24:00Z</dcterms:modified>
</cp:coreProperties>
</file>