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E2A6" w14:textId="77777777" w:rsidR="00A95F44" w:rsidRPr="00220827" w:rsidRDefault="00A95F44" w:rsidP="00A95F44">
      <w:pPr>
        <w:autoSpaceDE w:val="0"/>
        <w:autoSpaceDN w:val="0"/>
        <w:adjustRightInd w:val="0"/>
        <w:ind w:left="709" w:hanging="709"/>
        <w:jc w:val="both"/>
        <w:rPr>
          <w:rFonts w:ascii="Palatino Linotype" w:eastAsiaTheme="minorHAnsi" w:hAnsi="Palatino Linotype"/>
          <w:i/>
          <w:sz w:val="22"/>
          <w:szCs w:val="22"/>
          <w:lang w:val="es-EC" w:eastAsia="en-US"/>
        </w:rPr>
      </w:pPr>
    </w:p>
    <w:p w14:paraId="4FEBF6D6" w14:textId="77777777" w:rsidR="00A95F44" w:rsidRPr="00220827" w:rsidRDefault="00A95F44" w:rsidP="00A95F44">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EL CONCEJO METROPOLITANO DE QUITO</w:t>
      </w:r>
    </w:p>
    <w:p w14:paraId="2A69453D" w14:textId="77777777" w:rsidR="00A95F44" w:rsidRPr="00220827" w:rsidRDefault="00A95F44" w:rsidP="00A95F44">
      <w:pPr>
        <w:autoSpaceDE w:val="0"/>
        <w:autoSpaceDN w:val="0"/>
        <w:adjustRightInd w:val="0"/>
        <w:jc w:val="center"/>
        <w:rPr>
          <w:rFonts w:ascii="Palatino Linotype" w:eastAsiaTheme="minorHAnsi" w:hAnsi="Palatino Linotype"/>
          <w:b/>
          <w:sz w:val="22"/>
          <w:szCs w:val="22"/>
          <w:lang w:val="es-EC" w:eastAsia="en-US"/>
        </w:rPr>
      </w:pPr>
    </w:p>
    <w:p w14:paraId="2391F24E" w14:textId="77777777" w:rsidR="00A95F44" w:rsidRPr="00220827" w:rsidRDefault="00A95F44" w:rsidP="00A95F44">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CONSIDERANDO:</w:t>
      </w:r>
    </w:p>
    <w:p w14:paraId="31095634"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4E3CE7C0" w14:textId="77777777" w:rsidR="00A95F44" w:rsidRDefault="00A95F44" w:rsidP="00A95F44">
      <w:pPr>
        <w:autoSpaceDE w:val="0"/>
        <w:autoSpaceDN w:val="0"/>
        <w:adjustRightInd w:val="0"/>
        <w:ind w:left="705" w:hanging="705"/>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 el artículo 240 de la Constitución de República del Ecuador, en adelante Constitución, establece: “Los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119388F2" w14:textId="77777777" w:rsidR="00A95F44" w:rsidRDefault="00A95F44" w:rsidP="00A95F44">
      <w:pPr>
        <w:autoSpaceDE w:val="0"/>
        <w:autoSpaceDN w:val="0"/>
        <w:adjustRightInd w:val="0"/>
        <w:ind w:left="705" w:hanging="705"/>
        <w:jc w:val="both"/>
        <w:rPr>
          <w:rFonts w:ascii="Palatino Linotype" w:eastAsiaTheme="minorHAnsi" w:hAnsi="Palatino Linotype"/>
          <w:sz w:val="22"/>
          <w:szCs w:val="22"/>
          <w:lang w:val="es-EC" w:eastAsia="en-US"/>
        </w:rPr>
      </w:pPr>
    </w:p>
    <w:p w14:paraId="63F9575F" w14:textId="77777777" w:rsidR="00A95F44" w:rsidRPr="00220827" w:rsidRDefault="00A95F44" w:rsidP="00A95F44">
      <w:pPr>
        <w:autoSpaceDE w:val="0"/>
        <w:autoSpaceDN w:val="0"/>
        <w:adjustRightInd w:val="0"/>
        <w:ind w:left="705" w:hanging="705"/>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1 y 2 del artículo 264 de </w:t>
      </w:r>
      <w:r w:rsidRPr="00006FF2">
        <w:rPr>
          <w:rFonts w:ascii="Palatino Linotype" w:eastAsiaTheme="minorHAnsi" w:hAnsi="Palatino Linotype"/>
          <w:sz w:val="22"/>
          <w:szCs w:val="22"/>
          <w:lang w:val="es-EC" w:eastAsia="en-US"/>
        </w:rPr>
        <w:t>la Constitución, disponen:</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220827">
        <w:rPr>
          <w:rFonts w:ascii="Palatino Linotype" w:eastAsiaTheme="minorHAnsi" w:hAnsi="Palatino Linotype"/>
          <w:sz w:val="22"/>
          <w:szCs w:val="22"/>
          <w:lang w:val="es-EC" w:eastAsia="en-US"/>
        </w:rPr>
        <w:t>;</w:t>
      </w:r>
    </w:p>
    <w:p w14:paraId="6F99BED6"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783B0416"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w:t>
      </w:r>
      <w:r w:rsidRPr="00006FF2">
        <w:rPr>
          <w:rFonts w:ascii="Palatino Linotype" w:eastAsiaTheme="minorHAnsi" w:hAnsi="Palatino Linotype"/>
          <w:sz w:val="22"/>
          <w:szCs w:val="22"/>
          <w:lang w:val="es-EC" w:eastAsia="en-US"/>
        </w:rPr>
        <w:t>artículo 266</w:t>
      </w:r>
      <w:r>
        <w:rPr>
          <w:rFonts w:ascii="Palatino Linotype" w:eastAsiaTheme="minorHAnsi" w:hAnsi="Palatino Linotype"/>
          <w:sz w:val="22"/>
          <w:szCs w:val="22"/>
          <w:lang w:val="es-EC" w:eastAsia="en-US"/>
        </w:rPr>
        <w:t xml:space="preserve"> de la Constitución</w:t>
      </w:r>
      <w:r w:rsidRPr="00220827">
        <w:rPr>
          <w:rFonts w:ascii="Palatino Linotype" w:eastAsiaTheme="minorHAnsi" w:hAnsi="Palatino Linotype"/>
          <w:sz w:val="22"/>
          <w:szCs w:val="22"/>
          <w:lang w:val="es-EC" w:eastAsia="en-US"/>
        </w:rPr>
        <w:t xml:space="preserve">, determina: </w:t>
      </w:r>
      <w:r w:rsidRPr="00220827">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220827">
        <w:rPr>
          <w:rFonts w:ascii="Palatino Linotype" w:eastAsiaTheme="minorHAnsi" w:hAnsi="Palatino Linotype"/>
          <w:sz w:val="22"/>
          <w:szCs w:val="22"/>
          <w:lang w:val="es-EC" w:eastAsia="en-US"/>
        </w:rPr>
        <w:t>;</w:t>
      </w:r>
    </w:p>
    <w:p w14:paraId="0B18B303"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4D9826AC" w14:textId="77777777" w:rsidR="00A95F44" w:rsidRPr="00220827" w:rsidRDefault="00A95F44" w:rsidP="00A95F44">
      <w:pPr>
        <w:autoSpaceDE w:val="0"/>
        <w:autoSpaceDN w:val="0"/>
        <w:adjustRightInd w:val="0"/>
        <w:ind w:left="709" w:hanging="709"/>
        <w:jc w:val="both"/>
        <w:rPr>
          <w:rFonts w:ascii="Palatino Linotype" w:eastAsiaTheme="minorHAnsi" w:hAnsi="Palatino Linotype"/>
          <w:i/>
          <w:sz w:val="22"/>
          <w:szCs w:val="22"/>
          <w:lang w:val="es-EC" w:eastAsia="en-US"/>
        </w:rPr>
      </w:pPr>
      <w:r w:rsidRPr="00220827">
        <w:rPr>
          <w:rFonts w:ascii="Palatino Linotype" w:eastAsiaTheme="minorHAnsi" w:hAnsi="Palatino Linotype"/>
          <w:sz w:val="22"/>
          <w:szCs w:val="22"/>
          <w:lang w:val="es-EC" w:eastAsia="en-US"/>
        </w:rPr>
        <w:t>Que,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110713E"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4ED552C8"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w:t>
      </w:r>
      <w:bookmarkStart w:id="0" w:name="_Hlk51943612"/>
      <w:r>
        <w:rPr>
          <w:rFonts w:ascii="Palatino Linotype" w:eastAsiaTheme="minorHAnsi" w:hAnsi="Palatino Linotype"/>
          <w:sz w:val="22"/>
          <w:szCs w:val="22"/>
          <w:lang w:val="es-EC" w:eastAsia="en-US"/>
        </w:rPr>
        <w:t xml:space="preserve">l literal </w:t>
      </w:r>
      <w:r w:rsidRPr="00006FF2">
        <w:rPr>
          <w:rFonts w:ascii="Palatino Linotype" w:eastAsiaTheme="minorHAnsi" w:hAnsi="Palatino Linotype"/>
          <w:sz w:val="22"/>
          <w:szCs w:val="22"/>
          <w:lang w:val="es-EC" w:eastAsia="en-US"/>
        </w:rPr>
        <w:t>a)</w:t>
      </w:r>
      <w:r>
        <w:rPr>
          <w:rFonts w:ascii="Palatino Linotype" w:eastAsiaTheme="minorHAnsi" w:hAnsi="Palatino Linotype"/>
          <w:sz w:val="22"/>
          <w:szCs w:val="22"/>
          <w:lang w:val="es-EC" w:eastAsia="en-US"/>
        </w:rPr>
        <w:t>, d) y v)</w:t>
      </w:r>
      <w:r w:rsidRPr="00006FF2">
        <w:rPr>
          <w:rFonts w:ascii="Palatino Linotype" w:eastAsiaTheme="minorHAnsi" w:hAnsi="Palatino Linotype"/>
          <w:sz w:val="22"/>
          <w:szCs w:val="22"/>
          <w:lang w:val="es-EC" w:eastAsia="en-US"/>
        </w:rPr>
        <w:t xml:space="preserve"> del artículo 87 del COOTAD,</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lo siguiente:</w:t>
      </w:r>
      <w:r w:rsidRPr="00C248F2">
        <w:rPr>
          <w:rFonts w:ascii="Palatino Linotype" w:hAnsi="Palatino Linotype"/>
          <w:i/>
          <w:sz w:val="22"/>
          <w:szCs w:val="22"/>
        </w:rPr>
        <w:t xml:space="preserve"> </w:t>
      </w:r>
      <w:r>
        <w:rPr>
          <w:rFonts w:ascii="Palatino Linotype" w:hAnsi="Palatino Linotype"/>
          <w:i/>
          <w:sz w:val="22"/>
          <w:szCs w:val="22"/>
        </w:rPr>
        <w:t>“</w:t>
      </w:r>
      <w:r w:rsidRPr="00974EE8">
        <w:rPr>
          <w:rFonts w:ascii="Palatino Linotype" w:hAnsi="Palatino Linotype"/>
          <w:i/>
          <w:sz w:val="22"/>
          <w:szCs w:val="22"/>
        </w:rPr>
        <w:t>(…)</w:t>
      </w:r>
      <w:r w:rsidRPr="00C248F2">
        <w:rPr>
          <w:rFonts w:ascii="Palatino Linotype" w:hAnsi="Palatino Linotype"/>
          <w:i/>
          <w:sz w:val="22"/>
          <w:szCs w:val="22"/>
        </w:rPr>
        <w:t>a) Ejercer la facultad normativa en las materias de competencia del gobierno autónomo descentralizado metropolitano, mediante la expedición de ordenanzas metropolitanas, acuerdos y resoluciones</w:t>
      </w:r>
      <w:r>
        <w:rPr>
          <w:rFonts w:ascii="Palatino Linotype" w:hAnsi="Palatino Linotype"/>
          <w:i/>
          <w:sz w:val="22"/>
          <w:szCs w:val="22"/>
        </w:rPr>
        <w:t>;</w:t>
      </w:r>
      <w:r w:rsidRPr="00974EE8">
        <w:rPr>
          <w:rFonts w:ascii="Palatino Linotype" w:hAnsi="Palatino Linotype"/>
          <w:i/>
          <w:sz w:val="22"/>
          <w:szCs w:val="22"/>
        </w:rPr>
        <w:t xml:space="preserve"> d) Expedir acuerdos o resoluciones en el ámbito de sus competencias para regular temas institucionales específicos o reconocer derechos particulares; (…)</w:t>
      </w:r>
      <w:r>
        <w:rPr>
          <w:rFonts w:ascii="Palatino Linotype" w:hAnsi="Palatino Linotype"/>
          <w:i/>
          <w:sz w:val="22"/>
          <w:szCs w:val="22"/>
        </w:rPr>
        <w:t xml:space="preserve"> y</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sz w:val="22"/>
          <w:szCs w:val="22"/>
          <w:lang w:val="es-EC" w:eastAsia="en-US"/>
        </w:rPr>
        <w:t xml:space="preserve"> </w:t>
      </w:r>
    </w:p>
    <w:p w14:paraId="68D594C7"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64B97321" w14:textId="77777777" w:rsidR="00A95F44" w:rsidRDefault="00A95F44" w:rsidP="00A95F44">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lastRenderedPageBreak/>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398294DA" w14:textId="77777777" w:rsidR="00A95F44"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61953D32" w14:textId="77777777" w:rsidR="00A95F44"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CE26DA">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r>
      <w:r w:rsidRPr="00CE26DA">
        <w:rPr>
          <w:rFonts w:ascii="Palatino Linotype" w:eastAsiaTheme="minorHAnsi" w:hAnsi="Palatino Linotype"/>
          <w:sz w:val="22"/>
          <w:szCs w:val="22"/>
          <w:lang w:val="es-EC" w:eastAsia="en-US"/>
        </w:rPr>
        <w:t xml:space="preserve"> el artículo 326 del COOTAD determina que los órganos legislativos de los gobiernos autónomos </w:t>
      </w:r>
      <w:proofErr w:type="gramStart"/>
      <w:r w:rsidRPr="00CE26DA">
        <w:rPr>
          <w:rFonts w:ascii="Palatino Linotype" w:eastAsiaTheme="minorHAnsi" w:hAnsi="Palatino Linotype"/>
          <w:sz w:val="22"/>
          <w:szCs w:val="22"/>
          <w:lang w:val="es-EC" w:eastAsia="en-US"/>
        </w:rPr>
        <w:t>descentralizados,</w:t>
      </w:r>
      <w:proofErr w:type="gramEnd"/>
      <w:r w:rsidRPr="00CE26DA">
        <w:rPr>
          <w:rFonts w:ascii="Palatino Linotype" w:eastAsiaTheme="minorHAnsi" w:hAnsi="Palatino Linotype"/>
          <w:sz w:val="22"/>
          <w:szCs w:val="22"/>
          <w:lang w:val="es-EC" w:eastAsia="en-US"/>
        </w:rPr>
        <w:t xml:space="preserve"> conformarán comisiones de trabajo las que emitirán conclusiones y recomendaciones que serán consideradas como base para la discusión y aprobación de sus decisiones;</w:t>
      </w:r>
    </w:p>
    <w:p w14:paraId="35598460" w14:textId="77777777" w:rsidR="00A95F44"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46382F37"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t xml:space="preserve">el artículo 473 del COOTAD establece que: </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sz w:val="22"/>
          <w:szCs w:val="22"/>
          <w:lang w:val="es-EC" w:eastAsia="en-US"/>
        </w:rPr>
        <w:t>;</w:t>
      </w:r>
    </w:p>
    <w:p w14:paraId="747830BC" w14:textId="77777777" w:rsidR="00A95F44" w:rsidRPr="00220827" w:rsidRDefault="00A95F44" w:rsidP="00A95F44">
      <w:pPr>
        <w:autoSpaceDE w:val="0"/>
        <w:autoSpaceDN w:val="0"/>
        <w:adjustRightInd w:val="0"/>
        <w:jc w:val="both"/>
        <w:rPr>
          <w:rFonts w:ascii="Palatino Linotype" w:hAnsi="Palatino Linotype"/>
          <w:sz w:val="22"/>
          <w:szCs w:val="22"/>
        </w:rPr>
      </w:pPr>
    </w:p>
    <w:p w14:paraId="41F2A1BF"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433E332"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259FC198"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los literales a y b del numeral 1, del</w:t>
      </w:r>
      <w:r w:rsidRPr="00220827">
        <w:rPr>
          <w:rFonts w:ascii="Palatino Linotype" w:eastAsiaTheme="minorHAnsi" w:hAnsi="Palatino Linotype"/>
          <w:sz w:val="22"/>
          <w:szCs w:val="22"/>
          <w:lang w:val="es-EC" w:eastAsia="en-US"/>
        </w:rPr>
        <w:t xml:space="preserve"> artículo IV.1.64 del Código Municipal para el Distrito Metropolitano de Quito, en adelante Código Municipal, señala</w:t>
      </w:r>
      <w:r>
        <w:rPr>
          <w:rFonts w:ascii="Palatino Linotype" w:eastAsiaTheme="minorHAnsi" w:hAnsi="Palatino Linotype"/>
          <w:sz w:val="22"/>
          <w:szCs w:val="22"/>
          <w:lang w:val="es-EC" w:eastAsia="en-US"/>
        </w:rPr>
        <w:t>n</w:t>
      </w:r>
      <w:r w:rsidRPr="00220827">
        <w:rPr>
          <w:rFonts w:ascii="Palatino Linotype" w:eastAsiaTheme="minorHAnsi" w:hAnsi="Palatino Linotype"/>
          <w:sz w:val="22"/>
          <w:szCs w:val="22"/>
          <w:lang w:val="es-EC" w:eastAsia="en-US"/>
        </w:rPr>
        <w:t xml:space="preserve"> que las asignaciones de zonificación para habilitación del suelo y edificación son</w:t>
      </w:r>
      <w:r w:rsidRPr="00006FF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7CD2A22E"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37A4C73B"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603285">
        <w:rPr>
          <w:rFonts w:ascii="Palatino Linotype" w:eastAsiaTheme="minorHAnsi" w:hAnsi="Palatino Linotype"/>
          <w:sz w:val="22"/>
          <w:szCs w:val="22"/>
          <w:lang w:val="es-EC" w:eastAsia="en-US"/>
        </w:rPr>
        <w:t xml:space="preserve">Que, </w:t>
      </w:r>
      <w:r w:rsidRPr="00603285">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el literal a, del numeral 1, d</w:t>
      </w:r>
      <w:r w:rsidRPr="00603285">
        <w:rPr>
          <w:rFonts w:ascii="Palatino Linotype" w:eastAsiaTheme="minorHAnsi" w:hAnsi="Palatino Linotype"/>
          <w:sz w:val="22"/>
          <w:szCs w:val="22"/>
          <w:lang w:val="es-EC" w:eastAsia="en-US"/>
        </w:rPr>
        <w:t>el artículo IV.1.65 del Código Municipal establece:</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 xml:space="preserve">"1. La delimitación de la zonificación </w:t>
      </w:r>
      <w:proofErr w:type="gramStart"/>
      <w:r w:rsidRPr="00220827">
        <w:rPr>
          <w:rFonts w:ascii="Palatino Linotype" w:eastAsiaTheme="minorHAnsi" w:hAnsi="Palatino Linotype"/>
          <w:i/>
          <w:sz w:val="22"/>
          <w:szCs w:val="22"/>
          <w:lang w:val="es-EC" w:eastAsia="en-US"/>
        </w:rPr>
        <w:t>en relación a</w:t>
      </w:r>
      <w:proofErr w:type="gramEnd"/>
      <w:r w:rsidRPr="00220827">
        <w:rPr>
          <w:rFonts w:ascii="Palatino Linotype" w:eastAsiaTheme="minorHAnsi" w:hAnsi="Palatino Linotype"/>
          <w:i/>
          <w:sz w:val="22"/>
          <w:szCs w:val="22"/>
          <w:lang w:val="es-EC" w:eastAsia="en-US"/>
        </w:rPr>
        <w:t xml:space="preserve"> la forma de ocupación y edificabilidad se realiza por sectores y ejes, y se aplicará a los lotes en las siguientes condiciones: a. En cada sector la asignación de cada tipo de zonificación se aplicará a todos los lotes que lo conforman</w:t>
      </w:r>
      <w:r>
        <w:rPr>
          <w:rFonts w:ascii="Palatino Linotype" w:eastAsiaTheme="minorHAnsi" w:hAnsi="Palatino Linotype"/>
          <w:i/>
          <w:sz w:val="22"/>
          <w:szCs w:val="22"/>
          <w:lang w:val="es-EC" w:eastAsia="en-US"/>
        </w:rPr>
        <w:t>.</w:t>
      </w:r>
      <w:r w:rsidRPr="00220827">
        <w:rPr>
          <w:rFonts w:ascii="Palatino Linotype" w:eastAsiaTheme="minorHAnsi" w:hAnsi="Palatino Linotype"/>
          <w:i/>
          <w:sz w:val="22"/>
          <w:szCs w:val="22"/>
          <w:lang w:val="es-EC" w:eastAsia="en-US"/>
        </w:rPr>
        <w:t>";</w:t>
      </w:r>
    </w:p>
    <w:p w14:paraId="477BFA79" w14:textId="77777777"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p>
    <w:p w14:paraId="7A44DE34" w14:textId="77777777" w:rsidR="00A95F44" w:rsidRPr="00220827" w:rsidRDefault="00A95F44" w:rsidP="00A95F44">
      <w:pPr>
        <w:autoSpaceDE w:val="0"/>
        <w:autoSpaceDN w:val="0"/>
        <w:adjustRightInd w:val="0"/>
        <w:ind w:left="709" w:hanging="709"/>
        <w:jc w:val="both"/>
        <w:rPr>
          <w:rFonts w:ascii="Palatino Linotype" w:hAnsi="Palatino Linotype"/>
          <w:sz w:val="22"/>
          <w:szCs w:val="22"/>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w:t>
      </w:r>
      <w:r w:rsidRPr="00220827">
        <w:rPr>
          <w:rFonts w:ascii="Palatino Linotype" w:eastAsiaTheme="minorHAnsi" w:hAnsi="Palatino Linotype"/>
          <w:sz w:val="22"/>
          <w:szCs w:val="22"/>
          <w:lang w:val="es-EC" w:eastAsia="en-US"/>
        </w:rPr>
        <w:t>1 y 5</w:t>
      </w:r>
      <w:r>
        <w:rPr>
          <w:rFonts w:ascii="Palatino Linotype" w:eastAsiaTheme="minorHAnsi" w:hAnsi="Palatino Linotype"/>
          <w:sz w:val="22"/>
          <w:szCs w:val="22"/>
          <w:lang w:val="es-EC" w:eastAsia="en-US"/>
        </w:rPr>
        <w:t xml:space="preserve"> del artículo </w:t>
      </w:r>
      <w:r w:rsidRPr="00220827">
        <w:rPr>
          <w:rFonts w:ascii="Palatino Linotype" w:eastAsiaTheme="minorHAnsi" w:hAnsi="Palatino Linotype"/>
          <w:sz w:val="22"/>
          <w:szCs w:val="22"/>
          <w:lang w:val="es-EC" w:eastAsia="en-US"/>
        </w:rPr>
        <w:t>IV.1.70</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Código Municipal determina</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que: </w:t>
      </w:r>
      <w:r w:rsidRPr="00220827">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220827">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220827">
        <w:rPr>
          <w:rFonts w:ascii="Palatino Linotype" w:hAnsi="Palatino Linotype"/>
          <w:sz w:val="22"/>
          <w:szCs w:val="22"/>
        </w:rPr>
        <w:t xml:space="preserve">; </w:t>
      </w:r>
    </w:p>
    <w:p w14:paraId="3F0D6076" w14:textId="77777777" w:rsidR="00A95F44" w:rsidRPr="00220827" w:rsidRDefault="00A95F44" w:rsidP="00A95F44">
      <w:pPr>
        <w:autoSpaceDE w:val="0"/>
        <w:autoSpaceDN w:val="0"/>
        <w:adjustRightInd w:val="0"/>
        <w:ind w:left="709" w:hanging="709"/>
        <w:jc w:val="both"/>
        <w:rPr>
          <w:rFonts w:ascii="Palatino Linotype" w:hAnsi="Palatino Linotype"/>
          <w:sz w:val="22"/>
          <w:szCs w:val="22"/>
        </w:rPr>
      </w:pPr>
    </w:p>
    <w:p w14:paraId="7F3A542C" w14:textId="77777777" w:rsidR="00A95F44" w:rsidRPr="00220827" w:rsidRDefault="00A95F44" w:rsidP="00A95F44">
      <w:pPr>
        <w:autoSpaceDE w:val="0"/>
        <w:autoSpaceDN w:val="0"/>
        <w:adjustRightInd w:val="0"/>
        <w:ind w:left="709" w:hanging="709"/>
        <w:jc w:val="both"/>
        <w:rPr>
          <w:rFonts w:ascii="Palatino Linotype" w:eastAsiaTheme="minorHAnsi" w:hAnsi="Palatino Linotype"/>
          <w:i/>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t>el artículo IV.1.72</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Código Municipal</w:t>
      </w:r>
      <w:r>
        <w:rPr>
          <w:rFonts w:ascii="Palatino Linotype" w:eastAsiaTheme="minorHAnsi" w:hAnsi="Palatino Linotype"/>
          <w:sz w:val="22"/>
          <w:szCs w:val="22"/>
          <w:lang w:val="es-EC" w:eastAsia="en-US"/>
        </w:rPr>
        <w:t xml:space="preserve">, respecto a </w:t>
      </w:r>
      <w:r w:rsidRPr="00220827">
        <w:rPr>
          <w:rFonts w:ascii="Palatino Linotype" w:eastAsiaTheme="minorHAnsi" w:hAnsi="Palatino Linotype"/>
          <w:sz w:val="22"/>
          <w:szCs w:val="22"/>
          <w:lang w:val="es-EC" w:eastAsia="en-US"/>
        </w:rPr>
        <w:t>las dimensiones y áreas mínimas de lotes, establece:</w:t>
      </w:r>
      <w:r w:rsidRPr="00220827">
        <w:rPr>
          <w:rFonts w:ascii="Palatino Linotype" w:hAnsi="Palatino Linotype" w:cs="Arial"/>
          <w:i/>
          <w:iCs/>
          <w:sz w:val="22"/>
          <w:szCs w:val="22"/>
        </w:rPr>
        <w:t xml:space="preserve"> </w:t>
      </w:r>
      <w:r w:rsidRPr="00220827">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BBC1CDC" w14:textId="77777777" w:rsidR="00A95F44" w:rsidRPr="00220827" w:rsidRDefault="00A95F44" w:rsidP="00A95F44">
      <w:pPr>
        <w:autoSpaceDE w:val="0"/>
        <w:autoSpaceDN w:val="0"/>
        <w:adjustRightInd w:val="0"/>
        <w:ind w:left="709" w:hanging="709"/>
        <w:jc w:val="both"/>
        <w:rPr>
          <w:rFonts w:ascii="Palatino Linotype" w:eastAsiaTheme="minorHAnsi" w:hAnsi="Palatino Linotype"/>
          <w:i/>
          <w:sz w:val="22"/>
          <w:szCs w:val="22"/>
          <w:lang w:val="es-EC" w:eastAsia="en-US"/>
        </w:rPr>
      </w:pPr>
    </w:p>
    <w:p w14:paraId="7AAC0DF1" w14:textId="4A0EB613" w:rsidR="00A95F44" w:rsidRPr="00A95F44" w:rsidRDefault="00A95F44" w:rsidP="00A95F44">
      <w:pPr>
        <w:autoSpaceDE w:val="0"/>
        <w:autoSpaceDN w:val="0"/>
        <w:adjustRightInd w:val="0"/>
        <w:ind w:left="709" w:hanging="709"/>
        <w:jc w:val="both"/>
        <w:rPr>
          <w:rFonts w:ascii="Palatino Linotype" w:hAnsi="Palatino Linotype"/>
          <w:sz w:val="22"/>
          <w:szCs w:val="22"/>
        </w:rPr>
      </w:pPr>
      <w:r w:rsidRPr="007E62AD">
        <w:rPr>
          <w:rFonts w:ascii="Palatino Linotype" w:eastAsiaTheme="minorHAnsi" w:hAnsi="Palatino Linotype"/>
          <w:sz w:val="22"/>
          <w:szCs w:val="22"/>
          <w:lang w:val="es-EC" w:eastAsia="en-US"/>
        </w:rPr>
        <w:t xml:space="preserve">Que, </w:t>
      </w:r>
      <w:r w:rsidRPr="007E62AD">
        <w:rPr>
          <w:rFonts w:ascii="Palatino Linotype" w:eastAsiaTheme="minorHAnsi" w:hAnsi="Palatino Linotype"/>
          <w:sz w:val="22"/>
          <w:szCs w:val="22"/>
          <w:lang w:val="es-EC" w:eastAsia="en-US"/>
        </w:rPr>
        <w:tab/>
      </w:r>
      <w:r w:rsidRPr="00A95F44">
        <w:rPr>
          <w:rFonts w:ascii="Palatino Linotype" w:hAnsi="Palatino Linotype"/>
          <w:sz w:val="22"/>
          <w:szCs w:val="22"/>
        </w:rPr>
        <w:t xml:space="preserve">mediante oficio </w:t>
      </w:r>
      <w:r w:rsidRPr="00A95F44">
        <w:rPr>
          <w:rFonts w:ascii="Palatino Linotype" w:hAnsi="Palatino Linotype"/>
          <w:sz w:val="22"/>
          <w:szCs w:val="22"/>
        </w:rPr>
        <w:t>S/N y sin fecha</w:t>
      </w:r>
      <w:r w:rsidRPr="00A95F44">
        <w:rPr>
          <w:rFonts w:ascii="Palatino Linotype" w:hAnsi="Palatino Linotype"/>
          <w:sz w:val="22"/>
          <w:szCs w:val="22"/>
        </w:rPr>
        <w:t xml:space="preserve">, </w:t>
      </w:r>
      <w:r w:rsidRPr="00A95F44">
        <w:rPr>
          <w:rFonts w:ascii="Palatino Linotype" w:hAnsi="Palatino Linotype"/>
          <w:sz w:val="22"/>
          <w:szCs w:val="22"/>
        </w:rPr>
        <w:t xml:space="preserve">las señoras </w:t>
      </w:r>
      <w:r w:rsidR="009A4727">
        <w:rPr>
          <w:rFonts w:ascii="Palatino Linotype" w:hAnsi="Palatino Linotype"/>
          <w:sz w:val="22"/>
          <w:szCs w:val="22"/>
        </w:rPr>
        <w:t xml:space="preserve">María Elena </w:t>
      </w:r>
      <w:r w:rsidRPr="00A95F44">
        <w:rPr>
          <w:rFonts w:ascii="Palatino Linotype" w:hAnsi="Palatino Linotype"/>
          <w:sz w:val="22"/>
          <w:szCs w:val="22"/>
        </w:rPr>
        <w:t>Moreta Collaguazo, Mérida</w:t>
      </w:r>
      <w:r>
        <w:rPr>
          <w:rFonts w:ascii="Palatino Linotype" w:hAnsi="Palatino Linotype"/>
          <w:sz w:val="22"/>
          <w:szCs w:val="22"/>
        </w:rPr>
        <w:t xml:space="preserve"> </w:t>
      </w:r>
      <w:r w:rsidRPr="00A95F44">
        <w:rPr>
          <w:rFonts w:ascii="Palatino Linotype" w:hAnsi="Palatino Linotype"/>
          <w:sz w:val="22"/>
          <w:szCs w:val="22"/>
        </w:rPr>
        <w:t>Susana Moreta Collaguazo y Gladys del Rocío Moreta Collaguazo</w:t>
      </w:r>
      <w:r>
        <w:rPr>
          <w:rFonts w:ascii="Palatino Linotype" w:hAnsi="Palatino Linotype"/>
          <w:sz w:val="22"/>
          <w:szCs w:val="22"/>
        </w:rPr>
        <w:t xml:space="preserve"> </w:t>
      </w:r>
      <w:r w:rsidRPr="00A95F44">
        <w:rPr>
          <w:rFonts w:ascii="Palatino Linotype" w:hAnsi="Palatino Linotype"/>
          <w:sz w:val="22"/>
          <w:szCs w:val="22"/>
        </w:rPr>
        <w:t>indican que</w:t>
      </w:r>
      <w:r w:rsidRPr="00A95F44">
        <w:rPr>
          <w:rFonts w:ascii="Palatino Linotype" w:hAnsi="Palatino Linotype"/>
          <w:sz w:val="22"/>
          <w:szCs w:val="22"/>
        </w:rPr>
        <w:t>: que de</w:t>
      </w:r>
      <w:r>
        <w:rPr>
          <w:rFonts w:ascii="Palatino Linotype" w:hAnsi="Palatino Linotype"/>
          <w:sz w:val="22"/>
          <w:szCs w:val="22"/>
        </w:rPr>
        <w:t xml:space="preserve"> </w:t>
      </w:r>
      <w:r w:rsidRPr="00A95F44">
        <w:rPr>
          <w:rFonts w:ascii="Palatino Linotype" w:hAnsi="Palatino Linotype"/>
          <w:sz w:val="22"/>
          <w:szCs w:val="22"/>
        </w:rPr>
        <w:t>conformidad con lo que dispone el art. 473 del Código Orgánico de Organización</w:t>
      </w:r>
      <w:r>
        <w:rPr>
          <w:rFonts w:ascii="Palatino Linotype" w:hAnsi="Palatino Linotype"/>
          <w:sz w:val="22"/>
          <w:szCs w:val="22"/>
        </w:rPr>
        <w:t xml:space="preserve"> </w:t>
      </w:r>
      <w:r w:rsidRPr="00A95F44">
        <w:rPr>
          <w:rFonts w:ascii="Palatino Linotype" w:hAnsi="Palatino Linotype"/>
          <w:sz w:val="22"/>
          <w:szCs w:val="22"/>
        </w:rPr>
        <w:t>Territorial, Autonomía y Descentralización- COOTAD, solicitan el informe de</w:t>
      </w:r>
      <w:r>
        <w:rPr>
          <w:rFonts w:ascii="Palatino Linotype" w:hAnsi="Palatino Linotype"/>
          <w:sz w:val="22"/>
          <w:szCs w:val="22"/>
        </w:rPr>
        <w:t xml:space="preserve"> </w:t>
      </w:r>
      <w:r w:rsidRPr="00A95F44">
        <w:rPr>
          <w:rFonts w:ascii="Palatino Linotype" w:hAnsi="Palatino Linotype"/>
          <w:sz w:val="22"/>
          <w:szCs w:val="22"/>
        </w:rPr>
        <w:t>subdivisión de los lotes de terreno signados con los predios No. 169489 y 32339, de</w:t>
      </w:r>
      <w:r>
        <w:rPr>
          <w:rFonts w:ascii="Palatino Linotype" w:hAnsi="Palatino Linotype"/>
          <w:sz w:val="22"/>
          <w:szCs w:val="22"/>
        </w:rPr>
        <w:t xml:space="preserve"> </w:t>
      </w:r>
      <w:r w:rsidRPr="00A95F44">
        <w:rPr>
          <w:rFonts w:ascii="Palatino Linotype" w:hAnsi="Palatino Linotype"/>
          <w:sz w:val="22"/>
          <w:szCs w:val="22"/>
        </w:rPr>
        <w:t>propiedad de las señoras Estrella Mena Carmen Andrea y Andagoya Erazo Carmen</w:t>
      </w:r>
      <w:r>
        <w:rPr>
          <w:rFonts w:ascii="Palatino Linotype" w:hAnsi="Palatino Linotype"/>
          <w:sz w:val="22"/>
          <w:szCs w:val="22"/>
        </w:rPr>
        <w:t xml:space="preserve"> </w:t>
      </w:r>
      <w:r w:rsidRPr="00A95F44">
        <w:rPr>
          <w:rFonts w:ascii="Palatino Linotype" w:hAnsi="Palatino Linotype"/>
          <w:sz w:val="22"/>
          <w:szCs w:val="22"/>
        </w:rPr>
        <w:t xml:space="preserve">Cecilia, ubicados en la parroquia La Argelia, cantón Quito.; </w:t>
      </w:r>
    </w:p>
    <w:p w14:paraId="359FD7A7" w14:textId="77777777" w:rsidR="00A95F44" w:rsidRPr="00091491" w:rsidRDefault="00A95F44" w:rsidP="00A95F4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020FA4F" w14:textId="696D839B" w:rsidR="00A95F44" w:rsidRPr="00091491" w:rsidRDefault="00A95F44" w:rsidP="001F7EB9">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1" w:name="_Hlk51947053"/>
      <w:r w:rsidRPr="007E62AD">
        <w:rPr>
          <w:rFonts w:ascii="Palatino Linotype" w:eastAsiaTheme="minorHAnsi" w:hAnsi="Palatino Linotype"/>
          <w:sz w:val="22"/>
          <w:szCs w:val="22"/>
          <w:lang w:val="es-EC" w:eastAsia="en-US"/>
        </w:rPr>
        <w:t xml:space="preserve">Que, </w:t>
      </w:r>
      <w:r w:rsidRPr="007E62AD">
        <w:rPr>
          <w:rFonts w:ascii="Palatino Linotype" w:eastAsiaTheme="minorHAnsi" w:hAnsi="Palatino Linotype"/>
          <w:sz w:val="22"/>
          <w:szCs w:val="22"/>
          <w:lang w:val="es-EC" w:eastAsia="en-US"/>
        </w:rPr>
        <w:tab/>
      </w:r>
      <w:r w:rsidRPr="007E62AD">
        <w:rPr>
          <w:rFonts w:ascii="Palatino Linotype" w:hAnsi="Palatino Linotype"/>
          <w:sz w:val="22"/>
          <w:szCs w:val="22"/>
        </w:rPr>
        <w:t>mediante</w:t>
      </w:r>
      <w:r w:rsidRPr="00A95F44">
        <w:rPr>
          <w:rFonts w:ascii="Palatino Linotype" w:hAnsi="Palatino Linotype"/>
          <w:sz w:val="22"/>
          <w:szCs w:val="22"/>
        </w:rPr>
        <w:t xml:space="preserve"> </w:t>
      </w:r>
      <w:r w:rsidRPr="00A95F44">
        <w:rPr>
          <w:rFonts w:ascii="Palatino Linotype" w:hAnsi="Palatino Linotype"/>
          <w:sz w:val="22"/>
          <w:szCs w:val="22"/>
        </w:rPr>
        <w:t>memorando</w:t>
      </w:r>
      <w:r w:rsidRPr="00A95F44">
        <w:rPr>
          <w:rFonts w:ascii="Palatino Linotype" w:hAnsi="Palatino Linotype"/>
          <w:sz w:val="22"/>
          <w:szCs w:val="22"/>
        </w:rPr>
        <w:t xml:space="preserve"> Nro. GADDMQ-AZEA-AZ-2019-1016-O</w:t>
      </w:r>
      <w:r w:rsidRPr="00A95F44">
        <w:rPr>
          <w:rFonts w:ascii="Palatino Linotype" w:hAnsi="Palatino Linotype"/>
          <w:sz w:val="22"/>
          <w:szCs w:val="22"/>
        </w:rPr>
        <w:t>,</w:t>
      </w:r>
      <w:r w:rsidRPr="00A95F44">
        <w:rPr>
          <w:rFonts w:ascii="Palatino Linotype" w:hAnsi="Palatino Linotype"/>
          <w:sz w:val="22"/>
          <w:szCs w:val="22"/>
        </w:rPr>
        <w:t xml:space="preserve"> de </w:t>
      </w:r>
      <w:r>
        <w:rPr>
          <w:rFonts w:ascii="Palatino Linotype" w:hAnsi="Palatino Linotype"/>
          <w:sz w:val="22"/>
          <w:szCs w:val="22"/>
        </w:rPr>
        <w:t xml:space="preserve">04 </w:t>
      </w:r>
      <w:r w:rsidRPr="00A95F44">
        <w:rPr>
          <w:rFonts w:ascii="Palatino Linotype" w:hAnsi="Palatino Linotype"/>
          <w:sz w:val="22"/>
          <w:szCs w:val="22"/>
        </w:rPr>
        <w:t xml:space="preserve">de </w:t>
      </w:r>
      <w:r>
        <w:rPr>
          <w:rFonts w:ascii="Palatino Linotype" w:hAnsi="Palatino Linotype"/>
          <w:sz w:val="22"/>
          <w:szCs w:val="22"/>
        </w:rPr>
        <w:t>diciembre</w:t>
      </w:r>
      <w:r w:rsidRPr="00A95F44">
        <w:rPr>
          <w:rFonts w:ascii="Palatino Linotype" w:hAnsi="Palatino Linotype"/>
          <w:sz w:val="22"/>
          <w:szCs w:val="22"/>
        </w:rPr>
        <w:t xml:space="preserve"> de </w:t>
      </w:r>
      <w:r>
        <w:rPr>
          <w:rFonts w:ascii="Palatino Linotype" w:hAnsi="Palatino Linotype"/>
          <w:sz w:val="22"/>
          <w:szCs w:val="22"/>
        </w:rPr>
        <w:t>2019,</w:t>
      </w:r>
      <w:r w:rsidRPr="00A95F44">
        <w:rPr>
          <w:rFonts w:ascii="Palatino Linotype" w:hAnsi="Palatino Linotype"/>
          <w:sz w:val="22"/>
          <w:szCs w:val="22"/>
        </w:rPr>
        <w:t xml:space="preserve"> la </w:t>
      </w:r>
      <w:r>
        <w:t xml:space="preserve">abogada Lida </w:t>
      </w:r>
      <w:proofErr w:type="spellStart"/>
      <w:r>
        <w:t>Justinne</w:t>
      </w:r>
      <w:proofErr w:type="spellEnd"/>
      <w:r>
        <w:t xml:space="preserve"> García Arias</w:t>
      </w:r>
      <w:r>
        <w:t>,</w:t>
      </w:r>
      <w:r w:rsidRPr="00A95F44">
        <w:rPr>
          <w:rFonts w:ascii="Palatino Linotype" w:hAnsi="Palatino Linotype"/>
          <w:sz w:val="22"/>
          <w:szCs w:val="22"/>
        </w:rPr>
        <w:t xml:space="preserve"> Administradora Municipal Zona</w:t>
      </w:r>
      <w:r>
        <w:rPr>
          <w:rFonts w:ascii="Palatino Linotype" w:hAnsi="Palatino Linotype"/>
          <w:sz w:val="22"/>
          <w:szCs w:val="22"/>
        </w:rPr>
        <w:t xml:space="preserve">l Eloy Alfaro, </w:t>
      </w:r>
      <w:r w:rsidRPr="00A95F44">
        <w:rPr>
          <w:rFonts w:ascii="Palatino Linotype" w:hAnsi="Palatino Linotype"/>
          <w:sz w:val="22"/>
          <w:szCs w:val="22"/>
        </w:rPr>
        <w:t>remitió el informe técnico Nr</w:t>
      </w:r>
      <w:r>
        <w:rPr>
          <w:rFonts w:ascii="Palatino Linotype" w:hAnsi="Palatino Linotype"/>
          <w:sz w:val="22"/>
          <w:szCs w:val="22"/>
        </w:rPr>
        <w:t xml:space="preserve">o. </w:t>
      </w:r>
      <w:r>
        <w:t>GADDMQ-AZEA-DGT-UGU-2019-0272-M</w:t>
      </w:r>
      <w:r w:rsidRPr="00A95F44">
        <w:rPr>
          <w:rFonts w:ascii="Palatino Linotype" w:hAnsi="Palatino Linotype"/>
          <w:sz w:val="22"/>
          <w:szCs w:val="22"/>
        </w:rPr>
        <w:t>, de factibilidad de fraccionamiento de</w:t>
      </w:r>
      <w:r w:rsidR="001F7EB9">
        <w:rPr>
          <w:rFonts w:ascii="Palatino Linotype" w:hAnsi="Palatino Linotype"/>
          <w:sz w:val="22"/>
          <w:szCs w:val="22"/>
        </w:rPr>
        <w:t xml:space="preserve"> los</w:t>
      </w:r>
      <w:r w:rsidRPr="00A95F44">
        <w:rPr>
          <w:rFonts w:ascii="Palatino Linotype" w:hAnsi="Palatino Linotype"/>
          <w:sz w:val="22"/>
          <w:szCs w:val="22"/>
        </w:rPr>
        <w:t xml:space="preserve"> predio</w:t>
      </w:r>
      <w:r w:rsidR="001F7EB9">
        <w:rPr>
          <w:rFonts w:ascii="Palatino Linotype" w:hAnsi="Palatino Linotype"/>
          <w:sz w:val="22"/>
          <w:szCs w:val="22"/>
        </w:rPr>
        <w:t>s</w:t>
      </w:r>
      <w:r w:rsidRPr="00A95F44">
        <w:rPr>
          <w:rFonts w:ascii="Palatino Linotype" w:hAnsi="Palatino Linotype"/>
          <w:sz w:val="22"/>
          <w:szCs w:val="22"/>
        </w:rPr>
        <w:t xml:space="preserve"> Nro. </w:t>
      </w:r>
      <w:r>
        <w:t>169489</w:t>
      </w:r>
      <w:r w:rsidR="001F7EB9">
        <w:t xml:space="preserve"> y </w:t>
      </w:r>
      <w:r w:rsidR="001F7EB9">
        <w:t>32339</w:t>
      </w:r>
      <w:r w:rsidRPr="00A95F44">
        <w:rPr>
          <w:rFonts w:ascii="Palatino Linotype" w:hAnsi="Palatino Linotype"/>
          <w:sz w:val="22"/>
          <w:szCs w:val="22"/>
        </w:rPr>
        <w:t>, de</w:t>
      </w:r>
      <w:r>
        <w:rPr>
          <w:rFonts w:ascii="Palatino Linotype" w:hAnsi="Palatino Linotype"/>
          <w:sz w:val="22"/>
          <w:szCs w:val="22"/>
        </w:rPr>
        <w:t xml:space="preserve"> 12</w:t>
      </w:r>
      <w:r w:rsidRPr="00A95F44">
        <w:rPr>
          <w:rFonts w:ascii="Palatino Linotype" w:hAnsi="Palatino Linotype"/>
          <w:sz w:val="22"/>
          <w:szCs w:val="22"/>
        </w:rPr>
        <w:t xml:space="preserve"> de</w:t>
      </w:r>
      <w:r>
        <w:rPr>
          <w:rFonts w:ascii="Palatino Linotype" w:hAnsi="Palatino Linotype"/>
          <w:sz w:val="22"/>
          <w:szCs w:val="22"/>
        </w:rPr>
        <w:t xml:space="preserve"> noviembre</w:t>
      </w:r>
      <w:r w:rsidRPr="00A95F44">
        <w:rPr>
          <w:rFonts w:ascii="Palatino Linotype" w:hAnsi="Palatino Linotype"/>
          <w:sz w:val="22"/>
          <w:szCs w:val="22"/>
        </w:rPr>
        <w:t xml:space="preserve"> de</w:t>
      </w:r>
      <w:r w:rsidR="001F7EB9">
        <w:rPr>
          <w:rFonts w:ascii="Palatino Linotype" w:hAnsi="Palatino Linotype"/>
          <w:sz w:val="22"/>
          <w:szCs w:val="22"/>
        </w:rPr>
        <w:t xml:space="preserve"> </w:t>
      </w:r>
      <w:r>
        <w:rPr>
          <w:rFonts w:ascii="Palatino Linotype" w:hAnsi="Palatino Linotype"/>
          <w:sz w:val="22"/>
          <w:szCs w:val="22"/>
        </w:rPr>
        <w:t>2019</w:t>
      </w:r>
      <w:r w:rsidRPr="00A95F44">
        <w:rPr>
          <w:rFonts w:ascii="Palatino Linotype" w:hAnsi="Palatino Linotype"/>
          <w:sz w:val="22"/>
          <w:szCs w:val="22"/>
        </w:rPr>
        <w:t xml:space="preserve">, suscrito por el </w:t>
      </w:r>
      <w:r w:rsidR="001F7EB9" w:rsidRPr="001F7EB9">
        <w:rPr>
          <w:rFonts w:ascii="Palatino Linotype" w:hAnsi="Palatino Linotype"/>
          <w:sz w:val="22"/>
          <w:szCs w:val="22"/>
        </w:rPr>
        <w:t xml:space="preserve">Arq. Dino Giovanny Cruz </w:t>
      </w:r>
      <w:proofErr w:type="spellStart"/>
      <w:r w:rsidR="001F7EB9" w:rsidRPr="001F7EB9">
        <w:rPr>
          <w:rFonts w:ascii="Palatino Linotype" w:hAnsi="Palatino Linotype"/>
          <w:sz w:val="22"/>
          <w:szCs w:val="22"/>
        </w:rPr>
        <w:t>Jimenez</w:t>
      </w:r>
      <w:proofErr w:type="spellEnd"/>
      <w:r w:rsidR="001F7EB9" w:rsidRPr="001F7EB9">
        <w:rPr>
          <w:rFonts w:ascii="Palatino Linotype" w:hAnsi="Palatino Linotype"/>
          <w:sz w:val="22"/>
          <w:szCs w:val="22"/>
        </w:rPr>
        <w:t>, Responsable Unidad Gestión</w:t>
      </w:r>
      <w:r w:rsidR="001F7EB9">
        <w:rPr>
          <w:rFonts w:ascii="Palatino Linotype" w:hAnsi="Palatino Linotype"/>
          <w:sz w:val="22"/>
          <w:szCs w:val="22"/>
        </w:rPr>
        <w:t xml:space="preserve"> </w:t>
      </w:r>
      <w:r w:rsidR="001F7EB9" w:rsidRPr="001F7EB9">
        <w:rPr>
          <w:rFonts w:ascii="Palatino Linotype" w:hAnsi="Palatino Linotype"/>
          <w:sz w:val="22"/>
          <w:szCs w:val="22"/>
        </w:rPr>
        <w:t>Urbana de la Administración Zonal Eloy Alfaro</w:t>
      </w:r>
      <w:r w:rsidRPr="00A95F44">
        <w:rPr>
          <w:rFonts w:ascii="Palatino Linotype" w:hAnsi="Palatino Linotype"/>
          <w:sz w:val="22"/>
          <w:szCs w:val="22"/>
        </w:rPr>
        <w:t xml:space="preserve">, que en su parte pertinente señala: </w:t>
      </w:r>
      <w:r w:rsidR="001F7EB9" w:rsidRPr="001F7EB9">
        <w:rPr>
          <w:rFonts w:ascii="Palatino Linotype" w:hAnsi="Palatino Linotype"/>
          <w:i/>
          <w:iCs/>
          <w:sz w:val="22"/>
          <w:szCs w:val="22"/>
        </w:rPr>
        <w:t>“</w:t>
      </w:r>
      <w:r w:rsidR="001F7EB9" w:rsidRPr="001F7EB9">
        <w:rPr>
          <w:b/>
          <w:i/>
          <w:iCs/>
        </w:rPr>
        <w:t>INFORME TÉCNICO</w:t>
      </w:r>
      <w:r w:rsidR="001F7EB9" w:rsidRPr="001F7EB9">
        <w:rPr>
          <w:i/>
          <w:iCs/>
        </w:rPr>
        <w:t xml:space="preserve">: Predio </w:t>
      </w:r>
      <w:proofErr w:type="spellStart"/>
      <w:r w:rsidR="001F7EB9" w:rsidRPr="001F7EB9">
        <w:rPr>
          <w:i/>
          <w:iCs/>
        </w:rPr>
        <w:t>N°</w:t>
      </w:r>
      <w:proofErr w:type="spellEnd"/>
      <w:r w:rsidR="001F7EB9" w:rsidRPr="001F7EB9">
        <w:rPr>
          <w:i/>
          <w:iCs/>
        </w:rPr>
        <w:t xml:space="preserve"> 169489 Se procedió a revisar la información constante en el Informe de Regulación Metropolitana (IRM) del predio </w:t>
      </w:r>
      <w:proofErr w:type="spellStart"/>
      <w:r w:rsidR="001F7EB9" w:rsidRPr="001F7EB9">
        <w:rPr>
          <w:i/>
          <w:iCs/>
        </w:rPr>
        <w:t>N°</w:t>
      </w:r>
      <w:proofErr w:type="spellEnd"/>
      <w:r w:rsidR="001F7EB9" w:rsidRPr="001F7EB9">
        <w:rPr>
          <w:i/>
          <w:iCs/>
        </w:rPr>
        <w:t xml:space="preserve"> 169489, mismo que consta a nombre de </w:t>
      </w:r>
      <w:r w:rsidR="001F7EB9" w:rsidRPr="001F7EB9">
        <w:rPr>
          <w:b/>
          <w:bCs/>
          <w:i/>
          <w:iCs/>
        </w:rPr>
        <w:t>ESTRELLA MENA CARMEN ANDREA</w:t>
      </w:r>
      <w:r w:rsidR="001F7EB9" w:rsidRPr="001F7EB9">
        <w:rPr>
          <w:i/>
          <w:iCs/>
        </w:rPr>
        <w:t xml:space="preserve"> (…), zonificación D(203-80), área de terreno 359 m2. </w:t>
      </w:r>
      <w:r w:rsidR="001F7EB9" w:rsidRPr="001F7EB9">
        <w:rPr>
          <w:b/>
          <w:bCs/>
          <w:i/>
          <w:iCs/>
        </w:rPr>
        <w:t>CONCLUSIÓN</w:t>
      </w:r>
      <w:r w:rsidR="001F7EB9" w:rsidRPr="001F7EB9">
        <w:rPr>
          <w:i/>
          <w:iCs/>
        </w:rPr>
        <w:t xml:space="preserve"> Con lo expuesto se desprende que el predio en </w:t>
      </w:r>
      <w:proofErr w:type="gramStart"/>
      <w:r w:rsidR="001F7EB9" w:rsidRPr="001F7EB9">
        <w:rPr>
          <w:i/>
          <w:iCs/>
        </w:rPr>
        <w:t>mención,</w:t>
      </w:r>
      <w:proofErr w:type="gramEnd"/>
      <w:r w:rsidR="001F7EB9" w:rsidRPr="001F7EB9">
        <w:rPr>
          <w:i/>
          <w:iCs/>
        </w:rPr>
        <w:t xml:space="preserve"> </w:t>
      </w:r>
      <w:r w:rsidR="001F7EB9" w:rsidRPr="001F7EB9">
        <w:rPr>
          <w:b/>
          <w:bCs/>
          <w:i/>
          <w:iCs/>
        </w:rPr>
        <w:t>NO cumple con las áreas MÍNIMAS ESTABLECIDAS EN LA ORDENANZA (…)</w:t>
      </w:r>
      <w:r w:rsidR="001F7EB9" w:rsidRPr="001F7EB9">
        <w:rPr>
          <w:i/>
          <w:iCs/>
        </w:rPr>
        <w:t>”. “</w:t>
      </w:r>
      <w:r w:rsidR="001F7EB9" w:rsidRPr="001F7EB9">
        <w:rPr>
          <w:b/>
          <w:bCs/>
          <w:i/>
          <w:iCs/>
        </w:rPr>
        <w:t>INFORME TÉCNICO</w:t>
      </w:r>
      <w:r w:rsidR="001F7EB9" w:rsidRPr="001F7EB9">
        <w:rPr>
          <w:i/>
          <w:iCs/>
        </w:rPr>
        <w:t xml:space="preserve">: Predio </w:t>
      </w:r>
      <w:proofErr w:type="spellStart"/>
      <w:r w:rsidR="001F7EB9" w:rsidRPr="001F7EB9">
        <w:rPr>
          <w:i/>
          <w:iCs/>
        </w:rPr>
        <w:t>N°</w:t>
      </w:r>
      <w:proofErr w:type="spellEnd"/>
      <w:r w:rsidR="001F7EB9" w:rsidRPr="001F7EB9">
        <w:rPr>
          <w:i/>
          <w:iCs/>
        </w:rPr>
        <w:t xml:space="preserve"> 32339 Se procedió a revisar la información constante en el Informe de Regulación Metropolitana (IRM) del predio </w:t>
      </w:r>
      <w:proofErr w:type="spellStart"/>
      <w:r w:rsidR="001F7EB9" w:rsidRPr="001F7EB9">
        <w:rPr>
          <w:i/>
          <w:iCs/>
        </w:rPr>
        <w:t>N°</w:t>
      </w:r>
      <w:proofErr w:type="spellEnd"/>
      <w:r w:rsidR="001F7EB9" w:rsidRPr="001F7EB9">
        <w:rPr>
          <w:i/>
          <w:iCs/>
        </w:rPr>
        <w:t xml:space="preserve"> 32339, mismo que consta a nombre de ANGAGOYA ERAZO CARMEN CELIA (…), zonificación </w:t>
      </w:r>
      <w:proofErr w:type="gramStart"/>
      <w:r w:rsidR="001F7EB9" w:rsidRPr="001F7EB9">
        <w:rPr>
          <w:i/>
          <w:iCs/>
        </w:rPr>
        <w:t>D(</w:t>
      </w:r>
      <w:proofErr w:type="gramEnd"/>
      <w:r w:rsidR="001F7EB9" w:rsidRPr="001F7EB9">
        <w:rPr>
          <w:i/>
          <w:iCs/>
        </w:rPr>
        <w:t xml:space="preserve">203-80), área de terreno 200 m2. </w:t>
      </w:r>
      <w:r w:rsidR="001F7EB9" w:rsidRPr="001F7EB9">
        <w:rPr>
          <w:b/>
          <w:bCs/>
          <w:i/>
          <w:iCs/>
        </w:rPr>
        <w:t>CONCLUSIÓN</w:t>
      </w:r>
      <w:r w:rsidR="001F7EB9" w:rsidRPr="001F7EB9">
        <w:rPr>
          <w:i/>
          <w:iCs/>
        </w:rPr>
        <w:t xml:space="preserve"> Con lo expuesto se desprende que el predio en </w:t>
      </w:r>
      <w:proofErr w:type="gramStart"/>
      <w:r w:rsidR="001F7EB9" w:rsidRPr="001F7EB9">
        <w:rPr>
          <w:i/>
          <w:iCs/>
        </w:rPr>
        <w:t>mención,</w:t>
      </w:r>
      <w:proofErr w:type="gramEnd"/>
      <w:r w:rsidR="001F7EB9" w:rsidRPr="001F7EB9">
        <w:rPr>
          <w:i/>
          <w:iCs/>
        </w:rPr>
        <w:t xml:space="preserve"> </w:t>
      </w:r>
      <w:r w:rsidR="001F7EB9" w:rsidRPr="001F7EB9">
        <w:rPr>
          <w:b/>
          <w:bCs/>
          <w:i/>
          <w:iCs/>
        </w:rPr>
        <w:t>NO cumple con las áreas MÍNIMAS ESTABLECIDAS EN LA ORDENANZA (…)</w:t>
      </w:r>
      <w:r w:rsidR="001F7EB9" w:rsidRPr="001F7EB9">
        <w:rPr>
          <w:rFonts w:ascii="Palatino Linotype" w:hAnsi="Palatino Linotype"/>
          <w:i/>
          <w:iCs/>
          <w:sz w:val="22"/>
          <w:szCs w:val="22"/>
        </w:rPr>
        <w:t>”</w:t>
      </w:r>
    </w:p>
    <w:p w14:paraId="1C2F7DF8" w14:textId="77777777" w:rsidR="00A95F44" w:rsidRPr="00091491" w:rsidRDefault="00A95F44" w:rsidP="00A95F44">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5AB0B1E5" w14:textId="7A6FD6E1" w:rsidR="00A95F44" w:rsidRDefault="00A95F44" w:rsidP="001F7EB9">
      <w:pPr>
        <w:autoSpaceDE w:val="0"/>
        <w:autoSpaceDN w:val="0"/>
        <w:adjustRightInd w:val="0"/>
        <w:ind w:left="709" w:hanging="709"/>
        <w:jc w:val="both"/>
        <w:rPr>
          <w:i/>
          <w:iCs/>
        </w:rPr>
      </w:pPr>
      <w:r w:rsidRPr="007E62AD">
        <w:rPr>
          <w:rFonts w:ascii="Palatino Linotype" w:eastAsiaTheme="minorHAnsi" w:hAnsi="Palatino Linotype"/>
          <w:sz w:val="22"/>
          <w:szCs w:val="22"/>
          <w:lang w:val="es-EC" w:eastAsia="en-US"/>
        </w:rPr>
        <w:t xml:space="preserve">Que, </w:t>
      </w:r>
      <w:r w:rsidRPr="007E62AD">
        <w:rPr>
          <w:rFonts w:ascii="Palatino Linotype" w:eastAsiaTheme="minorHAnsi" w:hAnsi="Palatino Linotype"/>
          <w:sz w:val="22"/>
          <w:szCs w:val="22"/>
          <w:lang w:val="es-EC" w:eastAsia="en-US"/>
        </w:rPr>
        <w:tab/>
      </w:r>
      <w:r w:rsidR="001F7EB9" w:rsidRPr="007E62AD">
        <w:rPr>
          <w:rFonts w:ascii="Palatino Linotype" w:hAnsi="Palatino Linotype"/>
          <w:sz w:val="22"/>
          <w:szCs w:val="22"/>
        </w:rPr>
        <w:t xml:space="preserve">mediante memorando Nro. GADDMQ-AZEA-AZ-2019-1016-O, de 04 de diciembre de 2019, la </w:t>
      </w:r>
      <w:r w:rsidR="001F7EB9" w:rsidRPr="007E62AD">
        <w:t xml:space="preserve">abogada Lida </w:t>
      </w:r>
      <w:proofErr w:type="spellStart"/>
      <w:r w:rsidR="001F7EB9" w:rsidRPr="007E62AD">
        <w:t>Justinne</w:t>
      </w:r>
      <w:proofErr w:type="spellEnd"/>
      <w:r w:rsidR="001F7EB9" w:rsidRPr="007E62AD">
        <w:t xml:space="preserve"> García Arias,</w:t>
      </w:r>
      <w:r w:rsidR="001F7EB9" w:rsidRPr="007E62AD">
        <w:rPr>
          <w:rFonts w:ascii="Palatino Linotype" w:hAnsi="Palatino Linotype"/>
          <w:sz w:val="22"/>
          <w:szCs w:val="22"/>
        </w:rPr>
        <w:t xml:space="preserve"> Administradora Municipal Zonal Eloy Alfaro</w:t>
      </w:r>
      <w:r w:rsidRPr="007E62AD">
        <w:rPr>
          <w:rFonts w:ascii="Palatino Linotype" w:hAnsi="Palatino Linotype"/>
          <w:sz w:val="22"/>
          <w:szCs w:val="22"/>
        </w:rPr>
        <w:t xml:space="preserve">, remitió el </w:t>
      </w:r>
      <w:r w:rsidRPr="007E62AD">
        <w:t xml:space="preserve">Informe Legal </w:t>
      </w:r>
      <w:r w:rsidR="001F7EB9" w:rsidRPr="007E62AD">
        <w:t xml:space="preserve">Nro. </w:t>
      </w:r>
      <w:r w:rsidR="001F7EB9" w:rsidRPr="007E62AD">
        <w:t>400-DJ-2019</w:t>
      </w:r>
      <w:r w:rsidRPr="007E62AD">
        <w:t>, de Factibilidad de Partición, de</w:t>
      </w:r>
      <w:r w:rsidR="001F7EB9" w:rsidRPr="007E62AD">
        <w:t xml:space="preserve"> 22</w:t>
      </w:r>
      <w:r w:rsidRPr="007E62AD">
        <w:t xml:space="preserve"> de </w:t>
      </w:r>
      <w:r w:rsidR="001F7EB9" w:rsidRPr="007E62AD">
        <w:t xml:space="preserve">noviembre </w:t>
      </w:r>
      <w:r w:rsidRPr="007E62AD">
        <w:t xml:space="preserve">de </w:t>
      </w:r>
      <w:r w:rsidR="001F7EB9" w:rsidRPr="007E62AD">
        <w:t>2019</w:t>
      </w:r>
      <w:r w:rsidRPr="007E62AD">
        <w:t xml:space="preserve">, suscrito por </w:t>
      </w:r>
      <w:r w:rsidR="001F7EB9" w:rsidRPr="007E62AD">
        <w:t>Fernando Albán Barba</w:t>
      </w:r>
      <w:r w:rsidRPr="007E62AD">
        <w:t>, Director de Asesoría Jurídica, que en lo principal, indica</w:t>
      </w:r>
      <w:r w:rsidR="001F7EB9" w:rsidRPr="007E62AD">
        <w:t xml:space="preserve"> sobre el predio Nro.169489</w:t>
      </w:r>
      <w:r w:rsidRPr="007E62AD">
        <w:t xml:space="preserve">: </w:t>
      </w:r>
      <w:bookmarkEnd w:id="1"/>
      <w:r w:rsidR="001F7EB9" w:rsidRPr="001F7EB9">
        <w:rPr>
          <w:i/>
          <w:iCs/>
        </w:rPr>
        <w:t>“[…] Por lo expuesto; y, con sustento en el Informe Técnico No.GADDMQ-AZEA-DGT-UGU-2019-0272-M, suscrito por el Arq. Dino Cruz,</w:t>
      </w:r>
      <w:r w:rsidR="001F7EB9" w:rsidRPr="001F7EB9">
        <w:rPr>
          <w:i/>
          <w:iCs/>
        </w:rPr>
        <w:t xml:space="preserve"> </w:t>
      </w:r>
      <w:r w:rsidR="001F7EB9" w:rsidRPr="001F7EB9">
        <w:rPr>
          <w:i/>
          <w:iCs/>
        </w:rPr>
        <w:t>Responsable de la Unidad de Gestión Urbana, quien concluye que en el presente caso NO</w:t>
      </w:r>
      <w:r w:rsidR="001F7EB9" w:rsidRPr="001F7EB9">
        <w:rPr>
          <w:i/>
          <w:iCs/>
        </w:rPr>
        <w:t xml:space="preserve"> </w:t>
      </w:r>
      <w:r w:rsidR="001F7EB9" w:rsidRPr="001F7EB9">
        <w:rPr>
          <w:i/>
          <w:iCs/>
        </w:rPr>
        <w:t xml:space="preserve">es factible la subdivisión del predio, esta Dirección Jurídica, emite </w:t>
      </w:r>
      <w:r w:rsidR="001F7EB9" w:rsidRPr="001F7EB9">
        <w:rPr>
          <w:b/>
          <w:bCs/>
          <w:i/>
          <w:iCs/>
        </w:rPr>
        <w:t>INFORME LEGAL</w:t>
      </w:r>
      <w:r w:rsidR="001F7EB9" w:rsidRPr="001F7EB9">
        <w:rPr>
          <w:b/>
          <w:bCs/>
          <w:i/>
          <w:iCs/>
        </w:rPr>
        <w:t xml:space="preserve"> </w:t>
      </w:r>
      <w:r w:rsidR="001F7EB9" w:rsidRPr="001F7EB9">
        <w:rPr>
          <w:b/>
          <w:bCs/>
          <w:i/>
          <w:iCs/>
        </w:rPr>
        <w:t>DESFAVORABLE</w:t>
      </w:r>
      <w:r w:rsidR="001F7EB9" w:rsidRPr="001F7EB9">
        <w:rPr>
          <w:i/>
          <w:iCs/>
        </w:rPr>
        <w:t xml:space="preserve"> para la Partición Judicial y Extrajudicial del inmueble signado con el</w:t>
      </w:r>
      <w:r w:rsidR="001F7EB9" w:rsidRPr="001F7EB9">
        <w:rPr>
          <w:i/>
          <w:iCs/>
        </w:rPr>
        <w:t xml:space="preserve"> </w:t>
      </w:r>
      <w:r w:rsidR="001F7EB9" w:rsidRPr="001F7EB9">
        <w:rPr>
          <w:i/>
          <w:iCs/>
        </w:rPr>
        <w:t>Predio 169489, Clave Catastral 31806 04 013, ubicado en la parroquia La Argelia, barrio</w:t>
      </w:r>
      <w:r w:rsidR="001F7EB9" w:rsidRPr="001F7EB9">
        <w:rPr>
          <w:i/>
          <w:iCs/>
        </w:rPr>
        <w:t xml:space="preserve"> </w:t>
      </w:r>
      <w:proofErr w:type="spellStart"/>
      <w:r w:rsidR="001F7EB9" w:rsidRPr="001F7EB9">
        <w:rPr>
          <w:i/>
          <w:iCs/>
        </w:rPr>
        <w:t>Guajaló</w:t>
      </w:r>
      <w:proofErr w:type="spellEnd"/>
      <w:r w:rsidR="001F7EB9" w:rsidRPr="001F7EB9">
        <w:rPr>
          <w:i/>
          <w:iCs/>
        </w:rPr>
        <w:t>, cantón Quito.”</w:t>
      </w:r>
    </w:p>
    <w:p w14:paraId="11DFDC41" w14:textId="541163C2" w:rsidR="001F7EB9" w:rsidRDefault="001F7EB9" w:rsidP="001F7EB9">
      <w:pPr>
        <w:autoSpaceDE w:val="0"/>
        <w:autoSpaceDN w:val="0"/>
        <w:adjustRightInd w:val="0"/>
        <w:ind w:left="709" w:hanging="709"/>
        <w:jc w:val="both"/>
        <w:rPr>
          <w:i/>
          <w:iCs/>
        </w:rPr>
      </w:pPr>
    </w:p>
    <w:p w14:paraId="3A2CE185" w14:textId="6D8A831D" w:rsidR="001F7EB9" w:rsidRDefault="001F7EB9" w:rsidP="001F7EB9">
      <w:pPr>
        <w:autoSpaceDE w:val="0"/>
        <w:autoSpaceDN w:val="0"/>
        <w:adjustRightInd w:val="0"/>
        <w:ind w:left="709" w:hanging="709"/>
        <w:jc w:val="both"/>
      </w:pPr>
      <w:r w:rsidRPr="007E62AD">
        <w:rPr>
          <w:rFonts w:ascii="Palatino Linotype" w:eastAsiaTheme="minorHAnsi" w:hAnsi="Palatino Linotype"/>
          <w:sz w:val="22"/>
          <w:szCs w:val="22"/>
          <w:lang w:val="es-EC" w:eastAsia="en-US"/>
        </w:rPr>
        <w:t xml:space="preserve">Que, </w:t>
      </w:r>
      <w:r w:rsidRPr="007E62AD">
        <w:rPr>
          <w:rFonts w:ascii="Palatino Linotype" w:eastAsiaTheme="minorHAnsi" w:hAnsi="Palatino Linotype"/>
          <w:sz w:val="22"/>
          <w:szCs w:val="22"/>
          <w:lang w:val="es-EC" w:eastAsia="en-US"/>
        </w:rPr>
        <w:tab/>
      </w:r>
      <w:r w:rsidRPr="007E62AD">
        <w:rPr>
          <w:rFonts w:ascii="Palatino Linotype" w:hAnsi="Palatino Linotype"/>
          <w:sz w:val="22"/>
          <w:szCs w:val="22"/>
        </w:rPr>
        <w:t xml:space="preserve">mediante memorando Nro. GADDMQ-AZEA-AZ-2019-1016-O, de 04 de diciembre de 2019, la </w:t>
      </w:r>
      <w:r w:rsidRPr="007E62AD">
        <w:t xml:space="preserve">abogada Lida </w:t>
      </w:r>
      <w:proofErr w:type="spellStart"/>
      <w:r w:rsidRPr="007E62AD">
        <w:t>Justinne</w:t>
      </w:r>
      <w:proofErr w:type="spellEnd"/>
      <w:r w:rsidRPr="007E62AD">
        <w:t xml:space="preserve"> García Arias,</w:t>
      </w:r>
      <w:r w:rsidRPr="007E62AD">
        <w:rPr>
          <w:rFonts w:ascii="Palatino Linotype" w:hAnsi="Palatino Linotype"/>
          <w:sz w:val="22"/>
          <w:szCs w:val="22"/>
        </w:rPr>
        <w:t xml:space="preserve"> Administradora Municipal Zonal Eloy Alfaro, remitió el </w:t>
      </w:r>
      <w:r w:rsidRPr="007E62AD">
        <w:t>Informe Legal Nro. 403-DJ-2019, de Factibilidad de Partición, de 22 de noviembre de 2019, suscrito por Fernando Albán Barba, Director de Asesoría Jurídica, que en lo principal, indica</w:t>
      </w:r>
      <w:r w:rsidRPr="007E62AD">
        <w:t xml:space="preserve"> sobre el predio Nro. </w:t>
      </w:r>
      <w:proofErr w:type="gramStart"/>
      <w:r w:rsidRPr="007E62AD">
        <w:t xml:space="preserve">32339 </w:t>
      </w:r>
      <w:r w:rsidRPr="007E62AD">
        <w:t>:</w:t>
      </w:r>
      <w:proofErr w:type="gramEnd"/>
      <w:r w:rsidRPr="007E62AD">
        <w:t xml:space="preserve"> </w:t>
      </w:r>
      <w:r w:rsidRPr="001F7EB9">
        <w:rPr>
          <w:i/>
          <w:iCs/>
        </w:rPr>
        <w:t xml:space="preserve">“[…] Por lo expuesto; y, con sustento en el Informe Técnico No. GADDMQ-AZEA-DGT-UGU-2019-0272-M, suscrito por el Arq. Dino Cruz, Responsable de la Unidad de Gestión Urbana, quien concluye que en el presente caso NO es factible la subdivisión del predio, esta Dirección Jurídica, emite INFORME LEGAL DESFAVORABLE para la Partición Judicial y Extrajudicial del inmueble signado con el Predio 32339, Clave Catastral 31806 05 013, ubicado en la parroquia La Argelia, barrio </w:t>
      </w:r>
      <w:proofErr w:type="spellStart"/>
      <w:r w:rsidRPr="001F7EB9">
        <w:rPr>
          <w:i/>
          <w:iCs/>
        </w:rPr>
        <w:t>Guajaló</w:t>
      </w:r>
      <w:proofErr w:type="spellEnd"/>
      <w:r w:rsidRPr="001F7EB9">
        <w:rPr>
          <w:i/>
          <w:iCs/>
        </w:rPr>
        <w:t xml:space="preserve">, cantón </w:t>
      </w:r>
      <w:proofErr w:type="gramStart"/>
      <w:r w:rsidRPr="001F7EB9">
        <w:rPr>
          <w:i/>
          <w:iCs/>
        </w:rPr>
        <w:t>Quito ”</w:t>
      </w:r>
      <w:proofErr w:type="gramEnd"/>
    </w:p>
    <w:p w14:paraId="44537AA3" w14:textId="77777777" w:rsidR="001F7EB9" w:rsidRPr="00091491" w:rsidRDefault="001F7EB9" w:rsidP="001F7EB9">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7A57BED" w14:textId="0F0ABC5A" w:rsidR="00A95F44" w:rsidRPr="00091491"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091491">
        <w:rPr>
          <w:rFonts w:ascii="Palatino Linotype" w:eastAsiaTheme="minorHAnsi" w:hAnsi="Palatino Linotype"/>
          <w:sz w:val="22"/>
          <w:szCs w:val="22"/>
          <w:lang w:val="es-EC" w:eastAsia="en-US"/>
        </w:rPr>
        <w:t xml:space="preserve">Que, </w:t>
      </w:r>
      <w:r w:rsidRPr="00091491">
        <w:rPr>
          <w:rFonts w:ascii="Palatino Linotype" w:eastAsiaTheme="minorHAnsi" w:hAnsi="Palatino Linotype"/>
          <w:sz w:val="22"/>
          <w:szCs w:val="22"/>
          <w:lang w:val="es-EC" w:eastAsia="en-US"/>
        </w:rPr>
        <w:tab/>
        <w:t>mediante oficio Nro</w:t>
      </w:r>
      <w:r>
        <w:rPr>
          <w:rFonts w:ascii="Palatino Linotype" w:eastAsiaTheme="minorHAnsi" w:hAnsi="Palatino Linotype"/>
          <w:sz w:val="22"/>
          <w:szCs w:val="22"/>
          <w:lang w:val="es-EC" w:eastAsia="en-US"/>
        </w:rPr>
        <w:t>.</w:t>
      </w:r>
      <w:r w:rsidRPr="00091491">
        <w:rPr>
          <w:rFonts w:ascii="Palatino Linotype" w:eastAsiaTheme="minorHAnsi" w:hAnsi="Palatino Linotype"/>
          <w:sz w:val="22"/>
          <w:szCs w:val="22"/>
          <w:lang w:val="es-EC" w:eastAsia="en-US"/>
        </w:rPr>
        <w:t xml:space="preserve"> </w:t>
      </w:r>
      <w:r w:rsidR="00AC419B">
        <w:t>GADDMQ-PM-SAUOS-2020-0183-O</w:t>
      </w:r>
      <w:r w:rsidRPr="00091491">
        <w:rPr>
          <w:rFonts w:ascii="Palatino Linotype" w:eastAsiaTheme="minorHAnsi" w:hAnsi="Palatino Linotype"/>
          <w:sz w:val="22"/>
          <w:szCs w:val="22"/>
          <w:lang w:val="es-EC" w:eastAsia="en-US"/>
        </w:rPr>
        <w:t xml:space="preserve">, de </w:t>
      </w:r>
      <w:r w:rsidR="00AC419B">
        <w:rPr>
          <w:rFonts w:ascii="Palatino Linotype" w:eastAsiaTheme="minorHAnsi" w:hAnsi="Palatino Linotype"/>
          <w:sz w:val="22"/>
          <w:szCs w:val="22"/>
          <w:lang w:val="es-EC" w:eastAsia="en-US"/>
        </w:rPr>
        <w:t>24</w:t>
      </w:r>
      <w:r w:rsidRPr="00091491">
        <w:rPr>
          <w:rFonts w:ascii="Palatino Linotype" w:eastAsiaTheme="minorHAnsi" w:hAnsi="Palatino Linotype"/>
          <w:sz w:val="22"/>
          <w:szCs w:val="22"/>
          <w:lang w:val="es-EC" w:eastAsia="en-US"/>
        </w:rPr>
        <w:t xml:space="preserve"> de </w:t>
      </w:r>
      <w:r w:rsidR="00AC419B">
        <w:rPr>
          <w:rFonts w:ascii="Palatino Linotype" w:eastAsiaTheme="minorHAnsi" w:hAnsi="Palatino Linotype"/>
          <w:sz w:val="22"/>
          <w:szCs w:val="22"/>
          <w:lang w:val="es-EC" w:eastAsia="en-US"/>
        </w:rPr>
        <w:t>junio</w:t>
      </w:r>
      <w:r w:rsidRPr="00091491">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2020</w:t>
      </w:r>
      <w:r w:rsidRPr="00091491">
        <w:rPr>
          <w:rFonts w:ascii="Palatino Linotype" w:eastAsiaTheme="minorHAnsi" w:hAnsi="Palatino Linotype"/>
          <w:sz w:val="22"/>
          <w:szCs w:val="22"/>
          <w:lang w:val="es-EC" w:eastAsia="en-US"/>
        </w:rPr>
        <w:t>, el Dr. Édison Yépez, Subprocurador Metropolitano emite el informe legal</w:t>
      </w:r>
      <w:r>
        <w:rPr>
          <w:rFonts w:ascii="Palatino Linotype" w:eastAsiaTheme="minorHAnsi" w:hAnsi="Palatino Linotype"/>
          <w:sz w:val="22"/>
          <w:szCs w:val="22"/>
          <w:lang w:val="es-EC" w:eastAsia="en-US"/>
        </w:rPr>
        <w:t xml:space="preserve">, en el cual </w:t>
      </w:r>
      <w:proofErr w:type="gramStart"/>
      <w:r>
        <w:rPr>
          <w:rFonts w:ascii="Palatino Linotype" w:eastAsiaTheme="minorHAnsi" w:hAnsi="Palatino Linotype"/>
          <w:sz w:val="22"/>
          <w:szCs w:val="22"/>
          <w:lang w:val="es-EC" w:eastAsia="en-US"/>
        </w:rPr>
        <w:t xml:space="preserve">señala </w:t>
      </w:r>
      <w:r w:rsidRPr="00091491">
        <w:rPr>
          <w:rFonts w:ascii="Palatino Linotype" w:eastAsiaTheme="minorHAnsi" w:hAnsi="Palatino Linotype"/>
          <w:sz w:val="22"/>
          <w:szCs w:val="22"/>
          <w:lang w:val="es-EC" w:eastAsia="en-US"/>
        </w:rPr>
        <w:t>:</w:t>
      </w:r>
      <w:proofErr w:type="gramEnd"/>
      <w:r w:rsidRPr="00091491">
        <w:rPr>
          <w:rFonts w:ascii="Palatino Linotype" w:eastAsiaTheme="minorHAnsi" w:hAnsi="Palatino Linotype"/>
          <w:sz w:val="22"/>
          <w:szCs w:val="22"/>
          <w:lang w:val="es-EC" w:eastAsia="en-US"/>
        </w:rPr>
        <w:t xml:space="preserve"> </w:t>
      </w:r>
      <w:r w:rsidR="00AC419B">
        <w:rPr>
          <w:rFonts w:ascii="Palatino Linotype" w:eastAsiaTheme="minorHAnsi" w:hAnsi="Palatino Linotype"/>
          <w:sz w:val="22"/>
          <w:szCs w:val="22"/>
          <w:lang w:val="es-EC" w:eastAsia="en-US"/>
        </w:rPr>
        <w:t>“</w:t>
      </w:r>
      <w:r w:rsidR="00AC419B" w:rsidRPr="00AC419B">
        <w:rPr>
          <w:i/>
          <w:iCs/>
        </w:rPr>
        <w:t xml:space="preserve">De la revisión del expediente, se establece que el presente trámite se refiere a los predios No. 169489 y No. 32339, ubicados en la parroquia La Argelia, con zonificación D3 (203-80). De acuerdo con los informes de la Administración Zonal Eloy Alfaro, se establece que el lote mínimo para subdivisión en el sector es de 200 m2, requerimiento que no se cumple en el presente caso, por cuanto el predio No. 169489 tiene una superficie de </w:t>
      </w:r>
      <w:proofErr w:type="gramStart"/>
      <w:r w:rsidR="00AC419B" w:rsidRPr="00AC419B">
        <w:rPr>
          <w:i/>
          <w:iCs/>
        </w:rPr>
        <w:t>359.00m2 ;</w:t>
      </w:r>
      <w:proofErr w:type="gramEnd"/>
      <w:r w:rsidR="00AC419B" w:rsidRPr="00AC419B">
        <w:rPr>
          <w:i/>
          <w:iCs/>
        </w:rPr>
        <w:t xml:space="preserve"> y, el predio No. 32339 tiene una superficie de 200.00m2 . En virtud de los informes técnico y legal de la Administración Zonal Eloy Alfaro; y, de la normativa, anteriormente expuestos; Procuraduría Metropolitana emite criterio legal desfavorable, para que el Concejo Metropolitano de Quito autorice la partición de los predios No. 169489 y No. 32339, ubicados en la parroquia La Argelia, en razón de que no puede cumplir con el requisito y presupuesto material previsto en el régimen jurídico aplicable, en lo referente a lote </w:t>
      </w:r>
      <w:r w:rsidR="00AC419B" w:rsidRPr="00AC419B">
        <w:rPr>
          <w:i/>
          <w:iCs/>
        </w:rPr>
        <w:lastRenderedPageBreak/>
        <w:t>mínimo, necesario para aprobar subdivisiones de bienes inmuebles en el Distrito Metropolitano de Quito. 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 De este particular, el Concejo Metropolitano de Quito, comunicará a las señoras María Elena Moreta Collaguazo, Mérida Susana Moreta Collaguazo y Gladys del Rocío Moreta Collaguaz</w:t>
      </w:r>
      <w:r w:rsidR="00AC419B">
        <w:rPr>
          <w:i/>
          <w:iCs/>
        </w:rPr>
        <w:t>o”</w:t>
      </w:r>
      <w:r w:rsidR="00AC419B" w:rsidRPr="00AC419B">
        <w:rPr>
          <w:i/>
          <w:iCs/>
        </w:rPr>
        <w:t>.</w:t>
      </w:r>
      <w:r w:rsidRPr="00AC419B">
        <w:rPr>
          <w:rFonts w:ascii="Palatino Linotype" w:eastAsiaTheme="minorHAnsi" w:hAnsi="Palatino Linotype"/>
          <w:i/>
          <w:iCs/>
          <w:sz w:val="22"/>
          <w:szCs w:val="22"/>
          <w:lang w:val="es-EC" w:eastAsia="en-US"/>
        </w:rPr>
        <w:t>;</w:t>
      </w:r>
    </w:p>
    <w:p w14:paraId="329015DB" w14:textId="77777777" w:rsidR="00A95F44" w:rsidRPr="00091491" w:rsidRDefault="00A95F44" w:rsidP="00A95F4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CA33578" w14:textId="0869DE83" w:rsidR="00A95F44" w:rsidRPr="00C565D4"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w:t>
      </w:r>
      <w:r w:rsidR="00AC419B">
        <w:rPr>
          <w:rFonts w:ascii="Palatino Linotype" w:eastAsiaTheme="minorHAnsi" w:hAnsi="Palatino Linotype"/>
          <w:sz w:val="22"/>
          <w:szCs w:val="22"/>
          <w:lang w:val="es-EC" w:eastAsia="en-US"/>
        </w:rPr>
        <w:t>50</w:t>
      </w:r>
      <w:r w:rsidRPr="00C565D4">
        <w:rPr>
          <w:rFonts w:ascii="Palatino Linotype" w:eastAsiaTheme="minorHAnsi" w:hAnsi="Palatino Linotype"/>
          <w:sz w:val="22"/>
          <w:szCs w:val="22"/>
          <w:lang w:val="es-EC" w:eastAsia="en-US"/>
        </w:rPr>
        <w:t xml:space="preserve">, de </w:t>
      </w:r>
      <w:r w:rsidR="00AC419B">
        <w:rPr>
          <w:rFonts w:ascii="Palatino Linotype" w:eastAsiaTheme="minorHAnsi" w:hAnsi="Palatino Linotype"/>
          <w:sz w:val="22"/>
          <w:szCs w:val="22"/>
          <w:lang w:val="es-EC" w:eastAsia="en-US"/>
        </w:rPr>
        <w:t>27</w:t>
      </w:r>
      <w:r w:rsidRPr="00C565D4">
        <w:rPr>
          <w:rFonts w:ascii="Palatino Linotype" w:eastAsiaTheme="minorHAnsi" w:hAnsi="Palatino Linotype"/>
          <w:sz w:val="22"/>
          <w:szCs w:val="22"/>
          <w:lang w:val="es-EC" w:eastAsia="en-US"/>
        </w:rPr>
        <w:t xml:space="preserve"> de </w:t>
      </w:r>
      <w:r w:rsidR="00AC419B">
        <w:rPr>
          <w:rFonts w:ascii="Palatino Linotype" w:eastAsiaTheme="minorHAnsi" w:hAnsi="Palatino Linotype"/>
          <w:sz w:val="22"/>
          <w:szCs w:val="22"/>
          <w:lang w:val="es-EC" w:eastAsia="en-US"/>
        </w:rPr>
        <w:t>julio</w:t>
      </w:r>
      <w:r w:rsidRPr="00C565D4">
        <w:rPr>
          <w:rFonts w:ascii="Palatino Linotype" w:eastAsiaTheme="minorHAnsi" w:hAnsi="Palatino Linotype"/>
          <w:sz w:val="22"/>
          <w:szCs w:val="22"/>
          <w:lang w:val="es-EC" w:eastAsia="en-US"/>
        </w:rPr>
        <w:t xml:space="preserve"> de 2020 analizó los informes técnicos y legales, </w:t>
      </w:r>
      <w:r>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sidR="00AC419B">
        <w:rPr>
          <w:rFonts w:ascii="Palatino Linotype" w:eastAsiaTheme="minorHAnsi" w:hAnsi="Palatino Linotype"/>
          <w:sz w:val="22"/>
          <w:szCs w:val="22"/>
          <w:lang w:val="es-EC" w:eastAsia="en-US"/>
        </w:rPr>
        <w:t>desfavorable para la partición de los predios Nro.169489 y 32339</w:t>
      </w:r>
      <w:r>
        <w:rPr>
          <w:rFonts w:ascii="Palatino Linotype" w:eastAsiaTheme="minorHAnsi" w:hAnsi="Palatino Linotype"/>
          <w:sz w:val="22"/>
          <w:szCs w:val="22"/>
          <w:lang w:val="es-EC" w:eastAsia="en-US"/>
        </w:rPr>
        <w:t>,</w:t>
      </w:r>
    </w:p>
    <w:p w14:paraId="7C471E4C" w14:textId="77777777" w:rsidR="00A95F44" w:rsidRPr="00091491" w:rsidRDefault="00A95F44" w:rsidP="00A95F4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62446B" w14:textId="7E0106AC"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r>
      <w:r w:rsidRPr="00AC419B">
        <w:rPr>
          <w:rFonts w:ascii="Palatino Linotype" w:eastAsiaTheme="minorHAnsi" w:hAnsi="Palatino Linotype"/>
          <w:sz w:val="22"/>
          <w:szCs w:val="22"/>
          <w:highlight w:val="yellow"/>
          <w:lang w:val="es-EC" w:eastAsia="en-US"/>
        </w:rPr>
        <w:t>el Concejo Metropolitano de Quito, en sesión pública ordinaria realizada el … de … de 2020, analizó el Informe Nro. IC-CUS-2020</w:t>
      </w:r>
      <w:r w:rsidR="00AC419B" w:rsidRPr="00AC419B">
        <w:rPr>
          <w:rFonts w:ascii="Palatino Linotype" w:eastAsiaTheme="minorHAnsi" w:hAnsi="Palatino Linotype"/>
          <w:sz w:val="22"/>
          <w:szCs w:val="22"/>
          <w:highlight w:val="yellow"/>
          <w:lang w:val="es-EC" w:eastAsia="en-US"/>
        </w:rPr>
        <w:t>-49</w:t>
      </w:r>
      <w:r w:rsidRPr="00AC419B">
        <w:rPr>
          <w:rFonts w:ascii="Palatino Linotype" w:eastAsiaTheme="minorHAnsi" w:hAnsi="Palatino Linotype"/>
          <w:sz w:val="22"/>
          <w:szCs w:val="22"/>
          <w:highlight w:val="yellow"/>
          <w:lang w:val="es-EC" w:eastAsia="en-US"/>
        </w:rPr>
        <w:t xml:space="preserve"> emitido por la Comisión de Uso de Suelo</w:t>
      </w:r>
      <w:r w:rsidRPr="00534C2D">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p>
    <w:p w14:paraId="07E78BA0" w14:textId="77777777" w:rsidR="00A95F44" w:rsidRPr="00220827" w:rsidRDefault="00A95F44" w:rsidP="00A95F44">
      <w:pPr>
        <w:autoSpaceDE w:val="0"/>
        <w:autoSpaceDN w:val="0"/>
        <w:adjustRightInd w:val="0"/>
        <w:jc w:val="both"/>
        <w:rPr>
          <w:rFonts w:ascii="Palatino Linotype" w:eastAsiaTheme="minorHAnsi" w:hAnsi="Palatino Linotype"/>
          <w:sz w:val="22"/>
          <w:szCs w:val="22"/>
          <w:lang w:val="es-EC" w:eastAsia="en-US"/>
        </w:rPr>
      </w:pPr>
    </w:p>
    <w:p w14:paraId="58E428EE" w14:textId="77777777" w:rsidR="00A95F44" w:rsidRPr="00220827" w:rsidRDefault="00A95F44" w:rsidP="00A95F44">
      <w:pPr>
        <w:autoSpaceDE w:val="0"/>
        <w:autoSpaceDN w:val="0"/>
        <w:adjustRightInd w:val="0"/>
        <w:jc w:val="both"/>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440307F4" w14:textId="77777777" w:rsidR="00A95F44" w:rsidRPr="00220827" w:rsidRDefault="00A95F44" w:rsidP="00A95F44">
      <w:pPr>
        <w:autoSpaceDE w:val="0"/>
        <w:autoSpaceDN w:val="0"/>
        <w:adjustRightInd w:val="0"/>
        <w:jc w:val="center"/>
        <w:rPr>
          <w:rFonts w:ascii="Palatino Linotype" w:eastAsiaTheme="minorHAnsi" w:hAnsi="Palatino Linotype"/>
          <w:b/>
          <w:bCs/>
          <w:sz w:val="22"/>
          <w:szCs w:val="22"/>
          <w:lang w:val="es-EC" w:eastAsia="en-US"/>
        </w:rPr>
      </w:pPr>
    </w:p>
    <w:p w14:paraId="4354FF25" w14:textId="77777777" w:rsidR="00A95F44" w:rsidRPr="00220827" w:rsidRDefault="00A95F44" w:rsidP="00A95F44">
      <w:pPr>
        <w:autoSpaceDE w:val="0"/>
        <w:autoSpaceDN w:val="0"/>
        <w:adjustRightInd w:val="0"/>
        <w:jc w:val="center"/>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RESUELVE</w:t>
      </w:r>
    </w:p>
    <w:p w14:paraId="2ECD10AC" w14:textId="77777777" w:rsidR="00A95F44" w:rsidRPr="00220827" w:rsidRDefault="00A95F44" w:rsidP="00A95F44">
      <w:pPr>
        <w:autoSpaceDE w:val="0"/>
        <w:autoSpaceDN w:val="0"/>
        <w:adjustRightInd w:val="0"/>
        <w:jc w:val="center"/>
        <w:rPr>
          <w:rFonts w:ascii="Palatino Linotype" w:hAnsi="Palatino Linotype"/>
          <w:sz w:val="22"/>
          <w:szCs w:val="22"/>
        </w:rPr>
      </w:pPr>
    </w:p>
    <w:p w14:paraId="0C057559" w14:textId="71DB9222" w:rsidR="00A95F44" w:rsidRPr="009A4727" w:rsidRDefault="00A95F44" w:rsidP="009A4727">
      <w:pPr>
        <w:autoSpaceDE w:val="0"/>
        <w:autoSpaceDN w:val="0"/>
        <w:adjustRightInd w:val="0"/>
        <w:jc w:val="both"/>
        <w:rPr>
          <w:rFonts w:ascii="Palatino Linotype" w:eastAsia="Calibri" w:hAnsi="Palatino Linotype"/>
          <w:sz w:val="22"/>
          <w:szCs w:val="22"/>
          <w:lang w:val="es-EC" w:eastAsia="en-US"/>
        </w:rPr>
      </w:pPr>
      <w:r w:rsidRPr="009A4727">
        <w:rPr>
          <w:rFonts w:ascii="Palatino Linotype" w:eastAsiaTheme="minorHAnsi" w:hAnsi="Palatino Linotype"/>
          <w:b/>
          <w:sz w:val="22"/>
          <w:szCs w:val="22"/>
          <w:lang w:val="es-EC" w:eastAsia="en-US"/>
        </w:rPr>
        <w:t>Artículo 1.-</w:t>
      </w:r>
      <w:r w:rsidRPr="009A4727">
        <w:rPr>
          <w:rFonts w:ascii="Palatino Linotype" w:eastAsiaTheme="minorHAnsi" w:hAnsi="Palatino Linotype"/>
          <w:sz w:val="22"/>
          <w:szCs w:val="22"/>
          <w:lang w:val="es-EC" w:eastAsia="en-US"/>
        </w:rPr>
        <w:t xml:space="preserve"> Acoger el informe Nro. IC-CUS-2020-</w:t>
      </w:r>
      <w:r w:rsidR="007E62AD">
        <w:rPr>
          <w:rFonts w:ascii="Palatino Linotype" w:eastAsiaTheme="minorHAnsi" w:hAnsi="Palatino Linotype"/>
          <w:sz w:val="22"/>
          <w:szCs w:val="22"/>
          <w:lang w:val="es-EC" w:eastAsia="en-US"/>
        </w:rPr>
        <w:t>49 de 27 de julio de 2020,</w:t>
      </w:r>
      <w:r w:rsidR="009A4727" w:rsidRPr="009A4727">
        <w:rPr>
          <w:rFonts w:ascii="Palatino Linotype" w:eastAsiaTheme="minorHAnsi" w:hAnsi="Palatino Linotype"/>
          <w:sz w:val="22"/>
          <w:szCs w:val="22"/>
          <w:lang w:val="es-EC" w:eastAsia="en-US"/>
        </w:rPr>
        <w:t xml:space="preserve"> </w:t>
      </w:r>
      <w:r w:rsidRPr="009A4727">
        <w:rPr>
          <w:rFonts w:ascii="Palatino Linotype" w:eastAsiaTheme="minorHAnsi" w:hAnsi="Palatino Linotype"/>
          <w:sz w:val="22"/>
          <w:szCs w:val="22"/>
          <w:lang w:val="es-EC" w:eastAsia="en-US"/>
        </w:rPr>
        <w:t xml:space="preserve">emitido por la Comisión de Uso de Suelo; y, por tanto, </w:t>
      </w:r>
      <w:r w:rsidR="009A4727" w:rsidRPr="009A4727">
        <w:rPr>
          <w:rFonts w:ascii="Palatino Linotype" w:eastAsiaTheme="minorHAnsi" w:hAnsi="Palatino Linotype"/>
          <w:sz w:val="22"/>
          <w:szCs w:val="22"/>
          <w:lang w:val="es-EC" w:eastAsia="en-US"/>
        </w:rPr>
        <w:t>no autorizar</w:t>
      </w:r>
      <w:r w:rsidRPr="009A4727">
        <w:rPr>
          <w:rFonts w:ascii="Palatino Linotype" w:eastAsiaTheme="minorHAnsi" w:hAnsi="Palatino Linotype"/>
          <w:sz w:val="22"/>
          <w:szCs w:val="22"/>
          <w:lang w:val="es-EC" w:eastAsia="en-US"/>
        </w:rPr>
        <w:t xml:space="preserve"> la partición de</w:t>
      </w:r>
      <w:r w:rsidR="009A4727" w:rsidRPr="009A4727">
        <w:rPr>
          <w:rFonts w:ascii="Palatino Linotype" w:eastAsiaTheme="minorHAnsi" w:hAnsi="Palatino Linotype"/>
          <w:sz w:val="22"/>
          <w:szCs w:val="22"/>
          <w:lang w:val="es-EC" w:eastAsia="en-US"/>
        </w:rPr>
        <w:t xml:space="preserve"> los </w:t>
      </w:r>
      <w:r w:rsidRPr="009A4727">
        <w:rPr>
          <w:rFonts w:ascii="Palatino Linotype" w:eastAsiaTheme="minorHAnsi" w:hAnsi="Palatino Linotype"/>
          <w:sz w:val="22"/>
          <w:szCs w:val="22"/>
          <w:lang w:val="es-EC" w:eastAsia="en-US"/>
        </w:rPr>
        <w:t>predio</w:t>
      </w:r>
      <w:r w:rsidR="009A4727" w:rsidRPr="009A4727">
        <w:rPr>
          <w:rFonts w:ascii="Palatino Linotype" w:eastAsiaTheme="minorHAnsi" w:hAnsi="Palatino Linotype"/>
          <w:sz w:val="22"/>
          <w:szCs w:val="22"/>
          <w:lang w:val="es-EC" w:eastAsia="en-US"/>
        </w:rPr>
        <w:t xml:space="preserve">s </w:t>
      </w:r>
      <w:r w:rsidRPr="009A4727">
        <w:rPr>
          <w:rFonts w:ascii="Palatino Linotype" w:eastAsiaTheme="minorHAnsi" w:hAnsi="Palatino Linotype"/>
          <w:sz w:val="22"/>
          <w:szCs w:val="22"/>
          <w:lang w:val="es-EC" w:eastAsia="en-US"/>
        </w:rPr>
        <w:t>Nro</w:t>
      </w:r>
      <w:r w:rsidR="009A4727" w:rsidRPr="009A4727">
        <w:rPr>
          <w:rFonts w:ascii="Palatino Linotype" w:eastAsiaTheme="minorHAnsi" w:hAnsi="Palatino Linotype"/>
          <w:sz w:val="22"/>
          <w:szCs w:val="22"/>
          <w:lang w:val="es-EC" w:eastAsia="en-US"/>
        </w:rPr>
        <w:t>.</w:t>
      </w:r>
      <w:r w:rsidR="009A4727" w:rsidRPr="009A4727">
        <w:t xml:space="preserve"> </w:t>
      </w:r>
      <w:r w:rsidR="009A4727" w:rsidRPr="009A4727">
        <w:t xml:space="preserve">169489 y. 32339, </w:t>
      </w:r>
      <w:r w:rsidR="007E62AD">
        <w:t xml:space="preserve">clave catastral anterior </w:t>
      </w:r>
      <w:r w:rsidR="007E62AD" w:rsidRPr="007E62AD">
        <w:t>31806 04 013 000 000 000</w:t>
      </w:r>
      <w:r w:rsidR="007E62AD">
        <w:t xml:space="preserve"> y </w:t>
      </w:r>
      <w:r w:rsidR="007E62AD" w:rsidRPr="007E62AD">
        <w:t>31806 05 013 000 000 000</w:t>
      </w:r>
      <w:r w:rsidR="007E62AD">
        <w:t xml:space="preserve">, </w:t>
      </w:r>
      <w:r w:rsidR="009A4727" w:rsidRPr="009A4727">
        <w:t>ubicados en la parroquia La Argelia</w:t>
      </w:r>
      <w:r w:rsidRPr="009A4727">
        <w:rPr>
          <w:rFonts w:ascii="Palatino Linotype" w:hAnsi="Palatino Linotype"/>
          <w:sz w:val="22"/>
          <w:szCs w:val="22"/>
        </w:rPr>
        <w:t xml:space="preserve"> </w:t>
      </w:r>
      <w:r w:rsidRPr="009A4727">
        <w:rPr>
          <w:rFonts w:ascii="Palatino Linotype" w:eastAsia="Calibri" w:hAnsi="Palatino Linotype"/>
          <w:sz w:val="22"/>
          <w:szCs w:val="22"/>
          <w:lang w:val="es-EC" w:eastAsia="en-US"/>
        </w:rPr>
        <w:t xml:space="preserve">de este cantón, </w:t>
      </w:r>
      <w:r w:rsidRPr="009A4727">
        <w:rPr>
          <w:rFonts w:ascii="Palatino Linotype" w:hAnsi="Palatino Linotype"/>
          <w:sz w:val="22"/>
          <w:szCs w:val="22"/>
        </w:rPr>
        <w:t xml:space="preserve">solicitada por </w:t>
      </w:r>
      <w:r w:rsidR="009A4727" w:rsidRPr="009A4727">
        <w:t>María Elena Moreta Collaguazo, Mérida Susana Moreta Collaguazo y Gladys del Rocío Moreta Collaguazo</w:t>
      </w:r>
      <w:r w:rsidRPr="009A4727">
        <w:rPr>
          <w:rFonts w:ascii="Palatino Linotype" w:hAnsi="Palatino Linotype"/>
          <w:sz w:val="22"/>
          <w:szCs w:val="22"/>
        </w:rPr>
        <w:t xml:space="preserve">, </w:t>
      </w:r>
      <w:r w:rsidRPr="009A4727">
        <w:rPr>
          <w:rFonts w:ascii="Palatino Linotype" w:eastAsia="Calibri" w:hAnsi="Palatino Linotype"/>
          <w:sz w:val="22"/>
          <w:szCs w:val="22"/>
          <w:lang w:val="es-EC" w:eastAsia="en-US"/>
        </w:rPr>
        <w:t xml:space="preserve">debido a que </w:t>
      </w:r>
      <w:r w:rsidR="009A4727" w:rsidRPr="009A4727">
        <w:rPr>
          <w:rFonts w:ascii="Palatino Linotype" w:eastAsia="Calibri" w:hAnsi="Palatino Linotype"/>
          <w:sz w:val="22"/>
          <w:szCs w:val="22"/>
          <w:lang w:val="es-EC" w:eastAsia="en-US"/>
        </w:rPr>
        <w:t>los predios</w:t>
      </w:r>
      <w:r w:rsidRPr="009A4727">
        <w:rPr>
          <w:rFonts w:ascii="Palatino Linotype" w:eastAsia="Calibri" w:hAnsi="Palatino Linotype"/>
          <w:sz w:val="22"/>
          <w:szCs w:val="22"/>
          <w:lang w:val="es-EC" w:eastAsia="en-US"/>
        </w:rPr>
        <w:t xml:space="preserve"> materia de la </w:t>
      </w:r>
      <w:r w:rsidR="009A4727" w:rsidRPr="009A4727">
        <w:rPr>
          <w:rFonts w:ascii="Palatino Linotype" w:eastAsia="Calibri" w:hAnsi="Palatino Linotype"/>
          <w:sz w:val="22"/>
          <w:szCs w:val="22"/>
          <w:lang w:val="es-EC" w:eastAsia="en-US"/>
        </w:rPr>
        <w:t xml:space="preserve">presente partición </w:t>
      </w:r>
      <w:r w:rsidR="009A4727" w:rsidRPr="009A4727">
        <w:rPr>
          <w:rFonts w:ascii="Palatino Linotype" w:eastAsia="Calibri" w:hAnsi="Palatino Linotype"/>
          <w:sz w:val="22"/>
          <w:szCs w:val="22"/>
          <w:lang w:val="es-EC" w:eastAsia="en-US"/>
        </w:rPr>
        <w:t>no puede cumplir con el requisito y</w:t>
      </w:r>
      <w:r w:rsidR="009A4727" w:rsidRPr="009A4727">
        <w:rPr>
          <w:rFonts w:ascii="Palatino Linotype" w:eastAsia="Calibri" w:hAnsi="Palatino Linotype"/>
          <w:sz w:val="22"/>
          <w:szCs w:val="22"/>
          <w:lang w:val="es-EC" w:eastAsia="en-US"/>
        </w:rPr>
        <w:t xml:space="preserve"> </w:t>
      </w:r>
      <w:r w:rsidR="009A4727" w:rsidRPr="009A4727">
        <w:rPr>
          <w:rFonts w:ascii="Palatino Linotype" w:eastAsia="Calibri" w:hAnsi="Palatino Linotype"/>
          <w:sz w:val="22"/>
          <w:szCs w:val="22"/>
          <w:lang w:val="es-EC" w:eastAsia="en-US"/>
        </w:rPr>
        <w:t>presupuesto material previsto en el régimen jurídico aplicable, en lo referente a lote</w:t>
      </w:r>
      <w:r w:rsidR="009A4727" w:rsidRPr="009A4727">
        <w:rPr>
          <w:rFonts w:ascii="Palatino Linotype" w:eastAsia="Calibri" w:hAnsi="Palatino Linotype"/>
          <w:sz w:val="22"/>
          <w:szCs w:val="22"/>
          <w:lang w:val="es-EC" w:eastAsia="en-US"/>
        </w:rPr>
        <w:t xml:space="preserve"> </w:t>
      </w:r>
      <w:r w:rsidR="009A4727" w:rsidRPr="009A4727">
        <w:rPr>
          <w:rFonts w:ascii="Palatino Linotype" w:eastAsia="Calibri" w:hAnsi="Palatino Linotype"/>
          <w:sz w:val="22"/>
          <w:szCs w:val="22"/>
          <w:lang w:val="es-EC" w:eastAsia="en-US"/>
        </w:rPr>
        <w:t>mínimo, necesario para aprobar subdivisiones de bienes inmuebles en el Distrito</w:t>
      </w:r>
      <w:r w:rsidR="009A4727" w:rsidRPr="009A4727">
        <w:rPr>
          <w:rFonts w:ascii="Palatino Linotype" w:eastAsia="Calibri" w:hAnsi="Palatino Linotype"/>
          <w:sz w:val="22"/>
          <w:szCs w:val="22"/>
          <w:lang w:val="es-EC" w:eastAsia="en-US"/>
        </w:rPr>
        <w:t xml:space="preserve"> </w:t>
      </w:r>
      <w:r w:rsidR="009A4727" w:rsidRPr="009A4727">
        <w:rPr>
          <w:rFonts w:ascii="Palatino Linotype" w:eastAsia="Calibri" w:hAnsi="Palatino Linotype"/>
          <w:sz w:val="22"/>
          <w:szCs w:val="22"/>
          <w:lang w:val="es-EC" w:eastAsia="en-US"/>
        </w:rPr>
        <w:t>Metropolitano de Quito.</w:t>
      </w:r>
    </w:p>
    <w:p w14:paraId="48738929" w14:textId="77777777" w:rsidR="00A95F44" w:rsidRPr="00220827" w:rsidRDefault="00A95F44" w:rsidP="00A95F44">
      <w:pPr>
        <w:autoSpaceDE w:val="0"/>
        <w:autoSpaceDN w:val="0"/>
        <w:adjustRightInd w:val="0"/>
        <w:jc w:val="both"/>
        <w:rPr>
          <w:rFonts w:ascii="Palatino Linotype" w:eastAsiaTheme="minorHAnsi" w:hAnsi="Palatino Linotype"/>
          <w:b/>
          <w:sz w:val="22"/>
          <w:szCs w:val="22"/>
          <w:lang w:val="es-EC" w:eastAsia="en-US"/>
        </w:rPr>
      </w:pPr>
    </w:p>
    <w:p w14:paraId="1361BBB8" w14:textId="167695C6" w:rsidR="00A95F44" w:rsidRPr="00220827" w:rsidRDefault="00A95F44" w:rsidP="00A95F44">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Artículo 2.-</w:t>
      </w:r>
      <w:r w:rsidRPr="00220827">
        <w:rPr>
          <w:rFonts w:ascii="Palatino Linotype" w:eastAsiaTheme="minorHAnsi" w:hAnsi="Palatino Linotype"/>
          <w:sz w:val="22"/>
          <w:szCs w:val="22"/>
          <w:lang w:val="es-EC" w:eastAsia="en-US"/>
        </w:rPr>
        <w:t xml:space="preserve"> </w:t>
      </w:r>
      <w:r w:rsidRPr="009A4727">
        <w:rPr>
          <w:rFonts w:ascii="Palatino Linotype" w:eastAsiaTheme="minorHAnsi" w:hAnsi="Palatino Linotype"/>
          <w:sz w:val="22"/>
          <w:szCs w:val="22"/>
          <w:lang w:val="es-EC" w:eastAsia="en-US"/>
        </w:rPr>
        <w:t xml:space="preserve">Comuníquese al interesado, a la Administración </w:t>
      </w:r>
      <w:r w:rsidR="009A4727" w:rsidRPr="009A4727">
        <w:rPr>
          <w:rFonts w:ascii="Palatino Linotype" w:eastAsiaTheme="minorHAnsi" w:hAnsi="Palatino Linotype"/>
          <w:sz w:val="22"/>
          <w:szCs w:val="22"/>
          <w:lang w:val="es-EC" w:eastAsia="en-US"/>
        </w:rPr>
        <w:t>Eloy Alfaro</w:t>
      </w:r>
      <w:r w:rsidRPr="009A4727">
        <w:rPr>
          <w:rFonts w:ascii="Palatino Linotype" w:eastAsiaTheme="minorHAnsi" w:hAnsi="Palatino Linotype"/>
          <w:sz w:val="22"/>
          <w:szCs w:val="22"/>
          <w:lang w:val="es-EC" w:eastAsia="en-US"/>
        </w:rPr>
        <w:t>, y, a la Secretaría de Territorio, Hábitat y Vivienda, a fin de que se continúe con los trámites de ley.</w:t>
      </w:r>
      <w:r w:rsidRPr="00220827">
        <w:rPr>
          <w:rFonts w:ascii="Palatino Linotype" w:eastAsiaTheme="minorHAnsi" w:hAnsi="Palatino Linotype"/>
          <w:sz w:val="22"/>
          <w:szCs w:val="22"/>
          <w:lang w:val="es-EC" w:eastAsia="en-US"/>
        </w:rPr>
        <w:t xml:space="preserve"> </w:t>
      </w:r>
    </w:p>
    <w:p w14:paraId="276B42CF" w14:textId="77777777" w:rsidR="00A95F44" w:rsidRPr="00220827" w:rsidRDefault="00A95F44" w:rsidP="00A95F44">
      <w:pPr>
        <w:autoSpaceDE w:val="0"/>
        <w:autoSpaceDN w:val="0"/>
        <w:adjustRightInd w:val="0"/>
        <w:jc w:val="both"/>
        <w:rPr>
          <w:rFonts w:ascii="Palatino Linotype" w:eastAsiaTheme="minorHAnsi" w:hAnsi="Palatino Linotype"/>
          <w:sz w:val="22"/>
          <w:szCs w:val="22"/>
          <w:lang w:val="es-EC" w:eastAsia="en-US"/>
        </w:rPr>
      </w:pPr>
    </w:p>
    <w:p w14:paraId="58EEC52E" w14:textId="77777777" w:rsidR="00A95F44" w:rsidRPr="00006FF2" w:rsidRDefault="00A95F44" w:rsidP="00A95F44">
      <w:pPr>
        <w:autoSpaceDE w:val="0"/>
        <w:autoSpaceDN w:val="0"/>
        <w:adjustRightInd w:val="0"/>
        <w:jc w:val="both"/>
        <w:rPr>
          <w:rFonts w:ascii="Palatino Linotype" w:eastAsiaTheme="minorHAnsi" w:hAnsi="Palatino Linotype"/>
          <w:bCs/>
          <w:sz w:val="22"/>
          <w:szCs w:val="22"/>
          <w:lang w:val="es-EC" w:eastAsia="en-US"/>
        </w:rPr>
      </w:pPr>
      <w:bookmarkStart w:id="2" w:name="_Hlk40866429"/>
      <w:r>
        <w:rPr>
          <w:rFonts w:ascii="Palatino Linotype" w:eastAsiaTheme="minorHAnsi" w:hAnsi="Palatino Linotype"/>
          <w:b/>
          <w:sz w:val="22"/>
          <w:szCs w:val="22"/>
          <w:lang w:val="es-EC" w:eastAsia="en-US"/>
        </w:rPr>
        <w:t xml:space="preserve">Disposición General Única. - </w:t>
      </w:r>
      <w:r w:rsidRPr="00006FF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14:paraId="5B0F6893" w14:textId="77777777" w:rsidR="00A95F44" w:rsidRPr="00006FF2" w:rsidRDefault="00A95F44" w:rsidP="00A95F44">
      <w:pPr>
        <w:autoSpaceDE w:val="0"/>
        <w:autoSpaceDN w:val="0"/>
        <w:adjustRightInd w:val="0"/>
        <w:jc w:val="both"/>
        <w:rPr>
          <w:rFonts w:ascii="Palatino Linotype" w:eastAsiaTheme="minorHAnsi" w:hAnsi="Palatino Linotype"/>
          <w:bCs/>
          <w:sz w:val="22"/>
          <w:szCs w:val="22"/>
          <w:lang w:val="es-EC" w:eastAsia="en-US"/>
        </w:rPr>
      </w:pPr>
    </w:p>
    <w:p w14:paraId="792BBAB2" w14:textId="77777777" w:rsidR="00A95F44" w:rsidRPr="00220827" w:rsidRDefault="00A95F44" w:rsidP="00A95F44">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lastRenderedPageBreak/>
        <w:t>Disposición Final. -</w:t>
      </w:r>
      <w:r w:rsidRPr="00220827">
        <w:rPr>
          <w:rFonts w:ascii="Palatino Linotype" w:eastAsiaTheme="minorHAnsi" w:hAnsi="Palatino Linotype"/>
          <w:sz w:val="22"/>
          <w:szCs w:val="22"/>
          <w:lang w:val="es-EC" w:eastAsia="en-US"/>
        </w:rPr>
        <w:t xml:space="preserve"> La presente resolución </w:t>
      </w:r>
      <w:proofErr w:type="gramStart"/>
      <w:r w:rsidRPr="00220827">
        <w:rPr>
          <w:rFonts w:ascii="Palatino Linotype" w:eastAsiaTheme="minorHAnsi" w:hAnsi="Palatino Linotype"/>
          <w:sz w:val="22"/>
          <w:szCs w:val="22"/>
          <w:lang w:val="es-EC" w:eastAsia="en-US"/>
        </w:rPr>
        <w:t>entrará en vigencia</w:t>
      </w:r>
      <w:proofErr w:type="gramEnd"/>
      <w:r w:rsidRPr="00220827">
        <w:rPr>
          <w:rFonts w:ascii="Palatino Linotype" w:eastAsiaTheme="minorHAnsi" w:hAnsi="Palatino Linotype"/>
          <w:sz w:val="22"/>
          <w:szCs w:val="22"/>
          <w:lang w:val="es-EC" w:eastAsia="en-US"/>
        </w:rPr>
        <w:t xml:space="preserve"> a partir de su suscripción sin perjuicio de su publicación.</w:t>
      </w:r>
      <w:r>
        <w:rPr>
          <w:rFonts w:ascii="Arial" w:hAnsi="Arial" w:cs="Arial"/>
          <w:sz w:val="21"/>
          <w:szCs w:val="21"/>
          <w:shd w:val="clear" w:color="auto" w:fill="FFFFFF"/>
        </w:rPr>
        <w:t xml:space="preserve">, </w:t>
      </w:r>
    </w:p>
    <w:p w14:paraId="1DA64311" w14:textId="77777777" w:rsidR="00A95F44" w:rsidRPr="00220827" w:rsidRDefault="00A95F44" w:rsidP="00A95F44">
      <w:pPr>
        <w:autoSpaceDE w:val="0"/>
        <w:autoSpaceDN w:val="0"/>
        <w:adjustRightInd w:val="0"/>
        <w:jc w:val="both"/>
        <w:rPr>
          <w:rFonts w:ascii="Palatino Linotype" w:eastAsiaTheme="minorHAnsi" w:hAnsi="Palatino Linotype"/>
          <w:sz w:val="22"/>
          <w:szCs w:val="22"/>
          <w:lang w:val="es-EC" w:eastAsia="en-US"/>
        </w:rPr>
      </w:pPr>
    </w:p>
    <w:p w14:paraId="0E679528" w14:textId="77777777" w:rsidR="00A95F44" w:rsidRPr="00220827" w:rsidRDefault="00A95F44" w:rsidP="00A95F44">
      <w:pPr>
        <w:jc w:val="both"/>
        <w:rPr>
          <w:rFonts w:ascii="Palatino Linotype" w:hAnsi="Palatino Linotype"/>
          <w:sz w:val="22"/>
          <w:szCs w:val="22"/>
        </w:rPr>
      </w:pPr>
      <w:r w:rsidRPr="00220827">
        <w:rPr>
          <w:rFonts w:ascii="Palatino Linotype" w:hAnsi="Palatino Linotype"/>
          <w:b/>
          <w:sz w:val="22"/>
          <w:szCs w:val="22"/>
        </w:rPr>
        <w:t xml:space="preserve">Alcaldía del Distrito Metropolitano. - </w:t>
      </w:r>
      <w:r w:rsidRPr="00220827">
        <w:rPr>
          <w:rFonts w:ascii="Palatino Linotype" w:hAnsi="Palatino Linotype"/>
          <w:sz w:val="22"/>
          <w:szCs w:val="22"/>
        </w:rPr>
        <w:t xml:space="preserve">Distrito Metropolitano de Quito, fecha. </w:t>
      </w:r>
    </w:p>
    <w:p w14:paraId="36D1D8ED" w14:textId="77777777" w:rsidR="00A95F44" w:rsidRPr="00220827" w:rsidRDefault="00A95F44" w:rsidP="00A95F44">
      <w:pPr>
        <w:jc w:val="both"/>
        <w:rPr>
          <w:rFonts w:ascii="Palatino Linotype" w:hAnsi="Palatino Linotype"/>
          <w:sz w:val="22"/>
          <w:szCs w:val="22"/>
        </w:rPr>
      </w:pPr>
    </w:p>
    <w:p w14:paraId="2B7BDB2F" w14:textId="77777777" w:rsidR="00A95F44" w:rsidRPr="00220827" w:rsidRDefault="00A95F44" w:rsidP="00A95F44">
      <w:pPr>
        <w:jc w:val="center"/>
        <w:rPr>
          <w:rFonts w:ascii="Palatino Linotype" w:hAnsi="Palatino Linotype"/>
          <w:b/>
          <w:sz w:val="22"/>
          <w:szCs w:val="22"/>
        </w:rPr>
      </w:pPr>
      <w:r w:rsidRPr="00220827">
        <w:rPr>
          <w:rFonts w:ascii="Palatino Linotype" w:hAnsi="Palatino Linotype"/>
          <w:b/>
          <w:sz w:val="22"/>
          <w:szCs w:val="22"/>
        </w:rPr>
        <w:t>EJECÚTESE:</w:t>
      </w:r>
    </w:p>
    <w:p w14:paraId="499460CE" w14:textId="77777777" w:rsidR="00A95F44" w:rsidRPr="00220827" w:rsidRDefault="00A95F44" w:rsidP="00A95F44">
      <w:pPr>
        <w:pStyle w:val="Sinespaciado"/>
        <w:jc w:val="center"/>
        <w:rPr>
          <w:rFonts w:ascii="Palatino Linotype" w:hAnsi="Palatino Linotype"/>
          <w:sz w:val="22"/>
          <w:szCs w:val="22"/>
        </w:rPr>
      </w:pPr>
    </w:p>
    <w:p w14:paraId="5C52AAA8" w14:textId="77777777" w:rsidR="00A95F44" w:rsidRPr="00220827" w:rsidRDefault="00A95F44" w:rsidP="00A95F44">
      <w:pPr>
        <w:pStyle w:val="Sinespaciado"/>
        <w:jc w:val="center"/>
        <w:rPr>
          <w:rFonts w:ascii="Palatino Linotype" w:hAnsi="Palatino Linotype"/>
          <w:sz w:val="22"/>
          <w:szCs w:val="22"/>
        </w:rPr>
      </w:pPr>
    </w:p>
    <w:p w14:paraId="6A69D77B" w14:textId="77777777" w:rsidR="00A95F44" w:rsidRPr="00220827" w:rsidRDefault="00A95F44" w:rsidP="00A95F44">
      <w:pPr>
        <w:pStyle w:val="Sinespaciado"/>
        <w:jc w:val="center"/>
        <w:rPr>
          <w:rFonts w:ascii="Palatino Linotype" w:hAnsi="Palatino Linotype"/>
          <w:sz w:val="22"/>
          <w:szCs w:val="22"/>
        </w:rPr>
      </w:pPr>
    </w:p>
    <w:p w14:paraId="797C6B76" w14:textId="77777777" w:rsidR="00A95F44" w:rsidRPr="00220827" w:rsidRDefault="00A95F44" w:rsidP="00A95F44">
      <w:pPr>
        <w:pStyle w:val="Sinespaciado"/>
        <w:jc w:val="center"/>
        <w:rPr>
          <w:rFonts w:ascii="Palatino Linotype" w:hAnsi="Palatino Linotype"/>
          <w:sz w:val="22"/>
          <w:szCs w:val="22"/>
        </w:rPr>
      </w:pPr>
      <w:r w:rsidRPr="00220827">
        <w:rPr>
          <w:rFonts w:ascii="Palatino Linotype" w:hAnsi="Palatino Linotype"/>
          <w:sz w:val="22"/>
          <w:szCs w:val="22"/>
        </w:rPr>
        <w:t>Dr. Jorge Yunda Machado</w:t>
      </w:r>
    </w:p>
    <w:p w14:paraId="35338FA5" w14:textId="77777777" w:rsidR="00A95F44" w:rsidRPr="00220827" w:rsidRDefault="00A95F44" w:rsidP="00A95F44">
      <w:pPr>
        <w:pStyle w:val="Sinespaciado"/>
        <w:jc w:val="center"/>
        <w:rPr>
          <w:rFonts w:ascii="Palatino Linotype" w:hAnsi="Palatino Linotype"/>
          <w:b/>
          <w:sz w:val="22"/>
          <w:szCs w:val="22"/>
        </w:rPr>
      </w:pPr>
      <w:r w:rsidRPr="00220827">
        <w:rPr>
          <w:rFonts w:ascii="Palatino Linotype" w:hAnsi="Palatino Linotype"/>
          <w:b/>
          <w:sz w:val="22"/>
          <w:szCs w:val="22"/>
        </w:rPr>
        <w:t>ALCALDE DEL DISTRITO METROPOLITANO DE QUITO</w:t>
      </w:r>
    </w:p>
    <w:p w14:paraId="161A777F" w14:textId="77777777" w:rsidR="00A95F44" w:rsidRPr="00220827" w:rsidRDefault="00A95F44" w:rsidP="00A95F44">
      <w:pPr>
        <w:jc w:val="both"/>
        <w:rPr>
          <w:rFonts w:ascii="Palatino Linotype" w:hAnsi="Palatino Linotype"/>
          <w:b/>
          <w:sz w:val="22"/>
          <w:szCs w:val="22"/>
        </w:rPr>
      </w:pPr>
    </w:p>
    <w:p w14:paraId="106712B7" w14:textId="77777777" w:rsidR="00A95F44" w:rsidRPr="00220827" w:rsidRDefault="00A95F44" w:rsidP="00A95F44">
      <w:pPr>
        <w:jc w:val="both"/>
        <w:rPr>
          <w:rFonts w:ascii="Palatino Linotype" w:hAnsi="Palatino Linotype"/>
          <w:sz w:val="22"/>
          <w:szCs w:val="22"/>
        </w:rPr>
      </w:pPr>
      <w:r w:rsidRPr="00220827">
        <w:rPr>
          <w:rFonts w:ascii="Palatino Linotype" w:hAnsi="Palatino Linotype"/>
          <w:b/>
          <w:sz w:val="22"/>
          <w:szCs w:val="22"/>
        </w:rPr>
        <w:t>CERTIFICO,</w:t>
      </w:r>
      <w:r w:rsidRPr="00220827">
        <w:rPr>
          <w:rFonts w:ascii="Palatino Linotype" w:hAnsi="Palatino Linotype"/>
          <w:sz w:val="22"/>
          <w:szCs w:val="22"/>
        </w:rPr>
        <w:t xml:space="preserve"> que la presente resolución fue discutida y aprobada en sesión pública ordinaria del Concejo Metropolitano de Quito, el …; y, suscrita por el Dr. Jorge Yunda Machado, </w:t>
      </w:r>
      <w:proofErr w:type="gramStart"/>
      <w:r w:rsidRPr="00220827">
        <w:rPr>
          <w:rFonts w:ascii="Palatino Linotype" w:hAnsi="Palatino Linotype"/>
          <w:sz w:val="22"/>
          <w:szCs w:val="22"/>
        </w:rPr>
        <w:t>Alcalde</w:t>
      </w:r>
      <w:proofErr w:type="gramEnd"/>
      <w:r w:rsidRPr="00220827">
        <w:rPr>
          <w:rFonts w:ascii="Palatino Linotype" w:hAnsi="Palatino Linotype"/>
          <w:sz w:val="22"/>
          <w:szCs w:val="22"/>
        </w:rPr>
        <w:t xml:space="preserve"> del Distrito Metropolitano de Quito, ….</w:t>
      </w:r>
    </w:p>
    <w:p w14:paraId="5D45A635" w14:textId="77777777" w:rsidR="00A95F44" w:rsidRPr="00220827" w:rsidRDefault="00A95F44" w:rsidP="00A95F44">
      <w:pPr>
        <w:jc w:val="both"/>
        <w:rPr>
          <w:rFonts w:ascii="Palatino Linotype" w:hAnsi="Palatino Linotype"/>
          <w:b/>
          <w:sz w:val="22"/>
          <w:szCs w:val="22"/>
        </w:rPr>
      </w:pPr>
    </w:p>
    <w:p w14:paraId="54063424" w14:textId="77777777" w:rsidR="00A95F44" w:rsidRPr="00220827" w:rsidRDefault="00A95F44" w:rsidP="00A95F44">
      <w:pPr>
        <w:jc w:val="both"/>
        <w:rPr>
          <w:rFonts w:ascii="Palatino Linotype" w:hAnsi="Palatino Linotype"/>
          <w:sz w:val="22"/>
          <w:szCs w:val="22"/>
        </w:rPr>
      </w:pPr>
      <w:r w:rsidRPr="00220827">
        <w:rPr>
          <w:rFonts w:ascii="Palatino Linotype" w:hAnsi="Palatino Linotype"/>
          <w:b/>
          <w:sz w:val="22"/>
          <w:szCs w:val="22"/>
        </w:rPr>
        <w:t xml:space="preserve">Lo </w:t>
      </w:r>
      <w:proofErr w:type="gramStart"/>
      <w:r w:rsidRPr="00220827">
        <w:rPr>
          <w:rFonts w:ascii="Palatino Linotype" w:hAnsi="Palatino Linotype"/>
          <w:b/>
          <w:sz w:val="22"/>
          <w:szCs w:val="22"/>
        </w:rPr>
        <w:t>certifico.-</w:t>
      </w:r>
      <w:proofErr w:type="gramEnd"/>
      <w:r w:rsidRPr="00220827">
        <w:rPr>
          <w:rFonts w:ascii="Palatino Linotype" w:hAnsi="Palatino Linotype"/>
          <w:b/>
          <w:sz w:val="22"/>
          <w:szCs w:val="22"/>
        </w:rPr>
        <w:t xml:space="preserve"> </w:t>
      </w:r>
      <w:r w:rsidRPr="00220827">
        <w:rPr>
          <w:rFonts w:ascii="Palatino Linotype" w:hAnsi="Palatino Linotype"/>
          <w:sz w:val="22"/>
          <w:szCs w:val="22"/>
        </w:rPr>
        <w:t>Distrito Metropolitano de Quito, …..</w:t>
      </w:r>
    </w:p>
    <w:p w14:paraId="0D0B30B5" w14:textId="77777777" w:rsidR="00A95F44" w:rsidRPr="00220827" w:rsidRDefault="00A95F44" w:rsidP="00A95F44">
      <w:pPr>
        <w:rPr>
          <w:rFonts w:ascii="Palatino Linotype" w:hAnsi="Palatino Linotype"/>
          <w:sz w:val="22"/>
          <w:szCs w:val="22"/>
        </w:rPr>
      </w:pPr>
    </w:p>
    <w:p w14:paraId="01584B40" w14:textId="77777777" w:rsidR="00A95F44" w:rsidRPr="00220827" w:rsidRDefault="00A95F44" w:rsidP="00A95F44">
      <w:pPr>
        <w:jc w:val="both"/>
        <w:rPr>
          <w:rFonts w:ascii="Palatino Linotype" w:hAnsi="Palatino Linotype"/>
          <w:sz w:val="22"/>
          <w:szCs w:val="22"/>
        </w:rPr>
      </w:pPr>
    </w:p>
    <w:p w14:paraId="334B9245" w14:textId="77777777" w:rsidR="00A95F44" w:rsidRPr="00220827" w:rsidRDefault="00A95F44" w:rsidP="00A95F44">
      <w:pPr>
        <w:jc w:val="both"/>
        <w:rPr>
          <w:rFonts w:ascii="Palatino Linotype" w:hAnsi="Palatino Linotype"/>
          <w:sz w:val="22"/>
          <w:szCs w:val="22"/>
        </w:rPr>
      </w:pPr>
    </w:p>
    <w:p w14:paraId="7537277F" w14:textId="77777777" w:rsidR="00A95F44" w:rsidRPr="00220827" w:rsidRDefault="00A95F44" w:rsidP="00A95F44">
      <w:pPr>
        <w:jc w:val="both"/>
        <w:rPr>
          <w:rFonts w:ascii="Palatino Linotype" w:hAnsi="Palatino Linotype"/>
          <w:sz w:val="22"/>
          <w:szCs w:val="22"/>
        </w:rPr>
      </w:pPr>
    </w:p>
    <w:p w14:paraId="5FF334F3" w14:textId="77777777" w:rsidR="00A95F44" w:rsidRPr="00220827" w:rsidRDefault="00A95F44" w:rsidP="00A95F44">
      <w:pPr>
        <w:pStyle w:val="Sinespaciado"/>
        <w:jc w:val="center"/>
        <w:rPr>
          <w:rFonts w:ascii="Palatino Linotype" w:hAnsi="Palatino Linotype"/>
          <w:sz w:val="22"/>
          <w:szCs w:val="22"/>
        </w:rPr>
      </w:pPr>
      <w:r w:rsidRPr="00220827">
        <w:rPr>
          <w:rFonts w:ascii="Palatino Linotype" w:hAnsi="Palatino Linotype"/>
          <w:sz w:val="22"/>
          <w:szCs w:val="22"/>
        </w:rPr>
        <w:t xml:space="preserve">Abg. Damaris Ortiz </w:t>
      </w:r>
      <w:proofErr w:type="spellStart"/>
      <w:r w:rsidRPr="00220827">
        <w:rPr>
          <w:rFonts w:ascii="Palatino Linotype" w:hAnsi="Palatino Linotype"/>
          <w:sz w:val="22"/>
          <w:szCs w:val="22"/>
        </w:rPr>
        <w:t>Pasuy</w:t>
      </w:r>
      <w:proofErr w:type="spellEnd"/>
    </w:p>
    <w:p w14:paraId="10432F9D" w14:textId="77777777" w:rsidR="00A95F44" w:rsidRPr="00220827" w:rsidRDefault="00A95F44" w:rsidP="00A95F44">
      <w:pPr>
        <w:pStyle w:val="Sinespaciado"/>
        <w:jc w:val="center"/>
        <w:rPr>
          <w:rFonts w:ascii="Palatino Linotype" w:hAnsi="Palatino Linotype"/>
          <w:b/>
          <w:sz w:val="22"/>
          <w:szCs w:val="22"/>
        </w:rPr>
      </w:pPr>
      <w:r w:rsidRPr="00220827">
        <w:rPr>
          <w:rFonts w:ascii="Palatino Linotype" w:hAnsi="Palatino Linotype"/>
          <w:b/>
          <w:sz w:val="22"/>
          <w:szCs w:val="22"/>
        </w:rPr>
        <w:t>SECRETARIA GENERAL DEL CONCEJO METROPOLITANO DE QUITO (E)</w:t>
      </w:r>
    </w:p>
    <w:p w14:paraId="7C864BA2" w14:textId="77777777" w:rsidR="00A95F44" w:rsidRPr="00220827" w:rsidRDefault="00A95F44" w:rsidP="00A95F44">
      <w:pPr>
        <w:pStyle w:val="Sinespaciado"/>
        <w:rPr>
          <w:rFonts w:ascii="Palatino Linotype" w:hAnsi="Palatino Linotype"/>
          <w:sz w:val="22"/>
          <w:szCs w:val="22"/>
        </w:rPr>
      </w:pPr>
    </w:p>
    <w:p w14:paraId="47108F7F" w14:textId="77777777" w:rsidR="00A95F44" w:rsidRDefault="00A95F44" w:rsidP="00A95F44"/>
    <w:p w14:paraId="25503DB8" w14:textId="77777777" w:rsidR="00F12EBA" w:rsidRDefault="00F12EBA"/>
    <w:sectPr w:rsidR="00F12EBA" w:rsidSect="00603285">
      <w:headerReference w:type="default" r:id="rId4"/>
      <w:footerReference w:type="default" r:id="rId5"/>
      <w:pgSz w:w="12240" w:h="15840"/>
      <w:pgMar w:top="1985" w:right="1701" w:bottom="1560"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3B20EB92" w14:textId="77777777" w:rsidR="00603285" w:rsidRPr="008479FB" w:rsidRDefault="007E62A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Pr>
                <w:rFonts w:ascii="Palatino Linotype" w:hAnsi="Palatino Linotype"/>
                <w:b/>
                <w:bCs/>
                <w:noProof/>
                <w:sz w:val="20"/>
                <w:szCs w:val="20"/>
              </w:rPr>
              <w:t>6</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14:paraId="78FA1022" w14:textId="77777777" w:rsidR="00603285" w:rsidRPr="008479FB" w:rsidRDefault="007E62AD">
    <w:pPr>
      <w:pStyle w:val="Piedepgina"/>
      <w:rPr>
        <w:rFonts w:ascii="Palatino Linotype" w:hAnsi="Palatino Linotype"/>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AD50" w14:textId="77777777" w:rsidR="00603285" w:rsidRDefault="007E62AD" w:rsidP="00603285">
    <w:pPr>
      <w:autoSpaceDE w:val="0"/>
      <w:autoSpaceDN w:val="0"/>
      <w:adjustRightInd w:val="0"/>
      <w:jc w:val="center"/>
      <w:rPr>
        <w:rFonts w:ascii="Palatino Linotype" w:eastAsiaTheme="minorHAnsi" w:hAnsi="Palatino Linotype"/>
        <w:b/>
        <w:bCs/>
        <w:sz w:val="22"/>
        <w:szCs w:val="22"/>
        <w:lang w:val="es-EC" w:eastAsia="en-US"/>
      </w:rPr>
    </w:pPr>
  </w:p>
  <w:p w14:paraId="29F7B2D3" w14:textId="77777777" w:rsidR="00603285" w:rsidRDefault="007E62AD" w:rsidP="00603285">
    <w:pPr>
      <w:autoSpaceDE w:val="0"/>
      <w:autoSpaceDN w:val="0"/>
      <w:adjustRightInd w:val="0"/>
      <w:jc w:val="center"/>
      <w:rPr>
        <w:rFonts w:ascii="Palatino Linotype" w:eastAsiaTheme="minorHAnsi" w:hAnsi="Palatino Linotype"/>
        <w:b/>
        <w:bCs/>
        <w:sz w:val="22"/>
        <w:szCs w:val="22"/>
        <w:lang w:val="es-EC" w:eastAsia="en-US"/>
      </w:rPr>
    </w:pPr>
  </w:p>
  <w:p w14:paraId="1E941D8C" w14:textId="77777777" w:rsidR="00603285" w:rsidRDefault="007E62AD" w:rsidP="00603285">
    <w:pPr>
      <w:autoSpaceDE w:val="0"/>
      <w:autoSpaceDN w:val="0"/>
      <w:adjustRightInd w:val="0"/>
      <w:jc w:val="center"/>
      <w:rPr>
        <w:rFonts w:ascii="Palatino Linotype" w:eastAsiaTheme="minorHAnsi" w:hAnsi="Palatino Linotype"/>
        <w:b/>
        <w:bCs/>
        <w:sz w:val="22"/>
        <w:szCs w:val="22"/>
        <w:lang w:val="es-EC" w:eastAsia="en-US"/>
      </w:rPr>
    </w:pPr>
  </w:p>
  <w:p w14:paraId="333E55FB" w14:textId="77777777" w:rsidR="00603285" w:rsidRDefault="007E62AD" w:rsidP="00603285">
    <w:pPr>
      <w:autoSpaceDE w:val="0"/>
      <w:autoSpaceDN w:val="0"/>
      <w:adjustRightInd w:val="0"/>
      <w:jc w:val="center"/>
      <w:rPr>
        <w:rFonts w:ascii="Palatino Linotype" w:eastAsiaTheme="minorHAnsi" w:hAnsi="Palatino Linotype"/>
        <w:b/>
        <w:bCs/>
        <w:sz w:val="22"/>
        <w:szCs w:val="22"/>
        <w:lang w:val="es-EC" w:eastAsia="en-US"/>
      </w:rPr>
    </w:pPr>
  </w:p>
  <w:p w14:paraId="79755B04" w14:textId="77777777" w:rsidR="00603285" w:rsidRPr="004B36BA" w:rsidRDefault="007E62A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2631AAAE" w14:textId="77777777" w:rsidR="00603285" w:rsidRDefault="007E62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44"/>
    <w:rsid w:val="001F7EB9"/>
    <w:rsid w:val="007E62AD"/>
    <w:rsid w:val="009A4727"/>
    <w:rsid w:val="00A95F44"/>
    <w:rsid w:val="00AC419B"/>
    <w:rsid w:val="00F12EB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6525"/>
  <w15:chartTrackingRefBased/>
  <w15:docId w15:val="{63AD6433-9856-4827-9964-8A4F9A7F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95F44"/>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A95F44"/>
    <w:rPr>
      <w:sz w:val="20"/>
      <w:szCs w:val="20"/>
      <w:lang w:val="es-EC"/>
    </w:rPr>
  </w:style>
  <w:style w:type="paragraph" w:styleId="Piedepgina">
    <w:name w:val="footer"/>
    <w:basedOn w:val="Normal"/>
    <w:link w:val="PiedepginaCar"/>
    <w:uiPriority w:val="99"/>
    <w:unhideWhenUsed/>
    <w:rsid w:val="00A95F44"/>
    <w:pPr>
      <w:tabs>
        <w:tab w:val="center" w:pos="4252"/>
        <w:tab w:val="right" w:pos="8504"/>
      </w:tabs>
    </w:pPr>
  </w:style>
  <w:style w:type="character" w:customStyle="1" w:styleId="PiedepginaCar">
    <w:name w:val="Pie de página Car"/>
    <w:basedOn w:val="Fuentedeprrafopredeter"/>
    <w:link w:val="Piedepgina"/>
    <w:uiPriority w:val="99"/>
    <w:rsid w:val="00A95F4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95F44"/>
    <w:pPr>
      <w:tabs>
        <w:tab w:val="center" w:pos="4419"/>
        <w:tab w:val="right" w:pos="8838"/>
      </w:tabs>
    </w:pPr>
  </w:style>
  <w:style w:type="character" w:customStyle="1" w:styleId="EncabezadoCar">
    <w:name w:val="Encabezado Car"/>
    <w:basedOn w:val="Fuentedeprrafopredeter"/>
    <w:link w:val="Encabezado"/>
    <w:uiPriority w:val="99"/>
    <w:rsid w:val="00A95F44"/>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95F44"/>
    <w:rPr>
      <w:sz w:val="16"/>
      <w:szCs w:val="16"/>
    </w:rPr>
  </w:style>
  <w:style w:type="paragraph" w:styleId="Textocomentario">
    <w:name w:val="annotation text"/>
    <w:basedOn w:val="Normal"/>
    <w:link w:val="TextocomentarioCar"/>
    <w:uiPriority w:val="99"/>
    <w:semiHidden/>
    <w:unhideWhenUsed/>
    <w:rsid w:val="00A95F44"/>
    <w:rPr>
      <w:sz w:val="20"/>
      <w:szCs w:val="20"/>
    </w:rPr>
  </w:style>
  <w:style w:type="character" w:customStyle="1" w:styleId="TextocomentarioCar">
    <w:name w:val="Texto comentario Car"/>
    <w:basedOn w:val="Fuentedeprrafopredeter"/>
    <w:link w:val="Textocomentario"/>
    <w:uiPriority w:val="99"/>
    <w:semiHidden/>
    <w:rsid w:val="00A95F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95F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F4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2160</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María Sol Mera</cp:lastModifiedBy>
  <cp:revision>1</cp:revision>
  <dcterms:created xsi:type="dcterms:W3CDTF">2020-11-20T15:05:00Z</dcterms:created>
  <dcterms:modified xsi:type="dcterms:W3CDTF">2020-11-20T15:55:00Z</dcterms:modified>
</cp:coreProperties>
</file>