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8D3DB5" w:rsidRDefault="000B00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EL CONCEJO METROPOLITANO DE QUITO</w:t>
      </w:r>
    </w:p>
    <w:p w14:paraId="00000002" w14:textId="77777777" w:rsidR="008D3DB5" w:rsidRDefault="000B00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8D3DB5" w:rsidRDefault="000B00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CONSIDERANDO:</w:t>
      </w:r>
    </w:p>
    <w:p w14:paraId="00000004" w14:textId="77777777" w:rsidR="008D3DB5" w:rsidRDefault="008D3D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8D3DB5" w:rsidRDefault="000B0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artículo 21 de la Constitución determina que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Las personas tienen derecho a construir y mantener su propia identidad cultural, a decidir sobre su pertenencia a una o varias comunidades culturales y a expresar dichas elecciones; </w:t>
      </w:r>
      <w:r>
        <w:rPr>
          <w:rFonts w:ascii="Times New Roman" w:eastAsia="Times New Roman" w:hAnsi="Times New Roman" w:cs="Times New Roman"/>
          <w:sz w:val="24"/>
          <w:szCs w:val="24"/>
        </w:rPr>
        <w:t>(…)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 a conocer la memoria histórica de sus culturas y a acceder a su patrimonio cultural; a difundir sus propias expresiones culturales y tener acceso a expresiones culturales diversas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(…)”;</w:t>
      </w:r>
    </w:p>
    <w:p w14:paraId="00000006" w14:textId="77777777" w:rsidR="008D3DB5" w:rsidRDefault="008D3D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D3DB5" w:rsidRDefault="000B0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el artículo 240 de la Constitución plantea que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“Los gobiernos autónomos descentralizados de las regiones, distritos metropolitanos, provincias y cantones tendrán facultades legislativas en el ámbito de sus competencias y jurisdicciones territoriales”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8" w14:textId="77777777" w:rsidR="008D3DB5" w:rsidRDefault="008D3D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8D3DB5" w:rsidRDefault="000B0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artículo 260 de la Constitución contempla que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“El ejercicio de las competencias exclusivas no excluirá el ejercicio concurrente de la gestión en la prestación de servicios públicos y actividades de colaboración y complementariedad entre los distintos niveles de gobierno”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A" w14:textId="77777777" w:rsidR="008D3DB5" w:rsidRDefault="008D3D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8D3DB5" w:rsidRDefault="000B0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>, la Constitución en su artículo 264, numeral 8, establece como competencia exclusiva de los gobiernos municipales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Preservar, mantener y difundir el patrimonio arquitectónico, cultural y natural del cantón y construir los espacios públicos para estos fines</w:t>
      </w:r>
      <w:r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0000000C" w14:textId="77777777" w:rsidR="008D3DB5" w:rsidRDefault="008D3D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D3DB5" w:rsidRDefault="000B00F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>, la Constitución, en su artículo 380, numeral 1, otorga como responsabilidades del Estado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Velar mediante políticas permanentes, por la identificación, protección, defensa, conservación, restauración, difusión y acrecentamiento del patrimonio cultural tangible e intangible, de la riqueza histórica, artística, lingüística y arqueológica, de la memoria colectiva y del conjunto de valores y manifestaciones que configuran la identidad plurinacional, pluricultural y multiétnica del Ecuador”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E" w14:textId="77777777" w:rsidR="008D3DB5" w:rsidRDefault="000B00F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>, la Ley Orgánica de Cultura, en adelante LOC, en su artículo 5 reconoce como derechos culturales la protección   de   los   saberes   ancestrales   y   diálogo   intercultural, la memoria social, y el acceso a los bienes y servicios culturales y patrimoniales;</w:t>
      </w:r>
    </w:p>
    <w:p w14:paraId="0000000F" w14:textId="77777777" w:rsidR="008D3DB5" w:rsidRDefault="000B00F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el artículo 24 de la LOC establece que integran el Sistema Nacional de Cultura “(…)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los Gobiernos Autónomos Descentralizados y de Régimen Especial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(…)”;</w:t>
      </w:r>
    </w:p>
    <w:p w14:paraId="00000010" w14:textId="77777777" w:rsidR="008D3DB5" w:rsidRDefault="000B00F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>, la LOC en su artículo 98 establece que los Gobiernos Autónomos Descentralizados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 tienen competencia exclusiva sobre la gestión, mantenimiento, preservación y difusión del patrimonio cultural se encargarán de planificar, presupuestar, financiar y otorgar de manera regular los recursos necesarios, así como realizar planes, programas y proyectos locales para el efecto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11" w14:textId="77777777" w:rsidR="008D3DB5" w:rsidRDefault="000B00F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el artículo 4 del Código Orgánico de Organización Territorial, Autonomía y Descentralización, COOTAD, plantea como fines de los Gobiernos Autónomos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Descentralizados, en sus literales 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El fortalecimiento de la unidad nacional en la diversidad”, y e)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“La protección y promoción de la diversidad cultural y el respeto a sus espacios de generación e intercambio; la recuperación, preservación y desarrollo de la memoria social y el patrimonio cultural”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12" w14:textId="77777777" w:rsidR="008D3DB5" w:rsidRDefault="000B0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COOTAD en su Artículo 128, inciso primero señala: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“El ejercicio de las competencias observará una gestión solidaria y subsidiaria entre los diferentes niveles de gobierno, con participación ciudadana y una adecuada coordinación interinstitucional”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3" w14:textId="77777777" w:rsidR="008D3DB5" w:rsidRDefault="008D3D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D3DB5" w:rsidRDefault="000B00F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el artículo 144 del COOTAD determina que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“Corresponde a los Gobiernos Autónomos Descentralizados Municipales, formular, aprobar, ejecutar y evaluar los planes, programas y proyectos destinados a la preservación, mantenimiento y difusión del patrimonio arquitectónico, cultural y natural, de su circunscripción y construir los espacios públicos para estos fines. Para el efecto, el patrimonio en referencia será considerado con todas sus expresiones tangibles e intangibles. La preservación abarcará el conjunto de acciones que permitan su conservación, defensa y protección; el mantenimiento garantizará su sostenimiento integral en el tiempo; y la difusión procurará la propagación permanente en la sociedad de los valores que representa. Cuando el patrimonio a intervenir rebase la  circunscripción territorial cantonal, el ejercicio de la competencia será realizada de manera concurrente, y de ser necesario en mancomunidad o consorcio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(…).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Los gobiernos autónomos descentralizados municipales podrán, mediante convenios, gestionar concurrentemente con otros niveles de gobierno las competencias de preservación, mantenimiento y difusión del patrimonio cultural material e inmaterial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(…)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5" w14:textId="77777777" w:rsidR="008D3DB5" w:rsidRDefault="000B0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>, la memoria histórica y el Patrimonio tangible e intangible constituyen el núcleo de la cultura quiteña y ecuatoriana;</w:t>
      </w:r>
    </w:p>
    <w:p w14:paraId="00000016" w14:textId="77777777" w:rsidR="008D3DB5" w:rsidRDefault="008D3D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D3DB5" w:rsidRDefault="000B0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>, el 24 de Mayo de 1822 ocurrió la Batalla del Pichincha, dando paso a la independencia de Quito y las provincias anexas a la Real Audiencia de Quito;</w:t>
      </w:r>
    </w:p>
    <w:p w14:paraId="00000018" w14:textId="77777777" w:rsidR="008D3DB5" w:rsidRDefault="008D3D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D3DB5" w:rsidRDefault="000B0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>, en 2022 se conmemora el Bicentenario de la Batalla del Pichincha;</w:t>
      </w:r>
    </w:p>
    <w:p w14:paraId="0000001A" w14:textId="77777777" w:rsidR="008D3DB5" w:rsidRDefault="008D3D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8D3DB5" w:rsidRDefault="000B00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 ejercicio de las atribuciones legales que le confieren el artículo 240 de la Constitución de la República del Ecuador; y, los artículos 7 y 87 literales a) y d) y 323 del Código Orgánico de Organización Territorial, Autonomía y Descentralización:</w:t>
      </w:r>
    </w:p>
    <w:p w14:paraId="0000001C" w14:textId="77777777" w:rsidR="008D3DB5" w:rsidRDefault="008D3D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8D3DB5" w:rsidRDefault="000B00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RESUELVE:</w:t>
      </w:r>
    </w:p>
    <w:p w14:paraId="0000001E" w14:textId="77777777" w:rsidR="008D3DB5" w:rsidRDefault="008D3D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8D3DB5" w:rsidRDefault="000B00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1.- </w:t>
      </w:r>
      <w:r>
        <w:rPr>
          <w:rFonts w:ascii="Times New Roman" w:eastAsia="Times New Roman" w:hAnsi="Times New Roman" w:cs="Times New Roman"/>
          <w:sz w:val="24"/>
          <w:szCs w:val="24"/>
        </w:rPr>
        <w:t>Declarar al año 2022 como el “Año del Bicentenario de la Batalla del Pichincha en el Distrito Metropolitano de Quito”.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0" w14:textId="77777777" w:rsidR="008D3DB5" w:rsidRDefault="000B00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Conformar una Comisión Especial con los miembros del Concejo Metropolitano de Quito, con el objeto de elaborar y dar seguimiento al Plan Bicentenario 2022, mismo que contendrá una agenda de coordinación interinstitucional con otros niveles de gobierno, con 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sociedad civil, la academia, y otras dependencias que manifestasen su interés por participar. Este plan contemplará una agenda de actividades y una agenda legislativa.</w:t>
      </w:r>
    </w:p>
    <w:p w14:paraId="00000021" w14:textId="77777777" w:rsidR="008D3DB5" w:rsidRDefault="008D3D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8D3DB5" w:rsidRDefault="000B00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comisión podrá integrar al plan las propuestas de las distintas dependencias del Municipio del Distrito Metropolitano de Quito, así como de los integrantes del Concejo Metropolitano, previo análisis.</w:t>
      </w:r>
    </w:p>
    <w:p w14:paraId="00000023" w14:textId="77777777" w:rsidR="008D3DB5" w:rsidRDefault="008D3D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8D3DB5" w:rsidRDefault="000B00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Disposición final.-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  resolución  entrará  en  vigencia a  partir  de  la  fecha  de  su suscripción y se publicará en los medios de comunicación institucionales.</w:t>
      </w:r>
    </w:p>
    <w:p w14:paraId="00000025" w14:textId="77777777" w:rsidR="008D3DB5" w:rsidRDefault="008D3D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8D3DB5" w:rsidRDefault="000B00F3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Dada en la sesión del Concejo Metropolitano de Quito del XX de junio de 2021.</w:t>
      </w:r>
    </w:p>
    <w:sectPr w:rsidR="008D3DB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B5"/>
    <w:rsid w:val="000B00F3"/>
    <w:rsid w:val="00394F02"/>
    <w:rsid w:val="008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Marcela Herrera Herrera</dc:creator>
  <cp:lastModifiedBy>Secretaria de Concejo</cp:lastModifiedBy>
  <cp:revision>2</cp:revision>
  <dcterms:created xsi:type="dcterms:W3CDTF">2021-06-11T22:50:00Z</dcterms:created>
  <dcterms:modified xsi:type="dcterms:W3CDTF">2021-06-11T22:50:00Z</dcterms:modified>
</cp:coreProperties>
</file>