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632C6" w14:textId="77777777" w:rsidR="009A2AAE" w:rsidRPr="0099312A" w:rsidRDefault="009A2AAE" w:rsidP="009A2AAE">
      <w:pPr>
        <w:pStyle w:val="Sinespaciado"/>
        <w:jc w:val="center"/>
        <w:rPr>
          <w:rFonts w:ascii="Times New Roman" w:hAnsi="Times New Roman"/>
          <w:b/>
        </w:rPr>
      </w:pPr>
      <w:r w:rsidRPr="0099312A">
        <w:rPr>
          <w:rFonts w:ascii="Times New Roman" w:hAnsi="Times New Roman"/>
          <w:b/>
        </w:rPr>
        <w:t>EXPOSICIÓN DE MOTIVOS</w:t>
      </w:r>
    </w:p>
    <w:p w14:paraId="589682BC" w14:textId="77777777" w:rsidR="009A2AAE" w:rsidRPr="0099312A" w:rsidRDefault="009A2AAE" w:rsidP="009A2AAE">
      <w:pPr>
        <w:pStyle w:val="Sinespaciado"/>
        <w:jc w:val="center"/>
        <w:rPr>
          <w:rFonts w:ascii="Times New Roman" w:hAnsi="Times New Roman"/>
          <w:b/>
        </w:rPr>
      </w:pPr>
    </w:p>
    <w:p w14:paraId="212257F7" w14:textId="77777777" w:rsidR="009A2AAE" w:rsidRPr="0099312A" w:rsidRDefault="009A2AAE" w:rsidP="009A2AAE">
      <w:pPr>
        <w:pStyle w:val="Sinespaciado"/>
        <w:jc w:val="both"/>
        <w:rPr>
          <w:rFonts w:ascii="Times New Roman" w:hAnsi="Times New Roman"/>
        </w:rPr>
      </w:pPr>
      <w:r w:rsidRPr="0099312A">
        <w:rPr>
          <w:rFonts w:ascii="Times New Roman" w:hAnsi="Times New Roman"/>
        </w:rPr>
        <w:t>La Constitución de la República del Ecuador, en su artículo 30, garantiza a las personas el “</w:t>
      </w:r>
      <w:r w:rsidRPr="0099312A">
        <w:rPr>
          <w:rFonts w:ascii="Times New Roman" w:hAnsi="Times New Roman"/>
          <w:i/>
        </w:rPr>
        <w:t>derecho a un hábitat seguro y saludable, y a una vivienda adecuada y digna, con independencia de su situación social y económica</w:t>
      </w:r>
      <w:r w:rsidRPr="0099312A">
        <w:rPr>
          <w:rFonts w:ascii="Times New Roman" w:hAnsi="Times New Roman"/>
        </w:rPr>
        <w:t>”.</w:t>
      </w:r>
    </w:p>
    <w:p w14:paraId="3D956743" w14:textId="77777777" w:rsidR="009A2AAE" w:rsidRPr="0099312A" w:rsidRDefault="009A2AAE" w:rsidP="009A2AAE">
      <w:pPr>
        <w:pStyle w:val="Sinespaciado"/>
        <w:jc w:val="both"/>
        <w:rPr>
          <w:rFonts w:ascii="Times New Roman" w:hAnsi="Times New Roman"/>
          <w:b/>
        </w:rPr>
      </w:pPr>
    </w:p>
    <w:p w14:paraId="27A74896" w14:textId="77777777" w:rsidR="009A2AAE" w:rsidRPr="0099312A" w:rsidRDefault="009A2AAE" w:rsidP="009A2AAE">
      <w:pPr>
        <w:pStyle w:val="Sinespaciado"/>
        <w:jc w:val="both"/>
        <w:rPr>
          <w:rFonts w:ascii="Times New Roman" w:hAnsi="Times New Roman"/>
          <w:b/>
        </w:rPr>
      </w:pPr>
      <w:r w:rsidRPr="0099312A">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79874C3" w14:textId="77777777" w:rsidR="009A2AAE" w:rsidRPr="0099312A" w:rsidRDefault="009A2AAE" w:rsidP="009A2AAE">
      <w:pPr>
        <w:pStyle w:val="Sinespaciado"/>
        <w:jc w:val="both"/>
        <w:rPr>
          <w:rFonts w:ascii="Times New Roman" w:hAnsi="Times New Roman"/>
        </w:rPr>
      </w:pPr>
    </w:p>
    <w:p w14:paraId="0EC4479E" w14:textId="65A6B5AF"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El </w:t>
      </w:r>
      <w:r w:rsidR="002A37DA" w:rsidRPr="0099312A">
        <w:rPr>
          <w:rFonts w:ascii="Times New Roman" w:hAnsi="Times New Roman"/>
        </w:rPr>
        <w:t>asentamiento humano de hecho y consolidado de interés social</w:t>
      </w:r>
      <w:r w:rsidRPr="0099312A">
        <w:rPr>
          <w:rFonts w:ascii="Times New Roman" w:hAnsi="Times New Roman"/>
        </w:rPr>
        <w:t xml:space="preserve"> denominado “Villa Vega III”, ubicado en la parroquia Tumbaco, tiene una consolidación del 100%; al inicio del proceso de regularización contaba con 21 años de existencia; sin embargo, al momento de la sanción de la presente ordenanza el asentamiento cuenta con 24 años de asentamiento, 12 lotes a fraccionarse y 48 beneficiarios. </w:t>
      </w:r>
    </w:p>
    <w:p w14:paraId="1AFC25A8" w14:textId="77777777" w:rsidR="009A2AAE" w:rsidRPr="0099312A" w:rsidRDefault="009A2AAE" w:rsidP="009A2AAE">
      <w:pPr>
        <w:pStyle w:val="Sinespaciado"/>
        <w:jc w:val="both"/>
        <w:rPr>
          <w:rFonts w:ascii="Times New Roman" w:hAnsi="Times New Roman"/>
          <w:b/>
        </w:rPr>
      </w:pPr>
    </w:p>
    <w:p w14:paraId="563D6CC8" w14:textId="3AC723F0"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Dicho </w:t>
      </w:r>
      <w:r w:rsidR="002A37DA" w:rsidRPr="0099312A">
        <w:rPr>
          <w:rFonts w:ascii="Times New Roman" w:hAnsi="Times New Roman"/>
        </w:rPr>
        <w:t xml:space="preserve">asentamiento humano de hecho y consolidado de interés social </w:t>
      </w:r>
      <w:r w:rsidRPr="0099312A">
        <w:rPr>
          <w:rFonts w:ascii="Times New Roman" w:hAnsi="Times New Roman"/>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D830AD4" w14:textId="77777777" w:rsidR="009A2AAE" w:rsidRPr="0099312A" w:rsidRDefault="009A2AAE" w:rsidP="009A2AAE">
      <w:pPr>
        <w:pStyle w:val="Sinespaciado"/>
        <w:jc w:val="both"/>
        <w:rPr>
          <w:rFonts w:ascii="Times New Roman" w:hAnsi="Times New Roman"/>
          <w:b/>
        </w:rPr>
      </w:pPr>
    </w:p>
    <w:p w14:paraId="77431624" w14:textId="630B781B" w:rsidR="009A2AAE" w:rsidRPr="0099312A" w:rsidRDefault="009A2AAE" w:rsidP="009A2AAE">
      <w:pPr>
        <w:pStyle w:val="Sinespaciado"/>
        <w:jc w:val="both"/>
        <w:rPr>
          <w:rFonts w:ascii="Times New Roman" w:hAnsi="Times New Roman"/>
          <w:b/>
        </w:rPr>
      </w:pPr>
      <w:r w:rsidRPr="0099312A">
        <w:rPr>
          <w:rFonts w:ascii="Times New Roman" w:hAnsi="Times New Roman"/>
        </w:rPr>
        <w:t>En este sentido, la presente ordenanza contiene la normativa tendiente al fraccionamiento de</w:t>
      </w:r>
      <w:r w:rsidR="009434DF">
        <w:rPr>
          <w:rFonts w:ascii="Times New Roman" w:hAnsi="Times New Roman"/>
        </w:rPr>
        <w:t xml:space="preserve"> </w:t>
      </w:r>
      <w:r w:rsidRPr="0099312A">
        <w:rPr>
          <w:rFonts w:ascii="Times New Roman" w:hAnsi="Times New Roman"/>
        </w:rPr>
        <w:t>l</w:t>
      </w:r>
      <w:r w:rsidR="009434DF">
        <w:rPr>
          <w:rFonts w:ascii="Times New Roman" w:hAnsi="Times New Roman"/>
        </w:rPr>
        <w:t>os</w:t>
      </w:r>
      <w:r w:rsidRPr="0099312A">
        <w:rPr>
          <w:rFonts w:ascii="Times New Roman" w:hAnsi="Times New Roman"/>
        </w:rPr>
        <w:t xml:space="preserve"> predio</w:t>
      </w:r>
      <w:r w:rsidR="009434DF">
        <w:rPr>
          <w:rFonts w:ascii="Times New Roman" w:hAnsi="Times New Roman"/>
        </w:rPr>
        <w:t>s</w:t>
      </w:r>
      <w:r w:rsidRPr="0099312A">
        <w:rPr>
          <w:rFonts w:ascii="Times New Roman" w:hAnsi="Times New Roman"/>
        </w:rPr>
        <w:t xml:space="preserve"> sobre </w:t>
      </w:r>
      <w:r w:rsidR="009434DF">
        <w:rPr>
          <w:rFonts w:ascii="Times New Roman" w:hAnsi="Times New Roman"/>
        </w:rPr>
        <w:t>los</w:t>
      </w:r>
      <w:r w:rsidRPr="0099312A">
        <w:rPr>
          <w:rFonts w:ascii="Times New Roman" w:hAnsi="Times New Roman"/>
        </w:rPr>
        <w:t xml:space="preserve"> que se encuentra el </w:t>
      </w:r>
      <w:r w:rsidR="002A37DA" w:rsidRPr="0099312A">
        <w:rPr>
          <w:rFonts w:ascii="Times New Roman" w:hAnsi="Times New Roman"/>
        </w:rPr>
        <w:t>asentamiento humano de hecho y consolidado de interés social</w:t>
      </w:r>
      <w:r w:rsidRPr="0099312A">
        <w:rPr>
          <w:rFonts w:ascii="Times New Roman" w:hAnsi="Times New Roman"/>
        </w:rPr>
        <w:t xml:space="preserve"> denominado “Villa Vega III”,</w:t>
      </w:r>
      <w:r w:rsidR="00A35901">
        <w:rPr>
          <w:rFonts w:ascii="Times New Roman" w:hAnsi="Times New Roman"/>
        </w:rPr>
        <w:t xml:space="preserve"> </w:t>
      </w:r>
      <w:r w:rsidRPr="0099312A">
        <w:rPr>
          <w:rFonts w:ascii="Times New Roman" w:hAnsi="Times New Roman"/>
        </w:rPr>
        <w:t>a fin de garantizar a los beneficiarios el ejercicio de su derecho a la vivienda y el acceso a servicios básicos de calidad.</w:t>
      </w:r>
    </w:p>
    <w:p w14:paraId="63B56CF2" w14:textId="77777777" w:rsidR="009A2AAE" w:rsidRPr="0099312A" w:rsidRDefault="009A2AAE" w:rsidP="009A2AAE">
      <w:pPr>
        <w:pStyle w:val="Sinespaciado"/>
        <w:jc w:val="both"/>
        <w:rPr>
          <w:rFonts w:ascii="Times New Roman" w:hAnsi="Times New Roman"/>
        </w:rPr>
        <w:sectPr w:rsidR="009A2AAE" w:rsidRPr="0099312A" w:rsidSect="00AD3778">
          <w:headerReference w:type="even" r:id="rId7"/>
          <w:headerReference w:type="default" r:id="rId8"/>
          <w:footerReference w:type="default" r:id="rId9"/>
          <w:headerReference w:type="first" r:id="rId10"/>
          <w:footerReference w:type="first" r:id="rId11"/>
          <w:pgSz w:w="11906" w:h="16838"/>
          <w:pgMar w:top="3402" w:right="1416" w:bottom="567" w:left="1701" w:header="709" w:footer="70" w:gutter="0"/>
          <w:cols w:space="708"/>
          <w:docGrid w:linePitch="360"/>
        </w:sectPr>
      </w:pPr>
    </w:p>
    <w:p w14:paraId="42216225" w14:textId="77777777" w:rsidR="009A2AAE" w:rsidRPr="0099312A" w:rsidRDefault="009A2AAE" w:rsidP="009A2AAE">
      <w:pPr>
        <w:pStyle w:val="Sinespaciado"/>
        <w:jc w:val="center"/>
        <w:rPr>
          <w:rFonts w:ascii="Times New Roman" w:hAnsi="Times New Roman"/>
          <w:b/>
        </w:rPr>
      </w:pPr>
      <w:r w:rsidRPr="0099312A">
        <w:rPr>
          <w:rFonts w:ascii="Times New Roman" w:hAnsi="Times New Roman"/>
          <w:b/>
        </w:rPr>
        <w:lastRenderedPageBreak/>
        <w:t>EL CONCEJO METROPOLITANO DE QUITO</w:t>
      </w:r>
    </w:p>
    <w:p w14:paraId="15BF044E" w14:textId="77777777" w:rsidR="009A2AAE" w:rsidRPr="0099312A" w:rsidRDefault="009A2AAE" w:rsidP="009A2AAE">
      <w:pPr>
        <w:pStyle w:val="Sinespaciado"/>
        <w:jc w:val="center"/>
        <w:rPr>
          <w:rFonts w:ascii="Times New Roman" w:hAnsi="Times New Roman"/>
          <w:b/>
        </w:rPr>
      </w:pPr>
    </w:p>
    <w:p w14:paraId="5C14D629" w14:textId="02636A6F"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Visto el Informe </w:t>
      </w:r>
      <w:r w:rsidR="001074F5" w:rsidRPr="0099312A">
        <w:rPr>
          <w:rFonts w:ascii="Times New Roman" w:hAnsi="Times New Roman"/>
        </w:rPr>
        <w:t>No. IC-</w:t>
      </w:r>
      <w:r w:rsidR="001074F5">
        <w:rPr>
          <w:rFonts w:ascii="Times New Roman" w:hAnsi="Times New Roman"/>
        </w:rPr>
        <w:t>2018-215</w:t>
      </w:r>
      <w:r w:rsidR="001074F5" w:rsidRPr="0099312A">
        <w:rPr>
          <w:rFonts w:ascii="Times New Roman" w:hAnsi="Times New Roman"/>
        </w:rPr>
        <w:t xml:space="preserve"> de fecha </w:t>
      </w:r>
      <w:r w:rsidR="001074F5">
        <w:rPr>
          <w:rFonts w:ascii="Times New Roman" w:hAnsi="Times New Roman"/>
        </w:rPr>
        <w:t>24</w:t>
      </w:r>
      <w:r w:rsidR="001074F5" w:rsidRPr="0099312A">
        <w:rPr>
          <w:rFonts w:ascii="Times New Roman" w:hAnsi="Times New Roman"/>
        </w:rPr>
        <w:t xml:space="preserve"> de </w:t>
      </w:r>
      <w:r w:rsidR="001074F5">
        <w:rPr>
          <w:rFonts w:ascii="Times New Roman" w:hAnsi="Times New Roman"/>
        </w:rPr>
        <w:t>julio</w:t>
      </w:r>
      <w:r w:rsidR="001074F5" w:rsidRPr="0099312A">
        <w:rPr>
          <w:rFonts w:ascii="Times New Roman" w:hAnsi="Times New Roman"/>
        </w:rPr>
        <w:t xml:space="preserve"> de </w:t>
      </w:r>
      <w:r w:rsidR="001074F5">
        <w:rPr>
          <w:rFonts w:ascii="Times New Roman" w:hAnsi="Times New Roman"/>
        </w:rPr>
        <w:t>2018</w:t>
      </w:r>
      <w:r w:rsidR="00AF0BE8">
        <w:rPr>
          <w:rFonts w:ascii="Times New Roman" w:hAnsi="Times New Roman"/>
        </w:rPr>
        <w:t xml:space="preserve">, expedido por </w:t>
      </w:r>
      <w:r w:rsidR="001074F5" w:rsidRPr="0099312A">
        <w:rPr>
          <w:rFonts w:ascii="Times New Roman" w:hAnsi="Times New Roman"/>
        </w:rPr>
        <w:t xml:space="preserve">la Comisión de </w:t>
      </w:r>
      <w:r w:rsidR="001074F5">
        <w:rPr>
          <w:rFonts w:ascii="Times New Roman" w:hAnsi="Times New Roman"/>
        </w:rPr>
        <w:t>Uso de Suelo</w:t>
      </w:r>
      <w:r w:rsidR="004A24DE">
        <w:rPr>
          <w:rFonts w:ascii="Times New Roman" w:hAnsi="Times New Roman"/>
        </w:rPr>
        <w:t xml:space="preserve">; </w:t>
      </w:r>
      <w:r w:rsidR="00AF0BE8">
        <w:rPr>
          <w:rFonts w:ascii="Times New Roman" w:hAnsi="Times New Roman"/>
        </w:rPr>
        <w:t xml:space="preserve">e </w:t>
      </w:r>
      <w:r w:rsidR="004A24DE" w:rsidRPr="0099312A">
        <w:rPr>
          <w:rFonts w:ascii="Times New Roman" w:hAnsi="Times New Roman"/>
        </w:rPr>
        <w:t>Informe</w:t>
      </w:r>
      <w:r w:rsidR="00AF0BE8">
        <w:rPr>
          <w:rFonts w:ascii="Times New Roman" w:hAnsi="Times New Roman"/>
        </w:rPr>
        <w:t>s</w:t>
      </w:r>
      <w:r w:rsidR="004A24DE" w:rsidRPr="0099312A">
        <w:rPr>
          <w:rFonts w:ascii="Times New Roman" w:hAnsi="Times New Roman"/>
        </w:rPr>
        <w:t xml:space="preserve"> </w:t>
      </w:r>
      <w:proofErr w:type="spellStart"/>
      <w:r w:rsidR="004A24DE" w:rsidRPr="0099312A">
        <w:rPr>
          <w:rFonts w:ascii="Times New Roman" w:hAnsi="Times New Roman"/>
        </w:rPr>
        <w:t>N</w:t>
      </w:r>
      <w:r w:rsidR="00AF0BE8">
        <w:rPr>
          <w:rFonts w:ascii="Times New Roman" w:hAnsi="Times New Roman"/>
        </w:rPr>
        <w:t>r</w:t>
      </w:r>
      <w:r w:rsidR="004A24DE" w:rsidRPr="0099312A">
        <w:rPr>
          <w:rFonts w:ascii="Times New Roman" w:hAnsi="Times New Roman"/>
        </w:rPr>
        <w:t>o</w:t>
      </w:r>
      <w:r w:rsidR="00AF0BE8">
        <w:rPr>
          <w:rFonts w:ascii="Times New Roman" w:hAnsi="Times New Roman"/>
        </w:rPr>
        <w:t>s</w:t>
      </w:r>
      <w:proofErr w:type="spellEnd"/>
      <w:r w:rsidR="004A24DE" w:rsidRPr="0099312A">
        <w:rPr>
          <w:rFonts w:ascii="Times New Roman" w:hAnsi="Times New Roman"/>
        </w:rPr>
        <w:t>. IC</w:t>
      </w:r>
      <w:r w:rsidR="004A24DE">
        <w:rPr>
          <w:rFonts w:ascii="Times New Roman" w:hAnsi="Times New Roman"/>
        </w:rPr>
        <w:t>-O</w:t>
      </w:r>
      <w:r w:rsidR="004A24DE" w:rsidRPr="0099312A">
        <w:rPr>
          <w:rFonts w:ascii="Times New Roman" w:hAnsi="Times New Roman"/>
        </w:rPr>
        <w:t>-</w:t>
      </w:r>
      <w:r w:rsidR="004A24DE">
        <w:rPr>
          <w:rFonts w:ascii="Times New Roman" w:hAnsi="Times New Roman"/>
        </w:rPr>
        <w:t>2018-322</w:t>
      </w:r>
      <w:r w:rsidR="004A24DE" w:rsidRPr="0099312A">
        <w:rPr>
          <w:rFonts w:ascii="Times New Roman" w:hAnsi="Times New Roman"/>
        </w:rPr>
        <w:t xml:space="preserve"> de fecha </w:t>
      </w:r>
      <w:r w:rsidR="004A24DE">
        <w:rPr>
          <w:rFonts w:ascii="Times New Roman" w:hAnsi="Times New Roman"/>
        </w:rPr>
        <w:t>09</w:t>
      </w:r>
      <w:r w:rsidR="004A24DE" w:rsidRPr="0099312A">
        <w:rPr>
          <w:rFonts w:ascii="Times New Roman" w:hAnsi="Times New Roman"/>
        </w:rPr>
        <w:t xml:space="preserve"> de </w:t>
      </w:r>
      <w:r w:rsidR="004A24DE">
        <w:rPr>
          <w:rFonts w:ascii="Times New Roman" w:hAnsi="Times New Roman"/>
        </w:rPr>
        <w:t>octubre</w:t>
      </w:r>
      <w:r w:rsidR="004A24DE" w:rsidRPr="0099312A">
        <w:rPr>
          <w:rFonts w:ascii="Times New Roman" w:hAnsi="Times New Roman"/>
        </w:rPr>
        <w:t xml:space="preserve"> de </w:t>
      </w:r>
      <w:r w:rsidR="004A24DE">
        <w:rPr>
          <w:rFonts w:ascii="Times New Roman" w:hAnsi="Times New Roman"/>
        </w:rPr>
        <w:t>2018</w:t>
      </w:r>
      <w:r w:rsidR="00AF0BE8">
        <w:rPr>
          <w:rFonts w:ascii="Times New Roman" w:hAnsi="Times New Roman"/>
        </w:rPr>
        <w:t xml:space="preserve">; e </w:t>
      </w:r>
      <w:r w:rsidR="00AF0BE8" w:rsidRPr="00AF0BE8">
        <w:rPr>
          <w:rFonts w:ascii="Times New Roman" w:hAnsi="Times New Roman"/>
        </w:rPr>
        <w:t xml:space="preserve">IC-COT-2021-025 </w:t>
      </w:r>
      <w:r w:rsidRPr="0099312A">
        <w:rPr>
          <w:rFonts w:ascii="Times New Roman" w:hAnsi="Times New Roman"/>
        </w:rPr>
        <w:t>de</w:t>
      </w:r>
      <w:r w:rsidR="00AF0BE8">
        <w:rPr>
          <w:rFonts w:ascii="Times New Roman" w:hAnsi="Times New Roman"/>
        </w:rPr>
        <w:t xml:space="preserve"> 05 de febrero de </w:t>
      </w:r>
      <w:r w:rsidRPr="0099312A">
        <w:rPr>
          <w:rFonts w:ascii="Times New Roman" w:hAnsi="Times New Roman"/>
        </w:rPr>
        <w:t>202</w:t>
      </w:r>
      <w:r w:rsidR="00424FD4">
        <w:rPr>
          <w:rFonts w:ascii="Times New Roman" w:hAnsi="Times New Roman"/>
        </w:rPr>
        <w:t>1</w:t>
      </w:r>
      <w:r w:rsidRPr="0099312A">
        <w:rPr>
          <w:rFonts w:ascii="Times New Roman" w:hAnsi="Times New Roman"/>
        </w:rPr>
        <w:t xml:space="preserve"> </w:t>
      </w:r>
      <w:r w:rsidR="00AF0BE8">
        <w:rPr>
          <w:rFonts w:ascii="Times New Roman" w:hAnsi="Times New Roman"/>
        </w:rPr>
        <w:t xml:space="preserve">expedidos por </w:t>
      </w:r>
      <w:r w:rsidRPr="0099312A">
        <w:rPr>
          <w:rFonts w:ascii="Times New Roman" w:hAnsi="Times New Roman"/>
        </w:rPr>
        <w:t>la Comisión de Ordenamiento Territorial;</w:t>
      </w:r>
    </w:p>
    <w:p w14:paraId="2668DB15" w14:textId="77777777" w:rsidR="009A2AAE" w:rsidRPr="0099312A" w:rsidRDefault="009A2AAE" w:rsidP="009A2AAE">
      <w:pPr>
        <w:pStyle w:val="Sinespaciado"/>
        <w:jc w:val="both"/>
        <w:rPr>
          <w:rFonts w:ascii="Times New Roman" w:hAnsi="Times New Roman"/>
        </w:rPr>
      </w:pPr>
    </w:p>
    <w:p w14:paraId="1FA97598" w14:textId="77777777" w:rsidR="009A2AAE" w:rsidRPr="0099312A" w:rsidRDefault="009A2AAE" w:rsidP="009A2AAE">
      <w:pPr>
        <w:pStyle w:val="Sinespaciado"/>
        <w:jc w:val="center"/>
        <w:rPr>
          <w:rFonts w:ascii="Times New Roman" w:hAnsi="Times New Roman"/>
          <w:b/>
        </w:rPr>
      </w:pPr>
      <w:r w:rsidRPr="0099312A">
        <w:rPr>
          <w:rFonts w:ascii="Times New Roman" w:hAnsi="Times New Roman"/>
          <w:b/>
        </w:rPr>
        <w:t>CONSIDERANDO:</w:t>
      </w:r>
    </w:p>
    <w:p w14:paraId="43110E34" w14:textId="77777777" w:rsidR="009A2AAE" w:rsidRPr="0099312A" w:rsidRDefault="009A2AAE" w:rsidP="009A2AAE">
      <w:pPr>
        <w:pStyle w:val="Sinespaciado"/>
        <w:jc w:val="both"/>
        <w:rPr>
          <w:rFonts w:ascii="Times New Roman" w:hAnsi="Times New Roman"/>
        </w:rPr>
      </w:pPr>
    </w:p>
    <w:p w14:paraId="005AAD66" w14:textId="77777777" w:rsidR="009A2AAE" w:rsidRPr="0099312A" w:rsidRDefault="009A2AAE" w:rsidP="009A2AAE">
      <w:pPr>
        <w:pStyle w:val="Sinespaciado"/>
        <w:ind w:left="705" w:hanging="705"/>
        <w:jc w:val="both"/>
        <w:rPr>
          <w:rFonts w:ascii="Times New Roman" w:hAnsi="Times New Roman"/>
        </w:rPr>
      </w:pPr>
      <w:r w:rsidRPr="0099312A">
        <w:rPr>
          <w:rFonts w:ascii="Times New Roman" w:hAnsi="Times New Roman"/>
          <w:b/>
        </w:rPr>
        <w:t xml:space="preserve">Que, </w:t>
      </w:r>
      <w:r w:rsidRPr="0099312A">
        <w:rPr>
          <w:rFonts w:ascii="Times New Roman" w:hAnsi="Times New Roman"/>
          <w:b/>
        </w:rPr>
        <w:tab/>
      </w:r>
      <w:r w:rsidRPr="0099312A">
        <w:rPr>
          <w:rFonts w:ascii="Times New Roman" w:hAnsi="Times New Roman"/>
        </w:rPr>
        <w:t>el artículo 30 de la Constitución de la República del Ecuador (en adelante “Constitución”) establece que: “</w:t>
      </w:r>
      <w:r w:rsidRPr="0099312A">
        <w:rPr>
          <w:rFonts w:ascii="Times New Roman" w:hAnsi="Times New Roman"/>
          <w:i/>
        </w:rPr>
        <w:t xml:space="preserve">Las personas tienen derecho a un </w:t>
      </w:r>
      <w:bookmarkStart w:id="0" w:name="_GoBack"/>
      <w:bookmarkEnd w:id="0"/>
      <w:r w:rsidRPr="0099312A">
        <w:rPr>
          <w:rFonts w:ascii="Times New Roman" w:hAnsi="Times New Roman"/>
          <w:i/>
        </w:rPr>
        <w:t>hábitat seguro y saludable, y a una vivienda adecuada y digna, con independencia de su situación social y económica.</w:t>
      </w:r>
      <w:r w:rsidRPr="0099312A">
        <w:rPr>
          <w:rFonts w:ascii="Times New Roman" w:hAnsi="Times New Roman"/>
        </w:rPr>
        <w:t>”;</w:t>
      </w:r>
    </w:p>
    <w:p w14:paraId="31BAC0A0" w14:textId="77777777" w:rsidR="009A2AAE" w:rsidRPr="0099312A" w:rsidRDefault="009A2AAE" w:rsidP="009A2AAE">
      <w:pPr>
        <w:pStyle w:val="Sinespaciado"/>
        <w:jc w:val="both"/>
        <w:rPr>
          <w:rFonts w:ascii="Times New Roman" w:hAnsi="Times New Roman"/>
        </w:rPr>
      </w:pPr>
    </w:p>
    <w:p w14:paraId="647C9829" w14:textId="77777777"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el artículo 31 de la Constitución expresa que: “</w:t>
      </w:r>
      <w:r w:rsidRPr="0099312A">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9312A">
        <w:rPr>
          <w:rFonts w:ascii="Times New Roman" w:hAnsi="Times New Roman"/>
          <w:bCs/>
        </w:rPr>
        <w:t xml:space="preserve">”; </w:t>
      </w:r>
    </w:p>
    <w:p w14:paraId="1AE6438D" w14:textId="77777777" w:rsidR="009A2AAE" w:rsidRPr="0099312A" w:rsidRDefault="009A2AAE" w:rsidP="009A2AAE">
      <w:pPr>
        <w:pStyle w:val="Sinespaciado"/>
        <w:jc w:val="both"/>
        <w:rPr>
          <w:rFonts w:ascii="Times New Roman" w:hAnsi="Times New Roman"/>
          <w:bCs/>
        </w:rPr>
      </w:pPr>
    </w:p>
    <w:p w14:paraId="0EBA25DB" w14:textId="77777777" w:rsidR="009A2AAE" w:rsidRPr="0099312A" w:rsidRDefault="009A2AAE" w:rsidP="009A2AAE">
      <w:pPr>
        <w:pStyle w:val="Sinespaciado"/>
        <w:ind w:left="705" w:hanging="705"/>
        <w:jc w:val="both"/>
        <w:rPr>
          <w:rFonts w:ascii="Times New Roman" w:hAnsi="Times New Roman"/>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rPr>
        <w:t>el artículo 240 de la Constitución establece que: “</w:t>
      </w:r>
      <w:r w:rsidRPr="0099312A">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99312A">
        <w:rPr>
          <w:rFonts w:ascii="Times New Roman" w:hAnsi="Times New Roman"/>
        </w:rPr>
        <w:t>”;</w:t>
      </w:r>
    </w:p>
    <w:p w14:paraId="164B0DCA" w14:textId="77777777" w:rsidR="009A2AAE" w:rsidRPr="0099312A" w:rsidRDefault="009A2AAE" w:rsidP="009A2AAE">
      <w:pPr>
        <w:pStyle w:val="Sinespaciado"/>
        <w:jc w:val="both"/>
        <w:rPr>
          <w:rFonts w:ascii="Times New Roman" w:hAnsi="Times New Roman"/>
        </w:rPr>
      </w:pPr>
    </w:p>
    <w:p w14:paraId="585CBFF2" w14:textId="77777777" w:rsidR="009A2AAE" w:rsidRPr="0099312A" w:rsidRDefault="009A2AAE" w:rsidP="009A2AAE">
      <w:pPr>
        <w:pStyle w:val="Sinespaciado"/>
        <w:ind w:left="705" w:hanging="705"/>
        <w:jc w:val="both"/>
        <w:rPr>
          <w:rFonts w:ascii="Times New Roman" w:hAnsi="Times New Roman"/>
          <w:i/>
        </w:rPr>
      </w:pPr>
      <w:r w:rsidRPr="0099312A">
        <w:rPr>
          <w:rFonts w:ascii="Times New Roman" w:hAnsi="Times New Roman"/>
          <w:b/>
        </w:rPr>
        <w:t xml:space="preserve">Que, </w:t>
      </w:r>
      <w:r w:rsidRPr="0099312A">
        <w:rPr>
          <w:rFonts w:ascii="Times New Roman" w:hAnsi="Times New Roman"/>
          <w:b/>
        </w:rPr>
        <w:tab/>
      </w:r>
      <w:r w:rsidRPr="0099312A">
        <w:rPr>
          <w:rFonts w:ascii="Times New Roman" w:hAnsi="Times New Roman"/>
        </w:rPr>
        <w:t>el artículo 266 de la Constitución establece que</w:t>
      </w:r>
      <w:r w:rsidRPr="0099312A">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93C7E47" w14:textId="77777777" w:rsidR="009A2AAE" w:rsidRPr="0099312A" w:rsidRDefault="009A2AAE" w:rsidP="009A2AAE">
      <w:pPr>
        <w:pStyle w:val="Sinespaciado"/>
        <w:jc w:val="both"/>
        <w:rPr>
          <w:rFonts w:ascii="Times New Roman" w:hAnsi="Times New Roman"/>
          <w:i/>
        </w:rPr>
      </w:pPr>
    </w:p>
    <w:p w14:paraId="20C5620E" w14:textId="77777777" w:rsidR="009A2AAE" w:rsidRPr="0099312A" w:rsidRDefault="009A2AAE" w:rsidP="009A2AAE">
      <w:pPr>
        <w:pStyle w:val="Sinespaciado"/>
        <w:ind w:left="705"/>
        <w:jc w:val="both"/>
        <w:rPr>
          <w:rFonts w:ascii="Times New Roman" w:hAnsi="Times New Roman"/>
          <w:i/>
        </w:rPr>
      </w:pPr>
      <w:r w:rsidRPr="0099312A">
        <w:rPr>
          <w:rFonts w:ascii="Times New Roman" w:hAnsi="Times New Roman"/>
          <w:i/>
        </w:rPr>
        <w:t>En el ámbito de sus competencias y territorio, y en uso de sus facultades, expedirán ordenanzas distritales.”</w:t>
      </w:r>
    </w:p>
    <w:p w14:paraId="4F4F7B17" w14:textId="77777777" w:rsidR="009A2AAE" w:rsidRPr="0099312A" w:rsidRDefault="009A2AAE" w:rsidP="009A2AAE">
      <w:pPr>
        <w:pStyle w:val="Sinespaciado"/>
        <w:jc w:val="both"/>
        <w:rPr>
          <w:rFonts w:ascii="Times New Roman" w:hAnsi="Times New Roman"/>
        </w:rPr>
      </w:pPr>
    </w:p>
    <w:p w14:paraId="3732108D" w14:textId="77777777" w:rsidR="009A2AAE" w:rsidRPr="0099312A" w:rsidRDefault="009A2AAE" w:rsidP="009A2AAE">
      <w:pPr>
        <w:pStyle w:val="Sinespaciado"/>
        <w:ind w:left="705" w:hanging="705"/>
        <w:jc w:val="both"/>
        <w:rPr>
          <w:rFonts w:ascii="Times New Roman" w:hAnsi="Times New Roman"/>
          <w:i/>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99312A">
        <w:rPr>
          <w:rFonts w:ascii="Times New Roman" w:hAnsi="Times New Roman"/>
          <w:bCs/>
          <w:i/>
        </w:rPr>
        <w:t>“</w:t>
      </w:r>
      <w:r w:rsidRPr="0099312A">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6B1B9FB" w14:textId="77777777" w:rsidR="009A2AAE" w:rsidRPr="0099312A" w:rsidRDefault="009A2AAE" w:rsidP="009A2AAE">
      <w:pPr>
        <w:pStyle w:val="Sinespaciado"/>
        <w:jc w:val="both"/>
        <w:rPr>
          <w:rFonts w:ascii="Times New Roman" w:hAnsi="Times New Roman"/>
          <w:i/>
        </w:rPr>
      </w:pPr>
    </w:p>
    <w:p w14:paraId="3B3893F9" w14:textId="77777777" w:rsidR="009A2AAE" w:rsidRPr="0099312A" w:rsidRDefault="009A2AAE" w:rsidP="009A2AAE">
      <w:pPr>
        <w:pStyle w:val="Sinespaciado"/>
        <w:ind w:left="705" w:hanging="705"/>
        <w:jc w:val="both"/>
        <w:rPr>
          <w:rFonts w:ascii="Times New Roman" w:hAnsi="Times New Roman"/>
          <w:i/>
          <w:i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los literales a), y x) d</w:t>
      </w:r>
      <w:r w:rsidRPr="0099312A">
        <w:rPr>
          <w:rFonts w:ascii="Times New Roman" w:hAnsi="Times New Roman"/>
        </w:rPr>
        <w:t xml:space="preserve">el artículo 87 del COOTAD, establece que las funciones del Concejo Metropolitano, entre otras, son: </w:t>
      </w:r>
      <w:r w:rsidRPr="0099312A">
        <w:rPr>
          <w:rFonts w:ascii="Times New Roman" w:hAnsi="Times New Roman"/>
          <w:i/>
          <w:iCs/>
        </w:rPr>
        <w:t>“</w:t>
      </w:r>
      <w:r w:rsidRPr="0099312A">
        <w:rPr>
          <w:rFonts w:ascii="Times New Roman" w:hAnsi="Times New Roman"/>
          <w:i/>
        </w:rPr>
        <w:t>a) Ejercer la facultad normativa en las materias de competencia del gobierno autónomo descentralizado metropolitano, mediante la expedición de ordenanzas metropolitanas, acuerdos y resoluciones;</w:t>
      </w:r>
      <w:r w:rsidRPr="0099312A">
        <w:rPr>
          <w:rFonts w:ascii="Times New Roman" w:hAnsi="Times New Roman"/>
          <w:i/>
          <w:iCs/>
        </w:rPr>
        <w:t xml:space="preserve"> (…) x) </w:t>
      </w:r>
      <w:r w:rsidRPr="0099312A">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99312A">
        <w:rPr>
          <w:rFonts w:ascii="Times New Roman" w:hAnsi="Times New Roman"/>
          <w:i/>
        </w:rPr>
        <w:t>interbarrial</w:t>
      </w:r>
      <w:proofErr w:type="spellEnd"/>
      <w:r w:rsidRPr="0099312A">
        <w:rPr>
          <w:rFonts w:ascii="Times New Roman" w:hAnsi="Times New Roman"/>
          <w:i/>
          <w:iCs/>
        </w:rPr>
        <w:t>;</w:t>
      </w:r>
    </w:p>
    <w:p w14:paraId="04917D5E" w14:textId="77777777" w:rsidR="009A2AAE" w:rsidRPr="0099312A" w:rsidRDefault="009A2AAE" w:rsidP="009A2AAE">
      <w:pPr>
        <w:pStyle w:val="Sinespaciado"/>
        <w:jc w:val="both"/>
        <w:rPr>
          <w:rFonts w:ascii="Times New Roman" w:hAnsi="Times New Roman"/>
        </w:rPr>
      </w:pPr>
      <w:r w:rsidRPr="0099312A">
        <w:rPr>
          <w:rFonts w:ascii="Times New Roman" w:hAnsi="Times New Roman"/>
          <w:i/>
          <w:iCs/>
        </w:rPr>
        <w:t xml:space="preserve">  </w:t>
      </w:r>
    </w:p>
    <w:p w14:paraId="5C8344AE" w14:textId="77777777" w:rsidR="009A2AAE" w:rsidRPr="0099312A" w:rsidRDefault="009A2AAE" w:rsidP="009A2AAE">
      <w:pPr>
        <w:pStyle w:val="Sinespaciado"/>
        <w:ind w:left="705" w:hanging="705"/>
        <w:jc w:val="both"/>
        <w:rPr>
          <w:rFonts w:ascii="Times New Roman" w:hAnsi="Times New Roman"/>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rPr>
        <w:t>el artículo 322 del COOTAD establece el procedimiento para la aprobación de las ordenanzas municipales;</w:t>
      </w:r>
    </w:p>
    <w:p w14:paraId="32EEB6A1" w14:textId="77777777" w:rsidR="009A2AAE" w:rsidRPr="0099312A" w:rsidRDefault="009A2AAE" w:rsidP="009A2AAE">
      <w:pPr>
        <w:pStyle w:val="Sinespaciado"/>
        <w:jc w:val="both"/>
        <w:rPr>
          <w:rFonts w:ascii="Times New Roman" w:hAnsi="Times New Roman"/>
        </w:rPr>
      </w:pPr>
    </w:p>
    <w:p w14:paraId="0AE11C27" w14:textId="77777777"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lastRenderedPageBreak/>
        <w:t xml:space="preserve">Que, </w:t>
      </w:r>
      <w:r w:rsidRPr="0099312A">
        <w:rPr>
          <w:rFonts w:ascii="Times New Roman" w:hAnsi="Times New Roman"/>
          <w:b/>
          <w:bCs/>
        </w:rPr>
        <w:tab/>
      </w:r>
      <w:r w:rsidRPr="0099312A">
        <w:rPr>
          <w:rFonts w:ascii="Times New Roman" w:hAnsi="Times New Roman"/>
          <w:bCs/>
        </w:rPr>
        <w:t>el artículo 486 del COOTAD reformado establece que: “</w:t>
      </w:r>
      <w:r w:rsidRPr="0099312A">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9312A">
        <w:rPr>
          <w:rFonts w:ascii="Times New Roman" w:hAnsi="Times New Roman"/>
          <w:bCs/>
          <w:lang w:val="es-ES_tradnl"/>
        </w:rPr>
        <w:t>”</w:t>
      </w:r>
      <w:r w:rsidRPr="0099312A">
        <w:rPr>
          <w:rFonts w:ascii="Times New Roman" w:hAnsi="Times New Roman"/>
          <w:bCs/>
        </w:rPr>
        <w:t>;</w:t>
      </w:r>
    </w:p>
    <w:p w14:paraId="7901B997" w14:textId="77777777" w:rsidR="009A2AAE" w:rsidRPr="0099312A" w:rsidRDefault="009A2AAE" w:rsidP="009A2AAE">
      <w:pPr>
        <w:pStyle w:val="Sinespaciado"/>
        <w:jc w:val="both"/>
        <w:rPr>
          <w:rFonts w:ascii="Times New Roman" w:hAnsi="Times New Roman"/>
          <w:b/>
          <w:bCs/>
        </w:rPr>
      </w:pPr>
    </w:p>
    <w:p w14:paraId="5239C340" w14:textId="77777777" w:rsidR="009A2AAE" w:rsidRPr="0099312A" w:rsidRDefault="009A2AAE" w:rsidP="009A2AAE">
      <w:pPr>
        <w:pStyle w:val="Sinespaciado"/>
        <w:ind w:left="705" w:hanging="705"/>
        <w:jc w:val="both"/>
        <w:rPr>
          <w:rFonts w:ascii="Times New Roman" w:hAnsi="Times New Roman"/>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la Disposición Transitoria Décima Cuarta del COOTAD, señala: “</w:t>
      </w:r>
      <w:r w:rsidRPr="0099312A">
        <w:rPr>
          <w:rFonts w:ascii="Times New Roman" w:hAnsi="Times New Roman"/>
          <w:bCs/>
          <w:i/>
        </w:rPr>
        <w:t xml:space="preserve">(…) </w:t>
      </w:r>
      <w:r w:rsidRPr="0099312A">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99312A">
        <w:rPr>
          <w:rFonts w:ascii="Times New Roman" w:hAnsi="Times New Roman"/>
        </w:rPr>
        <w:t>.”;</w:t>
      </w:r>
    </w:p>
    <w:p w14:paraId="0D044F96" w14:textId="77777777" w:rsidR="009A2AAE" w:rsidRPr="0099312A" w:rsidRDefault="009A2AAE" w:rsidP="009A2AAE">
      <w:pPr>
        <w:pStyle w:val="Sinespaciado"/>
        <w:jc w:val="both"/>
        <w:rPr>
          <w:rFonts w:ascii="Times New Roman" w:hAnsi="Times New Roman"/>
        </w:rPr>
      </w:pPr>
    </w:p>
    <w:p w14:paraId="796DDF17" w14:textId="77777777"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07147F01" w14:textId="77777777" w:rsidR="009A2AAE" w:rsidRPr="0099312A" w:rsidRDefault="009A2AAE" w:rsidP="009A2AAE">
      <w:pPr>
        <w:pStyle w:val="Sinespaciado"/>
        <w:jc w:val="both"/>
        <w:rPr>
          <w:rFonts w:ascii="Times New Roman" w:hAnsi="Times New Roman"/>
          <w:bCs/>
        </w:rPr>
      </w:pPr>
      <w:r w:rsidRPr="0099312A">
        <w:rPr>
          <w:rFonts w:ascii="Times New Roman" w:hAnsi="Times New Roman"/>
          <w:bCs/>
        </w:rPr>
        <w:t xml:space="preserve"> </w:t>
      </w:r>
    </w:p>
    <w:p w14:paraId="3858F067" w14:textId="77777777"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470B6B3F" w14:textId="77777777" w:rsidR="009A2AAE" w:rsidRPr="0099312A" w:rsidRDefault="009A2AAE" w:rsidP="009A2AAE">
      <w:pPr>
        <w:pStyle w:val="Sinespaciado"/>
        <w:jc w:val="both"/>
        <w:rPr>
          <w:rFonts w:ascii="Times New Roman" w:hAnsi="Times New Roman"/>
          <w:bCs/>
        </w:rPr>
      </w:pPr>
    </w:p>
    <w:p w14:paraId="1C1E22D6" w14:textId="77777777" w:rsidR="009A2AAE" w:rsidRPr="0099312A" w:rsidRDefault="009A2AAE" w:rsidP="009A2AAE">
      <w:pPr>
        <w:pStyle w:val="Sinespaciado"/>
        <w:ind w:left="705" w:hanging="705"/>
        <w:jc w:val="both"/>
        <w:rPr>
          <w:rFonts w:ascii="Times New Roman" w:hAnsi="Times New Roman"/>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B2B2224" w14:textId="77777777" w:rsidR="009A2AAE" w:rsidRPr="0099312A" w:rsidRDefault="009A2AAE" w:rsidP="009A2AAE">
      <w:pPr>
        <w:pStyle w:val="Sinespaciado"/>
        <w:jc w:val="both"/>
        <w:rPr>
          <w:rFonts w:ascii="Times New Roman" w:hAnsi="Times New Roman"/>
        </w:rPr>
      </w:pPr>
    </w:p>
    <w:p w14:paraId="5A30CF9A" w14:textId="403F1A29"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D9922CF" w14:textId="77777777" w:rsidR="009A2AAE" w:rsidRPr="0099312A" w:rsidRDefault="009A2AAE" w:rsidP="009A2AAE">
      <w:pPr>
        <w:pStyle w:val="Sinespaciado"/>
        <w:jc w:val="both"/>
        <w:rPr>
          <w:rFonts w:ascii="Times New Roman" w:hAnsi="Times New Roman"/>
          <w:bCs/>
        </w:rPr>
      </w:pPr>
    </w:p>
    <w:p w14:paraId="16D92D34" w14:textId="5273B34A"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 xml:space="preserve">el Art. IV.7.31, último párrafo de la Ordenanza No. 001 de 29 de marzo de 2019, establece que con la declaratoria de interés social del </w:t>
      </w:r>
      <w:r w:rsidR="002A37DA" w:rsidRPr="0099312A">
        <w:rPr>
          <w:rFonts w:ascii="Times New Roman" w:hAnsi="Times New Roman"/>
          <w:bCs/>
        </w:rPr>
        <w:t xml:space="preserve">asentamiento humano de hecho y consolidado </w:t>
      </w:r>
      <w:r w:rsidRPr="0099312A">
        <w:rPr>
          <w:rFonts w:ascii="Times New Roman" w:hAnsi="Times New Roman"/>
          <w:bCs/>
        </w:rPr>
        <w:t>dará lugar a la exoneración referentes a la contribución de áreas verdes;</w:t>
      </w:r>
    </w:p>
    <w:p w14:paraId="3F09EABE" w14:textId="7A7F52E9" w:rsidR="00A45177" w:rsidRPr="0099312A" w:rsidRDefault="00A45177" w:rsidP="009A2AAE">
      <w:pPr>
        <w:pStyle w:val="Sinespaciado"/>
        <w:ind w:left="705" w:hanging="705"/>
        <w:jc w:val="both"/>
        <w:rPr>
          <w:rFonts w:ascii="Times New Roman" w:hAnsi="Times New Roman"/>
          <w:bCs/>
        </w:rPr>
      </w:pPr>
    </w:p>
    <w:p w14:paraId="019CB753" w14:textId="6E3987E4" w:rsidR="00A45177" w:rsidRPr="0099312A" w:rsidRDefault="00A45177" w:rsidP="00A45177">
      <w:pPr>
        <w:pStyle w:val="Sinespaciado"/>
        <w:ind w:left="705" w:hanging="705"/>
        <w:jc w:val="both"/>
        <w:rPr>
          <w:rFonts w:ascii="Times New Roman" w:hAnsi="Times New Roman"/>
          <w:bCs/>
          <w:i/>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el artículo IV.7.43 de la Ordenanza No. 001 de 29 de marzo de 2019 establece: “</w:t>
      </w:r>
      <w:r w:rsidRPr="0099312A">
        <w:rPr>
          <w:rFonts w:ascii="Times New Roman" w:hAnsi="Times New Roman"/>
          <w:b/>
          <w:bCs/>
          <w:i/>
        </w:rPr>
        <w:t xml:space="preserve">Ordenamiento </w:t>
      </w:r>
      <w:r w:rsidR="00424FD4" w:rsidRPr="0099312A">
        <w:rPr>
          <w:rFonts w:ascii="Times New Roman" w:hAnsi="Times New Roman"/>
          <w:b/>
          <w:bCs/>
          <w:i/>
        </w:rPr>
        <w:t>territorial</w:t>
      </w:r>
      <w:r w:rsidR="00424FD4" w:rsidRPr="0099312A">
        <w:rPr>
          <w:rFonts w:ascii="Times New Roman" w:hAnsi="Times New Roman"/>
          <w:bCs/>
          <w:i/>
        </w:rPr>
        <w:t>. -</w:t>
      </w:r>
      <w:r w:rsidRPr="0099312A">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4A7DABD" w14:textId="77777777" w:rsidR="009A2AAE" w:rsidRPr="0099312A" w:rsidRDefault="009A2AAE" w:rsidP="009A2AAE">
      <w:pPr>
        <w:pStyle w:val="Sinespaciado"/>
        <w:jc w:val="both"/>
        <w:rPr>
          <w:rFonts w:ascii="Times New Roman" w:hAnsi="Times New Roman"/>
          <w:bCs/>
        </w:rPr>
      </w:pPr>
    </w:p>
    <w:p w14:paraId="567F5D00" w14:textId="6BA06A96" w:rsidR="009A2AAE" w:rsidRPr="0099312A" w:rsidRDefault="009A2AAE" w:rsidP="009A2AAE">
      <w:pPr>
        <w:pStyle w:val="Sinespaciado"/>
        <w:ind w:left="705" w:hanging="705"/>
        <w:jc w:val="both"/>
        <w:rPr>
          <w:rFonts w:ascii="Times New Roman" w:hAnsi="Times New Roman"/>
          <w:b/>
          <w:bCs/>
          <w:i/>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 xml:space="preserve">el artículo IV.7.45 de la Ordenanza No. 001 de 29 de marzo de 2019 en su parte pertinente de la excepción de las áreas verdes dispone: </w:t>
      </w:r>
      <w:r w:rsidRPr="0099312A">
        <w:rPr>
          <w:rFonts w:ascii="Times New Roman" w:hAnsi="Times New Roman"/>
          <w:bCs/>
          <w:i/>
        </w:rPr>
        <w:t xml:space="preserve">“(…) El faltante de áreas verdes será </w:t>
      </w:r>
      <w:r w:rsidRPr="0099312A">
        <w:rPr>
          <w:rFonts w:ascii="Times New Roman" w:hAnsi="Times New Roman"/>
          <w:bCs/>
          <w:i/>
        </w:rPr>
        <w:lastRenderedPageBreak/>
        <w:t>compensado pecuniariamente con excepción de los asentamientos declarados de interés social (…)”</w:t>
      </w:r>
      <w:r w:rsidRPr="0099312A">
        <w:rPr>
          <w:rFonts w:ascii="Times New Roman" w:hAnsi="Times New Roman"/>
          <w:b/>
          <w:bCs/>
          <w:i/>
        </w:rPr>
        <w:t xml:space="preserve"> </w:t>
      </w:r>
    </w:p>
    <w:p w14:paraId="2C99F990" w14:textId="77777777" w:rsidR="009A2AAE" w:rsidRPr="0099312A" w:rsidRDefault="009A2AAE" w:rsidP="00A45177">
      <w:pPr>
        <w:pStyle w:val="Sinespaciado"/>
        <w:jc w:val="both"/>
        <w:rPr>
          <w:rFonts w:ascii="Times New Roman" w:hAnsi="Times New Roman"/>
          <w:b/>
          <w:bCs/>
        </w:rPr>
      </w:pPr>
    </w:p>
    <w:p w14:paraId="2A07D01F" w14:textId="77777777"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Que,</w:t>
      </w:r>
      <w:r w:rsidRPr="0099312A">
        <w:rPr>
          <w:rFonts w:ascii="Times New Roman" w:hAnsi="Times New Roman"/>
          <w:b/>
          <w:bCs/>
        </w:rPr>
        <w:tab/>
      </w:r>
      <w:r w:rsidRPr="0099312A">
        <w:rPr>
          <w:rFonts w:ascii="Times New Roman" w:hAnsi="Times New Roman"/>
          <w:bCs/>
        </w:rPr>
        <w:t xml:space="preserve">la Ordenanza No. 001 de 29 de marzo de 2019, determina en su disposición derogatoria lo siguiente: </w:t>
      </w:r>
      <w:r w:rsidRPr="0099312A">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99312A">
        <w:rPr>
          <w:rFonts w:ascii="Times New Roman" w:hAnsi="Times New Roman"/>
          <w:bCs/>
        </w:rPr>
        <w:t xml:space="preserve">” </w:t>
      </w:r>
    </w:p>
    <w:p w14:paraId="08C801B1" w14:textId="77777777" w:rsidR="009A2AAE" w:rsidRPr="0099312A" w:rsidRDefault="009A2AAE" w:rsidP="009A2AAE">
      <w:pPr>
        <w:pStyle w:val="Sinespaciado"/>
        <w:jc w:val="both"/>
        <w:rPr>
          <w:rFonts w:ascii="Times New Roman" w:hAnsi="Times New Roman"/>
          <w:bCs/>
        </w:rPr>
      </w:pPr>
    </w:p>
    <w:p w14:paraId="7BF5A143" w14:textId="77777777" w:rsidR="009A2AAE" w:rsidRPr="0099312A" w:rsidRDefault="009A2AAE" w:rsidP="009A2AAE">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en concordancia con el considerando precedente,</w:t>
      </w:r>
      <w:r w:rsidRPr="0099312A">
        <w:rPr>
          <w:rFonts w:ascii="Times New Roman" w:hAnsi="Times New Roman"/>
          <w:b/>
          <w:bCs/>
        </w:rPr>
        <w:t xml:space="preserve"> </w:t>
      </w:r>
      <w:r w:rsidRPr="0099312A">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19388FDD" w14:textId="77777777" w:rsidR="009A2AAE" w:rsidRPr="0099312A" w:rsidRDefault="009A2AAE" w:rsidP="009A2AAE">
      <w:pPr>
        <w:pStyle w:val="Sinespaciado"/>
        <w:jc w:val="both"/>
        <w:rPr>
          <w:rFonts w:ascii="Times New Roman" w:hAnsi="Times New Roman"/>
          <w:bCs/>
        </w:rPr>
      </w:pPr>
    </w:p>
    <w:p w14:paraId="40EFA78B" w14:textId="44FB6805" w:rsidR="00FB7572" w:rsidRPr="0099312A" w:rsidRDefault="009A2AAE" w:rsidP="00FB7572">
      <w:pPr>
        <w:pStyle w:val="Sinespaciado"/>
        <w:ind w:left="705" w:hanging="705"/>
        <w:jc w:val="both"/>
        <w:rPr>
          <w:rFonts w:ascii="Times New Roman" w:hAnsi="Times New Roman"/>
          <w:bCs/>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99312A">
        <w:rPr>
          <w:rFonts w:ascii="Times New Roman" w:hAnsi="Times New Roman"/>
          <w:bCs/>
        </w:rPr>
        <w:t>rectificatorios</w:t>
      </w:r>
      <w:proofErr w:type="spellEnd"/>
      <w:r w:rsidRPr="0099312A">
        <w:rPr>
          <w:rFonts w:ascii="Times New Roman" w:hAnsi="Times New Roman"/>
          <w:bCs/>
        </w:rPr>
        <w:t xml:space="preserve"> de acuerdo a los plazos señalados en la norma.  </w:t>
      </w:r>
    </w:p>
    <w:p w14:paraId="7BD27090" w14:textId="77777777" w:rsidR="00FB7572" w:rsidRPr="0099312A" w:rsidRDefault="00FB7572" w:rsidP="00FB7572">
      <w:pPr>
        <w:pStyle w:val="Sinespaciado"/>
        <w:ind w:left="705" w:hanging="705"/>
        <w:jc w:val="both"/>
        <w:rPr>
          <w:rFonts w:ascii="Times New Roman" w:hAnsi="Times New Roman"/>
          <w:bCs/>
        </w:rPr>
      </w:pPr>
    </w:p>
    <w:p w14:paraId="73D65869" w14:textId="77777777" w:rsidR="001406C1" w:rsidRDefault="001406C1" w:rsidP="001406C1">
      <w:pPr>
        <w:pStyle w:val="Sinespaciado"/>
        <w:ind w:left="705" w:hanging="705"/>
        <w:jc w:val="both"/>
        <w:rPr>
          <w:rFonts w:ascii="Times New Roman" w:hAnsi="Times New Roman"/>
          <w:color w:val="000000"/>
        </w:rPr>
      </w:pPr>
      <w:r>
        <w:rPr>
          <w:rFonts w:ascii="Times New Roman" w:hAnsi="Times New Roman"/>
          <w:b/>
          <w:bCs/>
        </w:rPr>
        <w:t xml:space="preserve">Que, </w:t>
      </w:r>
      <w:r>
        <w:rPr>
          <w:rFonts w:ascii="Times New Roman" w:hAnsi="Times New Roman"/>
          <w:b/>
          <w:bCs/>
        </w:rPr>
        <w:tab/>
      </w:r>
      <w:r w:rsidRPr="00277032">
        <w:rPr>
          <w:rFonts w:ascii="Times New Roman" w:hAnsi="Times New Roman"/>
          <w:bCs/>
        </w:rPr>
        <w:t xml:space="preserve">mediante Resolución No. 011-COT-2020, </w:t>
      </w:r>
      <w:r w:rsidRPr="00277032">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277032">
        <w:rPr>
          <w:rFonts w:ascii="Times New Roman" w:hAnsi="Times New Roman"/>
        </w:rPr>
        <w:t xml:space="preserve"> </w:t>
      </w:r>
      <w:r w:rsidRPr="008B2EE6">
        <w:rPr>
          <w:rFonts w:ascii="Times New Roman" w:hAnsi="Times New Roman"/>
          <w:i/>
        </w:rPr>
        <w:t>“</w:t>
      </w:r>
      <w:r>
        <w:rPr>
          <w:rFonts w:ascii="Times New Roman" w:hAnsi="Times New Roman"/>
          <w:i/>
        </w:rPr>
        <w:t>(</w:t>
      </w:r>
      <w:r w:rsidRPr="008B2EE6">
        <w:rPr>
          <w:rFonts w:ascii="Times New Roman" w:hAnsi="Times New Roman"/>
          <w:i/>
        </w:rPr>
        <w:t>…</w:t>
      </w:r>
      <w:r>
        <w:rPr>
          <w:rFonts w:ascii="Times New Roman" w:hAnsi="Times New Roman"/>
          <w:i/>
        </w:rPr>
        <w:t>)</w:t>
      </w:r>
      <w:r w:rsidRPr="008B2EE6">
        <w:rPr>
          <w:rFonts w:ascii="Times New Roman" w:hAnsi="Times New Roman"/>
          <w:bCs/>
          <w:i/>
        </w:rPr>
        <w:t xml:space="preserve">Resolvió: </w:t>
      </w:r>
      <w:r w:rsidRPr="008B2EE6">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r>
        <w:rPr>
          <w:rFonts w:ascii="Times New Roman" w:hAnsi="Times New Roman"/>
          <w:i/>
          <w:color w:val="000000"/>
        </w:rPr>
        <w:t xml:space="preserve"> (</w:t>
      </w:r>
      <w:r w:rsidRPr="008B2EE6">
        <w:rPr>
          <w:rFonts w:ascii="Times New Roman" w:hAnsi="Times New Roman"/>
          <w:i/>
          <w:color w:val="000000"/>
        </w:rPr>
        <w:t>...</w:t>
      </w:r>
      <w:r>
        <w:rPr>
          <w:rFonts w:ascii="Times New Roman" w:hAnsi="Times New Roman"/>
          <w:i/>
          <w:color w:val="000000"/>
        </w:rPr>
        <w:t>)</w:t>
      </w:r>
      <w:r w:rsidRPr="008B2EE6">
        <w:rPr>
          <w:rFonts w:ascii="Times New Roman" w:hAnsi="Times New Roman"/>
          <w:i/>
          <w:color w:val="000000"/>
        </w:rPr>
        <w:t>”</w:t>
      </w:r>
      <w:r w:rsidRPr="00277032">
        <w:rPr>
          <w:rFonts w:ascii="Times New Roman" w:hAnsi="Times New Roman"/>
          <w:color w:val="000000"/>
        </w:rPr>
        <w:t xml:space="preserve"> </w:t>
      </w:r>
    </w:p>
    <w:p w14:paraId="078B419F" w14:textId="77777777" w:rsidR="009A2AAE" w:rsidRPr="0099312A" w:rsidRDefault="009A2AAE" w:rsidP="009A2AAE">
      <w:pPr>
        <w:pStyle w:val="Sinespaciado"/>
        <w:jc w:val="both"/>
        <w:rPr>
          <w:rFonts w:ascii="Times New Roman" w:hAnsi="Times New Roman"/>
        </w:rPr>
      </w:pPr>
    </w:p>
    <w:p w14:paraId="174E360B" w14:textId="3F51F03F" w:rsidR="009A2AAE" w:rsidRDefault="009A2AAE" w:rsidP="00A45177">
      <w:pPr>
        <w:spacing w:after="240"/>
        <w:ind w:left="705" w:hanging="705"/>
        <w:jc w:val="both"/>
        <w:rPr>
          <w:sz w:val="22"/>
          <w:szCs w:val="22"/>
        </w:rPr>
      </w:pPr>
      <w:r w:rsidRPr="0099312A">
        <w:rPr>
          <w:b/>
          <w:bCs/>
          <w:sz w:val="22"/>
          <w:szCs w:val="22"/>
        </w:rPr>
        <w:t>Que,</w:t>
      </w:r>
      <w:r w:rsidRPr="0099312A">
        <w:rPr>
          <w:sz w:val="22"/>
          <w:szCs w:val="22"/>
        </w:rPr>
        <w:tab/>
      </w:r>
      <w:r w:rsidRPr="0099312A">
        <w:rPr>
          <w:sz w:val="22"/>
          <w:szCs w:val="22"/>
        </w:rPr>
        <w:tab/>
        <w:t xml:space="preserve">la Mesa Institucional, reunida el 21 de noviembre del 2017 en la Administración Zonal Tumbaco, integrada por: Arq. Carlos Lizarzaburu, Delegado de la Dirección de la Unidad Especial Regula Tu Barrio y Socio-Organizativo; Dr. Fernando Quintana, Responsable Legal; Arq. Pablo Alcocer, Responsable Técnico, de la Unidad Especial “Regula Tú Barrio” Oficina Central; Arq. Magdalena Vásconez, Delegada de la Administración Zona Tumbaco; Srta. Viviana Chávez, Delegada de la Dirección Jurídica Zona Tumbaco; Ing. Elizabeth Carrión, Delegada de la Dirección Metropolitana de Gestión de Riesgo; Arq. María Belén Cueva, Delegada de la Dirección Metropolitana de Catastro; y Arq. Elizabeth Ortiz, Delegada de la Secretaría de Territorio, Hábitat y Vivienda, aprobaron  el Informe Socio Organizativo Legal y Técnico Nº 04-UERB-OC-SOLT-2017, de 21 de Noviembre del 2017, habilitante de la Ordenanza de Reconocimiento del </w:t>
      </w:r>
      <w:r w:rsidR="002A37DA" w:rsidRPr="0099312A">
        <w:rPr>
          <w:sz w:val="22"/>
          <w:szCs w:val="22"/>
        </w:rPr>
        <w:t>asentamiento humano de hecho y consolidado de interés social</w:t>
      </w:r>
      <w:r w:rsidRPr="0099312A">
        <w:rPr>
          <w:sz w:val="22"/>
          <w:szCs w:val="22"/>
        </w:rPr>
        <w:t>, denominado: “Villa Vega III”, a favor de sus copropietarios.</w:t>
      </w:r>
    </w:p>
    <w:p w14:paraId="6A5BE0F9" w14:textId="64170371" w:rsidR="000E7CAE" w:rsidRPr="0098584F" w:rsidRDefault="00B4458A" w:rsidP="0098584F">
      <w:pPr>
        <w:spacing w:after="240"/>
        <w:ind w:left="705" w:hanging="705"/>
        <w:jc w:val="both"/>
      </w:pPr>
      <w:r w:rsidRPr="0098584F">
        <w:rPr>
          <w:b/>
          <w:sz w:val="22"/>
          <w:szCs w:val="22"/>
        </w:rPr>
        <w:t>Que,</w:t>
      </w:r>
      <w:r w:rsidR="00424FD4">
        <w:rPr>
          <w:b/>
          <w:sz w:val="22"/>
          <w:szCs w:val="22"/>
        </w:rPr>
        <w:tab/>
        <w:t>e</w:t>
      </w:r>
      <w:r w:rsidR="000E7CAE" w:rsidRPr="0098584F">
        <w:rPr>
          <w:sz w:val="22"/>
          <w:szCs w:val="22"/>
        </w:rPr>
        <w:t xml:space="preserve">l </w:t>
      </w:r>
      <w:proofErr w:type="spellStart"/>
      <w:r w:rsidR="000E7CAE" w:rsidRPr="0098584F">
        <w:rPr>
          <w:sz w:val="22"/>
          <w:szCs w:val="22"/>
        </w:rPr>
        <w:t>AHHyC</w:t>
      </w:r>
      <w:proofErr w:type="spellEnd"/>
      <w:r w:rsidR="000E7CAE" w:rsidRPr="0098584F">
        <w:rPr>
          <w:sz w:val="22"/>
          <w:szCs w:val="22"/>
        </w:rPr>
        <w:t xml:space="preserve"> de interés social denominado “Villa Vega III”, debido a un problema particular</w:t>
      </w:r>
      <w:r w:rsidR="000E7CAE">
        <w:rPr>
          <w:sz w:val="22"/>
          <w:szCs w:val="22"/>
        </w:rPr>
        <w:t>,</w:t>
      </w:r>
      <w:r w:rsidR="000E7CAE" w:rsidRPr="0098584F">
        <w:rPr>
          <w:sz w:val="22"/>
          <w:szCs w:val="22"/>
        </w:rPr>
        <w:t xml:space="preserve"> los propietarios del predio No. 569582 mediante oficio S/N, ingresado a la UERB-OC de fecha 29 de julio de 2019, los señores José Vicente Gualpa Parra y Luis Vicente Segovia </w:t>
      </w:r>
      <w:r w:rsidR="000E7CAE" w:rsidRPr="0098584F">
        <w:rPr>
          <w:sz w:val="22"/>
          <w:szCs w:val="22"/>
        </w:rPr>
        <w:lastRenderedPageBreak/>
        <w:t xml:space="preserve">Gallardo, mostraron inconformidad con el ancho del pasaje propuesto por la mesa institucional, por lo que, decidieron salir del proyecto de regularización y se restructuró la propuesta con los dos macro lotes restantes. </w:t>
      </w:r>
    </w:p>
    <w:p w14:paraId="4B941EC6" w14:textId="6E976915" w:rsidR="00A45177" w:rsidRDefault="00A45177" w:rsidP="00A45177">
      <w:pPr>
        <w:pStyle w:val="Sinespaciado"/>
        <w:ind w:left="705" w:hanging="705"/>
        <w:jc w:val="both"/>
        <w:rPr>
          <w:rFonts w:ascii="Times New Roman" w:hAnsi="Times New Roman"/>
        </w:rPr>
      </w:pPr>
      <w:r w:rsidRPr="0099312A">
        <w:rPr>
          <w:rFonts w:ascii="Times New Roman" w:hAnsi="Times New Roman"/>
          <w:b/>
          <w:bCs/>
        </w:rPr>
        <w:t>Que,</w:t>
      </w:r>
      <w:r w:rsidRPr="0099312A">
        <w:rPr>
          <w:rFonts w:ascii="Times New Roman" w:hAnsi="Times New Roman"/>
        </w:rPr>
        <w:t xml:space="preserve"> </w:t>
      </w:r>
      <w:r w:rsidRPr="0099312A">
        <w:rPr>
          <w:rFonts w:ascii="Times New Roman" w:hAnsi="Times New Roman"/>
        </w:rPr>
        <w:tab/>
      </w:r>
      <w:r w:rsidRPr="001406C1">
        <w:rPr>
          <w:rFonts w:ascii="Times New Roman" w:hAnsi="Times New Roman"/>
        </w:rPr>
        <w:t xml:space="preserve">la Mesa Institucional, </w:t>
      </w:r>
      <w:r w:rsidRPr="00C03E0D">
        <w:rPr>
          <w:rFonts w:ascii="Times New Roman" w:hAnsi="Times New Roman"/>
        </w:rPr>
        <w:t xml:space="preserve">reunida </w:t>
      </w:r>
      <w:r w:rsidRPr="001406C1">
        <w:rPr>
          <w:rFonts w:ascii="Times New Roman" w:hAnsi="Times New Roman"/>
        </w:rPr>
        <w:t xml:space="preserve">el </w:t>
      </w:r>
      <w:r w:rsidR="001406C1" w:rsidRPr="001406C1">
        <w:rPr>
          <w:rFonts w:ascii="Times New Roman" w:hAnsi="Times New Roman"/>
        </w:rPr>
        <w:t>18</w:t>
      </w:r>
      <w:r w:rsidRPr="001406C1">
        <w:rPr>
          <w:rFonts w:ascii="Times New Roman" w:hAnsi="Times New Roman"/>
        </w:rPr>
        <w:t xml:space="preserve"> de </w:t>
      </w:r>
      <w:r w:rsidR="001406C1" w:rsidRPr="001406C1">
        <w:rPr>
          <w:rFonts w:ascii="Times New Roman" w:hAnsi="Times New Roman"/>
        </w:rPr>
        <w:t>agosto</w:t>
      </w:r>
      <w:r w:rsidRPr="001406C1">
        <w:rPr>
          <w:rFonts w:ascii="Times New Roman" w:hAnsi="Times New Roman"/>
        </w:rPr>
        <w:t xml:space="preserve"> del 2020, mediante la aplicación Zoom, siendo </w:t>
      </w:r>
      <w:r w:rsidRPr="001F0292">
        <w:rPr>
          <w:rFonts w:ascii="Times New Roman" w:hAnsi="Times New Roman"/>
        </w:rPr>
        <w:t xml:space="preserve">las diez horas, los señores: Arq. Fabián Valencia, Delegado de la Administradora Zonal Tumbaco; Dr. Leonardo Gaibor, Delegado del Director Jurídico Zonal Tumbaco; Arq. Sergio Peralta, Delegado de la Dirección Metropolitana de Catastro; Ing. Luis Albán, Delegado de la Dirección Metropolitana de Gestión de </w:t>
      </w:r>
      <w:r w:rsidRPr="00752417">
        <w:rPr>
          <w:rFonts w:ascii="Times New Roman" w:hAnsi="Times New Roman"/>
        </w:rPr>
        <w:t>Riesgo;</w:t>
      </w:r>
      <w:r w:rsidR="00752417" w:rsidRPr="00752417">
        <w:rPr>
          <w:rFonts w:ascii="Times New Roman" w:hAnsi="Times New Roman"/>
        </w:rPr>
        <w:t xml:space="preserve"> Delegada</w:t>
      </w:r>
      <w:r w:rsidRPr="001F0292">
        <w:rPr>
          <w:rFonts w:ascii="Times New Roman" w:hAnsi="Times New Roman"/>
        </w:rPr>
        <w:t xml:space="preserve"> Arq. Elizabeth Ortiz, Delegada de la Secretaría de Territorio, Hábitat y Vivienda; Arq. </w:t>
      </w:r>
      <w:r w:rsidR="001F0292" w:rsidRPr="001F0292">
        <w:rPr>
          <w:rFonts w:ascii="Times New Roman" w:hAnsi="Times New Roman"/>
        </w:rPr>
        <w:t>Cristina Paredes</w:t>
      </w:r>
      <w:r w:rsidRPr="001F0292">
        <w:rPr>
          <w:rFonts w:ascii="Times New Roman" w:hAnsi="Times New Roman"/>
        </w:rPr>
        <w:t xml:space="preserve">,  </w:t>
      </w:r>
      <w:r w:rsidR="001F0292" w:rsidRPr="001F0292">
        <w:rPr>
          <w:rFonts w:ascii="Times New Roman" w:hAnsi="Times New Roman"/>
        </w:rPr>
        <w:t xml:space="preserve">Delegada </w:t>
      </w:r>
      <w:r w:rsidRPr="001F0292">
        <w:rPr>
          <w:rFonts w:ascii="Times New Roman" w:hAnsi="Times New Roman"/>
        </w:rPr>
        <w:t xml:space="preserve"> de la Secretaría de Territorio, Hábitat y Vivienda; Arq. Christian</w:t>
      </w:r>
      <w:r w:rsidRPr="001406C1">
        <w:rPr>
          <w:rFonts w:ascii="Times New Roman" w:hAnsi="Times New Roman"/>
        </w:rPr>
        <w:t xml:space="preserve">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w:t>
      </w:r>
      <w:r w:rsidR="001406C1" w:rsidRPr="00277032">
        <w:rPr>
          <w:rFonts w:ascii="Times New Roman" w:hAnsi="Times New Roman"/>
        </w:rPr>
        <w:t>aprobaron</w:t>
      </w:r>
      <w:r w:rsidR="001406C1">
        <w:rPr>
          <w:rFonts w:ascii="Times New Roman" w:hAnsi="Times New Roman"/>
        </w:rPr>
        <w:t xml:space="preserve"> conforme Acta </w:t>
      </w:r>
      <w:r w:rsidR="001406C1" w:rsidRPr="00277032">
        <w:rPr>
          <w:rFonts w:ascii="Times New Roman" w:hAnsi="Times New Roman"/>
        </w:rPr>
        <w:t>A-00</w:t>
      </w:r>
      <w:r w:rsidR="001406C1">
        <w:rPr>
          <w:rFonts w:ascii="Times New Roman" w:hAnsi="Times New Roman"/>
        </w:rPr>
        <w:t>2</w:t>
      </w:r>
      <w:r w:rsidR="001406C1" w:rsidRPr="00277032">
        <w:rPr>
          <w:rFonts w:ascii="Times New Roman" w:hAnsi="Times New Roman"/>
        </w:rPr>
        <w:t>-UERB-OC-2020</w:t>
      </w:r>
      <w:r w:rsidR="001406C1">
        <w:rPr>
          <w:rFonts w:ascii="Times New Roman" w:hAnsi="Times New Roman"/>
        </w:rPr>
        <w:t xml:space="preserve"> de 18 de agosto de 2020</w:t>
      </w:r>
      <w:r w:rsidR="004765ED">
        <w:rPr>
          <w:rFonts w:ascii="Times New Roman" w:hAnsi="Times New Roman"/>
        </w:rPr>
        <w:t>,</w:t>
      </w:r>
      <w:r w:rsidR="001406C1">
        <w:rPr>
          <w:rFonts w:ascii="Times New Roman" w:hAnsi="Times New Roman"/>
        </w:rPr>
        <w:t xml:space="preserve"> </w:t>
      </w:r>
      <w:r w:rsidR="001406C1" w:rsidRPr="00277032">
        <w:rPr>
          <w:rFonts w:ascii="Times New Roman" w:hAnsi="Times New Roman"/>
        </w:rPr>
        <w:t>el Informe</w:t>
      </w:r>
      <w:r w:rsidR="001406C1" w:rsidRPr="001406C1">
        <w:rPr>
          <w:rFonts w:ascii="Times New Roman" w:hAnsi="Times New Roman"/>
        </w:rPr>
        <w:t xml:space="preserve"> </w:t>
      </w:r>
      <w:r w:rsidR="004765ED" w:rsidRPr="00CC5FFA">
        <w:rPr>
          <w:rFonts w:ascii="Times New Roman" w:hAnsi="Times New Roman"/>
        </w:rPr>
        <w:t xml:space="preserve">Alcance </w:t>
      </w:r>
      <w:r w:rsidRPr="00CC5FFA">
        <w:rPr>
          <w:rFonts w:ascii="Times New Roman" w:hAnsi="Times New Roman"/>
        </w:rPr>
        <w:t>A-00</w:t>
      </w:r>
      <w:r w:rsidR="00CC5FFA" w:rsidRPr="00CC5FFA">
        <w:rPr>
          <w:rFonts w:ascii="Times New Roman" w:hAnsi="Times New Roman"/>
        </w:rPr>
        <w:t>2</w:t>
      </w:r>
      <w:r w:rsidRPr="00CC5FFA">
        <w:rPr>
          <w:rFonts w:ascii="Times New Roman" w:hAnsi="Times New Roman"/>
        </w:rPr>
        <w:t>-UERB-OC-2020</w:t>
      </w:r>
      <w:r w:rsidR="004765ED">
        <w:rPr>
          <w:rFonts w:ascii="Times New Roman" w:hAnsi="Times New Roman"/>
        </w:rPr>
        <w:t xml:space="preserve"> </w:t>
      </w:r>
      <w:r w:rsidRPr="00CC5FFA">
        <w:rPr>
          <w:rFonts w:ascii="Times New Roman" w:hAnsi="Times New Roman"/>
        </w:rPr>
        <w:t>al Informe Socio Organizativo Legal y Técnico Nº 0</w:t>
      </w:r>
      <w:r w:rsidR="00CC5FFA" w:rsidRPr="00CC5FFA">
        <w:rPr>
          <w:rFonts w:ascii="Times New Roman" w:hAnsi="Times New Roman"/>
        </w:rPr>
        <w:t>4</w:t>
      </w:r>
      <w:r w:rsidRPr="00CC5FFA">
        <w:rPr>
          <w:rFonts w:ascii="Times New Roman" w:hAnsi="Times New Roman"/>
        </w:rPr>
        <w:t>-UERB-OC-SOLT-201</w:t>
      </w:r>
      <w:r w:rsidR="00CC5FFA" w:rsidRPr="00CC5FFA">
        <w:rPr>
          <w:rFonts w:ascii="Times New Roman" w:hAnsi="Times New Roman"/>
        </w:rPr>
        <w:t>7</w:t>
      </w:r>
      <w:r w:rsidRPr="00CC5FFA">
        <w:rPr>
          <w:rFonts w:ascii="Times New Roman" w:hAnsi="Times New Roman"/>
        </w:rPr>
        <w:t xml:space="preserve">, de 21 de </w:t>
      </w:r>
      <w:r w:rsidR="00CC5FFA" w:rsidRPr="00CC5FFA">
        <w:rPr>
          <w:rFonts w:ascii="Times New Roman" w:hAnsi="Times New Roman"/>
        </w:rPr>
        <w:t>noviembre</w:t>
      </w:r>
      <w:r w:rsidRPr="00CC5FFA">
        <w:rPr>
          <w:rFonts w:ascii="Times New Roman" w:hAnsi="Times New Roman"/>
        </w:rPr>
        <w:t xml:space="preserve"> del 201</w:t>
      </w:r>
      <w:r w:rsidR="00CC5FFA" w:rsidRPr="00CC5FFA">
        <w:rPr>
          <w:rFonts w:ascii="Times New Roman" w:hAnsi="Times New Roman"/>
        </w:rPr>
        <w:t>7</w:t>
      </w:r>
      <w:r w:rsidRPr="00CC5FFA">
        <w:rPr>
          <w:rFonts w:ascii="Times New Roman" w:hAnsi="Times New Roman"/>
        </w:rPr>
        <w:t>, habilitantes de la Ordenanza de Reconocimiento del asentamiento humano de hecho y consolidado de interés social, denominado: “</w:t>
      </w:r>
      <w:r w:rsidR="00CC5FFA" w:rsidRPr="00CC5FFA">
        <w:rPr>
          <w:rFonts w:ascii="Times New Roman" w:hAnsi="Times New Roman"/>
        </w:rPr>
        <w:t>Villa Vega III</w:t>
      </w:r>
      <w:r w:rsidRPr="00CC5FFA">
        <w:rPr>
          <w:rFonts w:ascii="Times New Roman" w:hAnsi="Times New Roman"/>
        </w:rPr>
        <w:t>”, a favor de sus copropietarios.</w:t>
      </w:r>
    </w:p>
    <w:p w14:paraId="14042350" w14:textId="7840D088" w:rsidR="000E7CAE" w:rsidRDefault="000E7CAE" w:rsidP="00A45177">
      <w:pPr>
        <w:pStyle w:val="Sinespaciado"/>
        <w:ind w:left="705" w:hanging="705"/>
        <w:jc w:val="both"/>
        <w:rPr>
          <w:rFonts w:ascii="Times New Roman" w:hAnsi="Times New Roman"/>
        </w:rPr>
      </w:pPr>
    </w:p>
    <w:p w14:paraId="170290DB" w14:textId="69D1FE64" w:rsidR="00A45177" w:rsidRPr="0099312A" w:rsidRDefault="000E7CAE" w:rsidP="00970DB3">
      <w:pPr>
        <w:spacing w:after="120"/>
        <w:ind w:left="709" w:hanging="709"/>
        <w:jc w:val="both"/>
      </w:pPr>
      <w:r w:rsidRPr="0099312A">
        <w:rPr>
          <w:b/>
          <w:bCs/>
          <w:sz w:val="22"/>
          <w:szCs w:val="22"/>
        </w:rPr>
        <w:t xml:space="preserve">Que, </w:t>
      </w:r>
      <w:r w:rsidRPr="0099312A">
        <w:rPr>
          <w:b/>
          <w:bCs/>
          <w:sz w:val="22"/>
          <w:szCs w:val="22"/>
        </w:rPr>
        <w:tab/>
      </w:r>
      <w:r w:rsidRPr="0099312A">
        <w:rPr>
          <w:sz w:val="22"/>
          <w:szCs w:val="22"/>
        </w:rPr>
        <w:t xml:space="preserve">el informe de la Dirección Metropolitana de Gestión de </w:t>
      </w:r>
      <w:r w:rsidRPr="0099312A">
        <w:rPr>
          <w:color w:val="000000" w:themeColor="text1"/>
          <w:sz w:val="22"/>
          <w:szCs w:val="22"/>
        </w:rPr>
        <w:t xml:space="preserve">No </w:t>
      </w:r>
      <w:r w:rsidRPr="0099312A">
        <w:rPr>
          <w:sz w:val="22"/>
          <w:szCs w:val="22"/>
        </w:rPr>
        <w:t xml:space="preserve">213-AT-DMGR-2017, de 27 de </w:t>
      </w:r>
      <w:r w:rsidR="00545F59" w:rsidRPr="0099312A">
        <w:rPr>
          <w:sz w:val="22"/>
          <w:szCs w:val="22"/>
        </w:rPr>
        <w:t>octubre</w:t>
      </w:r>
      <w:r w:rsidRPr="0099312A">
        <w:rPr>
          <w:sz w:val="22"/>
          <w:szCs w:val="22"/>
        </w:rPr>
        <w:t xml:space="preserve"> del 2017, determina: </w:t>
      </w:r>
      <w:r w:rsidRPr="0099312A">
        <w:rPr>
          <w:b/>
          <w:iCs/>
          <w:sz w:val="22"/>
          <w:szCs w:val="22"/>
        </w:rPr>
        <w:t>Riesgo por movimientos en masa:</w:t>
      </w:r>
      <w:r w:rsidRPr="0099312A">
        <w:rPr>
          <w:iCs/>
          <w:sz w:val="22"/>
          <w:szCs w:val="22"/>
        </w:rPr>
        <w:t xml:space="preserve"> el AHHYC “Villa Vega </w:t>
      </w:r>
      <w:r w:rsidR="00545F59" w:rsidRPr="0099312A">
        <w:rPr>
          <w:iCs/>
          <w:sz w:val="22"/>
          <w:szCs w:val="22"/>
        </w:rPr>
        <w:t>III” en</w:t>
      </w:r>
      <w:r w:rsidRPr="0099312A">
        <w:rPr>
          <w:iCs/>
          <w:sz w:val="22"/>
          <w:szCs w:val="22"/>
        </w:rPr>
        <w:t xml:space="preserve"> general presenta un </w:t>
      </w:r>
      <w:r w:rsidRPr="0099312A">
        <w:rPr>
          <w:iCs/>
          <w:sz w:val="22"/>
          <w:szCs w:val="22"/>
          <w:u w:val="single"/>
        </w:rPr>
        <w:t>Riesgo Bajo Mitigable</w:t>
      </w:r>
      <w:r w:rsidRPr="0099312A">
        <w:rPr>
          <w:iCs/>
          <w:sz w:val="22"/>
          <w:szCs w:val="22"/>
        </w:rPr>
        <w:t xml:space="preserve"> frente a movimientos de remoción en masa. Esto debido a que no se observaron condiciones físicas en el terreno que representen amenaza, ni tampoco condiciones de exposición, para que ocurran movimientos en masa que puedan ocasionar daños o pérdidas.</w:t>
      </w:r>
    </w:p>
    <w:p w14:paraId="67DCAB94" w14:textId="7A6AAF3F" w:rsidR="009A2AAE" w:rsidRPr="00545F59" w:rsidRDefault="009A2AAE" w:rsidP="009A2AAE">
      <w:pPr>
        <w:pStyle w:val="Sinespaciado"/>
        <w:ind w:left="705" w:hanging="705"/>
        <w:jc w:val="both"/>
        <w:rPr>
          <w:rFonts w:ascii="Times New Roman" w:hAnsi="Times New Roman"/>
          <w:lang w:val="es-ES"/>
        </w:rPr>
      </w:pPr>
    </w:p>
    <w:p w14:paraId="7E94BF5C" w14:textId="062B5F0C" w:rsidR="009A2AAE" w:rsidRPr="00EA4EB6" w:rsidRDefault="009A2AAE" w:rsidP="00EA4EB6">
      <w:pPr>
        <w:pStyle w:val="Sinespaciado"/>
        <w:ind w:left="705" w:hanging="705"/>
        <w:jc w:val="both"/>
        <w:rPr>
          <w:rFonts w:ascii="Times New Roman" w:eastAsiaTheme="minorHAnsi" w:hAnsi="Times New Roman"/>
        </w:rPr>
      </w:pPr>
      <w:r w:rsidRPr="0099312A">
        <w:rPr>
          <w:rFonts w:ascii="Times New Roman" w:hAnsi="Times New Roman"/>
          <w:b/>
          <w:bCs/>
        </w:rPr>
        <w:t xml:space="preserve">Que, </w:t>
      </w:r>
      <w:r w:rsidRPr="0099312A">
        <w:rPr>
          <w:rFonts w:ascii="Times New Roman" w:hAnsi="Times New Roman"/>
          <w:b/>
          <w:bCs/>
        </w:rPr>
        <w:tab/>
      </w:r>
      <w:r w:rsidRPr="0099312A">
        <w:rPr>
          <w:rFonts w:ascii="Times New Roman" w:hAnsi="Times New Roman"/>
          <w:bCs/>
        </w:rPr>
        <w:t>mediante</w:t>
      </w:r>
      <w:r w:rsidRPr="0099312A">
        <w:rPr>
          <w:rFonts w:ascii="Times New Roman" w:hAnsi="Times New Roman"/>
          <w:b/>
          <w:bCs/>
        </w:rPr>
        <w:t xml:space="preserve"> </w:t>
      </w:r>
      <w:r w:rsidRPr="001406C1">
        <w:rPr>
          <w:rFonts w:ascii="Times New Roman" w:hAnsi="Times New Roman"/>
        </w:rPr>
        <w:t>Oficio Nro. GADDMQ-SGSG-20</w:t>
      </w:r>
      <w:r w:rsidR="001406C1">
        <w:rPr>
          <w:rFonts w:ascii="Times New Roman" w:hAnsi="Times New Roman"/>
        </w:rPr>
        <w:t>20</w:t>
      </w:r>
      <w:r w:rsidRPr="001406C1">
        <w:rPr>
          <w:rFonts w:ascii="Times New Roman" w:hAnsi="Times New Roman"/>
        </w:rPr>
        <w:t>-1</w:t>
      </w:r>
      <w:r w:rsidR="001406C1">
        <w:rPr>
          <w:rFonts w:ascii="Times New Roman" w:hAnsi="Times New Roman"/>
        </w:rPr>
        <w:t>230</w:t>
      </w:r>
      <w:r w:rsidRPr="001406C1">
        <w:rPr>
          <w:rFonts w:ascii="Times New Roman" w:hAnsi="Times New Roman"/>
        </w:rPr>
        <w:t xml:space="preserve">-OF, de fecha </w:t>
      </w:r>
      <w:r w:rsidR="001406C1">
        <w:rPr>
          <w:rFonts w:ascii="Times New Roman" w:hAnsi="Times New Roman"/>
        </w:rPr>
        <w:t>16</w:t>
      </w:r>
      <w:r w:rsidRPr="001406C1">
        <w:rPr>
          <w:rFonts w:ascii="Times New Roman" w:hAnsi="Times New Roman"/>
        </w:rPr>
        <w:t xml:space="preserve"> de </w:t>
      </w:r>
      <w:r w:rsidR="001406C1">
        <w:rPr>
          <w:rFonts w:ascii="Times New Roman" w:hAnsi="Times New Roman"/>
        </w:rPr>
        <w:t>julio</w:t>
      </w:r>
      <w:r w:rsidRPr="001406C1">
        <w:rPr>
          <w:rFonts w:ascii="Times New Roman" w:hAnsi="Times New Roman"/>
        </w:rPr>
        <w:t xml:space="preserve"> de 20</w:t>
      </w:r>
      <w:r w:rsidR="001406C1">
        <w:rPr>
          <w:rFonts w:ascii="Times New Roman" w:hAnsi="Times New Roman"/>
        </w:rPr>
        <w:t>20</w:t>
      </w:r>
      <w:r w:rsidRPr="001406C1">
        <w:rPr>
          <w:rFonts w:ascii="Times New Roman" w:hAnsi="Times New Roman"/>
        </w:rPr>
        <w:t>, emitido por el la Secretaría General de Seguridad y Gobernabilidad</w:t>
      </w:r>
      <w:r w:rsidR="00EA4EB6">
        <w:rPr>
          <w:rFonts w:ascii="Times New Roman" w:hAnsi="Times New Roman"/>
        </w:rPr>
        <w:t xml:space="preserve">, manifiesta que una vez conocida </w:t>
      </w:r>
      <w:r w:rsidR="0065261B">
        <w:rPr>
          <w:rFonts w:ascii="Times New Roman" w:hAnsi="Times New Roman"/>
        </w:rPr>
        <w:t>la novedad</w:t>
      </w:r>
      <w:r w:rsidR="00EA4EB6">
        <w:rPr>
          <w:rFonts w:ascii="Times New Roman" w:hAnsi="Times New Roman"/>
        </w:rPr>
        <w:t xml:space="preserve"> referente a la salida del proceso de uno </w:t>
      </w:r>
      <w:r w:rsidR="0065261B">
        <w:rPr>
          <w:rFonts w:ascii="Times New Roman" w:hAnsi="Times New Roman"/>
        </w:rPr>
        <w:t>de los macros lotes</w:t>
      </w:r>
      <w:r w:rsidR="00EA4EB6">
        <w:rPr>
          <w:rFonts w:ascii="Times New Roman" w:hAnsi="Times New Roman"/>
        </w:rPr>
        <w:t>, se define que esta situación no implica un cambio en las condiciones físicas ni morfológicas del asentamiento, razón por la cual,</w:t>
      </w:r>
      <w:r w:rsidRPr="001406C1">
        <w:rPr>
          <w:rFonts w:ascii="Times New Roman" w:hAnsi="Times New Roman"/>
        </w:rPr>
        <w:t xml:space="preserve"> </w:t>
      </w:r>
      <w:r w:rsidRPr="001406C1">
        <w:rPr>
          <w:rFonts w:ascii="Times New Roman" w:eastAsiaTheme="minorHAnsi" w:hAnsi="Times New Roman"/>
        </w:rPr>
        <w:t>se r</w:t>
      </w:r>
      <w:r w:rsidR="00EA4EB6">
        <w:rPr>
          <w:rFonts w:ascii="Times New Roman" w:eastAsiaTheme="minorHAnsi" w:hAnsi="Times New Roman"/>
        </w:rPr>
        <w:t>a</w:t>
      </w:r>
      <w:r w:rsidRPr="001406C1">
        <w:rPr>
          <w:rFonts w:ascii="Times New Roman" w:eastAsiaTheme="minorHAnsi" w:hAnsi="Times New Roman"/>
        </w:rPr>
        <w:t xml:space="preserve">tifica en la calificación del nivel del riesgo </w:t>
      </w:r>
      <w:r w:rsidR="001406C1">
        <w:rPr>
          <w:rFonts w:ascii="Times New Roman" w:eastAsiaTheme="minorHAnsi" w:hAnsi="Times New Roman"/>
        </w:rPr>
        <w:t xml:space="preserve">emitida en el Informe Técnico No. 213-AT-DMGR-2017 y en las recomendaciones </w:t>
      </w:r>
      <w:r w:rsidR="00EA4EB6">
        <w:rPr>
          <w:rFonts w:ascii="Times New Roman" w:eastAsiaTheme="minorHAnsi" w:hAnsi="Times New Roman"/>
        </w:rPr>
        <w:t xml:space="preserve">mediante oficio Nro. GADDMQ-SGSG-DMGR-2019-0668-OF. </w:t>
      </w:r>
    </w:p>
    <w:p w14:paraId="2B7E3817" w14:textId="77777777" w:rsidR="009A2AAE" w:rsidRPr="0099312A" w:rsidRDefault="009A2AAE" w:rsidP="009A2AAE">
      <w:pPr>
        <w:pStyle w:val="Sinespaciado"/>
        <w:jc w:val="both"/>
        <w:rPr>
          <w:rFonts w:ascii="Times New Roman" w:eastAsia="Times New Roman" w:hAnsi="Times New Roman"/>
          <w:lang w:eastAsia="es-ES"/>
        </w:rPr>
      </w:pPr>
    </w:p>
    <w:p w14:paraId="243A9403" w14:textId="77777777" w:rsidR="009A2AAE" w:rsidRPr="0099312A" w:rsidRDefault="009A2AAE" w:rsidP="009A2AAE">
      <w:pPr>
        <w:pStyle w:val="Sinespaciado"/>
        <w:jc w:val="both"/>
        <w:rPr>
          <w:rFonts w:ascii="Times New Roman" w:hAnsi="Times New Roman"/>
          <w:b/>
        </w:rPr>
      </w:pPr>
      <w:r w:rsidRPr="0099312A">
        <w:rPr>
          <w:rFonts w:ascii="Times New Roman" w:hAnsi="Times New Roman"/>
          <w:b/>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64CFFC4" w14:textId="77777777" w:rsidR="009A2AAE" w:rsidRPr="0099312A" w:rsidRDefault="009A2AAE" w:rsidP="009A2AAE">
      <w:pPr>
        <w:pStyle w:val="Sinespaciado"/>
        <w:jc w:val="both"/>
        <w:rPr>
          <w:rFonts w:ascii="Times New Roman" w:hAnsi="Times New Roman"/>
        </w:rPr>
      </w:pPr>
    </w:p>
    <w:p w14:paraId="02FD09C1" w14:textId="77777777" w:rsidR="009A2AAE" w:rsidRPr="0099312A" w:rsidRDefault="009A2AAE" w:rsidP="009A2AAE">
      <w:pPr>
        <w:pStyle w:val="Sinespaciado"/>
        <w:jc w:val="center"/>
        <w:rPr>
          <w:rFonts w:ascii="Times New Roman" w:hAnsi="Times New Roman"/>
          <w:b/>
        </w:rPr>
      </w:pPr>
      <w:r w:rsidRPr="0099312A">
        <w:rPr>
          <w:rFonts w:ascii="Times New Roman" w:hAnsi="Times New Roman"/>
          <w:b/>
        </w:rPr>
        <w:t>EXPIDE LA SIGUIENTE:</w:t>
      </w:r>
    </w:p>
    <w:p w14:paraId="406BD4DB" w14:textId="77777777" w:rsidR="009A2AAE" w:rsidRPr="0099312A" w:rsidRDefault="009A2AAE" w:rsidP="009A2AAE">
      <w:pPr>
        <w:pStyle w:val="Sinespaciado"/>
        <w:jc w:val="both"/>
        <w:rPr>
          <w:rFonts w:ascii="Times New Roman" w:hAnsi="Times New Roman"/>
        </w:rPr>
      </w:pPr>
    </w:p>
    <w:p w14:paraId="03D1A1B1" w14:textId="1B0D2412" w:rsidR="009A2AAE" w:rsidRPr="0099312A" w:rsidRDefault="009A2AAE" w:rsidP="009A2AAE">
      <w:pPr>
        <w:pStyle w:val="Sinespaciado"/>
        <w:jc w:val="both"/>
        <w:rPr>
          <w:rFonts w:ascii="Times New Roman" w:hAnsi="Times New Roman"/>
          <w:b/>
          <w:bCs/>
        </w:rPr>
      </w:pPr>
      <w:r w:rsidRPr="0099312A">
        <w:rPr>
          <w:rFonts w:ascii="Times New Roman" w:hAnsi="Times New Roman"/>
          <w:b/>
          <w:bCs/>
        </w:rPr>
        <w:t xml:space="preserve">ORDENANZA QUE APRUEBA EL PROCESO INTEGRAL DE REGULARIZACION DEL ASENTAMIENTO HUMANO DE HECHO Y CONSOLIDADO DE INTERÉS SOCIAL DENOMINADO </w:t>
      </w:r>
      <w:r w:rsidRPr="0099312A">
        <w:rPr>
          <w:rFonts w:ascii="Times New Roman" w:hAnsi="Times New Roman"/>
          <w:b/>
        </w:rPr>
        <w:t>“VILLA VEGA III</w:t>
      </w:r>
      <w:r w:rsidR="00424FD4" w:rsidRPr="0099312A">
        <w:rPr>
          <w:rFonts w:ascii="Times New Roman" w:hAnsi="Times New Roman"/>
          <w:b/>
        </w:rPr>
        <w:t>”,</w:t>
      </w:r>
      <w:r w:rsidR="00424FD4" w:rsidRPr="0099312A">
        <w:rPr>
          <w:rFonts w:ascii="Times New Roman" w:hAnsi="Times New Roman"/>
        </w:rPr>
        <w:t xml:space="preserve"> </w:t>
      </w:r>
      <w:r w:rsidR="00424FD4">
        <w:rPr>
          <w:rFonts w:ascii="Times New Roman" w:hAnsi="Times New Roman"/>
        </w:rPr>
        <w:t>A</w:t>
      </w:r>
      <w:r w:rsidRPr="0099312A">
        <w:rPr>
          <w:rFonts w:ascii="Times New Roman" w:hAnsi="Times New Roman"/>
          <w:b/>
          <w:bCs/>
        </w:rPr>
        <w:t xml:space="preserve"> FAVOR DE SUS COPROPIETARIOS.</w:t>
      </w:r>
    </w:p>
    <w:p w14:paraId="1C34BC66" w14:textId="77777777" w:rsidR="009A2AAE" w:rsidRPr="0099312A" w:rsidRDefault="009A2AAE" w:rsidP="009A2AAE">
      <w:pPr>
        <w:pStyle w:val="Sinespaciado"/>
        <w:jc w:val="both"/>
        <w:rPr>
          <w:rFonts w:ascii="Times New Roman" w:hAnsi="Times New Roman"/>
          <w:b/>
          <w:bCs/>
        </w:rPr>
      </w:pPr>
    </w:p>
    <w:p w14:paraId="2E2C5844" w14:textId="50D4309B" w:rsidR="009A2AAE" w:rsidRPr="0099312A" w:rsidRDefault="009A2AAE" w:rsidP="009A2AAE">
      <w:pPr>
        <w:pStyle w:val="Sinespaciado"/>
        <w:jc w:val="both"/>
        <w:rPr>
          <w:rFonts w:ascii="Times New Roman" w:hAnsi="Times New Roman"/>
        </w:rPr>
      </w:pPr>
      <w:r w:rsidRPr="0099312A">
        <w:rPr>
          <w:rFonts w:ascii="Times New Roman" w:hAnsi="Times New Roman"/>
          <w:b/>
        </w:rPr>
        <w:t xml:space="preserve">Articulo 1.- </w:t>
      </w:r>
      <w:r w:rsidR="00424FD4" w:rsidRPr="0099312A">
        <w:rPr>
          <w:rFonts w:ascii="Times New Roman" w:hAnsi="Times New Roman"/>
          <w:b/>
        </w:rPr>
        <w:t>Objeto. -</w:t>
      </w:r>
      <w:r w:rsidRPr="0099312A">
        <w:rPr>
          <w:rFonts w:ascii="Times New Roman" w:hAnsi="Times New Roman"/>
          <w:b/>
        </w:rPr>
        <w:t xml:space="preserve"> </w:t>
      </w:r>
      <w:r w:rsidRPr="0099312A">
        <w:rPr>
          <w:rFonts w:ascii="Times New Roman" w:hAnsi="Times New Roman"/>
        </w:rPr>
        <w:t>La presente ordenanza tiene por objeto</w:t>
      </w:r>
      <w:r w:rsidRPr="0099312A">
        <w:rPr>
          <w:rFonts w:ascii="Times New Roman" w:hAnsi="Times New Roman"/>
          <w:b/>
        </w:rPr>
        <w:t xml:space="preserve"> </w:t>
      </w:r>
      <w:r w:rsidRPr="0099312A">
        <w:rPr>
          <w:rFonts w:ascii="Times New Roman" w:hAnsi="Times New Roman"/>
        </w:rPr>
        <w:t xml:space="preserve">reconocer y aprobar el fraccionamiento de los predios </w:t>
      </w:r>
      <w:r w:rsidR="00543C5A" w:rsidRPr="0099312A">
        <w:rPr>
          <w:rFonts w:ascii="Times New Roman" w:hAnsi="Times New Roman"/>
        </w:rPr>
        <w:t>569584,</w:t>
      </w:r>
      <w:r w:rsidR="00F23E3D">
        <w:rPr>
          <w:rFonts w:ascii="Times New Roman" w:hAnsi="Times New Roman"/>
        </w:rPr>
        <w:t xml:space="preserve"> y </w:t>
      </w:r>
      <w:r w:rsidR="00543C5A" w:rsidRPr="0099312A">
        <w:rPr>
          <w:rFonts w:ascii="Times New Roman" w:hAnsi="Times New Roman"/>
        </w:rPr>
        <w:t>569583, su pasaje</w:t>
      </w:r>
      <w:r w:rsidR="00F23E3D">
        <w:rPr>
          <w:rFonts w:ascii="Times New Roman" w:hAnsi="Times New Roman"/>
        </w:rPr>
        <w:t>, y</w:t>
      </w:r>
      <w:r w:rsidRPr="0099312A">
        <w:rPr>
          <w:rFonts w:ascii="Times New Roman" w:hAnsi="Times New Roman"/>
        </w:rPr>
        <w:t xml:space="preserve"> modificar la zonificación actual, sobre la que se </w:t>
      </w:r>
      <w:r w:rsidRPr="0099312A">
        <w:rPr>
          <w:rFonts w:ascii="Times New Roman" w:hAnsi="Times New Roman"/>
        </w:rPr>
        <w:lastRenderedPageBreak/>
        <w:t xml:space="preserve">encuentra el </w:t>
      </w:r>
      <w:r w:rsidR="002A37DA" w:rsidRPr="0099312A">
        <w:rPr>
          <w:rFonts w:ascii="Times New Roman" w:hAnsi="Times New Roman"/>
        </w:rPr>
        <w:t xml:space="preserve">asentamiento humano de hecho y consolidado de interés social </w:t>
      </w:r>
      <w:r w:rsidRPr="0099312A">
        <w:rPr>
          <w:rFonts w:ascii="Times New Roman" w:hAnsi="Times New Roman"/>
        </w:rPr>
        <w:t>denominado “Villa Vega III”, a favor de sus copropietarios.</w:t>
      </w:r>
    </w:p>
    <w:p w14:paraId="7642FFEB" w14:textId="77777777" w:rsidR="009A2AAE" w:rsidRPr="0099312A" w:rsidRDefault="009A2AAE" w:rsidP="009A2AAE">
      <w:pPr>
        <w:pStyle w:val="Sinespaciado"/>
        <w:jc w:val="both"/>
        <w:rPr>
          <w:rFonts w:ascii="Times New Roman" w:hAnsi="Times New Roman"/>
        </w:rPr>
      </w:pPr>
    </w:p>
    <w:p w14:paraId="0360C4B3" w14:textId="31B46B87" w:rsidR="009A2AAE" w:rsidRPr="0099312A" w:rsidRDefault="009A2AAE" w:rsidP="009A2AAE">
      <w:pPr>
        <w:pStyle w:val="Sinespaciado"/>
        <w:jc w:val="both"/>
        <w:rPr>
          <w:rFonts w:ascii="Times New Roman" w:hAnsi="Times New Roman"/>
        </w:rPr>
      </w:pPr>
      <w:r w:rsidRPr="0099312A">
        <w:rPr>
          <w:rFonts w:ascii="Times New Roman" w:hAnsi="Times New Roman"/>
          <w:b/>
          <w:bCs/>
        </w:rPr>
        <w:t xml:space="preserve">Artículo 2.- De los planos y documentos presentados.- </w:t>
      </w:r>
      <w:r w:rsidRPr="0099312A">
        <w:rPr>
          <w:rFonts w:ascii="Times New Roman" w:hAnsi="Times New Roman"/>
        </w:rPr>
        <w:t xml:space="preserve">Los planos y documentos presentados para la aprobación del presente acto normativo son de exclusiva responsabilidad del proyectista y de los copropietarios del </w:t>
      </w:r>
      <w:r w:rsidR="002A37DA" w:rsidRPr="0099312A">
        <w:rPr>
          <w:rFonts w:ascii="Times New Roman" w:hAnsi="Times New Roman"/>
        </w:rPr>
        <w:t xml:space="preserve">asentamiento humano de hecho y consolidado de interés social </w:t>
      </w:r>
      <w:r w:rsidRPr="0099312A">
        <w:rPr>
          <w:rFonts w:ascii="Times New Roman" w:hAnsi="Times New Roman"/>
        </w:rPr>
        <w:t>denominado “Villa Vega III”, ubicado en la parroquia Tumbaco, y de los funcionarios municipales que revisaron los planos y los documentos legales y/o emitieron los informes técnicos habilitantes de este procedimiento de regularización, salvo que estos hayan sido inducidos a engaño o al error.</w:t>
      </w:r>
    </w:p>
    <w:p w14:paraId="3266B0EA" w14:textId="77777777" w:rsidR="009A2AAE" w:rsidRPr="0099312A" w:rsidRDefault="009A2AAE" w:rsidP="009A2AAE">
      <w:pPr>
        <w:pStyle w:val="Sinespaciado"/>
        <w:jc w:val="both"/>
        <w:rPr>
          <w:rFonts w:ascii="Times New Roman" w:hAnsi="Times New Roman"/>
        </w:rPr>
      </w:pPr>
    </w:p>
    <w:p w14:paraId="289DC917" w14:textId="77777777" w:rsidR="009A2AAE" w:rsidRPr="0099312A" w:rsidRDefault="009A2AAE" w:rsidP="009A2AAE">
      <w:pPr>
        <w:pStyle w:val="Sinespaciado"/>
        <w:jc w:val="both"/>
        <w:rPr>
          <w:rFonts w:ascii="Times New Roman" w:hAnsi="Times New Roman"/>
        </w:rPr>
      </w:pPr>
      <w:r w:rsidRPr="0099312A">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8384727" w14:textId="77777777" w:rsidR="009A2AAE" w:rsidRPr="0099312A" w:rsidRDefault="009A2AAE" w:rsidP="009A2AAE">
      <w:pPr>
        <w:pStyle w:val="Sinespaciado"/>
        <w:jc w:val="both"/>
        <w:rPr>
          <w:rFonts w:ascii="Times New Roman" w:hAnsi="Times New Roman"/>
        </w:rPr>
      </w:pPr>
      <w:r w:rsidRPr="0099312A">
        <w:rPr>
          <w:rFonts w:ascii="Times New Roman" w:hAnsi="Times New Roman"/>
        </w:rPr>
        <w:t>Las dimensiones y superficies de los lotes son las determinadas en el plano aprobatorio que forma parte integrante de esta Ordenanza.</w:t>
      </w:r>
    </w:p>
    <w:p w14:paraId="320E8E2B" w14:textId="77777777" w:rsidR="009A2AAE" w:rsidRPr="0099312A" w:rsidRDefault="009A2AAE" w:rsidP="009A2AAE">
      <w:pPr>
        <w:pStyle w:val="Sinespaciado"/>
        <w:jc w:val="both"/>
        <w:rPr>
          <w:rFonts w:ascii="Times New Roman" w:hAnsi="Times New Roman"/>
        </w:rPr>
      </w:pPr>
    </w:p>
    <w:p w14:paraId="7370C9C8" w14:textId="39840E1C"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Los copropietarios del </w:t>
      </w:r>
      <w:r w:rsidR="002A37DA" w:rsidRPr="0099312A">
        <w:rPr>
          <w:rFonts w:ascii="Times New Roman" w:hAnsi="Times New Roman"/>
        </w:rPr>
        <w:t xml:space="preserve">asentamiento humano de hecho y consolidado de interés social </w:t>
      </w:r>
      <w:r w:rsidRPr="0099312A">
        <w:rPr>
          <w:rFonts w:ascii="Times New Roman" w:hAnsi="Times New Roman"/>
        </w:rPr>
        <w:t>denominado “</w:t>
      </w:r>
      <w:r w:rsidR="00C03E0D">
        <w:rPr>
          <w:rFonts w:ascii="Times New Roman" w:hAnsi="Times New Roman"/>
        </w:rPr>
        <w:t>Villa Vega III</w:t>
      </w:r>
      <w:r w:rsidRPr="0099312A">
        <w:rPr>
          <w:rFonts w:ascii="Times New Roman" w:hAnsi="Times New Roman"/>
        </w:rPr>
        <w:t>”</w:t>
      </w:r>
      <w:r w:rsidRPr="0099312A">
        <w:rPr>
          <w:rFonts w:ascii="Times New Roman" w:hAnsi="Times New Roman"/>
          <w:bCs/>
        </w:rPr>
        <w:t>,</w:t>
      </w:r>
      <w:r w:rsidRPr="0099312A">
        <w:rPr>
          <w:rFonts w:ascii="Times New Roman" w:hAnsi="Times New Roman"/>
        </w:rPr>
        <w:t xml:space="preserve"> ubicado en la parroquia </w:t>
      </w:r>
      <w:r w:rsidR="00C03E0D">
        <w:rPr>
          <w:rFonts w:ascii="Times New Roman" w:hAnsi="Times New Roman"/>
        </w:rPr>
        <w:t>Tumbaco</w:t>
      </w:r>
      <w:r w:rsidRPr="0099312A">
        <w:rPr>
          <w:rFonts w:ascii="Times New Roman" w:hAnsi="Times New Roman"/>
        </w:rPr>
        <w:t>, se comprometen a respetar las características de los lotes establecidas en el Plano y en este instrumento; por tanto, no podrán fraccionarlos o dividirlos.</w:t>
      </w:r>
    </w:p>
    <w:p w14:paraId="48F9E668" w14:textId="77777777" w:rsidR="009A2AAE" w:rsidRPr="0099312A" w:rsidRDefault="009A2AAE" w:rsidP="009A2AAE">
      <w:pPr>
        <w:pStyle w:val="Sinespaciado"/>
        <w:jc w:val="both"/>
        <w:rPr>
          <w:rFonts w:ascii="Times New Roman" w:hAnsi="Times New Roman"/>
        </w:rPr>
      </w:pPr>
    </w:p>
    <w:p w14:paraId="3608FB39" w14:textId="77777777"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19A9293" w14:textId="77777777" w:rsidR="009A2AAE" w:rsidRPr="0099312A" w:rsidRDefault="009A2AAE" w:rsidP="009A2AAE">
      <w:pPr>
        <w:pStyle w:val="Sinespaciado"/>
        <w:jc w:val="both"/>
        <w:rPr>
          <w:rFonts w:ascii="Times New Roman" w:hAnsi="Times New Roman"/>
        </w:rPr>
      </w:pPr>
    </w:p>
    <w:p w14:paraId="71F5D536" w14:textId="0CBBD3CB" w:rsidR="009A2AAE" w:rsidRPr="0099312A" w:rsidRDefault="009A2AAE" w:rsidP="009A2AAE">
      <w:pPr>
        <w:pStyle w:val="Sinespaciado"/>
        <w:jc w:val="both"/>
        <w:rPr>
          <w:rFonts w:ascii="Times New Roman" w:hAnsi="Times New Roman"/>
        </w:rPr>
      </w:pPr>
      <w:r w:rsidRPr="0099312A">
        <w:rPr>
          <w:rFonts w:ascii="Times New Roman" w:hAnsi="Times New Roman"/>
          <w:b/>
          <w:bCs/>
        </w:rPr>
        <w:t xml:space="preserve">Artículo 3.- Declaratoria de Interés </w:t>
      </w:r>
      <w:r w:rsidR="0065261B" w:rsidRPr="0099312A">
        <w:rPr>
          <w:rFonts w:ascii="Times New Roman" w:hAnsi="Times New Roman"/>
          <w:b/>
          <w:bCs/>
        </w:rPr>
        <w:t>Social. -</w:t>
      </w:r>
      <w:r w:rsidRPr="0099312A">
        <w:rPr>
          <w:rFonts w:ascii="Times New Roman" w:hAnsi="Times New Roman"/>
          <w:b/>
          <w:bCs/>
        </w:rPr>
        <w:t xml:space="preserve"> </w:t>
      </w:r>
      <w:r w:rsidRPr="0099312A">
        <w:rPr>
          <w:rFonts w:ascii="Times New Roman" w:hAnsi="Times New Roman"/>
        </w:rPr>
        <w:t xml:space="preserve">Por las condiciones del </w:t>
      </w:r>
      <w:r w:rsidR="002A37DA" w:rsidRPr="0099312A">
        <w:rPr>
          <w:rFonts w:ascii="Times New Roman" w:hAnsi="Times New Roman"/>
        </w:rPr>
        <w:t xml:space="preserve">asentamiento humano de hecho y consolidado, </w:t>
      </w:r>
      <w:r w:rsidRPr="0099312A">
        <w:rPr>
          <w:rFonts w:ascii="Times New Roman" w:hAnsi="Times New Roman"/>
        </w:rPr>
        <w:t>se lo aprueba considerándolo de Interés Social de conformidad con la normativa vigente.</w:t>
      </w:r>
    </w:p>
    <w:p w14:paraId="7F016137" w14:textId="77777777" w:rsidR="009A2AAE" w:rsidRPr="0099312A" w:rsidRDefault="009A2AAE" w:rsidP="009A2AAE">
      <w:pPr>
        <w:pStyle w:val="Sinespaciado"/>
        <w:jc w:val="both"/>
        <w:rPr>
          <w:rFonts w:ascii="Times New Roman" w:hAnsi="Times New Roman"/>
        </w:rPr>
      </w:pPr>
    </w:p>
    <w:p w14:paraId="32392846" w14:textId="55975598" w:rsidR="009A2AAE" w:rsidRPr="0099312A" w:rsidRDefault="009A2AAE" w:rsidP="009A2AAE">
      <w:pPr>
        <w:pStyle w:val="Sinespaciado"/>
        <w:jc w:val="both"/>
        <w:rPr>
          <w:rFonts w:ascii="Times New Roman" w:hAnsi="Times New Roman"/>
          <w:b/>
        </w:rPr>
      </w:pPr>
      <w:r w:rsidRPr="0099312A">
        <w:rPr>
          <w:rFonts w:ascii="Times New Roman" w:hAnsi="Times New Roman"/>
          <w:b/>
        </w:rPr>
        <w:t xml:space="preserve">Artículo 4.- Especificaciones </w:t>
      </w:r>
      <w:r w:rsidR="0065261B" w:rsidRPr="0099312A">
        <w:rPr>
          <w:rFonts w:ascii="Times New Roman" w:hAnsi="Times New Roman"/>
          <w:b/>
        </w:rPr>
        <w:t>técnicas. -</w:t>
      </w:r>
    </w:p>
    <w:p w14:paraId="55CAD7C6" w14:textId="77777777" w:rsidR="009A2AAE" w:rsidRPr="0099312A" w:rsidRDefault="009A2AAE" w:rsidP="009A2AAE">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40"/>
        <w:gridCol w:w="2190"/>
        <w:gridCol w:w="2141"/>
      </w:tblGrid>
      <w:tr w:rsidR="009A2AAE" w:rsidRPr="0099312A" w14:paraId="37153822" w14:textId="77777777" w:rsidTr="00F84508">
        <w:trPr>
          <w:trHeight w:val="175"/>
        </w:trPr>
        <w:tc>
          <w:tcPr>
            <w:tcW w:w="4340" w:type="dxa"/>
          </w:tcPr>
          <w:p w14:paraId="61C4B8AB" w14:textId="77777777" w:rsidR="009A2AAE" w:rsidRPr="0099312A" w:rsidRDefault="009A2AAE" w:rsidP="00F84508">
            <w:pPr>
              <w:pStyle w:val="Sinespaciado"/>
              <w:jc w:val="both"/>
              <w:rPr>
                <w:rFonts w:ascii="Times New Roman" w:hAnsi="Times New Roman"/>
                <w:b/>
                <w:bCs/>
              </w:rPr>
            </w:pPr>
            <w:r w:rsidRPr="0099312A">
              <w:rPr>
                <w:rFonts w:ascii="Times New Roman" w:hAnsi="Times New Roman"/>
                <w:b/>
                <w:bCs/>
              </w:rPr>
              <w:t>Predio Número</w:t>
            </w:r>
          </w:p>
        </w:tc>
        <w:tc>
          <w:tcPr>
            <w:tcW w:w="2190" w:type="dxa"/>
          </w:tcPr>
          <w:p w14:paraId="52ED6DFC" w14:textId="5A7B67F1" w:rsidR="009A2AAE" w:rsidRPr="0099312A" w:rsidRDefault="000D5B33" w:rsidP="00F84508">
            <w:pPr>
              <w:pStyle w:val="Sinespaciado"/>
              <w:jc w:val="both"/>
              <w:rPr>
                <w:rFonts w:ascii="Times New Roman" w:hAnsi="Times New Roman"/>
                <w:b/>
                <w:bCs/>
              </w:rPr>
            </w:pPr>
            <w:r w:rsidRPr="0099312A">
              <w:rPr>
                <w:rFonts w:ascii="Times New Roman" w:hAnsi="Times New Roman"/>
              </w:rPr>
              <w:t>569584</w:t>
            </w:r>
          </w:p>
        </w:tc>
        <w:tc>
          <w:tcPr>
            <w:tcW w:w="2141" w:type="dxa"/>
          </w:tcPr>
          <w:p w14:paraId="79A12BAB" w14:textId="4E1A0FF8" w:rsidR="009A2AAE" w:rsidRPr="0099312A" w:rsidRDefault="000D5B33" w:rsidP="00F84508">
            <w:pPr>
              <w:pStyle w:val="Sinespaciado"/>
              <w:jc w:val="both"/>
              <w:rPr>
                <w:rFonts w:ascii="Times New Roman" w:hAnsi="Times New Roman"/>
                <w:b/>
                <w:bCs/>
              </w:rPr>
            </w:pPr>
            <w:r w:rsidRPr="0099312A">
              <w:rPr>
                <w:rFonts w:ascii="Times New Roman" w:hAnsi="Times New Roman"/>
              </w:rPr>
              <w:t>569583</w:t>
            </w:r>
          </w:p>
        </w:tc>
      </w:tr>
      <w:tr w:rsidR="009A2AAE" w:rsidRPr="0099312A" w14:paraId="0802F33E" w14:textId="77777777" w:rsidTr="00F84508">
        <w:trPr>
          <w:trHeight w:val="206"/>
        </w:trPr>
        <w:tc>
          <w:tcPr>
            <w:tcW w:w="4340" w:type="dxa"/>
          </w:tcPr>
          <w:p w14:paraId="44173151" w14:textId="77777777" w:rsidR="009A2AAE" w:rsidRPr="0099312A" w:rsidRDefault="009A2AAE" w:rsidP="00F84508">
            <w:pPr>
              <w:pStyle w:val="Sinespaciado"/>
              <w:jc w:val="both"/>
              <w:rPr>
                <w:rFonts w:ascii="Times New Roman" w:hAnsi="Times New Roman"/>
              </w:rPr>
            </w:pPr>
            <w:r w:rsidRPr="0099312A">
              <w:rPr>
                <w:rFonts w:ascii="Times New Roman" w:hAnsi="Times New Roman"/>
                <w:b/>
              </w:rPr>
              <w:t>Zonificación actual</w:t>
            </w:r>
          </w:p>
        </w:tc>
        <w:tc>
          <w:tcPr>
            <w:tcW w:w="2190" w:type="dxa"/>
          </w:tcPr>
          <w:p w14:paraId="48CBB669" w14:textId="0D2C0C5F" w:rsidR="009A2AAE" w:rsidRPr="0099312A" w:rsidRDefault="009A2AAE" w:rsidP="00F84508">
            <w:pPr>
              <w:pStyle w:val="Sinespaciado"/>
              <w:jc w:val="both"/>
              <w:rPr>
                <w:rFonts w:ascii="Times New Roman" w:hAnsi="Times New Roman"/>
              </w:rPr>
            </w:pPr>
            <w:r w:rsidRPr="0099312A">
              <w:rPr>
                <w:rFonts w:ascii="Times New Roman" w:hAnsi="Times New Roman"/>
                <w:color w:val="000000" w:themeColor="text1"/>
              </w:rPr>
              <w:t>A</w:t>
            </w:r>
            <w:r w:rsidR="001074F5">
              <w:rPr>
                <w:rFonts w:ascii="Times New Roman" w:hAnsi="Times New Roman"/>
                <w:color w:val="000000" w:themeColor="text1"/>
              </w:rPr>
              <w:t>8</w:t>
            </w:r>
            <w:r w:rsidRPr="0099312A">
              <w:rPr>
                <w:rFonts w:ascii="Times New Roman" w:hAnsi="Times New Roman"/>
                <w:color w:val="000000" w:themeColor="text1"/>
              </w:rPr>
              <w:t xml:space="preserve"> (</w:t>
            </w:r>
            <w:r w:rsidR="001074F5">
              <w:rPr>
                <w:rFonts w:ascii="Times New Roman" w:hAnsi="Times New Roman"/>
                <w:color w:val="000000" w:themeColor="text1"/>
              </w:rPr>
              <w:t>603</w:t>
            </w:r>
            <w:r w:rsidRPr="0099312A">
              <w:rPr>
                <w:rFonts w:ascii="Times New Roman" w:hAnsi="Times New Roman"/>
                <w:color w:val="000000" w:themeColor="text1"/>
              </w:rPr>
              <w:t>-35)</w:t>
            </w:r>
          </w:p>
        </w:tc>
        <w:tc>
          <w:tcPr>
            <w:tcW w:w="2141" w:type="dxa"/>
          </w:tcPr>
          <w:p w14:paraId="4A21A6A5" w14:textId="77777777" w:rsidR="009A2AAE" w:rsidRPr="0099312A" w:rsidRDefault="009A2AAE" w:rsidP="00F84508">
            <w:pPr>
              <w:pStyle w:val="Sinespaciado"/>
              <w:jc w:val="both"/>
              <w:rPr>
                <w:rFonts w:ascii="Times New Roman" w:hAnsi="Times New Roman"/>
              </w:rPr>
            </w:pPr>
            <w:r w:rsidRPr="0099312A">
              <w:rPr>
                <w:rFonts w:ascii="Times New Roman" w:hAnsi="Times New Roman"/>
                <w:color w:val="000000" w:themeColor="text1"/>
              </w:rPr>
              <w:t>A8(A603-35)</w:t>
            </w:r>
          </w:p>
        </w:tc>
      </w:tr>
      <w:tr w:rsidR="009A2AAE" w:rsidRPr="0099312A" w14:paraId="38EFDFC6" w14:textId="77777777" w:rsidTr="00F84508">
        <w:trPr>
          <w:trHeight w:val="225"/>
        </w:trPr>
        <w:tc>
          <w:tcPr>
            <w:tcW w:w="4340" w:type="dxa"/>
          </w:tcPr>
          <w:p w14:paraId="743A4931" w14:textId="77777777" w:rsidR="009A2AAE" w:rsidRPr="0099312A" w:rsidRDefault="009A2AAE" w:rsidP="00F84508">
            <w:pPr>
              <w:pStyle w:val="Sinespaciado"/>
              <w:jc w:val="both"/>
              <w:rPr>
                <w:rFonts w:ascii="Times New Roman" w:hAnsi="Times New Roman"/>
                <w:b/>
              </w:rPr>
            </w:pPr>
            <w:r w:rsidRPr="0099312A">
              <w:rPr>
                <w:rFonts w:ascii="Times New Roman" w:hAnsi="Times New Roman"/>
                <w:b/>
              </w:rPr>
              <w:t>Lote mínimo</w:t>
            </w:r>
          </w:p>
        </w:tc>
        <w:tc>
          <w:tcPr>
            <w:tcW w:w="2190" w:type="dxa"/>
          </w:tcPr>
          <w:p w14:paraId="7B16DB6D" w14:textId="77777777" w:rsidR="009A2AAE" w:rsidRPr="0099312A" w:rsidRDefault="009A2AAE" w:rsidP="00F84508">
            <w:pPr>
              <w:pStyle w:val="Sinespaciado"/>
              <w:jc w:val="both"/>
              <w:rPr>
                <w:rFonts w:ascii="Times New Roman" w:hAnsi="Times New Roman"/>
                <w:b/>
              </w:rPr>
            </w:pPr>
            <w:r w:rsidRPr="0099312A">
              <w:rPr>
                <w:rFonts w:ascii="Times New Roman" w:hAnsi="Times New Roman"/>
                <w:color w:val="000000" w:themeColor="text1"/>
              </w:rPr>
              <w:t>600 m2</w:t>
            </w:r>
          </w:p>
        </w:tc>
        <w:tc>
          <w:tcPr>
            <w:tcW w:w="2141" w:type="dxa"/>
          </w:tcPr>
          <w:p w14:paraId="36ECE3E7" w14:textId="53A58EF1" w:rsidR="009A2AAE" w:rsidRPr="0099312A" w:rsidRDefault="001074F5" w:rsidP="00F84508">
            <w:pPr>
              <w:pStyle w:val="Sinespaciado"/>
              <w:jc w:val="both"/>
              <w:rPr>
                <w:rFonts w:ascii="Times New Roman" w:hAnsi="Times New Roman"/>
                <w:b/>
              </w:rPr>
            </w:pPr>
            <w:r w:rsidRPr="0099312A">
              <w:rPr>
                <w:rFonts w:ascii="Times New Roman" w:hAnsi="Times New Roman"/>
                <w:color w:val="000000" w:themeColor="text1"/>
              </w:rPr>
              <w:t>600 m2</w:t>
            </w:r>
          </w:p>
        </w:tc>
      </w:tr>
      <w:tr w:rsidR="009A2AAE" w:rsidRPr="0099312A" w14:paraId="60DE0748" w14:textId="77777777" w:rsidTr="00F84508">
        <w:trPr>
          <w:trHeight w:val="242"/>
        </w:trPr>
        <w:tc>
          <w:tcPr>
            <w:tcW w:w="4340" w:type="dxa"/>
          </w:tcPr>
          <w:p w14:paraId="65687403" w14:textId="77777777" w:rsidR="009A2AAE" w:rsidRPr="0099312A" w:rsidRDefault="009A2AAE" w:rsidP="00F84508">
            <w:pPr>
              <w:pStyle w:val="Sinespaciado"/>
              <w:jc w:val="both"/>
              <w:rPr>
                <w:rFonts w:ascii="Times New Roman" w:hAnsi="Times New Roman"/>
                <w:b/>
              </w:rPr>
            </w:pPr>
            <w:r w:rsidRPr="0099312A">
              <w:rPr>
                <w:rFonts w:ascii="Times New Roman" w:hAnsi="Times New Roman"/>
                <w:b/>
              </w:rPr>
              <w:t>Forma ocupación del suelo</w:t>
            </w:r>
          </w:p>
        </w:tc>
        <w:tc>
          <w:tcPr>
            <w:tcW w:w="2190" w:type="dxa"/>
          </w:tcPr>
          <w:p w14:paraId="7337830F" w14:textId="77777777" w:rsidR="009A2AAE" w:rsidRPr="0099312A" w:rsidRDefault="009A2AAE" w:rsidP="00F84508">
            <w:pPr>
              <w:pStyle w:val="Sinespaciado"/>
              <w:jc w:val="both"/>
              <w:rPr>
                <w:rFonts w:ascii="Times New Roman" w:hAnsi="Times New Roman"/>
                <w:b/>
              </w:rPr>
            </w:pPr>
            <w:r w:rsidRPr="0099312A">
              <w:rPr>
                <w:rFonts w:ascii="Times New Roman" w:hAnsi="Times New Roman"/>
                <w:color w:val="000000" w:themeColor="text1"/>
              </w:rPr>
              <w:t>(A) Aislada</w:t>
            </w:r>
          </w:p>
        </w:tc>
        <w:tc>
          <w:tcPr>
            <w:tcW w:w="2141" w:type="dxa"/>
          </w:tcPr>
          <w:p w14:paraId="33ABCCD6" w14:textId="58BA7CD0" w:rsidR="009A2AAE" w:rsidRPr="0099312A" w:rsidRDefault="001074F5" w:rsidP="00F84508">
            <w:pPr>
              <w:pStyle w:val="Sinespaciado"/>
              <w:jc w:val="both"/>
              <w:rPr>
                <w:rFonts w:ascii="Times New Roman" w:hAnsi="Times New Roman"/>
                <w:b/>
              </w:rPr>
            </w:pPr>
            <w:r w:rsidRPr="0099312A">
              <w:rPr>
                <w:rFonts w:ascii="Times New Roman" w:hAnsi="Times New Roman"/>
                <w:color w:val="000000" w:themeColor="text1"/>
              </w:rPr>
              <w:t>(A) Aislada</w:t>
            </w:r>
          </w:p>
        </w:tc>
      </w:tr>
      <w:tr w:rsidR="009A2AAE" w:rsidRPr="0099312A" w14:paraId="254214DE" w14:textId="77777777" w:rsidTr="00CC5FFA">
        <w:trPr>
          <w:trHeight w:val="261"/>
        </w:trPr>
        <w:tc>
          <w:tcPr>
            <w:tcW w:w="4340" w:type="dxa"/>
            <w:vAlign w:val="center"/>
          </w:tcPr>
          <w:p w14:paraId="40CA3151" w14:textId="77777777" w:rsidR="009A2AAE" w:rsidRPr="0099312A" w:rsidRDefault="009A2AAE" w:rsidP="00F84508">
            <w:pPr>
              <w:pStyle w:val="Sinespaciado"/>
              <w:jc w:val="both"/>
              <w:rPr>
                <w:rFonts w:ascii="Times New Roman" w:hAnsi="Times New Roman"/>
                <w:b/>
              </w:rPr>
            </w:pPr>
            <w:r w:rsidRPr="0099312A">
              <w:rPr>
                <w:rFonts w:ascii="Times New Roman" w:hAnsi="Times New Roman"/>
                <w:b/>
              </w:rPr>
              <w:t>Uso principal del suelo</w:t>
            </w:r>
          </w:p>
        </w:tc>
        <w:tc>
          <w:tcPr>
            <w:tcW w:w="2190" w:type="dxa"/>
            <w:tcBorders>
              <w:bottom w:val="single" w:sz="4" w:space="0" w:color="auto"/>
            </w:tcBorders>
          </w:tcPr>
          <w:p w14:paraId="27D2DA4D" w14:textId="05867EF0" w:rsidR="009A2AAE" w:rsidRPr="0099312A" w:rsidRDefault="001074F5" w:rsidP="00F84508">
            <w:pPr>
              <w:pStyle w:val="Sinespaciado"/>
              <w:jc w:val="both"/>
              <w:rPr>
                <w:rFonts w:ascii="Times New Roman" w:hAnsi="Times New Roman"/>
              </w:rPr>
            </w:pPr>
            <w:r w:rsidRPr="0099312A">
              <w:rPr>
                <w:rFonts w:ascii="Times New Roman" w:hAnsi="Times New Roman"/>
                <w:color w:val="000000" w:themeColor="text1"/>
              </w:rPr>
              <w:t xml:space="preserve">(RU1) </w:t>
            </w:r>
            <w:r w:rsidR="00424FD4" w:rsidRPr="0099312A">
              <w:rPr>
                <w:rFonts w:ascii="Times New Roman" w:hAnsi="Times New Roman"/>
                <w:color w:val="000000" w:themeColor="text1"/>
              </w:rPr>
              <w:t>Residencial Urbano</w:t>
            </w:r>
            <w:r w:rsidRPr="0099312A">
              <w:rPr>
                <w:rFonts w:ascii="Times New Roman" w:hAnsi="Times New Roman"/>
                <w:color w:val="000000" w:themeColor="text1"/>
              </w:rPr>
              <w:t xml:space="preserve"> 1</w:t>
            </w:r>
          </w:p>
        </w:tc>
        <w:tc>
          <w:tcPr>
            <w:tcW w:w="2141" w:type="dxa"/>
            <w:tcBorders>
              <w:bottom w:val="single" w:sz="4" w:space="0" w:color="auto"/>
            </w:tcBorders>
          </w:tcPr>
          <w:p w14:paraId="5F0D88B3" w14:textId="5B835AD7" w:rsidR="009A2AAE" w:rsidRPr="0099312A" w:rsidRDefault="001074F5" w:rsidP="00F84508">
            <w:pPr>
              <w:pStyle w:val="Sinespaciado"/>
              <w:jc w:val="both"/>
              <w:rPr>
                <w:rFonts w:ascii="Times New Roman" w:hAnsi="Times New Roman"/>
              </w:rPr>
            </w:pPr>
            <w:r w:rsidRPr="0099312A">
              <w:rPr>
                <w:rFonts w:ascii="Times New Roman" w:hAnsi="Times New Roman"/>
                <w:color w:val="000000" w:themeColor="text1"/>
              </w:rPr>
              <w:t xml:space="preserve">(RU1) </w:t>
            </w:r>
            <w:r w:rsidR="00424FD4" w:rsidRPr="0099312A">
              <w:rPr>
                <w:rFonts w:ascii="Times New Roman" w:hAnsi="Times New Roman"/>
                <w:color w:val="000000" w:themeColor="text1"/>
              </w:rPr>
              <w:t>Residencial Urbano</w:t>
            </w:r>
            <w:r w:rsidRPr="0099312A">
              <w:rPr>
                <w:rFonts w:ascii="Times New Roman" w:hAnsi="Times New Roman"/>
                <w:color w:val="000000" w:themeColor="text1"/>
              </w:rPr>
              <w:t xml:space="preserve"> 1</w:t>
            </w:r>
          </w:p>
        </w:tc>
      </w:tr>
      <w:tr w:rsidR="009A2AAE" w:rsidRPr="0099312A" w14:paraId="7C6F89CF" w14:textId="77777777" w:rsidTr="009A2AAE">
        <w:trPr>
          <w:trHeight w:val="278"/>
        </w:trPr>
        <w:tc>
          <w:tcPr>
            <w:tcW w:w="4340" w:type="dxa"/>
          </w:tcPr>
          <w:p w14:paraId="73275A51" w14:textId="77777777" w:rsidR="009A2AAE" w:rsidRPr="0099312A" w:rsidRDefault="009A2AAE" w:rsidP="00F84508">
            <w:pPr>
              <w:pStyle w:val="Sinespaciado"/>
              <w:jc w:val="both"/>
              <w:rPr>
                <w:rFonts w:ascii="Times New Roman" w:hAnsi="Times New Roman"/>
                <w:b/>
              </w:rPr>
            </w:pPr>
            <w:r w:rsidRPr="0099312A">
              <w:rPr>
                <w:rFonts w:ascii="Times New Roman" w:hAnsi="Times New Roman"/>
                <w:b/>
              </w:rPr>
              <w:t>Clasificación del Suelo</w:t>
            </w:r>
          </w:p>
        </w:tc>
        <w:tc>
          <w:tcPr>
            <w:tcW w:w="2190" w:type="dxa"/>
            <w:tcBorders>
              <w:bottom w:val="single" w:sz="4" w:space="0" w:color="auto"/>
            </w:tcBorders>
          </w:tcPr>
          <w:p w14:paraId="47C0D52E" w14:textId="19159B8D" w:rsidR="009A2AAE" w:rsidRPr="0099312A" w:rsidRDefault="0002676A" w:rsidP="00F84508">
            <w:pPr>
              <w:pStyle w:val="Sinespaciado"/>
              <w:jc w:val="both"/>
              <w:rPr>
                <w:rFonts w:ascii="Times New Roman" w:hAnsi="Times New Roman"/>
                <w:b/>
              </w:rPr>
            </w:pPr>
            <w:r>
              <w:rPr>
                <w:rFonts w:ascii="Times New Roman" w:hAnsi="Times New Roman"/>
                <w:color w:val="000000" w:themeColor="text1"/>
              </w:rPr>
              <w:t xml:space="preserve">(SU) Suelo </w:t>
            </w:r>
            <w:r w:rsidR="009A2AAE" w:rsidRPr="0099312A">
              <w:rPr>
                <w:rFonts w:ascii="Times New Roman" w:hAnsi="Times New Roman"/>
                <w:color w:val="000000" w:themeColor="text1"/>
              </w:rPr>
              <w:t xml:space="preserve">Urbano </w:t>
            </w:r>
          </w:p>
        </w:tc>
        <w:tc>
          <w:tcPr>
            <w:tcW w:w="2141" w:type="dxa"/>
            <w:tcBorders>
              <w:bottom w:val="single" w:sz="4" w:space="0" w:color="auto"/>
            </w:tcBorders>
          </w:tcPr>
          <w:p w14:paraId="4BBF1403" w14:textId="325C7702" w:rsidR="009A2AAE" w:rsidRPr="0099312A" w:rsidRDefault="0002676A" w:rsidP="00F84508">
            <w:pPr>
              <w:pStyle w:val="Sinespaciado"/>
              <w:jc w:val="both"/>
              <w:rPr>
                <w:rFonts w:ascii="Times New Roman" w:hAnsi="Times New Roman"/>
                <w:b/>
              </w:rPr>
            </w:pPr>
            <w:r>
              <w:rPr>
                <w:rFonts w:ascii="Times New Roman" w:hAnsi="Times New Roman"/>
                <w:color w:val="000000" w:themeColor="text1"/>
              </w:rPr>
              <w:t xml:space="preserve">(SU) Suelo </w:t>
            </w:r>
            <w:r w:rsidRPr="0099312A">
              <w:rPr>
                <w:rFonts w:ascii="Times New Roman" w:hAnsi="Times New Roman"/>
                <w:color w:val="000000" w:themeColor="text1"/>
              </w:rPr>
              <w:t>Urbano</w:t>
            </w:r>
          </w:p>
        </w:tc>
      </w:tr>
      <w:tr w:rsidR="009A2AAE" w:rsidRPr="0099312A" w14:paraId="780FE0D6" w14:textId="77777777" w:rsidTr="009A2AAE">
        <w:trPr>
          <w:trHeight w:val="141"/>
        </w:trPr>
        <w:tc>
          <w:tcPr>
            <w:tcW w:w="4340" w:type="dxa"/>
            <w:tcBorders>
              <w:bottom w:val="single" w:sz="4" w:space="0" w:color="auto"/>
              <w:right w:val="single" w:sz="4" w:space="0" w:color="auto"/>
            </w:tcBorders>
          </w:tcPr>
          <w:p w14:paraId="5E06B86B" w14:textId="77777777" w:rsidR="009A2AAE" w:rsidRPr="0099312A" w:rsidRDefault="009A2AAE" w:rsidP="00F84508">
            <w:pPr>
              <w:pStyle w:val="Sinespaciado"/>
              <w:jc w:val="both"/>
              <w:rPr>
                <w:rFonts w:ascii="Times New Roman" w:hAnsi="Times New Roman"/>
                <w:b/>
              </w:rPr>
            </w:pPr>
            <w:r w:rsidRPr="0099312A">
              <w:rPr>
                <w:rFonts w:ascii="Times New Roman" w:hAnsi="Times New Roman"/>
                <w:b/>
              </w:rPr>
              <w:t>Número de lotes</w:t>
            </w:r>
          </w:p>
        </w:tc>
        <w:tc>
          <w:tcPr>
            <w:tcW w:w="2190" w:type="dxa"/>
            <w:tcBorders>
              <w:top w:val="single" w:sz="4" w:space="0" w:color="auto"/>
              <w:left w:val="single" w:sz="4" w:space="0" w:color="auto"/>
              <w:bottom w:val="single" w:sz="4" w:space="0" w:color="auto"/>
              <w:right w:val="nil"/>
            </w:tcBorders>
          </w:tcPr>
          <w:p w14:paraId="42DDC234" w14:textId="77777777" w:rsidR="009A2AAE" w:rsidRPr="0099312A" w:rsidRDefault="009A2AAE" w:rsidP="00F84508">
            <w:pPr>
              <w:pStyle w:val="Sinespaciado"/>
              <w:jc w:val="both"/>
              <w:rPr>
                <w:rFonts w:ascii="Times New Roman" w:hAnsi="Times New Roman"/>
                <w:b/>
                <w:color w:val="000000" w:themeColor="text1"/>
              </w:rPr>
            </w:pPr>
            <w:r w:rsidRPr="0099312A">
              <w:rPr>
                <w:rFonts w:ascii="Times New Roman" w:hAnsi="Times New Roman"/>
                <w:b/>
                <w:color w:val="000000" w:themeColor="text1"/>
              </w:rPr>
              <w:t>12</w:t>
            </w:r>
          </w:p>
        </w:tc>
        <w:tc>
          <w:tcPr>
            <w:tcW w:w="2141" w:type="dxa"/>
            <w:tcBorders>
              <w:top w:val="single" w:sz="4" w:space="0" w:color="auto"/>
              <w:left w:val="nil"/>
              <w:bottom w:val="single" w:sz="4" w:space="0" w:color="auto"/>
              <w:right w:val="single" w:sz="4" w:space="0" w:color="auto"/>
            </w:tcBorders>
          </w:tcPr>
          <w:p w14:paraId="50701CDB" w14:textId="77777777" w:rsidR="009A2AAE" w:rsidRPr="0099312A" w:rsidRDefault="009A2AAE" w:rsidP="00F84508">
            <w:pPr>
              <w:pStyle w:val="Sinespaciado"/>
              <w:jc w:val="both"/>
              <w:rPr>
                <w:rFonts w:ascii="Times New Roman" w:hAnsi="Times New Roman"/>
                <w:b/>
                <w:color w:val="000000" w:themeColor="text1"/>
              </w:rPr>
            </w:pPr>
          </w:p>
        </w:tc>
      </w:tr>
      <w:tr w:rsidR="009A2AAE" w:rsidRPr="0099312A" w14:paraId="77D73376" w14:textId="77777777" w:rsidTr="009A2AAE">
        <w:trPr>
          <w:trHeight w:val="159"/>
        </w:trPr>
        <w:tc>
          <w:tcPr>
            <w:tcW w:w="4340" w:type="dxa"/>
            <w:tcBorders>
              <w:top w:val="single" w:sz="4" w:space="0" w:color="auto"/>
            </w:tcBorders>
          </w:tcPr>
          <w:p w14:paraId="1431656F" w14:textId="77777777" w:rsidR="009A2AAE" w:rsidRPr="0099312A" w:rsidRDefault="009A2AAE" w:rsidP="00F84508">
            <w:pPr>
              <w:pStyle w:val="Sinespaciado"/>
              <w:jc w:val="both"/>
              <w:rPr>
                <w:rFonts w:ascii="Times New Roman" w:hAnsi="Times New Roman"/>
                <w:b/>
              </w:rPr>
            </w:pPr>
            <w:r w:rsidRPr="0099312A">
              <w:rPr>
                <w:rFonts w:ascii="Times New Roman" w:hAnsi="Times New Roman"/>
                <w:b/>
              </w:rPr>
              <w:t>Área útil de lotes</w:t>
            </w:r>
          </w:p>
        </w:tc>
        <w:tc>
          <w:tcPr>
            <w:tcW w:w="2190" w:type="dxa"/>
            <w:tcBorders>
              <w:top w:val="single" w:sz="4" w:space="0" w:color="auto"/>
              <w:bottom w:val="single" w:sz="4" w:space="0" w:color="auto"/>
              <w:right w:val="nil"/>
            </w:tcBorders>
          </w:tcPr>
          <w:p w14:paraId="460D182F" w14:textId="3C747CB9" w:rsidR="009A2AAE" w:rsidRPr="0099312A" w:rsidRDefault="009A2AAE" w:rsidP="000D5B33">
            <w:pPr>
              <w:pStyle w:val="Sinespaciado"/>
              <w:rPr>
                <w:rFonts w:ascii="Times New Roman" w:hAnsi="Times New Roman"/>
                <w:b/>
              </w:rPr>
            </w:pPr>
            <w:r w:rsidRPr="0099312A">
              <w:rPr>
                <w:rFonts w:ascii="Times New Roman" w:hAnsi="Times New Roman"/>
                <w:color w:val="000000" w:themeColor="text1"/>
              </w:rPr>
              <w:t xml:space="preserve">3.800,58 </w:t>
            </w:r>
            <w:r w:rsidRPr="0099312A">
              <w:rPr>
                <w:rFonts w:ascii="Times New Roman" w:hAnsi="Times New Roman"/>
              </w:rPr>
              <w:t>m2</w:t>
            </w:r>
          </w:p>
        </w:tc>
        <w:tc>
          <w:tcPr>
            <w:tcW w:w="2141" w:type="dxa"/>
            <w:tcBorders>
              <w:top w:val="single" w:sz="4" w:space="0" w:color="auto"/>
              <w:left w:val="nil"/>
              <w:bottom w:val="single" w:sz="4" w:space="0" w:color="auto"/>
            </w:tcBorders>
          </w:tcPr>
          <w:p w14:paraId="7F659A23" w14:textId="77777777" w:rsidR="009A2AAE" w:rsidRPr="0099312A" w:rsidRDefault="009A2AAE" w:rsidP="00F84508">
            <w:pPr>
              <w:pStyle w:val="Sinespaciado"/>
              <w:jc w:val="both"/>
              <w:rPr>
                <w:rFonts w:ascii="Times New Roman" w:hAnsi="Times New Roman"/>
                <w:b/>
              </w:rPr>
            </w:pPr>
          </w:p>
        </w:tc>
      </w:tr>
      <w:tr w:rsidR="009A2AAE" w:rsidRPr="0099312A" w14:paraId="79812030" w14:textId="77777777" w:rsidTr="009A2AAE">
        <w:trPr>
          <w:trHeight w:val="176"/>
        </w:trPr>
        <w:tc>
          <w:tcPr>
            <w:tcW w:w="4340" w:type="dxa"/>
            <w:vAlign w:val="center"/>
          </w:tcPr>
          <w:p w14:paraId="15DE34B9" w14:textId="4EC76035" w:rsidR="009A2AAE" w:rsidRPr="0099312A" w:rsidRDefault="009A2AAE" w:rsidP="009A2AAE">
            <w:pPr>
              <w:pStyle w:val="Sinespaciado"/>
              <w:jc w:val="both"/>
              <w:rPr>
                <w:rFonts w:ascii="Times New Roman" w:hAnsi="Times New Roman"/>
                <w:b/>
              </w:rPr>
            </w:pPr>
            <w:r w:rsidRPr="0099312A">
              <w:rPr>
                <w:rFonts w:ascii="Times New Roman" w:hAnsi="Times New Roman"/>
                <w:b/>
                <w:color w:val="000000" w:themeColor="text1"/>
              </w:rPr>
              <w:t>Área de Pasaje</w:t>
            </w:r>
          </w:p>
        </w:tc>
        <w:tc>
          <w:tcPr>
            <w:tcW w:w="2190" w:type="dxa"/>
            <w:tcBorders>
              <w:top w:val="single" w:sz="4" w:space="0" w:color="auto"/>
              <w:bottom w:val="single" w:sz="4" w:space="0" w:color="auto"/>
              <w:right w:val="nil"/>
            </w:tcBorders>
          </w:tcPr>
          <w:p w14:paraId="0899649E" w14:textId="2387B7C6" w:rsidR="009A2AAE" w:rsidRPr="0099312A" w:rsidRDefault="009A2AAE" w:rsidP="000D5B33">
            <w:pPr>
              <w:pStyle w:val="Sinespaciado"/>
              <w:rPr>
                <w:rFonts w:ascii="Times New Roman" w:hAnsi="Times New Roman"/>
              </w:rPr>
            </w:pPr>
            <w:r w:rsidRPr="0099312A">
              <w:rPr>
                <w:rFonts w:ascii="Times New Roman" w:hAnsi="Times New Roman"/>
                <w:color w:val="000000" w:themeColor="text1"/>
              </w:rPr>
              <w:t>280,91</w:t>
            </w:r>
            <w:r w:rsidRPr="0099312A">
              <w:rPr>
                <w:rFonts w:ascii="Times New Roman" w:hAnsi="Times New Roman"/>
              </w:rPr>
              <w:t>m2</w:t>
            </w:r>
          </w:p>
        </w:tc>
        <w:tc>
          <w:tcPr>
            <w:tcW w:w="2141" w:type="dxa"/>
            <w:tcBorders>
              <w:top w:val="single" w:sz="4" w:space="0" w:color="auto"/>
              <w:left w:val="nil"/>
              <w:bottom w:val="single" w:sz="4" w:space="0" w:color="auto"/>
            </w:tcBorders>
          </w:tcPr>
          <w:p w14:paraId="7FB5B8D8" w14:textId="77777777" w:rsidR="009A2AAE" w:rsidRPr="0099312A" w:rsidRDefault="009A2AAE" w:rsidP="009A2AAE">
            <w:pPr>
              <w:pStyle w:val="Sinespaciado"/>
              <w:jc w:val="both"/>
              <w:rPr>
                <w:rFonts w:ascii="Times New Roman" w:hAnsi="Times New Roman"/>
              </w:rPr>
            </w:pPr>
          </w:p>
        </w:tc>
      </w:tr>
      <w:tr w:rsidR="009A2AAE" w:rsidRPr="0099312A" w14:paraId="48677C84" w14:textId="77777777" w:rsidTr="009A2AAE">
        <w:trPr>
          <w:trHeight w:val="193"/>
        </w:trPr>
        <w:tc>
          <w:tcPr>
            <w:tcW w:w="4340" w:type="dxa"/>
          </w:tcPr>
          <w:p w14:paraId="69BCDD07" w14:textId="05FB2C80" w:rsidR="009A2AAE" w:rsidRPr="0099312A" w:rsidRDefault="009A2AAE" w:rsidP="009A2AAE">
            <w:pPr>
              <w:pStyle w:val="Sinespaciado"/>
              <w:jc w:val="both"/>
              <w:rPr>
                <w:rFonts w:ascii="Times New Roman" w:hAnsi="Times New Roman"/>
                <w:b/>
              </w:rPr>
            </w:pPr>
            <w:r w:rsidRPr="0099312A">
              <w:rPr>
                <w:rFonts w:ascii="Times New Roman" w:hAnsi="Times New Roman"/>
                <w:b/>
              </w:rPr>
              <w:t xml:space="preserve">Área bruta </w:t>
            </w:r>
            <w:r w:rsidR="0065261B" w:rsidRPr="0099312A">
              <w:rPr>
                <w:rFonts w:ascii="Times New Roman" w:hAnsi="Times New Roman"/>
                <w:b/>
              </w:rPr>
              <w:t>del terreno (</w:t>
            </w:r>
            <w:r w:rsidRPr="0099312A">
              <w:rPr>
                <w:rFonts w:ascii="Times New Roman" w:hAnsi="Times New Roman"/>
                <w:b/>
              </w:rPr>
              <w:t>Área Total)</w:t>
            </w:r>
          </w:p>
        </w:tc>
        <w:tc>
          <w:tcPr>
            <w:tcW w:w="2190" w:type="dxa"/>
            <w:tcBorders>
              <w:top w:val="single" w:sz="4" w:space="0" w:color="auto"/>
              <w:right w:val="nil"/>
            </w:tcBorders>
          </w:tcPr>
          <w:p w14:paraId="0D783EAC" w14:textId="4996106B" w:rsidR="009A2AAE" w:rsidRPr="0099312A" w:rsidRDefault="009A2AAE" w:rsidP="000D5B33">
            <w:pPr>
              <w:pStyle w:val="Sinespaciado"/>
              <w:rPr>
                <w:rFonts w:ascii="Times New Roman" w:hAnsi="Times New Roman"/>
                <w:b/>
              </w:rPr>
            </w:pPr>
            <w:r w:rsidRPr="0099312A">
              <w:rPr>
                <w:rFonts w:ascii="Times New Roman" w:hAnsi="Times New Roman"/>
                <w:color w:val="000000" w:themeColor="text1"/>
              </w:rPr>
              <w:t>4.081,49 m2</w:t>
            </w:r>
          </w:p>
        </w:tc>
        <w:tc>
          <w:tcPr>
            <w:tcW w:w="2141" w:type="dxa"/>
            <w:tcBorders>
              <w:top w:val="single" w:sz="4" w:space="0" w:color="auto"/>
              <w:left w:val="nil"/>
            </w:tcBorders>
          </w:tcPr>
          <w:p w14:paraId="5908F9E4" w14:textId="77777777" w:rsidR="009A2AAE" w:rsidRPr="0099312A" w:rsidRDefault="009A2AAE" w:rsidP="009A2AAE">
            <w:pPr>
              <w:pStyle w:val="Sinespaciado"/>
              <w:jc w:val="both"/>
              <w:rPr>
                <w:rFonts w:ascii="Times New Roman" w:hAnsi="Times New Roman"/>
                <w:b/>
              </w:rPr>
            </w:pPr>
          </w:p>
        </w:tc>
      </w:tr>
    </w:tbl>
    <w:p w14:paraId="4520A1E1" w14:textId="77777777" w:rsidR="009A2AAE" w:rsidRPr="0099312A" w:rsidRDefault="009A2AAE" w:rsidP="009A2AAE">
      <w:pPr>
        <w:pStyle w:val="Sinespaciado"/>
        <w:jc w:val="both"/>
        <w:rPr>
          <w:rFonts w:ascii="Times New Roman" w:hAnsi="Times New Roman"/>
        </w:rPr>
      </w:pPr>
    </w:p>
    <w:p w14:paraId="0FEF0AFC" w14:textId="77777777"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El número total de lotes, producto del fraccionamiento, es de 12, signados del uno (1) al doce (12) cuyo detalle es el que consta en los planos aprobatorios que forman parte de la presente Ordenanza. </w:t>
      </w:r>
    </w:p>
    <w:p w14:paraId="60851BA5" w14:textId="77777777" w:rsidR="009A2AAE" w:rsidRPr="0099312A" w:rsidRDefault="009A2AAE" w:rsidP="009A2AAE">
      <w:pPr>
        <w:pStyle w:val="Sinespaciado"/>
        <w:jc w:val="both"/>
        <w:rPr>
          <w:rFonts w:ascii="Times New Roman" w:hAnsi="Times New Roman"/>
        </w:rPr>
      </w:pPr>
    </w:p>
    <w:p w14:paraId="6D826853" w14:textId="7B76F6CF"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El área total del predio No. </w:t>
      </w:r>
      <w:r w:rsidR="00A45177" w:rsidRPr="0099312A">
        <w:rPr>
          <w:rFonts w:ascii="Times New Roman" w:hAnsi="Times New Roman"/>
        </w:rPr>
        <w:t>569584</w:t>
      </w:r>
      <w:r w:rsidRPr="0099312A">
        <w:rPr>
          <w:rFonts w:ascii="Times New Roman" w:hAnsi="Times New Roman"/>
        </w:rPr>
        <w:t xml:space="preserve">, es la que consta en la Resolución de Regularización de Excedentes o Diferencia de </w:t>
      </w:r>
      <w:r w:rsidR="00424FD4" w:rsidRPr="0099312A">
        <w:rPr>
          <w:rFonts w:ascii="Times New Roman" w:hAnsi="Times New Roman"/>
        </w:rPr>
        <w:t>Áreas de</w:t>
      </w:r>
      <w:r w:rsidRPr="0099312A">
        <w:rPr>
          <w:rFonts w:ascii="Times New Roman" w:hAnsi="Times New Roman"/>
        </w:rPr>
        <w:t xml:space="preserve"> terreno No. 469-2018, del 30 de octubre de 2018, emitida por la Dirección </w:t>
      </w:r>
      <w:r w:rsidR="00424FD4" w:rsidRPr="0099312A">
        <w:rPr>
          <w:rFonts w:ascii="Times New Roman" w:hAnsi="Times New Roman"/>
        </w:rPr>
        <w:t>Metropolitana de</w:t>
      </w:r>
      <w:r w:rsidRPr="0099312A">
        <w:rPr>
          <w:rFonts w:ascii="Times New Roman" w:hAnsi="Times New Roman"/>
        </w:rPr>
        <w:t xml:space="preserve"> Catastro y se encuentra rectificada y regularizada de conformidad al Art. IV.1.164 del Código Municipal.</w:t>
      </w:r>
    </w:p>
    <w:p w14:paraId="44012A43" w14:textId="7BBF2880" w:rsidR="009A2AAE" w:rsidRPr="0099312A" w:rsidRDefault="009A2AAE" w:rsidP="009A2AAE">
      <w:pPr>
        <w:pStyle w:val="Sinespaciado"/>
        <w:jc w:val="both"/>
        <w:rPr>
          <w:rFonts w:ascii="Times New Roman" w:hAnsi="Times New Roman"/>
        </w:rPr>
      </w:pPr>
    </w:p>
    <w:p w14:paraId="5AF24FAD" w14:textId="016BF962" w:rsidR="009A2AAE" w:rsidRPr="0099312A" w:rsidRDefault="009A2AAE" w:rsidP="009A2AAE">
      <w:pPr>
        <w:pStyle w:val="Sinespaciado"/>
        <w:jc w:val="both"/>
        <w:rPr>
          <w:rFonts w:ascii="Times New Roman" w:eastAsia="Times New Roman" w:hAnsi="Times New Roman"/>
          <w:lang w:val="es-ES" w:eastAsia="es-ES"/>
        </w:rPr>
      </w:pPr>
      <w:r w:rsidRPr="0099312A">
        <w:rPr>
          <w:rFonts w:ascii="Times New Roman" w:hAnsi="Times New Roman"/>
        </w:rPr>
        <w:lastRenderedPageBreak/>
        <w:t xml:space="preserve">El área total del predio No. </w:t>
      </w:r>
      <w:r w:rsidR="00A45177" w:rsidRPr="0099312A">
        <w:rPr>
          <w:rFonts w:ascii="Times New Roman" w:hAnsi="Times New Roman"/>
        </w:rPr>
        <w:t>569583</w:t>
      </w:r>
      <w:r w:rsidRPr="0099312A">
        <w:rPr>
          <w:rFonts w:ascii="Times New Roman" w:hAnsi="Times New Roman"/>
        </w:rPr>
        <w:t xml:space="preserve">, es la que consta en la Resolución de Regularización de Excedentes o Diferencia de </w:t>
      </w:r>
      <w:r w:rsidR="00424FD4" w:rsidRPr="0099312A">
        <w:rPr>
          <w:rFonts w:ascii="Times New Roman" w:hAnsi="Times New Roman"/>
        </w:rPr>
        <w:t>Áreas de</w:t>
      </w:r>
      <w:r w:rsidRPr="0099312A">
        <w:rPr>
          <w:rFonts w:ascii="Times New Roman" w:hAnsi="Times New Roman"/>
        </w:rPr>
        <w:t xml:space="preserve"> terreno No. 469-2018, del 30 de octubre de 2018, emitida por la Dirección </w:t>
      </w:r>
      <w:r w:rsidR="00424FD4" w:rsidRPr="0099312A">
        <w:rPr>
          <w:rFonts w:ascii="Times New Roman" w:hAnsi="Times New Roman"/>
        </w:rPr>
        <w:t>Metropolitana de</w:t>
      </w:r>
      <w:r w:rsidRPr="0099312A">
        <w:rPr>
          <w:rFonts w:ascii="Times New Roman" w:hAnsi="Times New Roman"/>
        </w:rPr>
        <w:t xml:space="preserve"> Catastro y se encuentra rectificada y regularizada de conformidad al Art. IV.1.164 del Código Municipal.</w:t>
      </w:r>
    </w:p>
    <w:p w14:paraId="3EE91AC2" w14:textId="77777777" w:rsidR="009A2AAE" w:rsidRPr="0099312A" w:rsidRDefault="009A2AAE" w:rsidP="009A2AAE">
      <w:pPr>
        <w:pStyle w:val="Sinespaciado"/>
        <w:jc w:val="both"/>
        <w:rPr>
          <w:rFonts w:ascii="Times New Roman" w:hAnsi="Times New Roman"/>
          <w:b/>
        </w:rPr>
      </w:pPr>
    </w:p>
    <w:p w14:paraId="0FB45FD1" w14:textId="1C1101CE" w:rsidR="009A2AAE" w:rsidRPr="0099312A" w:rsidRDefault="009A2AAE" w:rsidP="009A2AAE">
      <w:pPr>
        <w:pStyle w:val="Sinespaciado"/>
        <w:jc w:val="both"/>
        <w:rPr>
          <w:rFonts w:ascii="Times New Roman" w:hAnsi="Times New Roman"/>
        </w:rPr>
      </w:pPr>
      <w:r w:rsidRPr="0099312A">
        <w:rPr>
          <w:rFonts w:ascii="Times New Roman" w:hAnsi="Times New Roman"/>
          <w:b/>
        </w:rPr>
        <w:t xml:space="preserve">Artículo 5.- Zonificación de los </w:t>
      </w:r>
      <w:r w:rsidR="00424FD4" w:rsidRPr="0099312A">
        <w:rPr>
          <w:rFonts w:ascii="Times New Roman" w:hAnsi="Times New Roman"/>
          <w:b/>
        </w:rPr>
        <w:t>lotes. -</w:t>
      </w:r>
      <w:r w:rsidRPr="0099312A">
        <w:rPr>
          <w:rFonts w:ascii="Times New Roman" w:hAnsi="Times New Roman"/>
        </w:rPr>
        <w:t xml:space="preserve"> Los lotes fraccionados, modificarán la zonificación para los 12 lotes, conforme se detalla a continuación: </w:t>
      </w:r>
      <w:r w:rsidRPr="0099312A">
        <w:rPr>
          <w:rFonts w:ascii="Times New Roman" w:hAnsi="Times New Roman"/>
          <w:color w:val="000000" w:themeColor="text1"/>
        </w:rPr>
        <w:t>D</w:t>
      </w:r>
      <w:r w:rsidR="00A66E47">
        <w:rPr>
          <w:rFonts w:ascii="Times New Roman" w:hAnsi="Times New Roman"/>
          <w:color w:val="000000" w:themeColor="text1"/>
        </w:rPr>
        <w:t>3</w:t>
      </w:r>
      <w:r w:rsidRPr="0099312A">
        <w:rPr>
          <w:rFonts w:ascii="Times New Roman" w:hAnsi="Times New Roman"/>
          <w:color w:val="000000" w:themeColor="text1"/>
        </w:rPr>
        <w:t xml:space="preserve"> (D20</w:t>
      </w:r>
      <w:r w:rsidR="00A66E47">
        <w:rPr>
          <w:rFonts w:ascii="Times New Roman" w:hAnsi="Times New Roman"/>
          <w:color w:val="000000" w:themeColor="text1"/>
        </w:rPr>
        <w:t>3</w:t>
      </w:r>
      <w:r w:rsidRPr="0099312A">
        <w:rPr>
          <w:rFonts w:ascii="Times New Roman" w:hAnsi="Times New Roman"/>
          <w:color w:val="000000" w:themeColor="text1"/>
        </w:rPr>
        <w:t>-80)</w:t>
      </w:r>
      <w:r w:rsidRPr="0099312A">
        <w:rPr>
          <w:rFonts w:ascii="Times New Roman" w:hAnsi="Times New Roman"/>
        </w:rPr>
        <w:t xml:space="preserve">; </w:t>
      </w:r>
      <w:r w:rsidRPr="0099312A">
        <w:rPr>
          <w:rFonts w:ascii="Times New Roman" w:hAnsi="Times New Roman"/>
          <w:color w:val="000000" w:themeColor="text1"/>
        </w:rPr>
        <w:t xml:space="preserve">Lote mínimo: </w:t>
      </w:r>
      <w:r w:rsidRPr="0099312A">
        <w:rPr>
          <w:rFonts w:ascii="Times New Roman" w:hAnsi="Times New Roman"/>
        </w:rPr>
        <w:t>200 m2</w:t>
      </w:r>
      <w:r w:rsidRPr="0099312A">
        <w:rPr>
          <w:rFonts w:ascii="Times New Roman" w:hAnsi="Times New Roman"/>
          <w:color w:val="000000" w:themeColor="text1"/>
        </w:rPr>
        <w:t xml:space="preserve">; </w:t>
      </w:r>
      <w:r w:rsidRPr="0099312A">
        <w:rPr>
          <w:rFonts w:ascii="Times New Roman" w:hAnsi="Times New Roman"/>
        </w:rPr>
        <w:t xml:space="preserve">Forma de Ocupación del Suelo (D) Sobre línea de Fábrica; Uso Principal del </w:t>
      </w:r>
      <w:r w:rsidR="00637AE6" w:rsidRPr="0099312A">
        <w:rPr>
          <w:rFonts w:ascii="Times New Roman" w:hAnsi="Times New Roman"/>
        </w:rPr>
        <w:t>Suelo (</w:t>
      </w:r>
      <w:r w:rsidR="00CD65E9">
        <w:rPr>
          <w:rFonts w:ascii="Times New Roman" w:hAnsi="Times New Roman"/>
          <w:color w:val="000000" w:themeColor="text1"/>
        </w:rPr>
        <w:t>RU1</w:t>
      </w:r>
      <w:r w:rsidRPr="0099312A">
        <w:rPr>
          <w:rFonts w:ascii="Times New Roman" w:hAnsi="Times New Roman"/>
          <w:color w:val="000000" w:themeColor="text1"/>
        </w:rPr>
        <w:t xml:space="preserve">) </w:t>
      </w:r>
      <w:r w:rsidR="00CD65E9">
        <w:rPr>
          <w:rFonts w:ascii="Times New Roman" w:hAnsi="Times New Roman"/>
          <w:color w:val="000000" w:themeColor="text1"/>
        </w:rPr>
        <w:t xml:space="preserve">residencial </w:t>
      </w:r>
      <w:r w:rsidR="00637AE6">
        <w:rPr>
          <w:rFonts w:ascii="Times New Roman" w:hAnsi="Times New Roman"/>
          <w:color w:val="000000" w:themeColor="text1"/>
        </w:rPr>
        <w:t>Urbano 1</w:t>
      </w:r>
      <w:r w:rsidRPr="0099312A">
        <w:rPr>
          <w:rFonts w:ascii="Times New Roman" w:hAnsi="Times New Roman"/>
          <w:color w:val="000000" w:themeColor="text1"/>
        </w:rPr>
        <w:t xml:space="preserve">; </w:t>
      </w:r>
      <w:r w:rsidRPr="0099312A">
        <w:rPr>
          <w:rFonts w:ascii="Times New Roman" w:hAnsi="Times New Roman"/>
        </w:rPr>
        <w:t xml:space="preserve">Número de pisos </w:t>
      </w:r>
      <w:r w:rsidR="00CD65E9">
        <w:rPr>
          <w:rFonts w:ascii="Times New Roman" w:hAnsi="Times New Roman"/>
        </w:rPr>
        <w:t>3</w:t>
      </w:r>
      <w:r w:rsidRPr="0099312A">
        <w:rPr>
          <w:rFonts w:ascii="Times New Roman" w:hAnsi="Times New Roman"/>
        </w:rPr>
        <w:t xml:space="preserve">, COS planta baja: 80%, COS total: </w:t>
      </w:r>
      <w:r w:rsidR="00546C4F">
        <w:rPr>
          <w:rFonts w:ascii="Times New Roman" w:hAnsi="Times New Roman"/>
        </w:rPr>
        <w:t>240</w:t>
      </w:r>
      <w:r w:rsidRPr="0099312A">
        <w:rPr>
          <w:rFonts w:ascii="Times New Roman" w:hAnsi="Times New Roman"/>
        </w:rPr>
        <w:t>%.</w:t>
      </w:r>
    </w:p>
    <w:p w14:paraId="15CC9884" w14:textId="77777777" w:rsidR="009A2AAE" w:rsidRPr="0099312A" w:rsidRDefault="009A2AAE" w:rsidP="009A2AAE">
      <w:pPr>
        <w:pStyle w:val="Sinespaciado"/>
        <w:jc w:val="both"/>
        <w:rPr>
          <w:rFonts w:ascii="Times New Roman" w:hAnsi="Times New Roman"/>
          <w:color w:val="000000" w:themeColor="text1"/>
        </w:rPr>
      </w:pPr>
    </w:p>
    <w:p w14:paraId="582EAB57" w14:textId="54DE013D" w:rsidR="0021121F" w:rsidRDefault="009A2AAE" w:rsidP="009A2AAE">
      <w:pPr>
        <w:pStyle w:val="Sinespaciado"/>
        <w:jc w:val="both"/>
        <w:rPr>
          <w:rFonts w:ascii="Times New Roman" w:hAnsi="Times New Roman"/>
        </w:rPr>
      </w:pPr>
      <w:r w:rsidRPr="0099312A">
        <w:rPr>
          <w:rFonts w:ascii="Times New Roman" w:hAnsi="Times New Roman"/>
          <w:b/>
        </w:rPr>
        <w:t xml:space="preserve">Artículo 6.- Clasificación del </w:t>
      </w:r>
      <w:r w:rsidR="00424FD4" w:rsidRPr="0099312A">
        <w:rPr>
          <w:rFonts w:ascii="Times New Roman" w:hAnsi="Times New Roman"/>
          <w:b/>
        </w:rPr>
        <w:t>Suelo. -</w:t>
      </w:r>
      <w:r w:rsidRPr="0099312A">
        <w:rPr>
          <w:rFonts w:ascii="Times New Roman" w:hAnsi="Times New Roman"/>
          <w:b/>
        </w:rPr>
        <w:t xml:space="preserve"> </w:t>
      </w:r>
      <w:r w:rsidRPr="0099312A">
        <w:rPr>
          <w:rFonts w:ascii="Times New Roman" w:hAnsi="Times New Roman"/>
        </w:rPr>
        <w:t>Los lotes fraccionados mantendrán la clasificación vigente esto es (SU) Suelo Urbano</w:t>
      </w:r>
      <w:r w:rsidR="0021121F">
        <w:rPr>
          <w:rFonts w:ascii="Times New Roman" w:hAnsi="Times New Roman"/>
        </w:rPr>
        <w:t>.</w:t>
      </w:r>
    </w:p>
    <w:p w14:paraId="591B9F3C" w14:textId="2C27C09D" w:rsidR="009A2AAE" w:rsidRPr="0021121F" w:rsidRDefault="0021121F" w:rsidP="0021121F">
      <w:pPr>
        <w:pStyle w:val="NormalWeb"/>
        <w:jc w:val="both"/>
      </w:pPr>
      <w:r w:rsidRPr="0021121F">
        <w:rPr>
          <w:b/>
          <w:bCs/>
        </w:rPr>
        <w:t xml:space="preserve">Artículo 7.- Lotes por </w:t>
      </w:r>
      <w:r w:rsidR="00424FD4" w:rsidRPr="0021121F">
        <w:rPr>
          <w:b/>
          <w:bCs/>
        </w:rPr>
        <w:t>excepción. -</w:t>
      </w:r>
      <w:r>
        <w:t xml:space="preserve"> Por tratarse de un asentamiento de hecho y consolidado de interés social, se aprueban por excepción, esto es, con áreas inferiores a las mínimas establecidas en la zonificación propuesta, el lote </w:t>
      </w:r>
      <w:r w:rsidR="00546C4F">
        <w:t>2, 3, 10 y 11</w:t>
      </w:r>
      <w:r>
        <w:t xml:space="preserve">. </w:t>
      </w:r>
    </w:p>
    <w:p w14:paraId="13B8B936" w14:textId="7DC249E5" w:rsidR="009A2AAE" w:rsidRPr="0099312A" w:rsidRDefault="009A2AAE" w:rsidP="009A2AAE">
      <w:pPr>
        <w:pStyle w:val="Sinespaciado"/>
        <w:jc w:val="both"/>
        <w:rPr>
          <w:rFonts w:ascii="Times New Roman" w:hAnsi="Times New Roman"/>
        </w:rPr>
      </w:pPr>
      <w:r w:rsidRPr="0099312A">
        <w:rPr>
          <w:rFonts w:ascii="Times New Roman" w:hAnsi="Times New Roman"/>
          <w:b/>
        </w:rPr>
        <w:t xml:space="preserve">Artículo </w:t>
      </w:r>
      <w:r w:rsidR="0021121F">
        <w:rPr>
          <w:rFonts w:ascii="Times New Roman" w:hAnsi="Times New Roman"/>
          <w:b/>
        </w:rPr>
        <w:t>8</w:t>
      </w:r>
      <w:r w:rsidRPr="0099312A">
        <w:rPr>
          <w:rFonts w:ascii="Times New Roman" w:hAnsi="Times New Roman"/>
          <w:b/>
        </w:rPr>
        <w:t xml:space="preserve">.- Exoneración del porcentaje del área </w:t>
      </w:r>
      <w:r w:rsidR="00424FD4" w:rsidRPr="0099312A">
        <w:rPr>
          <w:rFonts w:ascii="Times New Roman" w:hAnsi="Times New Roman"/>
          <w:b/>
        </w:rPr>
        <w:t>verde</w:t>
      </w:r>
      <w:r w:rsidR="00424FD4" w:rsidRPr="0099312A">
        <w:rPr>
          <w:rFonts w:ascii="Times New Roman" w:hAnsi="Times New Roman"/>
        </w:rPr>
        <w:t>. -</w:t>
      </w:r>
      <w:r w:rsidRPr="0099312A">
        <w:rPr>
          <w:rFonts w:ascii="Times New Roman" w:hAnsi="Times New Roman"/>
        </w:rPr>
        <w:t xml:space="preserve"> A los copropietarios del predio donde se encuentra el </w:t>
      </w:r>
      <w:r w:rsidR="002A37DA" w:rsidRPr="0099312A">
        <w:rPr>
          <w:rFonts w:ascii="Times New Roman" w:hAnsi="Times New Roman"/>
        </w:rPr>
        <w:t xml:space="preserve">asentamiento humano de hecho y consolidado de interés social </w:t>
      </w:r>
      <w:r w:rsidRPr="0099312A">
        <w:rPr>
          <w:rFonts w:ascii="Times New Roman" w:hAnsi="Times New Roman"/>
        </w:rPr>
        <w:t xml:space="preserve">denominado </w:t>
      </w:r>
      <w:r w:rsidR="000D5B33" w:rsidRPr="0099312A">
        <w:rPr>
          <w:rFonts w:ascii="Times New Roman" w:hAnsi="Times New Roman"/>
        </w:rPr>
        <w:t xml:space="preserve">“Villa Vega III”, </w:t>
      </w:r>
      <w:r w:rsidRPr="0099312A">
        <w:rPr>
          <w:rFonts w:ascii="Times New Roman" w:hAnsi="Times New Roman"/>
        </w:rPr>
        <w:t xml:space="preserve">conforme a la normativa vigente se les exonera el 15% como contribución del área verde, por ser considerado como un </w:t>
      </w:r>
      <w:r w:rsidR="002A37DA" w:rsidRPr="0099312A">
        <w:rPr>
          <w:rFonts w:ascii="Times New Roman" w:hAnsi="Times New Roman"/>
        </w:rPr>
        <w:t>asentamient</w:t>
      </w:r>
      <w:r w:rsidRPr="0099312A">
        <w:rPr>
          <w:rFonts w:ascii="Times New Roman" w:hAnsi="Times New Roman"/>
        </w:rPr>
        <w:t xml:space="preserve">o declarado de Interés Social. </w:t>
      </w:r>
    </w:p>
    <w:p w14:paraId="30A5FC1F" w14:textId="77777777" w:rsidR="009A2AAE" w:rsidRPr="0099312A" w:rsidRDefault="009A2AAE" w:rsidP="009A2AAE">
      <w:pPr>
        <w:pStyle w:val="Sinespaciado"/>
        <w:jc w:val="both"/>
        <w:rPr>
          <w:rFonts w:ascii="Times New Roman" w:hAnsi="Times New Roman"/>
        </w:rPr>
      </w:pPr>
    </w:p>
    <w:p w14:paraId="5AF855C4" w14:textId="75B4FD3B" w:rsidR="000D5B33" w:rsidRPr="0099312A" w:rsidRDefault="009A2AAE" w:rsidP="000D5B33">
      <w:pPr>
        <w:pStyle w:val="Sinespaciado"/>
        <w:jc w:val="both"/>
        <w:rPr>
          <w:rFonts w:ascii="Times New Roman" w:hAnsi="Times New Roman"/>
          <w:i/>
          <w:iCs/>
        </w:rPr>
      </w:pPr>
      <w:r w:rsidRPr="0099312A">
        <w:rPr>
          <w:rFonts w:ascii="Times New Roman" w:hAnsi="Times New Roman"/>
          <w:b/>
        </w:rPr>
        <w:t xml:space="preserve">Artículo </w:t>
      </w:r>
      <w:r w:rsidR="0021121F">
        <w:rPr>
          <w:rFonts w:ascii="Times New Roman" w:hAnsi="Times New Roman"/>
          <w:b/>
        </w:rPr>
        <w:t>9</w:t>
      </w:r>
      <w:r w:rsidRPr="0099312A">
        <w:rPr>
          <w:rFonts w:ascii="Times New Roman" w:hAnsi="Times New Roman"/>
          <w:b/>
          <w:bCs/>
        </w:rPr>
        <w:t xml:space="preserve">.- Calificación de Riesgos.- </w:t>
      </w:r>
      <w:r w:rsidRPr="0099312A">
        <w:rPr>
          <w:rFonts w:ascii="Times New Roman" w:hAnsi="Times New Roman"/>
          <w:bCs/>
        </w:rPr>
        <w:t xml:space="preserve"> </w:t>
      </w:r>
      <w:r w:rsidRPr="0099312A">
        <w:rPr>
          <w:rFonts w:ascii="Times New Roman" w:hAnsi="Times New Roman"/>
        </w:rPr>
        <w:t xml:space="preserve">El </w:t>
      </w:r>
      <w:r w:rsidR="002A37DA" w:rsidRPr="0099312A">
        <w:rPr>
          <w:rFonts w:ascii="Times New Roman" w:hAnsi="Times New Roman"/>
        </w:rPr>
        <w:t>asentamiento humano de hecho y consolidado de interés social</w:t>
      </w:r>
      <w:r w:rsidRPr="0099312A">
        <w:rPr>
          <w:rFonts w:ascii="Times New Roman" w:hAnsi="Times New Roman"/>
          <w:bCs/>
        </w:rPr>
        <w:t xml:space="preserve"> denominado </w:t>
      </w:r>
      <w:r w:rsidRPr="0099312A">
        <w:rPr>
          <w:rFonts w:ascii="Times New Roman" w:hAnsi="Times New Roman"/>
        </w:rPr>
        <w:t>“</w:t>
      </w:r>
      <w:r w:rsidR="000D5B33" w:rsidRPr="0099312A">
        <w:rPr>
          <w:rFonts w:ascii="Times New Roman" w:hAnsi="Times New Roman"/>
        </w:rPr>
        <w:t xml:space="preserve">Villa Vega III”, </w:t>
      </w:r>
      <w:r w:rsidRPr="0099312A">
        <w:rPr>
          <w:rFonts w:ascii="Times New Roman" w:hAnsi="Times New Roman"/>
        </w:rPr>
        <w:t xml:space="preserve">deberá cumplir y acatar las recomendaciones que se encuentran determinadas en el informe de la Dirección Metropolitana de Gestión de Riesgos </w:t>
      </w:r>
      <w:r w:rsidR="000D5B33" w:rsidRPr="0099312A">
        <w:rPr>
          <w:rFonts w:ascii="Times New Roman" w:hAnsi="Times New Roman"/>
          <w:color w:val="000000" w:themeColor="text1"/>
        </w:rPr>
        <w:t xml:space="preserve">No </w:t>
      </w:r>
      <w:r w:rsidR="000D5B33" w:rsidRPr="0099312A">
        <w:rPr>
          <w:rFonts w:ascii="Times New Roman" w:hAnsi="Times New Roman"/>
        </w:rPr>
        <w:t xml:space="preserve">213-AT-DMGR-2017, de 27 de Octubre del 2017, en el que determina: </w:t>
      </w:r>
      <w:r w:rsidR="000D5B33" w:rsidRPr="0099312A">
        <w:rPr>
          <w:rFonts w:ascii="Times New Roman" w:hAnsi="Times New Roman"/>
          <w:i/>
          <w:iCs/>
        </w:rPr>
        <w:t>“</w:t>
      </w:r>
      <w:r w:rsidR="000D5B33" w:rsidRPr="0099312A">
        <w:rPr>
          <w:rFonts w:ascii="Times New Roman" w:hAnsi="Times New Roman"/>
          <w:b/>
          <w:i/>
          <w:iCs/>
        </w:rPr>
        <w:t>Riesgo por movimientos en masa:</w:t>
      </w:r>
      <w:r w:rsidR="000D5B33" w:rsidRPr="0099312A">
        <w:rPr>
          <w:rFonts w:ascii="Times New Roman" w:hAnsi="Times New Roman"/>
          <w:i/>
          <w:iCs/>
        </w:rPr>
        <w:t xml:space="preserve"> el  AHHYC “Villa Vega III”  en general presenta un </w:t>
      </w:r>
      <w:r w:rsidR="000D5B33" w:rsidRPr="0099312A">
        <w:rPr>
          <w:rFonts w:ascii="Times New Roman" w:hAnsi="Times New Roman"/>
          <w:i/>
          <w:iCs/>
          <w:u w:val="single"/>
        </w:rPr>
        <w:t>Riesgo Bajo Mitigable</w:t>
      </w:r>
      <w:r w:rsidR="000D5B33" w:rsidRPr="0099312A">
        <w:rPr>
          <w:rFonts w:ascii="Times New Roman" w:hAnsi="Times New Roman"/>
          <w:i/>
          <w:iCs/>
        </w:rPr>
        <w:t xml:space="preserve"> frente a movimientos de remoción en masa. Esto debido a que no se observaron condiciones físicas en el terreno que representen amenaza, ni tampoco condiciones de exposición, para que ocurran movimientos en masa que puedan ocasionar daños o pérdidas.”</w:t>
      </w:r>
    </w:p>
    <w:p w14:paraId="4B906B83" w14:textId="77777777" w:rsidR="009A2AAE" w:rsidRPr="0099312A" w:rsidRDefault="009A2AAE" w:rsidP="009A2AAE">
      <w:pPr>
        <w:pStyle w:val="Sinespaciado"/>
        <w:jc w:val="both"/>
        <w:rPr>
          <w:rFonts w:ascii="Times New Roman" w:hAnsi="Times New Roman"/>
          <w:i/>
        </w:rPr>
      </w:pPr>
    </w:p>
    <w:p w14:paraId="7C53B2C1" w14:textId="66A91EAE" w:rsidR="00EA4EB6" w:rsidRPr="00EA4EB6" w:rsidRDefault="009A2AAE" w:rsidP="009A2AAE">
      <w:pPr>
        <w:pStyle w:val="Sinespaciado"/>
        <w:jc w:val="both"/>
        <w:rPr>
          <w:rFonts w:ascii="Times New Roman" w:eastAsiaTheme="minorHAnsi" w:hAnsi="Times New Roman"/>
          <w:b/>
          <w:bCs/>
          <w:i/>
        </w:rPr>
      </w:pPr>
      <w:r w:rsidRPr="00EA4EB6">
        <w:rPr>
          <w:rFonts w:ascii="Times New Roman" w:hAnsi="Times New Roman"/>
        </w:rPr>
        <w:t xml:space="preserve">Así como las constantes en el </w:t>
      </w:r>
      <w:r w:rsidR="00EA4EB6" w:rsidRPr="001406C1">
        <w:rPr>
          <w:rFonts w:ascii="Times New Roman" w:hAnsi="Times New Roman"/>
        </w:rPr>
        <w:t>Oficio Nro. GADDMQ-SGSG-20</w:t>
      </w:r>
      <w:r w:rsidR="00EA4EB6">
        <w:rPr>
          <w:rFonts w:ascii="Times New Roman" w:hAnsi="Times New Roman"/>
        </w:rPr>
        <w:t>20</w:t>
      </w:r>
      <w:r w:rsidR="00EA4EB6" w:rsidRPr="001406C1">
        <w:rPr>
          <w:rFonts w:ascii="Times New Roman" w:hAnsi="Times New Roman"/>
        </w:rPr>
        <w:t>-1</w:t>
      </w:r>
      <w:r w:rsidR="00EA4EB6">
        <w:rPr>
          <w:rFonts w:ascii="Times New Roman" w:hAnsi="Times New Roman"/>
        </w:rPr>
        <w:t>230</w:t>
      </w:r>
      <w:r w:rsidR="00EA4EB6" w:rsidRPr="001406C1">
        <w:rPr>
          <w:rFonts w:ascii="Times New Roman" w:hAnsi="Times New Roman"/>
        </w:rPr>
        <w:t xml:space="preserve">-OF, de fecha </w:t>
      </w:r>
      <w:r w:rsidR="00EA4EB6">
        <w:rPr>
          <w:rFonts w:ascii="Times New Roman" w:hAnsi="Times New Roman"/>
        </w:rPr>
        <w:t>16</w:t>
      </w:r>
      <w:r w:rsidR="00EA4EB6" w:rsidRPr="001406C1">
        <w:rPr>
          <w:rFonts w:ascii="Times New Roman" w:hAnsi="Times New Roman"/>
        </w:rPr>
        <w:t xml:space="preserve"> de </w:t>
      </w:r>
      <w:r w:rsidR="00EA4EB6">
        <w:rPr>
          <w:rFonts w:ascii="Times New Roman" w:hAnsi="Times New Roman"/>
        </w:rPr>
        <w:t>julio</w:t>
      </w:r>
      <w:r w:rsidR="00EA4EB6" w:rsidRPr="001406C1">
        <w:rPr>
          <w:rFonts w:ascii="Times New Roman" w:hAnsi="Times New Roman"/>
        </w:rPr>
        <w:t xml:space="preserve"> de 20</w:t>
      </w:r>
      <w:r w:rsidR="00EA4EB6">
        <w:rPr>
          <w:rFonts w:ascii="Times New Roman" w:hAnsi="Times New Roman"/>
        </w:rPr>
        <w:t>20</w:t>
      </w:r>
      <w:r w:rsidR="00EA4EB6" w:rsidRPr="001406C1">
        <w:rPr>
          <w:rFonts w:ascii="Times New Roman" w:hAnsi="Times New Roman"/>
        </w:rPr>
        <w:t>, emitido por el la Secretaría General de Seguridad y Gobernabilidad</w:t>
      </w:r>
      <w:r w:rsidR="00EA4EB6">
        <w:rPr>
          <w:rFonts w:ascii="Times New Roman" w:hAnsi="Times New Roman"/>
        </w:rPr>
        <w:t>,</w:t>
      </w:r>
      <w:r w:rsidR="006A3A9C">
        <w:rPr>
          <w:rFonts w:ascii="Times New Roman" w:hAnsi="Times New Roman"/>
        </w:rPr>
        <w:t xml:space="preserve"> en el que</w:t>
      </w:r>
      <w:r w:rsidR="00EA4EB6">
        <w:rPr>
          <w:rFonts w:ascii="Times New Roman" w:hAnsi="Times New Roman"/>
        </w:rPr>
        <w:t xml:space="preserve"> manifiesta </w:t>
      </w:r>
      <w:r w:rsidR="006A3A9C" w:rsidRPr="006A3A9C">
        <w:rPr>
          <w:rFonts w:ascii="Times New Roman" w:hAnsi="Times New Roman"/>
          <w:i/>
          <w:iCs/>
        </w:rPr>
        <w:t>“</w:t>
      </w:r>
      <w:r w:rsidR="00EA4EB6" w:rsidRPr="006A3A9C">
        <w:rPr>
          <w:rFonts w:ascii="Times New Roman" w:hAnsi="Times New Roman"/>
          <w:i/>
          <w:iCs/>
        </w:rPr>
        <w:t>una vez conocida la  novedad referente a la salida del proceso de uno de los macro lote, se define que esta situación no implica un cambio en las condiciones físicas ni morfológicas del asentamiento,</w:t>
      </w:r>
      <w:r w:rsidR="006A3A9C" w:rsidRPr="006A3A9C">
        <w:rPr>
          <w:rFonts w:ascii="Times New Roman" w:hAnsi="Times New Roman"/>
          <w:i/>
          <w:iCs/>
        </w:rPr>
        <w:t>”</w:t>
      </w:r>
      <w:r w:rsidR="00EA4EB6">
        <w:rPr>
          <w:rFonts w:ascii="Times New Roman" w:hAnsi="Times New Roman"/>
        </w:rPr>
        <w:t xml:space="preserve"> razón por la cual,</w:t>
      </w:r>
      <w:r w:rsidR="00EA4EB6" w:rsidRPr="001406C1">
        <w:rPr>
          <w:rFonts w:ascii="Times New Roman" w:hAnsi="Times New Roman"/>
        </w:rPr>
        <w:t xml:space="preserve"> </w:t>
      </w:r>
      <w:r w:rsidR="006A3A9C">
        <w:rPr>
          <w:rFonts w:ascii="Times New Roman" w:hAnsi="Times New Roman"/>
        </w:rPr>
        <w:t>“</w:t>
      </w:r>
      <w:r w:rsidR="00EA4EB6" w:rsidRPr="006A3A9C">
        <w:rPr>
          <w:rFonts w:ascii="Times New Roman" w:eastAsiaTheme="minorHAnsi" w:hAnsi="Times New Roman"/>
          <w:i/>
          <w:iCs/>
        </w:rPr>
        <w:t>se ratifica en la calificación del nivel del riesgo emitida en el Informe Técnico No. 213-AT-DMGR-2017 y en las recomendaciones mediante oficio Nro. GADDMQ-SGSG-DMGR-2019-0668-OF.</w:t>
      </w:r>
      <w:r w:rsidR="006A3A9C" w:rsidRPr="006A3A9C">
        <w:rPr>
          <w:rFonts w:ascii="Times New Roman" w:eastAsiaTheme="minorHAnsi" w:hAnsi="Times New Roman"/>
          <w:i/>
          <w:iCs/>
        </w:rPr>
        <w:t>”</w:t>
      </w:r>
    </w:p>
    <w:p w14:paraId="65A533F7" w14:textId="77777777" w:rsidR="00EA4EB6" w:rsidRPr="0099312A" w:rsidRDefault="00EA4EB6" w:rsidP="009A2AAE">
      <w:pPr>
        <w:pStyle w:val="Sinespaciado"/>
        <w:jc w:val="both"/>
        <w:rPr>
          <w:rFonts w:ascii="Times New Roman" w:hAnsi="Times New Roman"/>
          <w:i/>
          <w:color w:val="000000"/>
        </w:rPr>
      </w:pPr>
    </w:p>
    <w:p w14:paraId="6792AD96" w14:textId="14646B4F" w:rsidR="009A2AAE" w:rsidRPr="0099312A" w:rsidRDefault="009A2AAE" w:rsidP="009A2AAE">
      <w:pPr>
        <w:pStyle w:val="Sinespaciado"/>
        <w:jc w:val="both"/>
        <w:rPr>
          <w:rFonts w:ascii="Times New Roman" w:eastAsiaTheme="minorHAnsi" w:hAnsi="Times New Roman"/>
          <w:i/>
        </w:rPr>
      </w:pPr>
      <w:r w:rsidRPr="0099312A">
        <w:rPr>
          <w:rFonts w:ascii="Times New Roman" w:eastAsiaTheme="minorHAnsi" w:hAnsi="Times New Roman"/>
          <w:i/>
        </w:rPr>
        <w:t xml:space="preserve">“Finalmente solicitarle que el articulado referente a la realización del estudio y cronograma de obras de mitigación no sea incluido en el cuerpo de la Ordenanza de regularización de AHHYC, debido a las condiciones </w:t>
      </w:r>
      <w:r w:rsidR="00EC6BC9">
        <w:rPr>
          <w:rFonts w:ascii="Times New Roman" w:eastAsiaTheme="minorHAnsi" w:hAnsi="Times New Roman"/>
          <w:i/>
        </w:rPr>
        <w:t>observadas en el asentamiento</w:t>
      </w:r>
      <w:r w:rsidRPr="0099312A">
        <w:rPr>
          <w:rFonts w:ascii="Times New Roman" w:eastAsiaTheme="minorHAnsi" w:hAnsi="Times New Roman"/>
          <w:i/>
        </w:rPr>
        <w:t>.”</w:t>
      </w:r>
    </w:p>
    <w:p w14:paraId="011A3F78" w14:textId="77777777" w:rsidR="009A2AAE" w:rsidRPr="0099312A" w:rsidRDefault="009A2AAE" w:rsidP="009A2AAE">
      <w:pPr>
        <w:pStyle w:val="Sinespaciado"/>
        <w:jc w:val="both"/>
        <w:rPr>
          <w:rFonts w:ascii="Times New Roman" w:eastAsiaTheme="minorHAnsi" w:hAnsi="Times New Roman"/>
          <w:i/>
        </w:rPr>
      </w:pPr>
    </w:p>
    <w:p w14:paraId="67019F41" w14:textId="77777777" w:rsidR="009A2AAE" w:rsidRPr="0099312A" w:rsidRDefault="009A2AAE" w:rsidP="009A2AAE">
      <w:pPr>
        <w:pStyle w:val="Sinespaciado"/>
        <w:jc w:val="both"/>
        <w:rPr>
          <w:rFonts w:ascii="Times New Roman" w:hAnsi="Times New Roman"/>
          <w:bCs/>
        </w:rPr>
      </w:pPr>
      <w:r w:rsidRPr="0099312A">
        <w:rPr>
          <w:rFonts w:ascii="Times New Roman" w:hAnsi="Times New Roman"/>
          <w:bCs/>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44477773" w14:textId="77777777" w:rsidR="009A2AAE" w:rsidRPr="0099312A" w:rsidRDefault="009A2AAE" w:rsidP="009A2AAE">
      <w:pPr>
        <w:pStyle w:val="Sinespaciado"/>
        <w:jc w:val="both"/>
        <w:rPr>
          <w:rFonts w:ascii="Times New Roman" w:eastAsiaTheme="minorHAnsi" w:hAnsi="Times New Roman"/>
        </w:rPr>
      </w:pPr>
    </w:p>
    <w:p w14:paraId="04BE5F3B" w14:textId="77777777" w:rsidR="009A2AAE" w:rsidRPr="0099312A" w:rsidRDefault="009A2AAE" w:rsidP="009A2AAE">
      <w:pPr>
        <w:pStyle w:val="Sinespaciado"/>
        <w:jc w:val="both"/>
        <w:rPr>
          <w:rFonts w:ascii="Times New Roman" w:hAnsi="Times New Roman"/>
        </w:rPr>
      </w:pPr>
      <w:r w:rsidRPr="0099312A">
        <w:rPr>
          <w:rFonts w:ascii="Times New Roman" w:hAnsi="Times New Roman"/>
        </w:rPr>
        <w:lastRenderedPageBreak/>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65815DB" w14:textId="77777777" w:rsidR="009A2AAE" w:rsidRPr="0099312A" w:rsidRDefault="009A2AAE" w:rsidP="009A2AAE">
      <w:pPr>
        <w:pStyle w:val="Sinespaciado"/>
        <w:jc w:val="both"/>
        <w:rPr>
          <w:rFonts w:ascii="Times New Roman" w:hAnsi="Times New Roman"/>
          <w:bCs/>
          <w:i/>
        </w:rPr>
      </w:pPr>
    </w:p>
    <w:p w14:paraId="56B9E225" w14:textId="36B19CC7" w:rsidR="000D5B33" w:rsidRDefault="000D5B33" w:rsidP="000D5B33">
      <w:pPr>
        <w:pStyle w:val="Sinespaciado"/>
        <w:jc w:val="both"/>
        <w:rPr>
          <w:rFonts w:ascii="Times New Roman" w:hAnsi="Times New Roman"/>
        </w:rPr>
      </w:pPr>
      <w:r w:rsidRPr="0099312A">
        <w:rPr>
          <w:rFonts w:ascii="Times New Roman" w:hAnsi="Times New Roman"/>
          <w:b/>
          <w:color w:val="000000"/>
        </w:rPr>
        <w:t xml:space="preserve">Articulo </w:t>
      </w:r>
      <w:r w:rsidR="0021121F">
        <w:rPr>
          <w:rFonts w:ascii="Times New Roman" w:hAnsi="Times New Roman"/>
          <w:b/>
          <w:color w:val="000000"/>
        </w:rPr>
        <w:t>10</w:t>
      </w:r>
      <w:r w:rsidRPr="0099312A">
        <w:rPr>
          <w:rFonts w:ascii="Times New Roman" w:hAnsi="Times New Roman"/>
          <w:b/>
          <w:color w:val="000000"/>
        </w:rPr>
        <w:t>.-</w:t>
      </w:r>
      <w:r w:rsidRPr="0099312A">
        <w:rPr>
          <w:rFonts w:ascii="Times New Roman" w:hAnsi="Times New Roman"/>
          <w:color w:val="000000"/>
        </w:rPr>
        <w:t xml:space="preserve"> </w:t>
      </w:r>
      <w:r w:rsidR="00424FD4">
        <w:rPr>
          <w:rFonts w:ascii="Times New Roman" w:hAnsi="Times New Roman"/>
          <w:b/>
          <w:bCs/>
          <w:color w:val="000000"/>
        </w:rPr>
        <w:t>Del pasaje</w:t>
      </w:r>
      <w:r w:rsidRPr="0099312A">
        <w:rPr>
          <w:rFonts w:ascii="Times New Roman" w:hAnsi="Times New Roman"/>
          <w:b/>
          <w:bCs/>
          <w:color w:val="000000"/>
        </w:rPr>
        <w:t xml:space="preserve">. - </w:t>
      </w:r>
      <w:r w:rsidRPr="0099312A">
        <w:rPr>
          <w:rFonts w:ascii="Times New Roman" w:hAnsi="Times New Roman"/>
          <w:color w:val="000000"/>
        </w:rPr>
        <w:t>El asentamiento h</w:t>
      </w:r>
      <w:r w:rsidRPr="0099312A">
        <w:rPr>
          <w:rFonts w:ascii="Times New Roman" w:hAnsi="Times New Roman"/>
          <w:bCs/>
          <w:iCs/>
          <w:color w:val="000000"/>
        </w:rPr>
        <w:t xml:space="preserve">umano de hecho y consolidado de interés social denominado </w:t>
      </w:r>
      <w:r w:rsidR="00543C5A" w:rsidRPr="0099312A">
        <w:rPr>
          <w:rFonts w:ascii="Times New Roman" w:hAnsi="Times New Roman"/>
        </w:rPr>
        <w:t xml:space="preserve">“Villa Vega III”, </w:t>
      </w:r>
      <w:r w:rsidRPr="0099312A">
        <w:rPr>
          <w:rFonts w:ascii="Times New Roman" w:hAnsi="Times New Roman"/>
          <w:color w:val="000000"/>
        </w:rPr>
        <w:t xml:space="preserve">contempla un sistema vial de uso público, debido a que éste es un asentamiento humano de hecho y consolidado de interés social de </w:t>
      </w:r>
      <w:r w:rsidR="00102375">
        <w:rPr>
          <w:rFonts w:ascii="Times New Roman" w:hAnsi="Times New Roman"/>
        </w:rPr>
        <w:t>24</w:t>
      </w:r>
      <w:r w:rsidRPr="0099312A">
        <w:rPr>
          <w:rFonts w:ascii="Times New Roman" w:hAnsi="Times New Roman"/>
          <w:color w:val="000000"/>
        </w:rPr>
        <w:t xml:space="preserve"> años de existencia, con </w:t>
      </w:r>
      <w:r w:rsidR="00102375">
        <w:rPr>
          <w:rFonts w:ascii="Times New Roman" w:hAnsi="Times New Roman"/>
        </w:rPr>
        <w:t>100</w:t>
      </w:r>
      <w:r w:rsidRPr="0099312A">
        <w:rPr>
          <w:rFonts w:ascii="Times New Roman" w:hAnsi="Times New Roman"/>
        </w:rPr>
        <w:t xml:space="preserve">% </w:t>
      </w:r>
      <w:r w:rsidRPr="0099312A">
        <w:rPr>
          <w:rFonts w:ascii="Times New Roman" w:hAnsi="Times New Roman"/>
          <w:color w:val="000000"/>
        </w:rPr>
        <w:t xml:space="preserve">de consolidación de viviendas y se encuentra ejecutando obras de infraestructura, </w:t>
      </w:r>
      <w:r w:rsidRPr="0099312A">
        <w:rPr>
          <w:rFonts w:ascii="Times New Roman" w:hAnsi="Times New Roman"/>
        </w:rPr>
        <w:t xml:space="preserve">razón por la cual los anchos viales se sujetarán al plano adjunto a la presente ordenanza. </w:t>
      </w:r>
    </w:p>
    <w:p w14:paraId="37E9747A" w14:textId="77777777" w:rsidR="00CC5FFA" w:rsidRPr="0099312A" w:rsidRDefault="00CC5FFA" w:rsidP="000D5B33">
      <w:pPr>
        <w:pStyle w:val="Sinespaciado"/>
        <w:jc w:val="both"/>
        <w:rPr>
          <w:rFonts w:ascii="Times New Roman" w:hAnsi="Times New Roman"/>
        </w:rPr>
      </w:pPr>
    </w:p>
    <w:p w14:paraId="34259203" w14:textId="62633C3E" w:rsidR="000D5B33" w:rsidRPr="0099312A" w:rsidRDefault="000D5B33" w:rsidP="000D5B33">
      <w:pPr>
        <w:pStyle w:val="Sinespaciado"/>
        <w:jc w:val="both"/>
        <w:rPr>
          <w:rFonts w:ascii="Times New Roman" w:hAnsi="Times New Roman"/>
          <w:b/>
          <w:color w:val="000000"/>
        </w:rPr>
      </w:pPr>
      <w:r w:rsidRPr="0099312A">
        <w:rPr>
          <w:rFonts w:ascii="Times New Roman" w:hAnsi="Times New Roman"/>
          <w:color w:val="000000"/>
        </w:rPr>
        <w:t xml:space="preserve">Se regulariza </w:t>
      </w:r>
      <w:r w:rsidR="00CC5FFA">
        <w:rPr>
          <w:rFonts w:ascii="Times New Roman" w:hAnsi="Times New Roman"/>
          <w:color w:val="000000"/>
        </w:rPr>
        <w:t>el</w:t>
      </w:r>
      <w:r w:rsidR="00543C5A" w:rsidRPr="0099312A">
        <w:rPr>
          <w:rFonts w:ascii="Times New Roman" w:hAnsi="Times New Roman"/>
          <w:color w:val="000000"/>
        </w:rPr>
        <w:t xml:space="preserve"> pasaje </w:t>
      </w:r>
      <w:r w:rsidRPr="0099312A">
        <w:rPr>
          <w:rFonts w:ascii="Times New Roman" w:hAnsi="Times New Roman"/>
          <w:color w:val="000000"/>
        </w:rPr>
        <w:t>con el siguiente ancho</w:t>
      </w:r>
      <w:r w:rsidRPr="0099312A">
        <w:rPr>
          <w:rFonts w:ascii="Times New Roman" w:hAnsi="Times New Roman"/>
          <w:b/>
          <w:color w:val="000000"/>
        </w:rPr>
        <w:t>:</w:t>
      </w:r>
    </w:p>
    <w:p w14:paraId="205F5E80" w14:textId="77777777" w:rsidR="000D5B33" w:rsidRPr="0099312A" w:rsidRDefault="000D5B33" w:rsidP="000D5B33">
      <w:pPr>
        <w:pStyle w:val="Sinespaciado"/>
        <w:jc w:val="both"/>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196"/>
      </w:tblGrid>
      <w:tr w:rsidR="000D5B33" w:rsidRPr="0099312A" w14:paraId="0F3982BB" w14:textId="77777777" w:rsidTr="00543C5A">
        <w:tc>
          <w:tcPr>
            <w:tcW w:w="4475" w:type="dxa"/>
            <w:tcBorders>
              <w:top w:val="single" w:sz="4" w:space="0" w:color="auto"/>
              <w:left w:val="single" w:sz="4" w:space="0" w:color="auto"/>
              <w:bottom w:val="single" w:sz="4" w:space="0" w:color="auto"/>
              <w:right w:val="single" w:sz="4" w:space="0" w:color="auto"/>
            </w:tcBorders>
            <w:hideMark/>
          </w:tcPr>
          <w:p w14:paraId="05B90D13" w14:textId="2341AF34" w:rsidR="000D5B33" w:rsidRPr="0002676A" w:rsidRDefault="00424FD4">
            <w:pPr>
              <w:pStyle w:val="Sinespaciado"/>
              <w:spacing w:line="256" w:lineRule="auto"/>
              <w:jc w:val="both"/>
              <w:rPr>
                <w:rFonts w:ascii="Times New Roman" w:eastAsia="Times New Roman" w:hAnsi="Times New Roman"/>
                <w:b/>
                <w:bCs/>
                <w:color w:val="000000"/>
                <w:lang w:val="es-ES" w:eastAsia="es-ES"/>
              </w:rPr>
            </w:pPr>
            <w:r w:rsidRPr="0002676A">
              <w:rPr>
                <w:rFonts w:ascii="Times New Roman" w:hAnsi="Times New Roman"/>
                <w:b/>
                <w:bCs/>
                <w:color w:val="000000" w:themeColor="text1"/>
              </w:rPr>
              <w:t>Pasaje E</w:t>
            </w:r>
            <w:r w:rsidR="00543C5A" w:rsidRPr="0002676A">
              <w:rPr>
                <w:rFonts w:ascii="Times New Roman" w:hAnsi="Times New Roman"/>
                <w:b/>
                <w:bCs/>
                <w:color w:val="000000" w:themeColor="text1"/>
              </w:rPr>
              <w:t>7</w:t>
            </w:r>
            <w:r w:rsidR="0002676A" w:rsidRPr="0002676A">
              <w:rPr>
                <w:rFonts w:ascii="Times New Roman" w:hAnsi="Times New Roman"/>
                <w:b/>
                <w:bCs/>
                <w:color w:val="000000" w:themeColor="text1"/>
              </w:rPr>
              <w:t>C</w:t>
            </w:r>
          </w:p>
        </w:tc>
        <w:tc>
          <w:tcPr>
            <w:tcW w:w="4196" w:type="dxa"/>
            <w:tcBorders>
              <w:top w:val="single" w:sz="4" w:space="0" w:color="auto"/>
              <w:left w:val="single" w:sz="4" w:space="0" w:color="auto"/>
              <w:bottom w:val="single" w:sz="4" w:space="0" w:color="auto"/>
              <w:right w:val="single" w:sz="4" w:space="0" w:color="auto"/>
            </w:tcBorders>
            <w:hideMark/>
          </w:tcPr>
          <w:p w14:paraId="27374AB3" w14:textId="61153FA1" w:rsidR="000D5B33" w:rsidRPr="0099312A" w:rsidRDefault="00543C5A" w:rsidP="00543C5A">
            <w:pPr>
              <w:rPr>
                <w:color w:val="000000" w:themeColor="text1"/>
                <w:sz w:val="22"/>
                <w:szCs w:val="22"/>
                <w:lang w:val="es-EC"/>
              </w:rPr>
            </w:pPr>
            <w:r w:rsidRPr="0099312A">
              <w:rPr>
                <w:color w:val="000000" w:themeColor="text1"/>
                <w:sz w:val="22"/>
                <w:szCs w:val="22"/>
                <w:lang w:val="es-EC"/>
              </w:rPr>
              <w:t>(variable) 3.50m a 3.25m</w:t>
            </w:r>
          </w:p>
        </w:tc>
      </w:tr>
    </w:tbl>
    <w:p w14:paraId="1FC4FA51" w14:textId="77777777" w:rsidR="000D5B33" w:rsidRPr="0099312A" w:rsidRDefault="000D5B33" w:rsidP="000D5B33">
      <w:pPr>
        <w:pStyle w:val="Sinespaciado"/>
        <w:jc w:val="both"/>
        <w:rPr>
          <w:rFonts w:ascii="Times New Roman" w:hAnsi="Times New Roman"/>
          <w:b/>
          <w:color w:val="000000"/>
        </w:rPr>
      </w:pPr>
      <w:r w:rsidRPr="0099312A">
        <w:rPr>
          <w:rFonts w:ascii="Times New Roman" w:hAnsi="Times New Roman"/>
          <w:b/>
          <w:color w:val="000000"/>
        </w:rPr>
        <w:tab/>
      </w:r>
    </w:p>
    <w:p w14:paraId="62C3A96D" w14:textId="77F0BC10" w:rsidR="000D5B33" w:rsidRPr="0099312A" w:rsidRDefault="000D5B33" w:rsidP="000D5B33">
      <w:pPr>
        <w:pStyle w:val="Sinespaciado"/>
        <w:jc w:val="both"/>
        <w:rPr>
          <w:rFonts w:ascii="Times New Roman" w:hAnsi="Times New Roman"/>
        </w:rPr>
      </w:pPr>
      <w:r w:rsidRPr="0099312A">
        <w:rPr>
          <w:rFonts w:ascii="Times New Roman" w:hAnsi="Times New Roman"/>
          <w:b/>
          <w:bCs/>
        </w:rPr>
        <w:t>Artículo 1</w:t>
      </w:r>
      <w:r w:rsidR="0021121F">
        <w:rPr>
          <w:rFonts w:ascii="Times New Roman" w:hAnsi="Times New Roman"/>
          <w:b/>
          <w:bCs/>
        </w:rPr>
        <w:t>1</w:t>
      </w:r>
      <w:r w:rsidRPr="0099312A">
        <w:rPr>
          <w:rFonts w:ascii="Times New Roman" w:hAnsi="Times New Roman"/>
          <w:b/>
          <w:bCs/>
        </w:rPr>
        <w:t xml:space="preserve">.- De las obras a ejecutarse. - </w:t>
      </w:r>
      <w:r w:rsidRPr="0099312A">
        <w:rPr>
          <w:rFonts w:ascii="Times New Roman" w:hAnsi="Times New Roman"/>
        </w:rPr>
        <w:t xml:space="preserve">Las obras </w:t>
      </w:r>
      <w:r w:rsidRPr="0099312A">
        <w:rPr>
          <w:rFonts w:ascii="Times New Roman" w:hAnsi="Times New Roman"/>
          <w:color w:val="000000"/>
        </w:rPr>
        <w:t>civiles y de infraestructura</w:t>
      </w:r>
      <w:r w:rsidRPr="0099312A">
        <w:rPr>
          <w:rFonts w:ascii="Times New Roman" w:hAnsi="Times New Roman"/>
        </w:rPr>
        <w:t xml:space="preserve"> a ejecutarse en el asentamiento humano de hecho y consolidado de interés social, son las siguientes: </w:t>
      </w:r>
    </w:p>
    <w:p w14:paraId="074796B0" w14:textId="77777777" w:rsidR="000D5B33" w:rsidRPr="0099312A" w:rsidRDefault="000D5B33" w:rsidP="000D5B33">
      <w:pPr>
        <w:pStyle w:val="Sinespaciad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189"/>
      </w:tblGrid>
      <w:tr w:rsidR="000D5B33" w:rsidRPr="0099312A" w14:paraId="61CC07DE" w14:textId="77777777" w:rsidTr="00543C5A">
        <w:trPr>
          <w:trHeight w:val="239"/>
        </w:trPr>
        <w:tc>
          <w:tcPr>
            <w:tcW w:w="4482" w:type="dxa"/>
            <w:tcBorders>
              <w:top w:val="single" w:sz="4" w:space="0" w:color="auto"/>
              <w:left w:val="single" w:sz="4" w:space="0" w:color="auto"/>
              <w:bottom w:val="single" w:sz="4" w:space="0" w:color="auto"/>
              <w:right w:val="single" w:sz="4" w:space="0" w:color="auto"/>
            </w:tcBorders>
            <w:hideMark/>
          </w:tcPr>
          <w:p w14:paraId="606C9A7A" w14:textId="77777777" w:rsidR="000D5B33" w:rsidRPr="0099312A" w:rsidRDefault="000D5B33">
            <w:pPr>
              <w:pStyle w:val="Sinespaciado"/>
              <w:spacing w:line="256" w:lineRule="auto"/>
              <w:jc w:val="both"/>
              <w:rPr>
                <w:rFonts w:ascii="Times New Roman" w:hAnsi="Times New Roman"/>
                <w:b/>
              </w:rPr>
            </w:pPr>
            <w:r w:rsidRPr="0099312A">
              <w:rPr>
                <w:rFonts w:ascii="Times New Roman" w:hAnsi="Times New Roman"/>
                <w:b/>
              </w:rPr>
              <w:t>Calzadas</w:t>
            </w:r>
          </w:p>
        </w:tc>
        <w:tc>
          <w:tcPr>
            <w:tcW w:w="4189" w:type="dxa"/>
            <w:tcBorders>
              <w:top w:val="single" w:sz="4" w:space="0" w:color="auto"/>
              <w:left w:val="single" w:sz="4" w:space="0" w:color="auto"/>
              <w:bottom w:val="single" w:sz="4" w:space="0" w:color="auto"/>
              <w:right w:val="single" w:sz="4" w:space="0" w:color="auto"/>
            </w:tcBorders>
            <w:hideMark/>
          </w:tcPr>
          <w:p w14:paraId="416F3188" w14:textId="77777777" w:rsidR="000D5B33" w:rsidRPr="0099312A" w:rsidRDefault="000D5B33">
            <w:pPr>
              <w:pStyle w:val="Sinespaciado"/>
              <w:spacing w:line="256" w:lineRule="auto"/>
              <w:jc w:val="center"/>
              <w:rPr>
                <w:rFonts w:ascii="Times New Roman" w:hAnsi="Times New Roman"/>
                <w:bCs/>
              </w:rPr>
            </w:pPr>
            <w:r w:rsidRPr="0099312A">
              <w:rPr>
                <w:rFonts w:ascii="Times New Roman" w:hAnsi="Times New Roman"/>
                <w:bCs/>
              </w:rPr>
              <w:t>100%</w:t>
            </w:r>
          </w:p>
        </w:tc>
      </w:tr>
      <w:tr w:rsidR="000D5B33" w:rsidRPr="0099312A" w14:paraId="2E932944" w14:textId="77777777" w:rsidTr="00543C5A">
        <w:tc>
          <w:tcPr>
            <w:tcW w:w="4482" w:type="dxa"/>
            <w:tcBorders>
              <w:top w:val="single" w:sz="4" w:space="0" w:color="auto"/>
              <w:left w:val="single" w:sz="4" w:space="0" w:color="auto"/>
              <w:bottom w:val="single" w:sz="4" w:space="0" w:color="auto"/>
              <w:right w:val="single" w:sz="4" w:space="0" w:color="auto"/>
            </w:tcBorders>
            <w:hideMark/>
          </w:tcPr>
          <w:p w14:paraId="18BBFAFB" w14:textId="77777777" w:rsidR="000D5B33" w:rsidRPr="0099312A" w:rsidRDefault="000D5B33">
            <w:pPr>
              <w:pStyle w:val="Sinespaciado"/>
              <w:spacing w:line="256" w:lineRule="auto"/>
              <w:jc w:val="both"/>
              <w:rPr>
                <w:rFonts w:ascii="Times New Roman" w:hAnsi="Times New Roman"/>
                <w:b/>
              </w:rPr>
            </w:pPr>
            <w:r w:rsidRPr="0099312A">
              <w:rPr>
                <w:rFonts w:ascii="Times New Roman" w:hAnsi="Times New Roman"/>
                <w:b/>
              </w:rPr>
              <w:t>Agua Potable</w:t>
            </w:r>
          </w:p>
        </w:tc>
        <w:tc>
          <w:tcPr>
            <w:tcW w:w="4189" w:type="dxa"/>
            <w:tcBorders>
              <w:top w:val="single" w:sz="4" w:space="0" w:color="auto"/>
              <w:left w:val="single" w:sz="4" w:space="0" w:color="auto"/>
              <w:bottom w:val="single" w:sz="4" w:space="0" w:color="auto"/>
              <w:right w:val="single" w:sz="4" w:space="0" w:color="auto"/>
            </w:tcBorders>
            <w:hideMark/>
          </w:tcPr>
          <w:p w14:paraId="7E982A13" w14:textId="3506BEEF" w:rsidR="000D5B33" w:rsidRPr="0099312A" w:rsidRDefault="00543C5A">
            <w:pPr>
              <w:pStyle w:val="Sinespaciado"/>
              <w:spacing w:line="256" w:lineRule="auto"/>
              <w:jc w:val="center"/>
              <w:rPr>
                <w:rFonts w:ascii="Times New Roman" w:hAnsi="Times New Roman"/>
                <w:bCs/>
              </w:rPr>
            </w:pPr>
            <w:r w:rsidRPr="0099312A">
              <w:rPr>
                <w:rFonts w:ascii="Times New Roman" w:hAnsi="Times New Roman"/>
                <w:bCs/>
              </w:rPr>
              <w:t>20</w:t>
            </w:r>
            <w:r w:rsidR="000D5B33" w:rsidRPr="0099312A">
              <w:rPr>
                <w:rFonts w:ascii="Times New Roman" w:hAnsi="Times New Roman"/>
                <w:bCs/>
              </w:rPr>
              <w:t>%</w:t>
            </w:r>
          </w:p>
        </w:tc>
      </w:tr>
      <w:tr w:rsidR="000D5B33" w:rsidRPr="0099312A" w14:paraId="36D21174" w14:textId="77777777" w:rsidTr="00543C5A">
        <w:tc>
          <w:tcPr>
            <w:tcW w:w="4482" w:type="dxa"/>
            <w:tcBorders>
              <w:top w:val="single" w:sz="4" w:space="0" w:color="auto"/>
              <w:left w:val="single" w:sz="4" w:space="0" w:color="auto"/>
              <w:bottom w:val="single" w:sz="4" w:space="0" w:color="auto"/>
              <w:right w:val="single" w:sz="4" w:space="0" w:color="auto"/>
            </w:tcBorders>
            <w:hideMark/>
          </w:tcPr>
          <w:p w14:paraId="5EA2F409" w14:textId="77777777" w:rsidR="000D5B33" w:rsidRPr="0099312A" w:rsidRDefault="000D5B33">
            <w:pPr>
              <w:pStyle w:val="Sinespaciado"/>
              <w:spacing w:line="256" w:lineRule="auto"/>
              <w:jc w:val="both"/>
              <w:rPr>
                <w:rFonts w:ascii="Times New Roman" w:hAnsi="Times New Roman"/>
                <w:b/>
              </w:rPr>
            </w:pPr>
            <w:r w:rsidRPr="0099312A">
              <w:rPr>
                <w:rFonts w:ascii="Times New Roman" w:hAnsi="Times New Roman"/>
                <w:b/>
              </w:rPr>
              <w:t>Alcantarillado</w:t>
            </w:r>
          </w:p>
        </w:tc>
        <w:tc>
          <w:tcPr>
            <w:tcW w:w="4189" w:type="dxa"/>
            <w:tcBorders>
              <w:top w:val="single" w:sz="4" w:space="0" w:color="auto"/>
              <w:left w:val="single" w:sz="4" w:space="0" w:color="auto"/>
              <w:bottom w:val="single" w:sz="4" w:space="0" w:color="auto"/>
              <w:right w:val="single" w:sz="4" w:space="0" w:color="auto"/>
            </w:tcBorders>
            <w:hideMark/>
          </w:tcPr>
          <w:p w14:paraId="2C78F169" w14:textId="145EF2E6" w:rsidR="000D5B33" w:rsidRPr="0099312A" w:rsidRDefault="000D5B33">
            <w:pPr>
              <w:pStyle w:val="Sinespaciado"/>
              <w:spacing w:line="256" w:lineRule="auto"/>
              <w:jc w:val="center"/>
              <w:rPr>
                <w:rFonts w:ascii="Times New Roman" w:hAnsi="Times New Roman"/>
                <w:bCs/>
              </w:rPr>
            </w:pPr>
            <w:r w:rsidRPr="0099312A">
              <w:rPr>
                <w:rFonts w:ascii="Times New Roman" w:hAnsi="Times New Roman"/>
                <w:bCs/>
              </w:rPr>
              <w:t>5</w:t>
            </w:r>
            <w:r w:rsidR="00543C5A" w:rsidRPr="0099312A">
              <w:rPr>
                <w:rFonts w:ascii="Times New Roman" w:hAnsi="Times New Roman"/>
                <w:bCs/>
              </w:rPr>
              <w:t>0</w:t>
            </w:r>
            <w:r w:rsidRPr="0099312A">
              <w:rPr>
                <w:rFonts w:ascii="Times New Roman" w:hAnsi="Times New Roman"/>
                <w:bCs/>
              </w:rPr>
              <w:t>%</w:t>
            </w:r>
          </w:p>
        </w:tc>
      </w:tr>
      <w:tr w:rsidR="000D5B33" w:rsidRPr="0099312A" w14:paraId="358F7B13" w14:textId="77777777" w:rsidTr="00543C5A">
        <w:tc>
          <w:tcPr>
            <w:tcW w:w="4482" w:type="dxa"/>
            <w:tcBorders>
              <w:top w:val="single" w:sz="4" w:space="0" w:color="auto"/>
              <w:left w:val="single" w:sz="4" w:space="0" w:color="auto"/>
              <w:bottom w:val="single" w:sz="4" w:space="0" w:color="auto"/>
              <w:right w:val="single" w:sz="4" w:space="0" w:color="auto"/>
            </w:tcBorders>
            <w:hideMark/>
          </w:tcPr>
          <w:p w14:paraId="33F44D7B" w14:textId="77777777" w:rsidR="000D5B33" w:rsidRPr="0099312A" w:rsidRDefault="000D5B33">
            <w:pPr>
              <w:pStyle w:val="Sinespaciado"/>
              <w:spacing w:line="256" w:lineRule="auto"/>
              <w:jc w:val="both"/>
              <w:rPr>
                <w:rFonts w:ascii="Times New Roman" w:hAnsi="Times New Roman"/>
                <w:b/>
              </w:rPr>
            </w:pPr>
            <w:r w:rsidRPr="0099312A">
              <w:rPr>
                <w:rFonts w:ascii="Times New Roman" w:hAnsi="Times New Roman"/>
                <w:b/>
              </w:rPr>
              <w:t>Electricidad</w:t>
            </w:r>
          </w:p>
        </w:tc>
        <w:tc>
          <w:tcPr>
            <w:tcW w:w="4189" w:type="dxa"/>
            <w:tcBorders>
              <w:top w:val="single" w:sz="4" w:space="0" w:color="auto"/>
              <w:left w:val="single" w:sz="4" w:space="0" w:color="auto"/>
              <w:bottom w:val="single" w:sz="4" w:space="0" w:color="auto"/>
              <w:right w:val="single" w:sz="4" w:space="0" w:color="auto"/>
            </w:tcBorders>
            <w:hideMark/>
          </w:tcPr>
          <w:p w14:paraId="3E4D4652" w14:textId="78B09A36" w:rsidR="000D5B33" w:rsidRPr="0099312A" w:rsidRDefault="00543C5A">
            <w:pPr>
              <w:pStyle w:val="Sinespaciado"/>
              <w:spacing w:line="256" w:lineRule="auto"/>
              <w:jc w:val="center"/>
              <w:rPr>
                <w:rFonts w:ascii="Times New Roman" w:hAnsi="Times New Roman"/>
                <w:bCs/>
              </w:rPr>
            </w:pPr>
            <w:r w:rsidRPr="0099312A">
              <w:rPr>
                <w:rFonts w:ascii="Times New Roman" w:hAnsi="Times New Roman"/>
                <w:bCs/>
              </w:rPr>
              <w:t>20</w:t>
            </w:r>
            <w:r w:rsidR="000D5B33" w:rsidRPr="0099312A">
              <w:rPr>
                <w:rFonts w:ascii="Times New Roman" w:hAnsi="Times New Roman"/>
                <w:bCs/>
              </w:rPr>
              <w:t>%</w:t>
            </w:r>
          </w:p>
        </w:tc>
      </w:tr>
    </w:tbl>
    <w:p w14:paraId="5C716616" w14:textId="77777777" w:rsidR="000D5B33" w:rsidRPr="0099312A" w:rsidRDefault="000D5B33" w:rsidP="000D5B33">
      <w:pPr>
        <w:pStyle w:val="Sinespaciado"/>
        <w:jc w:val="both"/>
        <w:rPr>
          <w:rFonts w:ascii="Times New Roman" w:hAnsi="Times New Roman"/>
          <w:bCs/>
        </w:rPr>
      </w:pPr>
    </w:p>
    <w:p w14:paraId="05664033" w14:textId="63261A5F" w:rsidR="000D5B33" w:rsidRPr="0099312A" w:rsidRDefault="000D5B33" w:rsidP="000D5B33">
      <w:pPr>
        <w:pStyle w:val="Sinespaciado"/>
        <w:jc w:val="both"/>
        <w:rPr>
          <w:rFonts w:ascii="Times New Roman" w:hAnsi="Times New Roman"/>
          <w:iCs/>
        </w:rPr>
      </w:pPr>
      <w:r w:rsidRPr="0099312A">
        <w:rPr>
          <w:rFonts w:ascii="Times New Roman" w:hAnsi="Times New Roman"/>
          <w:b/>
          <w:bCs/>
        </w:rPr>
        <w:t>Artículo 1</w:t>
      </w:r>
      <w:r w:rsidR="0021121F">
        <w:rPr>
          <w:rFonts w:ascii="Times New Roman" w:hAnsi="Times New Roman"/>
          <w:b/>
          <w:bCs/>
        </w:rPr>
        <w:t>2</w:t>
      </w:r>
      <w:r w:rsidRPr="0099312A">
        <w:rPr>
          <w:rFonts w:ascii="Times New Roman" w:hAnsi="Times New Roman"/>
          <w:b/>
          <w:bCs/>
        </w:rPr>
        <w:t>.- Del plazo de ejecución de las obras.-</w:t>
      </w:r>
      <w:r w:rsidRPr="0099312A">
        <w:rPr>
          <w:rFonts w:ascii="Times New Roman" w:hAnsi="Times New Roman"/>
        </w:rPr>
        <w:t xml:space="preserve"> El plazo de ejecución de la totalidad de las obras civiles y de infraestructura, será de hasta cinco (5) años, </w:t>
      </w:r>
      <w:r w:rsidRPr="0099312A">
        <w:rPr>
          <w:rFonts w:ascii="Times New Roman" w:hAnsi="Times New Roman"/>
          <w:iCs/>
        </w:rPr>
        <w:t xml:space="preserve">de conformidad al cronograma de obras presentado por </w:t>
      </w:r>
      <w:r w:rsidRPr="0099312A">
        <w:rPr>
          <w:rFonts w:ascii="Times New Roman" w:hAnsi="Times New Roman"/>
          <w:color w:val="0D0D0D"/>
        </w:rPr>
        <w:t xml:space="preserve">los copropietarios del inmueble donde se ubica </w:t>
      </w:r>
      <w:r w:rsidRPr="0099312A">
        <w:rPr>
          <w:rFonts w:ascii="Times New Roman" w:hAnsi="Times New Roman"/>
        </w:rPr>
        <w:t>el asentamiento humano de hecho y consolidado de interés social</w:t>
      </w:r>
      <w:r w:rsidRPr="0099312A">
        <w:rPr>
          <w:rFonts w:ascii="Times New Roman" w:hAnsi="Times New Roman"/>
          <w:b/>
        </w:rPr>
        <w:t>,</w:t>
      </w:r>
      <w:r w:rsidRPr="0099312A">
        <w:rPr>
          <w:rFonts w:ascii="Times New Roman" w:hAnsi="Times New Roman"/>
          <w:b/>
          <w:color w:val="FF0000"/>
        </w:rPr>
        <w:t xml:space="preserve"> </w:t>
      </w:r>
      <w:r w:rsidRPr="0099312A">
        <w:rPr>
          <w:rFonts w:ascii="Times New Roman" w:hAnsi="Times New Roman"/>
          <w:color w:val="000000"/>
        </w:rPr>
        <w:t>y aprobado por la mesa institucional</w:t>
      </w:r>
      <w:r w:rsidRPr="0099312A">
        <w:rPr>
          <w:rFonts w:ascii="Times New Roman" w:hAnsi="Times New Roman"/>
          <w:b/>
          <w:color w:val="000000"/>
        </w:rPr>
        <w:t>,</w:t>
      </w:r>
      <w:r w:rsidRPr="0099312A">
        <w:rPr>
          <w:rFonts w:ascii="Times New Roman" w:hAnsi="Times New Roman"/>
          <w:b/>
        </w:rPr>
        <w:t xml:space="preserve"> </w:t>
      </w:r>
      <w:r w:rsidRPr="0099312A">
        <w:rPr>
          <w:rFonts w:ascii="Times New Roman" w:hAnsi="Times New Roman"/>
          <w:iCs/>
        </w:rPr>
        <w:t>plazo que se contará a partir de la fecha de inscripción de la presente Ordenanza en el Registro de la Propiedad del Distrito Metropolitano de Quito.</w:t>
      </w:r>
    </w:p>
    <w:p w14:paraId="3EB98EB6" w14:textId="77777777" w:rsidR="000D5B33" w:rsidRPr="0099312A" w:rsidRDefault="000D5B33" w:rsidP="000D5B33">
      <w:pPr>
        <w:pStyle w:val="Sinespaciado"/>
        <w:jc w:val="both"/>
        <w:rPr>
          <w:rFonts w:ascii="Times New Roman" w:hAnsi="Times New Roman"/>
          <w:iCs/>
        </w:rPr>
      </w:pPr>
    </w:p>
    <w:p w14:paraId="6FA4C012" w14:textId="77777777" w:rsidR="000D5B33" w:rsidRPr="0099312A" w:rsidRDefault="000D5B33" w:rsidP="000D5B33">
      <w:pPr>
        <w:pStyle w:val="Sinespaciado"/>
        <w:jc w:val="both"/>
        <w:rPr>
          <w:rFonts w:ascii="Times New Roman" w:hAnsi="Times New Roman"/>
          <w:iCs/>
        </w:rPr>
      </w:pPr>
      <w:r w:rsidRPr="0099312A">
        <w:rPr>
          <w:rFonts w:ascii="Times New Roman" w:hAnsi="Times New Roman"/>
          <w:iCs/>
        </w:rPr>
        <w:t>Las obras civiles y de infraestructura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99312A">
        <w:rPr>
          <w:rFonts w:ascii="Times New Roman" w:hAnsi="Times New Roman"/>
          <w:bCs/>
        </w:rPr>
        <w:t>. E</w:t>
      </w:r>
      <w:r w:rsidRPr="0099312A">
        <w:rPr>
          <w:rFonts w:ascii="Times New Roman" w:hAnsi="Times New Roman"/>
          <w:iCs/>
        </w:rPr>
        <w:t>l valor por contribución especial a mejoras se aplicará conforme la modalidad ejecutada.</w:t>
      </w:r>
    </w:p>
    <w:p w14:paraId="1E695838" w14:textId="77777777" w:rsidR="000D5B33" w:rsidRPr="0099312A" w:rsidRDefault="000D5B33" w:rsidP="000D5B33">
      <w:pPr>
        <w:pStyle w:val="Sinespaciado"/>
        <w:jc w:val="both"/>
        <w:rPr>
          <w:rFonts w:ascii="Times New Roman" w:hAnsi="Times New Roman"/>
          <w:iCs/>
        </w:rPr>
      </w:pPr>
    </w:p>
    <w:p w14:paraId="4A6A228D" w14:textId="5C00B775" w:rsidR="000D5B33" w:rsidRPr="0099312A" w:rsidRDefault="000D5B33" w:rsidP="000D5B33">
      <w:pPr>
        <w:pStyle w:val="Sinespaciado"/>
        <w:jc w:val="both"/>
        <w:rPr>
          <w:rFonts w:ascii="Times New Roman" w:hAnsi="Times New Roman"/>
          <w:color w:val="2A2A2A"/>
        </w:rPr>
      </w:pPr>
      <w:r w:rsidRPr="0099312A">
        <w:rPr>
          <w:rFonts w:ascii="Times New Roman" w:hAnsi="Times New Roman"/>
          <w:b/>
          <w:bCs/>
        </w:rPr>
        <w:t>Artículo 1</w:t>
      </w:r>
      <w:r w:rsidR="0021121F">
        <w:rPr>
          <w:rFonts w:ascii="Times New Roman" w:hAnsi="Times New Roman"/>
          <w:b/>
          <w:bCs/>
        </w:rPr>
        <w:t>3</w:t>
      </w:r>
      <w:r w:rsidRPr="0099312A">
        <w:rPr>
          <w:rFonts w:ascii="Times New Roman" w:hAnsi="Times New Roman"/>
          <w:b/>
          <w:bCs/>
          <w:lang w:val="es-ES_tradnl"/>
        </w:rPr>
        <w:t xml:space="preserve">.- Del control de ejecución de las obras. - </w:t>
      </w:r>
      <w:r w:rsidRPr="0099312A">
        <w:rPr>
          <w:rFonts w:ascii="Times New Roman" w:hAnsi="Times New Roman"/>
          <w:color w:val="2A2A2A"/>
        </w:rPr>
        <w:t xml:space="preserve">La Administración Zonal Tumbaco </w:t>
      </w:r>
      <w:r w:rsidRPr="0099312A">
        <w:rPr>
          <w:rFonts w:ascii="Times New Roman" w:hAnsi="Times New Roman"/>
          <w:iCs/>
        </w:rPr>
        <w:t>r</w:t>
      </w:r>
      <w:r w:rsidRPr="0099312A">
        <w:rPr>
          <w:rFonts w:ascii="Times New Roman" w:hAnsi="Times New Roman"/>
        </w:rPr>
        <w:t>ealizará</w:t>
      </w:r>
      <w:r w:rsidRPr="0099312A">
        <w:rPr>
          <w:rFonts w:ascii="Times New Roman" w:hAnsi="Times New Roman"/>
          <w:color w:val="FF0000"/>
        </w:rPr>
        <w:t xml:space="preserve"> </w:t>
      </w:r>
      <w:r w:rsidRPr="0099312A">
        <w:rPr>
          <w:rFonts w:ascii="Times New Roman" w:hAnsi="Times New Roman"/>
          <w:color w:val="000000"/>
        </w:rPr>
        <w:t>de oficio,</w:t>
      </w:r>
      <w:r w:rsidRPr="0099312A">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99312A">
        <w:rPr>
          <w:rFonts w:ascii="Times New Roman" w:hAnsi="Times New Roman"/>
          <w:color w:val="000000"/>
        </w:rPr>
        <w:t>, expedido por la Administración Zonal Tumbaco, será indispensable para cancelar la hipoteca</w:t>
      </w:r>
      <w:r w:rsidRPr="0099312A">
        <w:rPr>
          <w:rFonts w:ascii="Times New Roman" w:hAnsi="Times New Roman"/>
          <w:color w:val="2A2A2A"/>
        </w:rPr>
        <w:t>.</w:t>
      </w:r>
    </w:p>
    <w:p w14:paraId="64BC5CA1" w14:textId="77777777" w:rsidR="000D5B33" w:rsidRPr="0099312A" w:rsidRDefault="000D5B33" w:rsidP="000D5B33">
      <w:pPr>
        <w:pStyle w:val="Sinespaciado"/>
        <w:jc w:val="both"/>
        <w:rPr>
          <w:rFonts w:ascii="Times New Roman" w:hAnsi="Times New Roman"/>
          <w:color w:val="2A2A2A"/>
        </w:rPr>
      </w:pPr>
    </w:p>
    <w:p w14:paraId="293A6B6D" w14:textId="462915D2" w:rsidR="000D5B33" w:rsidRPr="0099312A" w:rsidRDefault="000D5B33" w:rsidP="000D5B33">
      <w:pPr>
        <w:pStyle w:val="Sinespaciado"/>
        <w:jc w:val="both"/>
        <w:rPr>
          <w:rFonts w:ascii="Times New Roman" w:hAnsi="Times New Roman"/>
          <w:bCs/>
          <w:color w:val="000000"/>
        </w:rPr>
      </w:pPr>
      <w:r w:rsidRPr="0099312A">
        <w:rPr>
          <w:rFonts w:ascii="Times New Roman" w:hAnsi="Times New Roman"/>
          <w:b/>
          <w:bCs/>
        </w:rPr>
        <w:lastRenderedPageBreak/>
        <w:t>Artículo</w:t>
      </w:r>
      <w:r w:rsidRPr="0099312A">
        <w:rPr>
          <w:rFonts w:ascii="Times New Roman" w:hAnsi="Times New Roman"/>
          <w:b/>
          <w:bCs/>
          <w:lang w:val="es-ES_tradnl"/>
        </w:rPr>
        <w:t xml:space="preserve"> 1</w:t>
      </w:r>
      <w:r w:rsidR="0021121F">
        <w:rPr>
          <w:rFonts w:ascii="Times New Roman" w:hAnsi="Times New Roman"/>
          <w:b/>
          <w:bCs/>
          <w:lang w:val="es-ES_tradnl"/>
        </w:rPr>
        <w:t>4</w:t>
      </w:r>
      <w:r w:rsidRPr="0099312A">
        <w:rPr>
          <w:rFonts w:ascii="Times New Roman" w:hAnsi="Times New Roman"/>
          <w:b/>
          <w:bCs/>
          <w:lang w:val="es-ES_tradnl"/>
        </w:rPr>
        <w:t xml:space="preserve">.- De la multa por retraso en ejecución de obras. - </w:t>
      </w:r>
      <w:r w:rsidRPr="0099312A">
        <w:rPr>
          <w:rFonts w:ascii="Times New Roman" w:hAnsi="Times New Roman"/>
          <w:lang w:val="es-ES_tradnl"/>
        </w:rPr>
        <w:t xml:space="preserve">En caso de retraso en la ejecución de las obras </w:t>
      </w:r>
      <w:r w:rsidRPr="0099312A">
        <w:rPr>
          <w:rFonts w:ascii="Times New Roman" w:hAnsi="Times New Roman"/>
        </w:rPr>
        <w:t>civiles y de infraestructura</w:t>
      </w:r>
      <w:r w:rsidRPr="0099312A">
        <w:rPr>
          <w:rFonts w:ascii="Times New Roman" w:hAnsi="Times New Roman"/>
          <w:lang w:val="es-ES_tradnl"/>
        </w:rPr>
        <w:t>,</w:t>
      </w:r>
      <w:r w:rsidRPr="0099312A">
        <w:rPr>
          <w:rFonts w:ascii="Times New Roman" w:hAnsi="Times New Roman"/>
          <w:color w:val="0D0D0D"/>
        </w:rPr>
        <w:t xml:space="preserve"> los copropietarios del inmueble sobre el cual se ubica </w:t>
      </w:r>
      <w:r w:rsidRPr="0099312A">
        <w:rPr>
          <w:rFonts w:ascii="Times New Roman" w:hAnsi="Times New Roman"/>
        </w:rPr>
        <w:t>el asentamiento humano de hecho y consolidado de interés social</w:t>
      </w:r>
      <w:r w:rsidRPr="0099312A">
        <w:rPr>
          <w:rFonts w:ascii="Times New Roman" w:hAnsi="Times New Roman"/>
          <w:b/>
        </w:rPr>
        <w:t xml:space="preserve"> </w:t>
      </w:r>
      <w:r w:rsidRPr="0099312A">
        <w:rPr>
          <w:rFonts w:ascii="Times New Roman" w:hAnsi="Times New Roman"/>
        </w:rPr>
        <w:t xml:space="preserve">denominado </w:t>
      </w:r>
      <w:r w:rsidR="00543C5A" w:rsidRPr="0099312A">
        <w:rPr>
          <w:rFonts w:ascii="Times New Roman" w:hAnsi="Times New Roman"/>
        </w:rPr>
        <w:t xml:space="preserve">“Villa Vega III”, </w:t>
      </w:r>
      <w:r w:rsidRPr="0099312A">
        <w:rPr>
          <w:rFonts w:ascii="Times New Roman" w:hAnsi="Times New Roman"/>
          <w:bCs/>
          <w:color w:val="000000"/>
        </w:rPr>
        <w:t>se sujetará a las sanciones contempladas en el Ordenamiento Jurídico Nacional y Metropolitano.</w:t>
      </w:r>
    </w:p>
    <w:p w14:paraId="4137ED65" w14:textId="77777777" w:rsidR="000D5B33" w:rsidRPr="0099312A" w:rsidRDefault="000D5B33" w:rsidP="000D5B33">
      <w:pPr>
        <w:pStyle w:val="Sinespaciado"/>
        <w:jc w:val="both"/>
        <w:rPr>
          <w:rFonts w:ascii="Times New Roman" w:hAnsi="Times New Roman"/>
        </w:rPr>
      </w:pPr>
    </w:p>
    <w:p w14:paraId="199B0965" w14:textId="106AB47C" w:rsidR="000D5B33" w:rsidRPr="0099312A" w:rsidRDefault="000D5B33" w:rsidP="000D5B33">
      <w:pPr>
        <w:pStyle w:val="Sinespaciado"/>
        <w:jc w:val="both"/>
        <w:rPr>
          <w:rFonts w:ascii="Times New Roman" w:hAnsi="Times New Roman"/>
          <w:bCs/>
          <w:iCs/>
        </w:rPr>
      </w:pPr>
      <w:r w:rsidRPr="0099312A">
        <w:rPr>
          <w:rFonts w:ascii="Times New Roman" w:hAnsi="Times New Roman"/>
          <w:b/>
          <w:bCs/>
          <w:iCs/>
        </w:rPr>
        <w:t>Artículo 1</w:t>
      </w:r>
      <w:r w:rsidR="0021121F">
        <w:rPr>
          <w:rFonts w:ascii="Times New Roman" w:hAnsi="Times New Roman"/>
          <w:b/>
          <w:bCs/>
          <w:iCs/>
        </w:rPr>
        <w:t>5</w:t>
      </w:r>
      <w:r w:rsidRPr="0099312A">
        <w:rPr>
          <w:rFonts w:ascii="Times New Roman" w:hAnsi="Times New Roman"/>
          <w:b/>
          <w:bCs/>
          <w:iCs/>
        </w:rPr>
        <w:t xml:space="preserve">.- De la garantía de ejecución de las obras.- </w:t>
      </w:r>
      <w:r w:rsidRPr="0099312A">
        <w:rPr>
          <w:rFonts w:ascii="Times New Roman" w:hAnsi="Times New Roman"/>
        </w:rPr>
        <w:t>Los lotes producto del fraccionamiento donde se encuentra ubicado el asentamiento humano de hecho y consolidado de interés social denominado “</w:t>
      </w:r>
      <w:r w:rsidR="003E637F">
        <w:rPr>
          <w:rFonts w:ascii="Times New Roman" w:hAnsi="Times New Roman"/>
        </w:rPr>
        <w:t>Villa Vega III</w:t>
      </w:r>
      <w:r w:rsidRPr="0099312A">
        <w:rPr>
          <w:rFonts w:ascii="Times New Roman" w:hAnsi="Times New Roman"/>
        </w:rPr>
        <w:t xml:space="preserve">”, </w:t>
      </w:r>
      <w:r w:rsidRPr="0099312A">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BC42907" w14:textId="77777777" w:rsidR="000D5B33" w:rsidRPr="0099312A" w:rsidRDefault="000D5B33" w:rsidP="000D5B33">
      <w:pPr>
        <w:pStyle w:val="Sinespaciado"/>
        <w:jc w:val="both"/>
        <w:rPr>
          <w:rFonts w:ascii="Times New Roman" w:hAnsi="Times New Roman"/>
          <w:bCs/>
          <w:iCs/>
        </w:rPr>
      </w:pPr>
    </w:p>
    <w:p w14:paraId="5F66DA5E" w14:textId="2A2AD83E" w:rsidR="000D5B33" w:rsidRPr="0099312A" w:rsidRDefault="000D5B33" w:rsidP="000D5B33">
      <w:pPr>
        <w:pStyle w:val="Sinespaciado"/>
        <w:jc w:val="both"/>
        <w:rPr>
          <w:rFonts w:ascii="Times New Roman" w:hAnsi="Times New Roman"/>
          <w:lang w:val="es-ES_tradnl"/>
        </w:rPr>
      </w:pPr>
      <w:r w:rsidRPr="0099312A">
        <w:rPr>
          <w:rFonts w:ascii="Times New Roman" w:hAnsi="Times New Roman"/>
          <w:b/>
          <w:bCs/>
        </w:rPr>
        <w:t>Artículo</w:t>
      </w:r>
      <w:r w:rsidRPr="0099312A">
        <w:rPr>
          <w:rFonts w:ascii="Times New Roman" w:hAnsi="Times New Roman"/>
          <w:b/>
          <w:bCs/>
          <w:lang w:val="es-ES_tradnl"/>
        </w:rPr>
        <w:t xml:space="preserve"> 1</w:t>
      </w:r>
      <w:r w:rsidR="0021121F">
        <w:rPr>
          <w:rFonts w:ascii="Times New Roman" w:hAnsi="Times New Roman"/>
          <w:b/>
          <w:bCs/>
          <w:lang w:val="es-ES_tradnl"/>
        </w:rPr>
        <w:t>6</w:t>
      </w:r>
      <w:r w:rsidRPr="0099312A">
        <w:rPr>
          <w:rFonts w:ascii="Times New Roman" w:hAnsi="Times New Roman"/>
          <w:b/>
          <w:bCs/>
          <w:lang w:val="es-ES_tradnl"/>
        </w:rPr>
        <w:t xml:space="preserve">.- De la Protocolización e inscripción de la Ordenanza. -  </w:t>
      </w:r>
      <w:r w:rsidRPr="0099312A">
        <w:rPr>
          <w:rFonts w:ascii="Times New Roman" w:hAnsi="Times New Roman"/>
        </w:rPr>
        <w:t>Los copropietarios del predio del asentamiento humano de hecho y consolidado de interés</w:t>
      </w:r>
      <w:r w:rsidRPr="0099312A">
        <w:rPr>
          <w:rFonts w:ascii="Times New Roman" w:hAnsi="Times New Roman"/>
          <w:bCs/>
          <w:color w:val="000000"/>
        </w:rPr>
        <w:t xml:space="preserve"> social denominado </w:t>
      </w:r>
      <w:r w:rsidR="00543C5A" w:rsidRPr="0099312A">
        <w:rPr>
          <w:rFonts w:ascii="Times New Roman" w:hAnsi="Times New Roman"/>
        </w:rPr>
        <w:t>“Villa Vega III</w:t>
      </w:r>
      <w:r w:rsidR="001074F5" w:rsidRPr="0099312A">
        <w:rPr>
          <w:rFonts w:ascii="Times New Roman" w:hAnsi="Times New Roman"/>
        </w:rPr>
        <w:t>”, deberán</w:t>
      </w:r>
      <w:r w:rsidRPr="0099312A">
        <w:rPr>
          <w:rFonts w:ascii="Times New Roman" w:hAnsi="Times New Roman"/>
          <w:lang w:val="es-ES_tradnl"/>
        </w:rPr>
        <w:t xml:space="preserve"> </w:t>
      </w:r>
      <w:r w:rsidRPr="0099312A">
        <w:rPr>
          <w:rFonts w:ascii="Times New Roman" w:hAnsi="Times New Roman"/>
        </w:rPr>
        <w:t xml:space="preserve">protocolizar la presente Ordenanza ante Notario Público e inscribirla en el Registro de la Propiedad del Distrito Metropolitano de Quito, </w:t>
      </w:r>
      <w:r w:rsidRPr="0099312A">
        <w:rPr>
          <w:rFonts w:ascii="Times New Roman" w:hAnsi="Times New Roman"/>
          <w:lang w:val="es-ES_tradnl"/>
        </w:rPr>
        <w:t>con todos sus documentos habilitantes</w:t>
      </w:r>
      <w:r w:rsidRPr="0099312A">
        <w:rPr>
          <w:rFonts w:ascii="Times New Roman" w:hAnsi="Times New Roman"/>
        </w:rPr>
        <w:t>;</w:t>
      </w:r>
      <w:r w:rsidRPr="0099312A">
        <w:rPr>
          <w:rFonts w:ascii="Times New Roman" w:hAnsi="Times New Roman"/>
          <w:lang w:val="es-ES_tradnl"/>
        </w:rPr>
        <w:t xml:space="preserve"> </w:t>
      </w:r>
    </w:p>
    <w:p w14:paraId="07D4267D" w14:textId="77777777" w:rsidR="000D5B33" w:rsidRPr="0099312A" w:rsidRDefault="000D5B33" w:rsidP="000D5B33">
      <w:pPr>
        <w:pStyle w:val="Sinespaciado"/>
        <w:jc w:val="both"/>
        <w:rPr>
          <w:rFonts w:ascii="Times New Roman" w:hAnsi="Times New Roman"/>
          <w:lang w:val="es-ES_tradnl"/>
        </w:rPr>
      </w:pPr>
    </w:p>
    <w:p w14:paraId="70D530D2" w14:textId="4AEC8B45" w:rsidR="000D5B33" w:rsidRPr="0099312A" w:rsidRDefault="000D5B33" w:rsidP="000D5B33">
      <w:pPr>
        <w:pStyle w:val="Sinespaciado"/>
        <w:jc w:val="both"/>
        <w:rPr>
          <w:rFonts w:ascii="Times New Roman" w:hAnsi="Times New Roman"/>
          <w:bCs/>
          <w:lang w:val="es-ES_tradnl"/>
        </w:rPr>
      </w:pPr>
      <w:r w:rsidRPr="0099312A">
        <w:rPr>
          <w:rFonts w:ascii="Times New Roman" w:hAnsi="Times New Roman"/>
          <w:bCs/>
          <w:lang w:val="es-ES_tradnl"/>
        </w:rPr>
        <w:t>En caso de no inscribir la presente ordenanza</w:t>
      </w:r>
      <w:r w:rsidR="0002676A">
        <w:rPr>
          <w:rFonts w:ascii="Times New Roman" w:hAnsi="Times New Roman"/>
          <w:bCs/>
          <w:lang w:val="es-ES_tradnl"/>
        </w:rPr>
        <w:t xml:space="preserve"> en el Registro de la Propiedad</w:t>
      </w:r>
      <w:r w:rsidRPr="0099312A">
        <w:rPr>
          <w:rFonts w:ascii="Times New Roman" w:hAnsi="Times New Roman"/>
          <w:bCs/>
          <w:lang w:val="es-ES_tradnl"/>
        </w:rPr>
        <w:t xml:space="preserve">, ésta caducará en el plazo de tres (03) años de conformidad con lo dispuesto en el artículo </w:t>
      </w:r>
      <w:r w:rsidRPr="0099312A">
        <w:rPr>
          <w:rFonts w:ascii="Times New Roman" w:hAnsi="Times New Roman"/>
        </w:rPr>
        <w:t>IV.7.64 de la Ordenanza No. 001 de 29 de marzo de 2019</w:t>
      </w:r>
      <w:r w:rsidRPr="0099312A">
        <w:rPr>
          <w:rFonts w:ascii="Times New Roman" w:hAnsi="Times New Roman"/>
          <w:bCs/>
          <w:lang w:val="es-ES_tradnl"/>
        </w:rPr>
        <w:t xml:space="preserve">. </w:t>
      </w:r>
    </w:p>
    <w:p w14:paraId="62063342" w14:textId="77777777" w:rsidR="000D5B33" w:rsidRPr="0099312A" w:rsidRDefault="000D5B33" w:rsidP="000D5B33">
      <w:pPr>
        <w:pStyle w:val="Sinespaciado"/>
        <w:jc w:val="both"/>
        <w:rPr>
          <w:rFonts w:ascii="Times New Roman" w:hAnsi="Times New Roman"/>
          <w:lang w:val="es-ES_tradnl"/>
        </w:rPr>
      </w:pPr>
    </w:p>
    <w:p w14:paraId="22E95082" w14:textId="25335EDF" w:rsidR="000D5B33" w:rsidRPr="0099312A" w:rsidRDefault="000D5B33" w:rsidP="000D5B33">
      <w:pPr>
        <w:pStyle w:val="Sinespaciado"/>
        <w:jc w:val="both"/>
        <w:rPr>
          <w:rFonts w:ascii="Times New Roman" w:hAnsi="Times New Roman"/>
          <w:lang w:val="es-ES_tradnl"/>
        </w:rPr>
      </w:pPr>
      <w:r w:rsidRPr="0099312A">
        <w:rPr>
          <w:rFonts w:ascii="Times New Roman" w:hAnsi="Times New Roman"/>
          <w:b/>
          <w:lang w:val="es-ES_tradnl"/>
        </w:rPr>
        <w:t>Artículo 1</w:t>
      </w:r>
      <w:r w:rsidR="0021121F">
        <w:rPr>
          <w:rFonts w:ascii="Times New Roman" w:hAnsi="Times New Roman"/>
          <w:b/>
          <w:lang w:val="es-ES_tradnl"/>
        </w:rPr>
        <w:t>7</w:t>
      </w:r>
      <w:r w:rsidRPr="0099312A">
        <w:rPr>
          <w:rFonts w:ascii="Times New Roman" w:hAnsi="Times New Roman"/>
          <w:b/>
          <w:lang w:val="es-ES_tradnl"/>
        </w:rPr>
        <w:t xml:space="preserve">.- De la partición y </w:t>
      </w:r>
      <w:r w:rsidR="00424FD4" w:rsidRPr="0099312A">
        <w:rPr>
          <w:rFonts w:ascii="Times New Roman" w:hAnsi="Times New Roman"/>
          <w:b/>
          <w:lang w:val="es-ES_tradnl"/>
        </w:rPr>
        <w:t>adjudicación. -</w:t>
      </w:r>
      <w:r w:rsidRPr="0099312A">
        <w:rPr>
          <w:rFonts w:ascii="Times New Roman" w:hAnsi="Times New Roman"/>
          <w:lang w:val="es-ES_tradnl"/>
        </w:rPr>
        <w:t xml:space="preserve"> Se faculta al señor Alcalde para que</w:t>
      </w:r>
      <w:r w:rsidR="00543C5A" w:rsidRPr="0099312A">
        <w:rPr>
          <w:rFonts w:ascii="Times New Roman" w:hAnsi="Times New Roman"/>
          <w:lang w:val="es-ES_tradnl"/>
        </w:rPr>
        <w:t>,</w:t>
      </w:r>
      <w:r w:rsidRPr="0099312A">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BC2436C" w14:textId="77777777" w:rsidR="000D5B33" w:rsidRPr="0099312A" w:rsidRDefault="000D5B33" w:rsidP="000D5B33">
      <w:pPr>
        <w:pStyle w:val="Sinespaciado"/>
        <w:jc w:val="both"/>
        <w:rPr>
          <w:rFonts w:ascii="Times New Roman" w:hAnsi="Times New Roman"/>
          <w:lang w:val="es-ES_tradnl"/>
        </w:rPr>
      </w:pPr>
      <w:r w:rsidRPr="0099312A">
        <w:rPr>
          <w:rFonts w:ascii="Times New Roman" w:hAnsi="Times New Roman"/>
          <w:lang w:val="es-ES_tradnl"/>
        </w:rPr>
        <w:t xml:space="preserve"> </w:t>
      </w:r>
    </w:p>
    <w:p w14:paraId="16A168EB" w14:textId="11904CD8" w:rsidR="000D5B33" w:rsidRPr="0099312A" w:rsidRDefault="000D5B33" w:rsidP="000D5B33">
      <w:pPr>
        <w:pStyle w:val="Sinespaciado"/>
        <w:jc w:val="both"/>
        <w:rPr>
          <w:rFonts w:ascii="Times New Roman" w:hAnsi="Times New Roman"/>
        </w:rPr>
      </w:pPr>
      <w:r w:rsidRPr="0099312A">
        <w:rPr>
          <w:rFonts w:ascii="Times New Roman" w:hAnsi="Times New Roman"/>
          <w:b/>
          <w:bCs/>
          <w:lang w:val="es-ES_tradnl"/>
        </w:rPr>
        <w:t>Artículo 1</w:t>
      </w:r>
      <w:r w:rsidR="0021121F">
        <w:rPr>
          <w:rFonts w:ascii="Times New Roman" w:hAnsi="Times New Roman"/>
          <w:b/>
          <w:bCs/>
          <w:lang w:val="es-ES_tradnl"/>
        </w:rPr>
        <w:t>8</w:t>
      </w:r>
      <w:r w:rsidRPr="0099312A">
        <w:rPr>
          <w:rFonts w:ascii="Times New Roman" w:hAnsi="Times New Roman"/>
          <w:b/>
          <w:bCs/>
          <w:lang w:val="es-ES_tradnl"/>
        </w:rPr>
        <w:t xml:space="preserve">.- Solicitudes de ampliación de </w:t>
      </w:r>
      <w:r w:rsidR="00424FD4" w:rsidRPr="0099312A">
        <w:rPr>
          <w:rFonts w:ascii="Times New Roman" w:hAnsi="Times New Roman"/>
          <w:b/>
          <w:bCs/>
          <w:lang w:val="es-ES_tradnl"/>
        </w:rPr>
        <w:t>plazo. -</w:t>
      </w:r>
      <w:r w:rsidRPr="0099312A">
        <w:rPr>
          <w:rFonts w:ascii="Times New Roman" w:hAnsi="Times New Roman"/>
          <w:b/>
          <w:bCs/>
          <w:lang w:val="es-ES_tradnl"/>
        </w:rPr>
        <w:t xml:space="preserve"> </w:t>
      </w:r>
      <w:r w:rsidRPr="0099312A">
        <w:rPr>
          <w:rFonts w:ascii="Times New Roman" w:hAnsi="Times New Roman"/>
          <w:lang w:val="es-ES_tradnl"/>
        </w:rPr>
        <w:t xml:space="preserve">La Administración Zonal Tumbaco queda plenamente facultada para resolver y aprobar las solicitudes de ampliación de plazo para ejecución de obras civiles </w:t>
      </w:r>
      <w:r w:rsidRPr="0099312A">
        <w:rPr>
          <w:rFonts w:ascii="Times New Roman" w:hAnsi="Times New Roman"/>
        </w:rPr>
        <w:t>y de infraestructura.</w:t>
      </w:r>
    </w:p>
    <w:p w14:paraId="4942BB63" w14:textId="77777777" w:rsidR="000D5B33" w:rsidRPr="0099312A" w:rsidRDefault="000D5B33" w:rsidP="000D5B33">
      <w:pPr>
        <w:pStyle w:val="Sinespaciado"/>
        <w:jc w:val="both"/>
        <w:rPr>
          <w:rFonts w:ascii="Times New Roman" w:hAnsi="Times New Roman"/>
          <w:lang w:val="es-ES_tradnl"/>
        </w:rPr>
      </w:pPr>
    </w:p>
    <w:p w14:paraId="201BB1C3" w14:textId="77777777" w:rsidR="000D5B33" w:rsidRPr="0099312A" w:rsidRDefault="000D5B33" w:rsidP="000D5B33">
      <w:pPr>
        <w:pStyle w:val="Sinespaciado"/>
        <w:jc w:val="both"/>
        <w:rPr>
          <w:rFonts w:ascii="Times New Roman" w:hAnsi="Times New Roman"/>
          <w:bCs/>
          <w:color w:val="000000"/>
          <w:lang w:val="es-ES_tradnl"/>
        </w:rPr>
      </w:pPr>
      <w:r w:rsidRPr="0099312A">
        <w:rPr>
          <w:rFonts w:ascii="Times New Roman" w:hAnsi="Times New Roman"/>
          <w:bCs/>
          <w:color w:val="000000"/>
          <w:lang w:val="es-ES_tradnl"/>
        </w:rPr>
        <w:t>La Administración Zonal Tumbaco deberá notificar a los copropietarios del asentamiento 6 meses antes a la conclusión del plazo establecido.</w:t>
      </w:r>
    </w:p>
    <w:p w14:paraId="617F55C9" w14:textId="77777777" w:rsidR="000D5B33" w:rsidRPr="0099312A" w:rsidRDefault="000D5B33" w:rsidP="000D5B33">
      <w:pPr>
        <w:pStyle w:val="Sinespaciado"/>
        <w:jc w:val="both"/>
        <w:rPr>
          <w:rFonts w:ascii="Times New Roman" w:hAnsi="Times New Roman"/>
          <w:bCs/>
          <w:color w:val="000000"/>
          <w:lang w:val="es-ES_tradnl"/>
        </w:rPr>
      </w:pPr>
    </w:p>
    <w:p w14:paraId="6D0AF8F4" w14:textId="3027DDFA" w:rsidR="000D5B33" w:rsidRPr="0099312A" w:rsidRDefault="000D5B33" w:rsidP="000D5B33">
      <w:pPr>
        <w:pStyle w:val="Sinespaciado"/>
        <w:jc w:val="both"/>
        <w:rPr>
          <w:rFonts w:ascii="Times New Roman" w:hAnsi="Times New Roman"/>
          <w:bCs/>
          <w:lang w:val="es-ES_tradnl"/>
        </w:rPr>
      </w:pPr>
      <w:r w:rsidRPr="0099312A">
        <w:rPr>
          <w:rFonts w:ascii="Times New Roman" w:hAnsi="Times New Roman"/>
          <w:bCs/>
          <w:lang w:val="es-ES_tradnl"/>
        </w:rPr>
        <w:t xml:space="preserve">La Administración Zonal </w:t>
      </w:r>
      <w:r w:rsidR="00424FD4" w:rsidRPr="0099312A">
        <w:rPr>
          <w:rFonts w:ascii="Times New Roman" w:hAnsi="Times New Roman"/>
          <w:bCs/>
          <w:lang w:val="es-ES_tradnl"/>
        </w:rPr>
        <w:t>Tumbaco realizará</w:t>
      </w:r>
      <w:r w:rsidRPr="0099312A">
        <w:rPr>
          <w:rFonts w:ascii="Times New Roman" w:hAnsi="Times New Roman"/>
          <w:bCs/>
          <w:lang w:val="es-ES_tradnl"/>
        </w:rPr>
        <w:t xml:space="preserve"> el seguimiento en la ejecución y avance del cronograma de obras</w:t>
      </w:r>
      <w:r w:rsidRPr="0099312A">
        <w:rPr>
          <w:rFonts w:ascii="Times New Roman" w:hAnsi="Times New Roman"/>
          <w:lang w:val="es-ES_tradnl"/>
        </w:rPr>
        <w:t xml:space="preserve"> civiles </w:t>
      </w:r>
      <w:r w:rsidRPr="0099312A">
        <w:rPr>
          <w:rFonts w:ascii="Times New Roman" w:hAnsi="Times New Roman"/>
        </w:rPr>
        <w:t>y de infraestructura</w:t>
      </w:r>
      <w:r w:rsidRPr="0099312A">
        <w:rPr>
          <w:rFonts w:ascii="Times New Roman" w:hAnsi="Times New Roman"/>
          <w:bCs/>
          <w:lang w:val="es-ES_tradnl"/>
        </w:rPr>
        <w:t xml:space="preserve"> hasta la terminación de las mismas.</w:t>
      </w:r>
    </w:p>
    <w:p w14:paraId="58FD88EC" w14:textId="77777777" w:rsidR="000D5B33" w:rsidRPr="0099312A" w:rsidRDefault="000D5B33" w:rsidP="000D5B33">
      <w:pPr>
        <w:pStyle w:val="Sinespaciado"/>
        <w:jc w:val="both"/>
        <w:rPr>
          <w:rFonts w:ascii="Times New Roman" w:hAnsi="Times New Roman"/>
          <w:bCs/>
          <w:lang w:val="es-ES_tradnl"/>
        </w:rPr>
      </w:pPr>
    </w:p>
    <w:p w14:paraId="117AAF50" w14:textId="77777777" w:rsidR="000D5B33" w:rsidRPr="0099312A" w:rsidRDefault="000D5B33" w:rsidP="000D5B33">
      <w:pPr>
        <w:pStyle w:val="Sinespaciado"/>
        <w:jc w:val="both"/>
        <w:rPr>
          <w:rFonts w:ascii="Times New Roman" w:hAnsi="Times New Roman"/>
          <w:bCs/>
          <w:color w:val="000000"/>
          <w:lang w:val="es-ES_tradnl"/>
        </w:rPr>
      </w:pPr>
      <w:r w:rsidRPr="0099312A">
        <w:rPr>
          <w:rFonts w:ascii="Times New Roman" w:hAnsi="Times New Roman"/>
          <w:bCs/>
          <w:color w:val="000000"/>
          <w:lang w:val="es-ES_tradnl"/>
        </w:rPr>
        <w:t>Dichas solicitudes para ser evaluadas, deberán ser presentadas con al menos tres meses de anticipación a la conclusión del plazo establecido para la ejecución de las obras referidas y debidamente justificadas.</w:t>
      </w:r>
    </w:p>
    <w:p w14:paraId="2AA440EB" w14:textId="77777777" w:rsidR="000D5B33" w:rsidRPr="0099312A" w:rsidRDefault="000D5B33" w:rsidP="000D5B33">
      <w:pPr>
        <w:pStyle w:val="Sinespaciado"/>
        <w:jc w:val="both"/>
        <w:rPr>
          <w:rFonts w:ascii="Times New Roman" w:hAnsi="Times New Roman"/>
          <w:bCs/>
          <w:color w:val="000000"/>
          <w:lang w:val="es-ES_tradnl"/>
        </w:rPr>
      </w:pPr>
    </w:p>
    <w:p w14:paraId="7A5B3B54" w14:textId="273A925C" w:rsidR="000D5B33" w:rsidRPr="0099312A" w:rsidRDefault="000D5B33" w:rsidP="000D5B33">
      <w:pPr>
        <w:pStyle w:val="Sinespaciado"/>
        <w:jc w:val="both"/>
        <w:rPr>
          <w:rFonts w:ascii="Times New Roman" w:hAnsi="Times New Roman"/>
          <w:b/>
          <w:lang w:val="es-ES_tradnl"/>
        </w:rPr>
      </w:pPr>
      <w:r w:rsidRPr="0099312A">
        <w:rPr>
          <w:rFonts w:ascii="Times New Roman" w:hAnsi="Times New Roman"/>
          <w:b/>
          <w:bCs/>
          <w:lang w:val="es-ES_tradnl"/>
        </w:rPr>
        <w:t>Artículo 1</w:t>
      </w:r>
      <w:r w:rsidR="0021121F">
        <w:rPr>
          <w:rFonts w:ascii="Times New Roman" w:hAnsi="Times New Roman"/>
          <w:b/>
          <w:bCs/>
          <w:lang w:val="es-ES_tradnl"/>
        </w:rPr>
        <w:t>9</w:t>
      </w:r>
      <w:r w:rsidRPr="0099312A">
        <w:rPr>
          <w:rFonts w:ascii="Times New Roman" w:hAnsi="Times New Roman"/>
          <w:b/>
          <w:bCs/>
          <w:lang w:val="es-ES_tradnl"/>
        </w:rPr>
        <w:t xml:space="preserve">.- Potestad de </w:t>
      </w:r>
      <w:r w:rsidR="00424FD4" w:rsidRPr="0099312A">
        <w:rPr>
          <w:rFonts w:ascii="Times New Roman" w:hAnsi="Times New Roman"/>
          <w:b/>
          <w:bCs/>
          <w:lang w:val="es-ES_tradnl"/>
        </w:rPr>
        <w:t>ejecución. -</w:t>
      </w:r>
      <w:r w:rsidRPr="0099312A">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sidRPr="0099312A">
        <w:rPr>
          <w:rFonts w:ascii="Times New Roman" w:hAnsi="Times New Roman"/>
          <w:bCs/>
          <w:lang w:val="es-ES_tradnl"/>
        </w:rPr>
        <w:lastRenderedPageBreak/>
        <w:t>cumplido, a costa de estos. En este evento, se podrá recuperar los valores invertidos por la vía coactiva, con un recargo del veinte por ciento (20%) más los intereses correspondientes.</w:t>
      </w:r>
      <w:r w:rsidRPr="0099312A">
        <w:rPr>
          <w:rFonts w:ascii="Times New Roman" w:hAnsi="Times New Roman"/>
          <w:b/>
          <w:lang w:val="es-ES_tradnl"/>
        </w:rPr>
        <w:t xml:space="preserve"> </w:t>
      </w:r>
    </w:p>
    <w:p w14:paraId="18FFFC0E" w14:textId="77777777" w:rsidR="000D5B33" w:rsidRPr="0099312A" w:rsidRDefault="000D5B33" w:rsidP="000D5B33">
      <w:pPr>
        <w:pStyle w:val="Sinespaciado"/>
        <w:jc w:val="both"/>
        <w:rPr>
          <w:rFonts w:ascii="Times New Roman" w:hAnsi="Times New Roman"/>
          <w:b/>
          <w:lang w:val="es-ES_tradnl"/>
        </w:rPr>
      </w:pPr>
    </w:p>
    <w:p w14:paraId="77E1F144" w14:textId="77777777" w:rsidR="009A2AAE" w:rsidRPr="0099312A" w:rsidRDefault="009A2AAE" w:rsidP="009A2AAE">
      <w:pPr>
        <w:pStyle w:val="Sinespaciado"/>
        <w:jc w:val="both"/>
        <w:rPr>
          <w:rFonts w:ascii="Times New Roman" w:hAnsi="Times New Roman"/>
          <w:lang w:val="es-ES_tradnl"/>
        </w:rPr>
      </w:pPr>
    </w:p>
    <w:p w14:paraId="31F1A7A7" w14:textId="77777777" w:rsidR="009A2AAE" w:rsidRPr="0099312A" w:rsidRDefault="009A2AAE" w:rsidP="009A2AAE">
      <w:pPr>
        <w:pStyle w:val="Sinespaciado"/>
        <w:jc w:val="center"/>
        <w:rPr>
          <w:rFonts w:ascii="Times New Roman" w:hAnsi="Times New Roman"/>
          <w:b/>
          <w:lang w:val="es-ES_tradnl"/>
        </w:rPr>
      </w:pPr>
      <w:r w:rsidRPr="0099312A">
        <w:rPr>
          <w:rFonts w:ascii="Times New Roman" w:hAnsi="Times New Roman"/>
          <w:b/>
          <w:lang w:val="es-ES_tradnl"/>
        </w:rPr>
        <w:t>Disposiciones Generales</w:t>
      </w:r>
    </w:p>
    <w:p w14:paraId="1EB98584" w14:textId="77777777" w:rsidR="009A2AAE" w:rsidRPr="0099312A" w:rsidRDefault="009A2AAE" w:rsidP="009A2AAE">
      <w:pPr>
        <w:pStyle w:val="Sinespaciado"/>
        <w:jc w:val="both"/>
        <w:rPr>
          <w:rFonts w:ascii="Times New Roman" w:hAnsi="Times New Roman"/>
          <w:lang w:val="es-ES_tradnl"/>
        </w:rPr>
      </w:pPr>
    </w:p>
    <w:p w14:paraId="4E43D63E" w14:textId="0BC2BE69" w:rsidR="009A2AAE" w:rsidRPr="0099312A" w:rsidRDefault="00424FD4" w:rsidP="009A2AAE">
      <w:pPr>
        <w:pStyle w:val="Sinespaciado"/>
        <w:jc w:val="both"/>
        <w:rPr>
          <w:rFonts w:ascii="Times New Roman" w:hAnsi="Times New Roman"/>
          <w:b/>
          <w:lang w:val="es-ES_tradnl"/>
        </w:rPr>
      </w:pPr>
      <w:r w:rsidRPr="0099312A">
        <w:rPr>
          <w:rFonts w:ascii="Times New Roman" w:hAnsi="Times New Roman"/>
          <w:b/>
          <w:lang w:val="es-ES_tradnl"/>
        </w:rPr>
        <w:t>Primera. -</w:t>
      </w:r>
      <w:r w:rsidR="009A2AAE" w:rsidRPr="0099312A">
        <w:rPr>
          <w:rFonts w:ascii="Times New Roman" w:hAnsi="Times New Roman"/>
          <w:b/>
          <w:lang w:val="es-ES_tradnl"/>
        </w:rPr>
        <w:t xml:space="preserve"> </w:t>
      </w:r>
      <w:r w:rsidR="009A2AAE" w:rsidRPr="0099312A">
        <w:rPr>
          <w:rFonts w:ascii="Times New Roman" w:hAnsi="Times New Roman"/>
          <w:lang w:val="es-ES_tradnl"/>
        </w:rPr>
        <w:t>Todos los anexos adjuntos al proyecto de regularización son documentos habilitantes de esta Ordenanza</w:t>
      </w:r>
      <w:r w:rsidR="009A2AAE" w:rsidRPr="0099312A">
        <w:rPr>
          <w:rFonts w:ascii="Times New Roman" w:hAnsi="Times New Roman"/>
          <w:b/>
          <w:lang w:val="es-ES_tradnl"/>
        </w:rPr>
        <w:t>.</w:t>
      </w:r>
    </w:p>
    <w:p w14:paraId="1B7EF8B2" w14:textId="77777777" w:rsidR="009A2AAE" w:rsidRPr="0099312A" w:rsidRDefault="009A2AAE" w:rsidP="009A2AAE">
      <w:pPr>
        <w:pStyle w:val="Sinespaciado"/>
        <w:jc w:val="both"/>
        <w:rPr>
          <w:rFonts w:ascii="Times New Roman" w:hAnsi="Times New Roman"/>
          <w:b/>
          <w:lang w:val="es-ES_tradnl"/>
        </w:rPr>
      </w:pPr>
    </w:p>
    <w:p w14:paraId="711774EA" w14:textId="1189C083" w:rsidR="009A2AAE" w:rsidRPr="008A3A66" w:rsidRDefault="00424FD4" w:rsidP="009A2AAE">
      <w:pPr>
        <w:pStyle w:val="Sinespaciado"/>
        <w:jc w:val="both"/>
        <w:rPr>
          <w:rFonts w:ascii="Times New Roman" w:hAnsi="Times New Roman"/>
          <w:lang w:val="es-ES_tradnl"/>
        </w:rPr>
      </w:pPr>
      <w:r w:rsidRPr="008A3A66">
        <w:rPr>
          <w:rFonts w:ascii="Times New Roman" w:hAnsi="Times New Roman"/>
          <w:b/>
          <w:lang w:val="es-ES_tradnl"/>
        </w:rPr>
        <w:t>Segunda. -</w:t>
      </w:r>
      <w:r w:rsidR="009A2AAE" w:rsidRPr="008A3A66">
        <w:rPr>
          <w:rFonts w:ascii="Times New Roman" w:hAnsi="Times New Roman"/>
          <w:b/>
          <w:lang w:val="es-ES_tradnl"/>
        </w:rPr>
        <w:t xml:space="preserve">  </w:t>
      </w:r>
      <w:r w:rsidR="009A2AAE" w:rsidRPr="008A3A66">
        <w:rPr>
          <w:rFonts w:ascii="Times New Roman" w:hAnsi="Times New Roman"/>
          <w:lang w:val="es-ES_tradnl"/>
        </w:rPr>
        <w:t xml:space="preserve">De acuerdo </w:t>
      </w:r>
      <w:r w:rsidRPr="008A3A66">
        <w:rPr>
          <w:rFonts w:ascii="Times New Roman" w:hAnsi="Times New Roman"/>
          <w:lang w:val="es-ES_tradnl"/>
        </w:rPr>
        <w:t xml:space="preserve">al </w:t>
      </w:r>
      <w:r w:rsidRPr="008A3A66">
        <w:rPr>
          <w:rFonts w:ascii="Times New Roman" w:eastAsiaTheme="minorHAnsi" w:hAnsi="Times New Roman"/>
          <w:i/>
          <w:iCs/>
        </w:rPr>
        <w:t>oficio</w:t>
      </w:r>
      <w:r w:rsidR="006A3A9C" w:rsidRPr="008A3A66">
        <w:rPr>
          <w:rFonts w:ascii="Times New Roman" w:eastAsiaTheme="minorHAnsi" w:hAnsi="Times New Roman"/>
          <w:iCs/>
        </w:rPr>
        <w:t xml:space="preserve"> Nro. GADDMQ-SGSG-DMGR-2019-0668-OF</w:t>
      </w:r>
      <w:r w:rsidR="009A2AAE" w:rsidRPr="008A3A66">
        <w:rPr>
          <w:rFonts w:ascii="Times New Roman" w:hAnsi="Times New Roman"/>
        </w:rPr>
        <w:t xml:space="preserve">, </w:t>
      </w:r>
      <w:r w:rsidR="006A3A9C" w:rsidRPr="008A3A66">
        <w:rPr>
          <w:rFonts w:ascii="Times New Roman" w:hAnsi="Times New Roman"/>
        </w:rPr>
        <w:t xml:space="preserve">de </w:t>
      </w:r>
      <w:r w:rsidR="00EC6BC9" w:rsidRPr="008A3A66">
        <w:rPr>
          <w:rFonts w:ascii="Times New Roman" w:hAnsi="Times New Roman"/>
        </w:rPr>
        <w:t xml:space="preserve">28 de agosto de 2019, </w:t>
      </w:r>
      <w:r w:rsidR="009A2AAE" w:rsidRPr="008A3A66">
        <w:rPr>
          <w:rFonts w:ascii="Times New Roman" w:hAnsi="Times New Roman"/>
          <w:lang w:val="es-ES_tradnl"/>
        </w:rPr>
        <w:t xml:space="preserve">los copropietarios del </w:t>
      </w:r>
      <w:r w:rsidR="002A37DA" w:rsidRPr="008A3A66">
        <w:rPr>
          <w:rFonts w:ascii="Times New Roman" w:hAnsi="Times New Roman"/>
          <w:lang w:val="es-ES_tradnl"/>
        </w:rPr>
        <w:t xml:space="preserve">asentamiento </w:t>
      </w:r>
      <w:r w:rsidR="009A2AAE" w:rsidRPr="008A3A66">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1074F5" w:rsidRPr="008A3A66">
        <w:rPr>
          <w:rFonts w:ascii="Times New Roman" w:hAnsi="Times New Roman"/>
          <w:color w:val="000000" w:themeColor="text1"/>
        </w:rPr>
        <w:t xml:space="preserve">No </w:t>
      </w:r>
      <w:r w:rsidR="001074F5" w:rsidRPr="008A3A66">
        <w:rPr>
          <w:rFonts w:ascii="Times New Roman" w:hAnsi="Times New Roman"/>
        </w:rPr>
        <w:t xml:space="preserve">213-AT-DMGR-2017, de 27 de </w:t>
      </w:r>
      <w:r w:rsidRPr="008A3A66">
        <w:rPr>
          <w:rFonts w:ascii="Times New Roman" w:hAnsi="Times New Roman"/>
        </w:rPr>
        <w:t>octubre</w:t>
      </w:r>
      <w:r w:rsidR="001074F5" w:rsidRPr="008A3A66">
        <w:rPr>
          <w:rFonts w:ascii="Times New Roman" w:hAnsi="Times New Roman"/>
        </w:rPr>
        <w:t xml:space="preserve"> del 2017</w:t>
      </w:r>
      <w:r w:rsidR="009A2AAE" w:rsidRPr="008A3A66">
        <w:rPr>
          <w:rFonts w:ascii="Times New Roman" w:hAnsi="Times New Roman"/>
        </w:rPr>
        <w:t>.</w:t>
      </w:r>
      <w:r w:rsidR="009A2AAE" w:rsidRPr="008A3A66">
        <w:rPr>
          <w:rFonts w:ascii="Times New Roman" w:hAnsi="Times New Roman"/>
          <w:lang w:val="es-ES_tradnl"/>
        </w:rPr>
        <w:t xml:space="preserve"> </w:t>
      </w:r>
    </w:p>
    <w:p w14:paraId="2BED3450" w14:textId="77777777" w:rsidR="009A2AAE" w:rsidRPr="008A3A66" w:rsidRDefault="009A2AAE" w:rsidP="009A2AAE">
      <w:pPr>
        <w:pStyle w:val="Sinespaciado"/>
        <w:jc w:val="both"/>
        <w:rPr>
          <w:rFonts w:ascii="Times New Roman" w:hAnsi="Times New Roman"/>
          <w:lang w:val="es-ES_tradnl"/>
        </w:rPr>
      </w:pPr>
    </w:p>
    <w:p w14:paraId="77D582EA" w14:textId="1941EDD2" w:rsidR="00EC6BC9" w:rsidRPr="008A3A66" w:rsidRDefault="009A2AAE" w:rsidP="00EC6BC9">
      <w:pPr>
        <w:pStyle w:val="Sinespaciado"/>
        <w:numPr>
          <w:ilvl w:val="0"/>
          <w:numId w:val="1"/>
        </w:numPr>
        <w:jc w:val="both"/>
        <w:rPr>
          <w:rFonts w:ascii="Times New Roman" w:hAnsi="Times New Roman"/>
          <w:lang w:val="es-ES_tradnl"/>
        </w:rPr>
      </w:pPr>
      <w:r w:rsidRPr="008A3A66">
        <w:rPr>
          <w:rFonts w:ascii="Times New Roman" w:hAnsi="Times New Roman"/>
          <w:lang w:val="es-ES_tradnl"/>
        </w:rPr>
        <w:t xml:space="preserve">Se dispone que </w:t>
      </w:r>
      <w:r w:rsidR="00EC6BC9" w:rsidRPr="008A3A66">
        <w:rPr>
          <w:rFonts w:ascii="Times New Roman" w:hAnsi="Times New Roman"/>
          <w:lang w:val="es-ES_tradnl"/>
        </w:rPr>
        <w:t>mediante mingas comunitarias implementen sistemas de conducción de escorrentía (agua lluvia) en el único pasaje de tierra afirmada para prevenir la erosión del suelo y arrastre del material que pueda afectar a viviendas y asentamientos humanos ubicados en cotas inferiores.</w:t>
      </w:r>
    </w:p>
    <w:p w14:paraId="095C1B75" w14:textId="77777777" w:rsidR="009A2AAE" w:rsidRPr="008A3A66" w:rsidRDefault="009A2AAE" w:rsidP="00EC6BC9">
      <w:pPr>
        <w:pStyle w:val="Sinespaciado"/>
        <w:jc w:val="both"/>
        <w:rPr>
          <w:rFonts w:ascii="Times New Roman" w:hAnsi="Times New Roman"/>
          <w:lang w:val="es-ES_tradnl"/>
        </w:rPr>
      </w:pPr>
    </w:p>
    <w:p w14:paraId="2D961D1D" w14:textId="77777777" w:rsidR="009A2AAE" w:rsidRPr="008A3A66" w:rsidRDefault="009A2AAE" w:rsidP="009A2AAE">
      <w:pPr>
        <w:pStyle w:val="Sinespaciado"/>
        <w:numPr>
          <w:ilvl w:val="0"/>
          <w:numId w:val="1"/>
        </w:numPr>
        <w:jc w:val="both"/>
        <w:rPr>
          <w:rFonts w:ascii="Times New Roman" w:hAnsi="Times New Roman"/>
          <w:lang w:val="es-ES_tradnl"/>
        </w:rPr>
      </w:pPr>
      <w:r w:rsidRPr="008A3A66">
        <w:rPr>
          <w:rFonts w:ascii="Times New Roman" w:hAnsi="Times New Roman"/>
          <w:lang w:val="es-ES_tradnl"/>
        </w:rPr>
        <w:t>Se dispone que los propietarios y/o posesionarios actuales no construyan más viviendas en el macro 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72E7B18E" w14:textId="77777777" w:rsidR="009A2AAE" w:rsidRPr="008A3A66" w:rsidRDefault="009A2AAE" w:rsidP="009A2AAE">
      <w:pPr>
        <w:pStyle w:val="Prrafodelista"/>
        <w:rPr>
          <w:sz w:val="22"/>
          <w:szCs w:val="22"/>
          <w:lang w:val="es-ES_tradnl"/>
        </w:rPr>
      </w:pPr>
    </w:p>
    <w:p w14:paraId="3D93947D" w14:textId="1F2C5A63" w:rsidR="009A2AAE" w:rsidRPr="0099312A" w:rsidRDefault="009A2AAE" w:rsidP="009A2AAE">
      <w:pPr>
        <w:pStyle w:val="Sinespaciado"/>
        <w:jc w:val="both"/>
        <w:rPr>
          <w:rFonts w:ascii="Times New Roman" w:hAnsi="Times New Roman"/>
          <w:lang w:val="es-ES_tradnl"/>
        </w:rPr>
      </w:pPr>
      <w:r w:rsidRPr="008A3A66">
        <w:rPr>
          <w:rFonts w:ascii="Times New Roman" w:hAnsi="Times New Roman"/>
          <w:lang w:val="es-ES_tradnl"/>
        </w:rPr>
        <w:t xml:space="preserve">La Unidad Especial Regula Tu Barrio deberá comunicar a la comunidad del AHHYC </w:t>
      </w:r>
      <w:r w:rsidR="001074F5" w:rsidRPr="008A3A66">
        <w:rPr>
          <w:rFonts w:ascii="Times New Roman" w:hAnsi="Times New Roman"/>
        </w:rPr>
        <w:t>“Villa Vega III</w:t>
      </w:r>
      <w:r w:rsidRPr="008A3A66">
        <w:rPr>
          <w:rFonts w:ascii="Times New Roman" w:hAnsi="Times New Roman"/>
          <w:lang w:val="es-ES_tradnl"/>
        </w:rPr>
        <w:t>” lo descrito en el presente informe, especialmente la calificación del riesgo ante las diferentes amenazas analizadas y las respectivas recomendaciones técnicas.</w:t>
      </w:r>
      <w:r w:rsidR="008A3A66">
        <w:rPr>
          <w:rFonts w:ascii="Times New Roman" w:hAnsi="Times New Roman"/>
          <w:lang w:val="es-ES_tradnl"/>
        </w:rPr>
        <w:t xml:space="preserve"> </w:t>
      </w:r>
    </w:p>
    <w:p w14:paraId="61B45BA5" w14:textId="77777777" w:rsidR="009A2AAE" w:rsidRPr="0099312A" w:rsidRDefault="009A2AAE" w:rsidP="009A2AAE">
      <w:pPr>
        <w:pStyle w:val="Sinespaciado"/>
        <w:jc w:val="both"/>
        <w:rPr>
          <w:rFonts w:ascii="Times New Roman" w:hAnsi="Times New Roman"/>
          <w:lang w:val="es-ES_tradnl"/>
        </w:rPr>
      </w:pPr>
    </w:p>
    <w:p w14:paraId="5F2CB9C8" w14:textId="7CF54963" w:rsidR="009A2AAE" w:rsidRPr="0099312A" w:rsidRDefault="009A2AAE" w:rsidP="009A2AAE">
      <w:pPr>
        <w:pStyle w:val="Sinespaciado"/>
        <w:jc w:val="both"/>
        <w:rPr>
          <w:rFonts w:ascii="Times New Roman" w:hAnsi="Times New Roman"/>
          <w:lang w:val="es-ES_tradnl"/>
        </w:rPr>
      </w:pPr>
      <w:r w:rsidRPr="0099312A">
        <w:rPr>
          <w:rFonts w:ascii="Times New Roman" w:hAnsi="Times New Roman"/>
          <w:b/>
          <w:lang w:val="es-ES_tradnl"/>
        </w:rPr>
        <w:t xml:space="preserve">Disposición </w:t>
      </w:r>
      <w:r w:rsidR="00424FD4" w:rsidRPr="0099312A">
        <w:rPr>
          <w:rFonts w:ascii="Times New Roman" w:hAnsi="Times New Roman"/>
          <w:b/>
          <w:lang w:val="es-ES_tradnl"/>
        </w:rPr>
        <w:t>Final. -</w:t>
      </w:r>
      <w:r w:rsidRPr="0099312A">
        <w:rPr>
          <w:rFonts w:ascii="Times New Roman" w:hAnsi="Times New Roman"/>
          <w:b/>
          <w:lang w:val="es-ES_tradnl"/>
        </w:rPr>
        <w:t xml:space="preserve"> </w:t>
      </w:r>
      <w:r w:rsidRPr="0099312A">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51E01CA0" w14:textId="77777777" w:rsidR="009A2AAE" w:rsidRPr="0099312A" w:rsidRDefault="009A2AAE" w:rsidP="009A2AAE">
      <w:pPr>
        <w:pStyle w:val="Sinespaciado"/>
        <w:jc w:val="both"/>
        <w:rPr>
          <w:rFonts w:ascii="Times New Roman" w:hAnsi="Times New Roman"/>
          <w:lang w:val="es-ES_tradnl"/>
        </w:rPr>
      </w:pPr>
    </w:p>
    <w:p w14:paraId="1DB70057" w14:textId="4DE94C8E" w:rsidR="009A2AAE" w:rsidRPr="0099312A" w:rsidRDefault="009A2AAE" w:rsidP="009A2AAE">
      <w:pPr>
        <w:pStyle w:val="Sinespaciado"/>
        <w:jc w:val="both"/>
        <w:rPr>
          <w:rFonts w:ascii="Times New Roman" w:hAnsi="Times New Roman"/>
        </w:rPr>
      </w:pPr>
      <w:r w:rsidRPr="0099312A">
        <w:rPr>
          <w:rFonts w:ascii="Times New Roman" w:hAnsi="Times New Roman"/>
        </w:rPr>
        <w:t xml:space="preserve">Dada, en la Sala de Sesiones del Concejo Metropolitano de Quito, </w:t>
      </w:r>
      <w:proofErr w:type="gramStart"/>
      <w:r w:rsidRPr="0099312A">
        <w:rPr>
          <w:rFonts w:ascii="Times New Roman" w:hAnsi="Times New Roman"/>
        </w:rPr>
        <w:t>el.……</w:t>
      </w:r>
      <w:proofErr w:type="gramEnd"/>
      <w:r w:rsidRPr="0099312A">
        <w:rPr>
          <w:rFonts w:ascii="Times New Roman" w:hAnsi="Times New Roman"/>
        </w:rPr>
        <w:t xml:space="preserve"> de …………. del 202</w:t>
      </w:r>
      <w:r w:rsidR="00424FD4">
        <w:rPr>
          <w:rFonts w:ascii="Times New Roman" w:hAnsi="Times New Roman"/>
        </w:rPr>
        <w:t>1</w:t>
      </w:r>
    </w:p>
    <w:p w14:paraId="1094D7C2" w14:textId="77777777" w:rsidR="009A2AAE" w:rsidRPr="0099312A" w:rsidRDefault="009A2AAE" w:rsidP="009A2AAE">
      <w:pPr>
        <w:pStyle w:val="Sinespaciado"/>
        <w:jc w:val="both"/>
        <w:rPr>
          <w:rFonts w:ascii="Times New Roman" w:hAnsi="Times New Roman"/>
          <w:lang w:val="es-ES"/>
        </w:rPr>
      </w:pPr>
    </w:p>
    <w:p w14:paraId="3925F243" w14:textId="77777777" w:rsidR="009A2AAE" w:rsidRPr="0099312A" w:rsidRDefault="009A2AAE" w:rsidP="009A2AAE">
      <w:pPr>
        <w:pStyle w:val="Sinespaciado"/>
        <w:jc w:val="both"/>
        <w:rPr>
          <w:rFonts w:ascii="Times New Roman" w:hAnsi="Times New Roman"/>
        </w:rPr>
      </w:pPr>
    </w:p>
    <w:p w14:paraId="7FCBC46F" w14:textId="77777777" w:rsidR="009A2AAE" w:rsidRPr="0099312A" w:rsidRDefault="009A2AAE" w:rsidP="009A2AAE">
      <w:pPr>
        <w:pStyle w:val="Sinespaciado"/>
        <w:jc w:val="both"/>
        <w:rPr>
          <w:rFonts w:ascii="Times New Roman" w:hAnsi="Times New Roman"/>
        </w:rPr>
      </w:pPr>
    </w:p>
    <w:p w14:paraId="473BDD32" w14:textId="77777777" w:rsidR="009A2AAE" w:rsidRPr="0099312A" w:rsidRDefault="009A2AAE" w:rsidP="009A2AAE">
      <w:pPr>
        <w:pStyle w:val="Sinespaciado"/>
        <w:jc w:val="both"/>
        <w:rPr>
          <w:rFonts w:ascii="Times New Roman" w:hAnsi="Times New Roman"/>
        </w:rPr>
      </w:pPr>
    </w:p>
    <w:p w14:paraId="5EA19F34" w14:textId="77777777" w:rsidR="009A2AAE" w:rsidRPr="0099312A" w:rsidRDefault="009A2AAE" w:rsidP="009A2AAE">
      <w:pPr>
        <w:pStyle w:val="Sinespaciado"/>
        <w:jc w:val="both"/>
        <w:rPr>
          <w:rFonts w:ascii="Times New Roman" w:hAnsi="Times New Roman"/>
          <w:lang w:val="es-ES"/>
        </w:rPr>
      </w:pPr>
    </w:p>
    <w:p w14:paraId="79657823" w14:textId="77777777" w:rsidR="009A2AAE" w:rsidRPr="0099312A" w:rsidRDefault="009A2AAE" w:rsidP="009A2AA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44BEC648" w14:textId="77777777" w:rsidR="009A2AAE" w:rsidRPr="0099312A" w:rsidRDefault="009A2AAE" w:rsidP="009A2AA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65C9A3D4" w14:textId="77777777" w:rsidR="009A2AAE" w:rsidRPr="0099312A" w:rsidRDefault="009A2AAE" w:rsidP="009A2AAE">
      <w:pPr>
        <w:pStyle w:val="Sinespaciado"/>
        <w:jc w:val="both"/>
        <w:rPr>
          <w:rFonts w:ascii="Times New Roman" w:hAnsi="Times New Roman"/>
          <w:lang w:val="es-ES"/>
        </w:rPr>
      </w:pPr>
    </w:p>
    <w:p w14:paraId="039ED688" w14:textId="77777777" w:rsidR="009A2AAE" w:rsidRPr="0099312A" w:rsidRDefault="009A2AAE" w:rsidP="009A2AA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7F98E310" w14:textId="77777777" w:rsidR="009A2AAE" w:rsidRPr="0099312A" w:rsidRDefault="009A2AAE" w:rsidP="009A2AAE">
      <w:pPr>
        <w:pStyle w:val="Sinespaciado"/>
        <w:jc w:val="both"/>
        <w:rPr>
          <w:rFonts w:ascii="Times New Roman" w:eastAsia="MS Mincho" w:hAnsi="Times New Roman"/>
        </w:rPr>
      </w:pPr>
    </w:p>
    <w:p w14:paraId="274BDDD7" w14:textId="3D4A7694" w:rsidR="009A2AAE" w:rsidRPr="0099312A" w:rsidRDefault="009A2AAE" w:rsidP="009A2AAE">
      <w:pPr>
        <w:pStyle w:val="Sinespaciado"/>
        <w:jc w:val="both"/>
        <w:rPr>
          <w:rFonts w:ascii="Times New Roman" w:eastAsia="MS Mincho" w:hAnsi="Times New Roman"/>
        </w:rPr>
      </w:pPr>
      <w:r w:rsidRPr="0099312A">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99312A">
        <w:rPr>
          <w:rFonts w:ascii="Times New Roman" w:eastAsia="MS Mincho" w:hAnsi="Times New Roman"/>
        </w:rPr>
        <w:t>..</w:t>
      </w:r>
      <w:proofErr w:type="gramEnd"/>
      <w:r w:rsidRPr="0099312A">
        <w:rPr>
          <w:rFonts w:ascii="Times New Roman" w:eastAsia="MS Mincho" w:hAnsi="Times New Roman"/>
        </w:rPr>
        <w:t xml:space="preserve">de ……..  </w:t>
      </w:r>
      <w:proofErr w:type="gramStart"/>
      <w:r w:rsidRPr="0099312A">
        <w:rPr>
          <w:rFonts w:ascii="Times New Roman" w:eastAsia="MS Mincho" w:hAnsi="Times New Roman"/>
        </w:rPr>
        <w:t>y</w:t>
      </w:r>
      <w:proofErr w:type="gramEnd"/>
      <w:r w:rsidRPr="0099312A">
        <w:rPr>
          <w:rFonts w:ascii="Times New Roman" w:eastAsia="MS Mincho" w:hAnsi="Times New Roman"/>
        </w:rPr>
        <w:t xml:space="preserve"> ….. de …………. de 202</w:t>
      </w:r>
      <w:r w:rsidR="00424FD4">
        <w:rPr>
          <w:rFonts w:ascii="Times New Roman" w:eastAsia="MS Mincho" w:hAnsi="Times New Roman"/>
        </w:rPr>
        <w:t>1</w:t>
      </w:r>
      <w:r w:rsidRPr="0099312A">
        <w:rPr>
          <w:rFonts w:ascii="Times New Roman" w:eastAsia="MS Mincho" w:hAnsi="Times New Roman"/>
        </w:rPr>
        <w:t>- Quito,</w:t>
      </w:r>
    </w:p>
    <w:p w14:paraId="248A52DB" w14:textId="77777777" w:rsidR="009A2AAE" w:rsidRPr="0099312A" w:rsidRDefault="009A2AAE" w:rsidP="009A2AAE">
      <w:pPr>
        <w:pStyle w:val="Sinespaciado"/>
        <w:jc w:val="both"/>
        <w:rPr>
          <w:rFonts w:ascii="Times New Roman" w:eastAsia="MS Mincho" w:hAnsi="Times New Roman"/>
        </w:rPr>
      </w:pPr>
    </w:p>
    <w:p w14:paraId="6999558D" w14:textId="77777777" w:rsidR="009A2AAE" w:rsidRPr="0099312A" w:rsidRDefault="009A2AAE" w:rsidP="009A2AAE">
      <w:pPr>
        <w:pStyle w:val="Sinespaciado"/>
        <w:jc w:val="both"/>
        <w:rPr>
          <w:rFonts w:ascii="Times New Roman" w:eastAsia="MS Mincho" w:hAnsi="Times New Roman"/>
        </w:rPr>
      </w:pPr>
    </w:p>
    <w:p w14:paraId="3A73F2B1" w14:textId="77777777" w:rsidR="009A2AAE" w:rsidRPr="0099312A" w:rsidRDefault="009A2AAE" w:rsidP="009A2AAE">
      <w:pPr>
        <w:pStyle w:val="Sinespaciado"/>
        <w:jc w:val="both"/>
        <w:rPr>
          <w:rFonts w:ascii="Times New Roman" w:eastAsia="MS Mincho" w:hAnsi="Times New Roman"/>
        </w:rPr>
      </w:pPr>
    </w:p>
    <w:p w14:paraId="0D323C6E" w14:textId="77777777" w:rsidR="009A2AAE" w:rsidRPr="0099312A" w:rsidRDefault="009A2AAE" w:rsidP="009A2AAE">
      <w:pPr>
        <w:pStyle w:val="Sinespaciado"/>
        <w:jc w:val="both"/>
        <w:rPr>
          <w:rFonts w:ascii="Times New Roman" w:eastAsia="MS Mincho" w:hAnsi="Times New Roman"/>
        </w:rPr>
      </w:pPr>
    </w:p>
    <w:p w14:paraId="5B45106A" w14:textId="77777777" w:rsidR="009A2AAE" w:rsidRPr="0099312A" w:rsidRDefault="009A2AAE" w:rsidP="009A2AAE">
      <w:pPr>
        <w:pStyle w:val="Sinespaciado"/>
        <w:jc w:val="center"/>
        <w:rPr>
          <w:rFonts w:ascii="Times New Roman" w:eastAsia="MS Mincho" w:hAnsi="Times New Roman"/>
        </w:rPr>
      </w:pPr>
    </w:p>
    <w:p w14:paraId="0393A527" w14:textId="77777777" w:rsidR="009A2AAE" w:rsidRPr="0099312A" w:rsidRDefault="009A2AAE" w:rsidP="009A2AA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52337932" w14:textId="77777777" w:rsidR="009A2AAE" w:rsidRPr="0099312A" w:rsidRDefault="009A2AAE" w:rsidP="009A2AA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1BBD5D91" w14:textId="77777777" w:rsidR="009A2AAE" w:rsidRPr="0099312A" w:rsidRDefault="009A2AAE" w:rsidP="009A2AAE">
      <w:pPr>
        <w:pStyle w:val="Sinespaciado"/>
        <w:jc w:val="center"/>
        <w:rPr>
          <w:rFonts w:ascii="Times New Roman" w:eastAsia="MS Mincho" w:hAnsi="Times New Roman"/>
        </w:rPr>
      </w:pPr>
    </w:p>
    <w:p w14:paraId="4ABB3474" w14:textId="77777777" w:rsidR="009A2AAE" w:rsidRPr="0099312A" w:rsidRDefault="009A2AAE" w:rsidP="009A2AA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0AD82980" w14:textId="77777777" w:rsidR="009A2AAE" w:rsidRPr="0099312A" w:rsidRDefault="009A2AAE" w:rsidP="009A2AAE">
      <w:pPr>
        <w:pStyle w:val="Sinespaciado"/>
        <w:jc w:val="both"/>
        <w:rPr>
          <w:rFonts w:ascii="Times New Roman" w:eastAsia="MS Mincho" w:hAnsi="Times New Roman"/>
          <w:b/>
        </w:rPr>
      </w:pPr>
    </w:p>
    <w:p w14:paraId="21BCC16F" w14:textId="77777777" w:rsidR="009A2AAE" w:rsidRPr="0099312A" w:rsidRDefault="009A2AAE" w:rsidP="009A2AAE">
      <w:pPr>
        <w:pStyle w:val="Sinespaciado"/>
        <w:jc w:val="center"/>
        <w:rPr>
          <w:rFonts w:ascii="Times New Roman" w:eastAsia="MS Mincho" w:hAnsi="Times New Roman"/>
          <w:b/>
        </w:rPr>
      </w:pPr>
      <w:r w:rsidRPr="0099312A">
        <w:rPr>
          <w:rFonts w:ascii="Times New Roman" w:eastAsia="MS Mincho" w:hAnsi="Times New Roman"/>
          <w:b/>
        </w:rPr>
        <w:t>EJECÚTESE:</w:t>
      </w:r>
    </w:p>
    <w:p w14:paraId="61558010" w14:textId="77777777" w:rsidR="009A2AAE" w:rsidRPr="0099312A" w:rsidRDefault="009A2AAE" w:rsidP="009A2AAE">
      <w:pPr>
        <w:pStyle w:val="Sinespaciado"/>
        <w:jc w:val="both"/>
        <w:rPr>
          <w:rFonts w:ascii="Times New Roman" w:eastAsia="MS Mincho" w:hAnsi="Times New Roman"/>
        </w:rPr>
      </w:pPr>
    </w:p>
    <w:p w14:paraId="281EBD41" w14:textId="77777777" w:rsidR="009A2AAE" w:rsidRPr="0099312A" w:rsidRDefault="009A2AAE" w:rsidP="009A2AAE">
      <w:pPr>
        <w:pStyle w:val="Sinespaciado"/>
        <w:jc w:val="both"/>
        <w:rPr>
          <w:rFonts w:ascii="Times New Roman" w:eastAsia="MS Mincho" w:hAnsi="Times New Roman"/>
        </w:rPr>
      </w:pPr>
    </w:p>
    <w:p w14:paraId="3E4F3F7B" w14:textId="77777777" w:rsidR="009A2AAE" w:rsidRPr="0099312A" w:rsidRDefault="009A2AAE" w:rsidP="009A2AAE">
      <w:pPr>
        <w:pStyle w:val="Sinespaciado"/>
        <w:jc w:val="both"/>
        <w:rPr>
          <w:rFonts w:ascii="Times New Roman" w:eastAsia="MS Mincho" w:hAnsi="Times New Roman"/>
        </w:rPr>
      </w:pPr>
    </w:p>
    <w:p w14:paraId="0143157F" w14:textId="77777777" w:rsidR="009A2AAE" w:rsidRPr="0099312A" w:rsidRDefault="009A2AAE" w:rsidP="009A2AAE">
      <w:pPr>
        <w:pStyle w:val="Sinespaciado"/>
        <w:jc w:val="both"/>
        <w:rPr>
          <w:rFonts w:ascii="Times New Roman" w:eastAsia="MS Mincho" w:hAnsi="Times New Roman"/>
        </w:rPr>
      </w:pPr>
    </w:p>
    <w:p w14:paraId="059C6B61" w14:textId="77777777" w:rsidR="009A2AAE" w:rsidRPr="0099312A" w:rsidRDefault="009A2AAE" w:rsidP="009A2AAE">
      <w:pPr>
        <w:pStyle w:val="Sinespaciado"/>
        <w:jc w:val="both"/>
        <w:rPr>
          <w:rFonts w:ascii="Times New Roman" w:eastAsia="MS Mincho" w:hAnsi="Times New Roman"/>
        </w:rPr>
      </w:pPr>
    </w:p>
    <w:p w14:paraId="5CD00B3B" w14:textId="77777777" w:rsidR="009A2AAE" w:rsidRPr="0099312A" w:rsidRDefault="009A2AAE" w:rsidP="009A2AAE">
      <w:pPr>
        <w:pStyle w:val="Sinespaciado"/>
        <w:jc w:val="center"/>
        <w:rPr>
          <w:rFonts w:ascii="Times New Roman" w:eastAsia="MS Mincho" w:hAnsi="Times New Roman"/>
        </w:rPr>
      </w:pPr>
      <w:r w:rsidRPr="0099312A">
        <w:rPr>
          <w:rFonts w:ascii="Times New Roman" w:eastAsia="MS Mincho" w:hAnsi="Times New Roman"/>
        </w:rPr>
        <w:t>Dr. Jorge Yunda Machado</w:t>
      </w:r>
    </w:p>
    <w:p w14:paraId="344BB51A" w14:textId="77777777" w:rsidR="009A2AAE" w:rsidRPr="0099312A" w:rsidRDefault="009A2AAE" w:rsidP="009A2AA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576F78CA" w14:textId="77777777" w:rsidR="009A2AAE" w:rsidRPr="0099312A" w:rsidRDefault="009A2AAE" w:rsidP="009A2AAE">
      <w:pPr>
        <w:pStyle w:val="Sinespaciado"/>
        <w:jc w:val="both"/>
        <w:rPr>
          <w:rFonts w:ascii="Times New Roman" w:eastAsia="MS Mincho" w:hAnsi="Times New Roman"/>
        </w:rPr>
      </w:pPr>
    </w:p>
    <w:p w14:paraId="6A79CF1F" w14:textId="77777777" w:rsidR="009A2AAE" w:rsidRPr="0099312A" w:rsidRDefault="009A2AAE" w:rsidP="009A2AAE">
      <w:pPr>
        <w:pStyle w:val="Sinespaciado"/>
        <w:jc w:val="both"/>
        <w:rPr>
          <w:rFonts w:ascii="Times New Roman" w:eastAsia="MS Mincho" w:hAnsi="Times New Roman"/>
        </w:rPr>
      </w:pPr>
    </w:p>
    <w:p w14:paraId="5E0BCE1F" w14:textId="77777777" w:rsidR="009A2AAE" w:rsidRPr="0099312A" w:rsidRDefault="009A2AAE" w:rsidP="009A2AAE">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Dr. Jorge Yunda Machado,</w:t>
      </w:r>
    </w:p>
    <w:p w14:paraId="05EF70C1" w14:textId="47734473" w:rsidR="009A2AAE" w:rsidRPr="0099312A" w:rsidRDefault="00637AE6" w:rsidP="009A2AAE">
      <w:pPr>
        <w:pStyle w:val="Sinespaciado"/>
        <w:jc w:val="center"/>
        <w:rPr>
          <w:rFonts w:ascii="Times New Roman" w:eastAsia="MS Mincho" w:hAnsi="Times New Roman"/>
        </w:rPr>
      </w:pPr>
      <w:r w:rsidRPr="0099312A">
        <w:rPr>
          <w:rFonts w:ascii="Times New Roman" w:eastAsia="MS Mincho" w:hAnsi="Times New Roman"/>
        </w:rPr>
        <w:t>Alcalde del</w:t>
      </w:r>
      <w:r w:rsidR="009A2AAE" w:rsidRPr="0099312A">
        <w:rPr>
          <w:rFonts w:ascii="Times New Roman" w:eastAsia="MS Mincho" w:hAnsi="Times New Roman"/>
        </w:rPr>
        <w:t xml:space="preserve"> Distrito Metropolitano de Quito, el</w:t>
      </w:r>
    </w:p>
    <w:p w14:paraId="4DC54865" w14:textId="77777777" w:rsidR="009A2AAE" w:rsidRPr="0099312A" w:rsidRDefault="009A2AAE" w:rsidP="009A2AAE">
      <w:pPr>
        <w:pStyle w:val="Sinespaciado"/>
        <w:jc w:val="center"/>
        <w:rPr>
          <w:rFonts w:ascii="Times New Roman" w:eastAsia="MS Mincho" w:hAnsi="Times New Roman"/>
          <w:b/>
          <w:bCs/>
        </w:rPr>
      </w:pPr>
      <w:r w:rsidRPr="0099312A">
        <w:rPr>
          <w:rFonts w:ascii="Times New Roman" w:eastAsia="MS Mincho" w:hAnsi="Times New Roman"/>
        </w:rPr>
        <w:t>.- Distrito Metropolitano de Quito</w:t>
      </w:r>
    </w:p>
    <w:p w14:paraId="247731F2" w14:textId="77777777" w:rsidR="009A2AAE" w:rsidRPr="0099312A" w:rsidRDefault="009A2AAE" w:rsidP="009A2AAE">
      <w:pPr>
        <w:pStyle w:val="Sinespaciado"/>
        <w:jc w:val="both"/>
        <w:rPr>
          <w:rFonts w:ascii="Times New Roman" w:hAnsi="Times New Roman"/>
          <w:lang w:val="es-ES"/>
        </w:rPr>
      </w:pPr>
    </w:p>
    <w:p w14:paraId="0BC3CFEF" w14:textId="77777777" w:rsidR="009A2AAE" w:rsidRPr="0099312A" w:rsidRDefault="009A2AAE" w:rsidP="009A2AAE">
      <w:pPr>
        <w:pStyle w:val="Sinespaciado"/>
        <w:jc w:val="both"/>
        <w:rPr>
          <w:rFonts w:ascii="Times New Roman" w:hAnsi="Times New Roman"/>
          <w:lang w:val="es-ES"/>
        </w:rPr>
      </w:pPr>
    </w:p>
    <w:p w14:paraId="720CAE15" w14:textId="77777777" w:rsidR="009A2AAE" w:rsidRPr="0099312A" w:rsidRDefault="009A2AAE" w:rsidP="009A2AAE">
      <w:pPr>
        <w:pStyle w:val="Sinespaciado"/>
        <w:jc w:val="both"/>
        <w:rPr>
          <w:rFonts w:ascii="Times New Roman" w:hAnsi="Times New Roman"/>
        </w:rPr>
      </w:pPr>
    </w:p>
    <w:p w14:paraId="6B7F468D" w14:textId="77777777" w:rsidR="009A2AAE" w:rsidRPr="0099312A" w:rsidRDefault="009A2AAE" w:rsidP="009A2AAE">
      <w:pPr>
        <w:pStyle w:val="Sinespaciado"/>
        <w:jc w:val="both"/>
        <w:rPr>
          <w:rFonts w:ascii="Times New Roman" w:hAnsi="Times New Roman"/>
        </w:rPr>
      </w:pPr>
    </w:p>
    <w:p w14:paraId="1B14E562" w14:textId="77777777" w:rsidR="009A2AAE" w:rsidRPr="0099312A" w:rsidRDefault="009A2AAE">
      <w:pPr>
        <w:rPr>
          <w:sz w:val="22"/>
          <w:szCs w:val="22"/>
        </w:rPr>
      </w:pPr>
    </w:p>
    <w:sectPr w:rsidR="009A2AAE" w:rsidRPr="0099312A" w:rsidSect="00AD3778">
      <w:headerReference w:type="even" r:id="rId12"/>
      <w:headerReference w:type="default" r:id="rId13"/>
      <w:footerReference w:type="default" r:id="rId14"/>
      <w:headerReference w:type="first" r:id="rId15"/>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392FC" w14:textId="77777777" w:rsidR="00EA1DFB" w:rsidRDefault="00EA1DFB" w:rsidP="009A2AAE">
      <w:r>
        <w:separator/>
      </w:r>
    </w:p>
  </w:endnote>
  <w:endnote w:type="continuationSeparator" w:id="0">
    <w:p w14:paraId="65B5157B" w14:textId="77777777" w:rsidR="00EA1DFB" w:rsidRDefault="00EA1DFB" w:rsidP="009A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437A" w14:textId="70262745" w:rsidR="009856E7" w:rsidRDefault="006E603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0BE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0BE8">
      <w:rPr>
        <w:b/>
        <w:noProof/>
      </w:rPr>
      <w:t>11</w:t>
    </w:r>
    <w:r>
      <w:rPr>
        <w:b/>
        <w:sz w:val="24"/>
        <w:szCs w:val="24"/>
      </w:rPr>
      <w:fldChar w:fldCharType="end"/>
    </w:r>
  </w:p>
  <w:p w14:paraId="3F4251BF" w14:textId="77777777" w:rsidR="009856E7" w:rsidRDefault="00EA1D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13F2" w14:textId="267457E3" w:rsidR="009856E7" w:rsidRDefault="006E603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0BE8">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0BE8">
      <w:rPr>
        <w:b/>
        <w:noProof/>
      </w:rPr>
      <w:t>11</w:t>
    </w:r>
    <w:r>
      <w:rPr>
        <w:b/>
        <w:sz w:val="24"/>
        <w:szCs w:val="24"/>
      </w:rPr>
      <w:fldChar w:fldCharType="end"/>
    </w:r>
  </w:p>
  <w:p w14:paraId="2DE72D11" w14:textId="77777777" w:rsidR="009856E7" w:rsidRDefault="00EA1D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B3D6" w14:textId="3C42CFF1" w:rsidR="009856E7" w:rsidRDefault="006E603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0BE8">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0BE8">
      <w:rPr>
        <w:b/>
        <w:noProof/>
      </w:rPr>
      <w:t>11</w:t>
    </w:r>
    <w:r>
      <w:rPr>
        <w:b/>
        <w:sz w:val="24"/>
        <w:szCs w:val="24"/>
      </w:rPr>
      <w:fldChar w:fldCharType="end"/>
    </w:r>
  </w:p>
  <w:p w14:paraId="0BB1EA31" w14:textId="77777777" w:rsidR="009856E7" w:rsidRDefault="00EA1D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4B951" w14:textId="77777777" w:rsidR="00EA1DFB" w:rsidRDefault="00EA1DFB" w:rsidP="009A2AAE">
      <w:r>
        <w:separator/>
      </w:r>
    </w:p>
  </w:footnote>
  <w:footnote w:type="continuationSeparator" w:id="0">
    <w:p w14:paraId="35FC31A9" w14:textId="77777777" w:rsidR="00EA1DFB" w:rsidRDefault="00EA1DFB" w:rsidP="009A2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9DC6" w14:textId="77777777" w:rsidR="00BF71F1" w:rsidRDefault="00EA1DFB">
    <w:pPr>
      <w:pStyle w:val="Encabezado"/>
    </w:pPr>
    <w:r>
      <w:rPr>
        <w:noProof/>
      </w:rPr>
      <w:pict w14:anchorId="1584C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85329" o:spid="_x0000_s2050" type="#_x0000_t136" style="position:absolute;margin-left:0;margin-top:0;width:588pt;height:31.5pt;rotation:315;z-index:-25165926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5F76" w14:textId="77777777" w:rsidR="009856E7" w:rsidRDefault="00EA1DFB">
    <w:pPr>
      <w:pStyle w:val="Encabezado"/>
      <w:rPr>
        <w:lang w:val="es-EC"/>
      </w:rPr>
    </w:pPr>
    <w:r>
      <w:rPr>
        <w:noProof/>
      </w:rPr>
      <w:pict w14:anchorId="21F55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85330" o:spid="_x0000_s2051"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60C7F8AC" w14:textId="77777777" w:rsidR="009856E7" w:rsidRDefault="00EA1DFB">
    <w:pPr>
      <w:pStyle w:val="Encabezado"/>
      <w:rPr>
        <w:lang w:val="es-EC"/>
      </w:rPr>
    </w:pPr>
  </w:p>
  <w:p w14:paraId="729BD146" w14:textId="77777777" w:rsidR="009856E7" w:rsidRDefault="00EA1DFB">
    <w:pPr>
      <w:pStyle w:val="Encabezado"/>
      <w:rPr>
        <w:lang w:val="es-EC"/>
      </w:rPr>
    </w:pPr>
  </w:p>
  <w:p w14:paraId="5EB84EC2" w14:textId="77777777" w:rsidR="009856E7" w:rsidRDefault="00EA1DFB">
    <w:pPr>
      <w:pStyle w:val="Encabezado"/>
      <w:rPr>
        <w:lang w:val="es-EC"/>
      </w:rPr>
    </w:pPr>
  </w:p>
  <w:p w14:paraId="5FB24AB5" w14:textId="77777777" w:rsidR="009856E7" w:rsidRDefault="00EA1DFB" w:rsidP="00AD3778">
    <w:pPr>
      <w:rPr>
        <w:rFonts w:ascii="Palatino Linotype" w:hAnsi="Palatino Linotype" w:cs="Arial"/>
        <w:sz w:val="22"/>
        <w:szCs w:val="22"/>
      </w:rPr>
    </w:pPr>
  </w:p>
  <w:p w14:paraId="55E8E09D" w14:textId="77777777" w:rsidR="009856E7" w:rsidRDefault="00EA1DFB" w:rsidP="00AD3778">
    <w:pPr>
      <w:rPr>
        <w:rFonts w:ascii="Palatino Linotype" w:hAnsi="Palatino Linotype" w:cs="Arial"/>
        <w:sz w:val="22"/>
        <w:szCs w:val="22"/>
      </w:rPr>
    </w:pPr>
  </w:p>
  <w:p w14:paraId="61FDBF39" w14:textId="77777777" w:rsidR="009856E7" w:rsidRDefault="00EA1DFB" w:rsidP="00AD3778">
    <w:pPr>
      <w:rPr>
        <w:rFonts w:ascii="Palatino Linotype" w:hAnsi="Palatino Linotype" w:cs="Arial"/>
        <w:sz w:val="22"/>
        <w:szCs w:val="22"/>
      </w:rPr>
    </w:pPr>
  </w:p>
  <w:p w14:paraId="5E9DE5E4" w14:textId="77777777" w:rsidR="009856E7" w:rsidRDefault="00EA1DFB" w:rsidP="00AD3778">
    <w:pPr>
      <w:rPr>
        <w:rFonts w:ascii="Palatino Linotype" w:hAnsi="Palatino Linotype" w:cs="Arial"/>
        <w:sz w:val="22"/>
        <w:szCs w:val="22"/>
      </w:rPr>
    </w:pPr>
  </w:p>
  <w:p w14:paraId="6A894327" w14:textId="77777777" w:rsidR="009856E7" w:rsidRPr="00476B21" w:rsidRDefault="006E6038" w:rsidP="009A2AAE">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EE21B84" w14:textId="77777777" w:rsidR="009856E7" w:rsidRPr="00150606" w:rsidRDefault="00EA1DFB">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26094" w14:textId="77777777" w:rsidR="00BF71F1" w:rsidRDefault="00EA1DFB">
    <w:pPr>
      <w:pStyle w:val="Encabezado"/>
    </w:pPr>
    <w:r>
      <w:rPr>
        <w:noProof/>
      </w:rPr>
      <w:pict w14:anchorId="5B8AF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85328" o:spid="_x0000_s2049" type="#_x0000_t136" style="position:absolute;margin-left:0;margin-top:0;width:588pt;height:31.5pt;rotation:315;z-index:-25166131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10A1" w14:textId="77777777" w:rsidR="009856E7" w:rsidRDefault="00EA1DFB">
    <w:pPr>
      <w:pStyle w:val="Encabezado"/>
    </w:pPr>
    <w:r>
      <w:rPr>
        <w:noProof/>
      </w:rPr>
      <w:pict w14:anchorId="0325C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85332" o:spid="_x0000_s2053" type="#_x0000_t136" style="position:absolute;margin-left:0;margin-top:0;width:588pt;height:31.5pt;rotation:315;z-index:-25165824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0295" w14:textId="77777777" w:rsidR="009856E7" w:rsidRDefault="00EA1DFB" w:rsidP="009243E2">
    <w:pPr>
      <w:rPr>
        <w:rFonts w:ascii="Palatino Linotype" w:hAnsi="Palatino Linotype" w:cs="Arial"/>
        <w:sz w:val="22"/>
        <w:szCs w:val="22"/>
      </w:rPr>
    </w:pPr>
    <w:r>
      <w:rPr>
        <w:rFonts w:asciiTheme="minorHAnsi" w:hAnsiTheme="minorHAnsi" w:cstheme="minorBidi"/>
        <w:noProof/>
        <w:sz w:val="24"/>
        <w:szCs w:val="24"/>
      </w:rPr>
      <w:pict w14:anchorId="5B4BA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85333" o:spid="_x0000_s2054" type="#_x0000_t136" style="position:absolute;margin-left:0;margin-top:0;width:588pt;height:31.5pt;rotation:315;z-index:-25165619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6C0FDEC0" w14:textId="77777777" w:rsidR="009856E7" w:rsidRDefault="00EA1DFB" w:rsidP="00AD3778">
    <w:pPr>
      <w:rPr>
        <w:rFonts w:ascii="Palatino Linotype" w:hAnsi="Palatino Linotype" w:cs="Arial"/>
        <w:sz w:val="22"/>
        <w:szCs w:val="22"/>
      </w:rPr>
    </w:pPr>
  </w:p>
  <w:p w14:paraId="37E156AC" w14:textId="77777777" w:rsidR="009856E7" w:rsidRDefault="00EA1DFB" w:rsidP="00AD3778">
    <w:pPr>
      <w:rPr>
        <w:rFonts w:ascii="Palatino Linotype" w:hAnsi="Palatino Linotype" w:cs="Arial"/>
        <w:sz w:val="22"/>
        <w:szCs w:val="22"/>
      </w:rPr>
    </w:pPr>
  </w:p>
  <w:p w14:paraId="5AC6E61D" w14:textId="77777777" w:rsidR="009856E7" w:rsidRDefault="00EA1DFB" w:rsidP="009243E2">
    <w:pPr>
      <w:pStyle w:val="Puesto"/>
    </w:pPr>
  </w:p>
  <w:p w14:paraId="1B76DA60" w14:textId="77777777" w:rsidR="009856E7" w:rsidRPr="009243E2" w:rsidRDefault="00EA1DFB" w:rsidP="009243E2"/>
  <w:p w14:paraId="39A467AC" w14:textId="77777777" w:rsidR="009856E7" w:rsidRPr="009243E2" w:rsidRDefault="006E6038" w:rsidP="009A2AA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B11D" w14:textId="77777777" w:rsidR="009856E7" w:rsidRDefault="00EA1DFB">
    <w:pPr>
      <w:pStyle w:val="Encabezado"/>
    </w:pPr>
    <w:r>
      <w:rPr>
        <w:noProof/>
      </w:rPr>
      <w:pict w14:anchorId="0001A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685331" o:spid="_x0000_s2052" type="#_x0000_t136" style="position:absolute;margin-left:0;margin-top:0;width:588pt;height:31.5pt;rotation:315;z-index:-25166028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31ACF"/>
    <w:multiLevelType w:val="hybridMultilevel"/>
    <w:tmpl w:val="F008E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AE"/>
    <w:rsid w:val="0002676A"/>
    <w:rsid w:val="00055DD0"/>
    <w:rsid w:val="000D5B33"/>
    <w:rsid w:val="000E1E23"/>
    <w:rsid w:val="000E7CAE"/>
    <w:rsid w:val="000F4C16"/>
    <w:rsid w:val="00102375"/>
    <w:rsid w:val="001074F5"/>
    <w:rsid w:val="00114E57"/>
    <w:rsid w:val="00132F12"/>
    <w:rsid w:val="001406C1"/>
    <w:rsid w:val="00143358"/>
    <w:rsid w:val="001B4D22"/>
    <w:rsid w:val="001F0292"/>
    <w:rsid w:val="0021121F"/>
    <w:rsid w:val="002A37DA"/>
    <w:rsid w:val="003315B8"/>
    <w:rsid w:val="003E637F"/>
    <w:rsid w:val="00424FD4"/>
    <w:rsid w:val="0044377E"/>
    <w:rsid w:val="004765ED"/>
    <w:rsid w:val="004A24DE"/>
    <w:rsid w:val="004E60D2"/>
    <w:rsid w:val="00543C5A"/>
    <w:rsid w:val="00545F59"/>
    <w:rsid w:val="00546C4F"/>
    <w:rsid w:val="005575FF"/>
    <w:rsid w:val="005F4273"/>
    <w:rsid w:val="00637AE6"/>
    <w:rsid w:val="0065261B"/>
    <w:rsid w:val="006760D1"/>
    <w:rsid w:val="006A3A9C"/>
    <w:rsid w:val="006E6038"/>
    <w:rsid w:val="00720CAE"/>
    <w:rsid w:val="00722C03"/>
    <w:rsid w:val="00735B4C"/>
    <w:rsid w:val="00752417"/>
    <w:rsid w:val="00804EB7"/>
    <w:rsid w:val="00842EE9"/>
    <w:rsid w:val="008A3A66"/>
    <w:rsid w:val="009434DF"/>
    <w:rsid w:val="00947080"/>
    <w:rsid w:val="00966581"/>
    <w:rsid w:val="00970DB3"/>
    <w:rsid w:val="0098584F"/>
    <w:rsid w:val="0099312A"/>
    <w:rsid w:val="009A2AAE"/>
    <w:rsid w:val="009E2F54"/>
    <w:rsid w:val="00A14E69"/>
    <w:rsid w:val="00A35901"/>
    <w:rsid w:val="00A45177"/>
    <w:rsid w:val="00A4608D"/>
    <w:rsid w:val="00A66E47"/>
    <w:rsid w:val="00AF0BE8"/>
    <w:rsid w:val="00B4458A"/>
    <w:rsid w:val="00BC5358"/>
    <w:rsid w:val="00C03E0D"/>
    <w:rsid w:val="00C25EA3"/>
    <w:rsid w:val="00CC5FFA"/>
    <w:rsid w:val="00CD35F1"/>
    <w:rsid w:val="00CD65E9"/>
    <w:rsid w:val="00DA5AFE"/>
    <w:rsid w:val="00EA1DFB"/>
    <w:rsid w:val="00EA4EB6"/>
    <w:rsid w:val="00EC6BC9"/>
    <w:rsid w:val="00F23E3D"/>
    <w:rsid w:val="00F65E10"/>
    <w:rsid w:val="00FA3115"/>
    <w:rsid w:val="00FB75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8DE83"/>
  <w15:chartTrackingRefBased/>
  <w15:docId w15:val="{67B02623-6960-4689-8363-9483AE9F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AA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2AAE"/>
    <w:pPr>
      <w:tabs>
        <w:tab w:val="center" w:pos="4252"/>
        <w:tab w:val="right" w:pos="8504"/>
      </w:tabs>
    </w:pPr>
  </w:style>
  <w:style w:type="character" w:customStyle="1" w:styleId="EncabezadoCar">
    <w:name w:val="Encabezado Car"/>
    <w:basedOn w:val="Fuentedeprrafopredeter"/>
    <w:link w:val="Encabezado"/>
    <w:rsid w:val="009A2AA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9A2AAE"/>
    <w:rPr>
      <w:rFonts w:ascii="Courier New" w:hAnsi="Courier New"/>
    </w:rPr>
  </w:style>
  <w:style w:type="character" w:customStyle="1" w:styleId="TextosinformatoCar">
    <w:name w:val="Texto sin formato Car"/>
    <w:basedOn w:val="Fuentedeprrafopredeter"/>
    <w:link w:val="Textosinformato"/>
    <w:rsid w:val="009A2AAE"/>
    <w:rPr>
      <w:rFonts w:ascii="Courier New" w:eastAsia="Times New Roman" w:hAnsi="Courier New" w:cs="Times New Roman"/>
      <w:sz w:val="20"/>
      <w:szCs w:val="20"/>
      <w:lang w:val="es-ES" w:eastAsia="es-ES"/>
    </w:rPr>
  </w:style>
  <w:style w:type="paragraph" w:styleId="Piedepgina">
    <w:name w:val="footer"/>
    <w:basedOn w:val="Normal"/>
    <w:link w:val="PiedepginaCar"/>
    <w:uiPriority w:val="99"/>
    <w:rsid w:val="009A2AAE"/>
    <w:pPr>
      <w:tabs>
        <w:tab w:val="center" w:pos="4419"/>
        <w:tab w:val="right" w:pos="8838"/>
      </w:tabs>
    </w:pPr>
  </w:style>
  <w:style w:type="character" w:customStyle="1" w:styleId="PiedepginaCar">
    <w:name w:val="Pie de página Car"/>
    <w:basedOn w:val="Fuentedeprrafopredeter"/>
    <w:link w:val="Piedepgina"/>
    <w:uiPriority w:val="99"/>
    <w:rsid w:val="009A2AAE"/>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9A2AAE"/>
    <w:pPr>
      <w:spacing w:after="0" w:line="240" w:lineRule="auto"/>
    </w:pPr>
    <w:rPr>
      <w:rFonts w:ascii="Calibri" w:eastAsia="Calibri" w:hAnsi="Calibri" w:cs="Times New Roman"/>
    </w:rPr>
  </w:style>
  <w:style w:type="character" w:styleId="Refdecomentario">
    <w:name w:val="annotation reference"/>
    <w:rsid w:val="009A2AAE"/>
    <w:rPr>
      <w:sz w:val="16"/>
      <w:szCs w:val="16"/>
    </w:rPr>
  </w:style>
  <w:style w:type="paragraph" w:styleId="Textocomentario">
    <w:name w:val="annotation text"/>
    <w:basedOn w:val="Normal"/>
    <w:link w:val="TextocomentarioCar"/>
    <w:rsid w:val="009A2AAE"/>
  </w:style>
  <w:style w:type="character" w:customStyle="1" w:styleId="TextocomentarioCar">
    <w:name w:val="Texto comentario Car"/>
    <w:basedOn w:val="Fuentedeprrafopredeter"/>
    <w:link w:val="Textocomentario"/>
    <w:rsid w:val="009A2AAE"/>
    <w:rPr>
      <w:rFonts w:ascii="Times New Roman" w:eastAsia="Times New Roman" w:hAnsi="Times New Roman" w:cs="Times New Roman"/>
      <w:sz w:val="20"/>
      <w:szCs w:val="20"/>
      <w:lang w:val="es-ES" w:eastAsia="es-ES"/>
    </w:rPr>
  </w:style>
  <w:style w:type="character" w:customStyle="1" w:styleId="TtuloCar">
    <w:name w:val="Título Car"/>
    <w:rsid w:val="009A2AAE"/>
    <w:rPr>
      <w:b/>
      <w:bCs/>
      <w:sz w:val="24"/>
      <w:szCs w:val="24"/>
      <w:lang w:val="es-ES" w:eastAsia="es-ES"/>
    </w:rPr>
  </w:style>
  <w:style w:type="paragraph" w:styleId="Prrafodelista">
    <w:name w:val="List Paragraph"/>
    <w:basedOn w:val="Normal"/>
    <w:link w:val="PrrafodelistaCar"/>
    <w:uiPriority w:val="99"/>
    <w:qFormat/>
    <w:rsid w:val="009A2AAE"/>
    <w:pPr>
      <w:ind w:left="708"/>
    </w:pPr>
  </w:style>
  <w:style w:type="character" w:customStyle="1" w:styleId="SinespaciadoCar">
    <w:name w:val="Sin espaciado Car"/>
    <w:link w:val="Sinespaciado"/>
    <w:uiPriority w:val="1"/>
    <w:rsid w:val="009A2AAE"/>
    <w:rPr>
      <w:rFonts w:ascii="Calibri" w:eastAsia="Calibri" w:hAnsi="Calibri" w:cs="Times New Roman"/>
    </w:rPr>
  </w:style>
  <w:style w:type="paragraph" w:styleId="Puesto">
    <w:name w:val="Title"/>
    <w:basedOn w:val="Normal"/>
    <w:next w:val="Normal"/>
    <w:link w:val="PuestoCar"/>
    <w:uiPriority w:val="10"/>
    <w:qFormat/>
    <w:rsid w:val="009A2AA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A2AAE"/>
    <w:rPr>
      <w:rFonts w:asciiTheme="majorHAnsi" w:eastAsiaTheme="majorEastAsia" w:hAnsiTheme="majorHAnsi" w:cstheme="majorBidi"/>
      <w:spacing w:val="-10"/>
      <w:kern w:val="28"/>
      <w:sz w:val="56"/>
      <w:szCs w:val="56"/>
      <w:lang w:val="es-ES" w:eastAsia="es-ES"/>
    </w:rPr>
  </w:style>
  <w:style w:type="character" w:customStyle="1" w:styleId="PrrafodelistaCar">
    <w:name w:val="Párrafo de lista Car"/>
    <w:link w:val="Prrafodelista"/>
    <w:uiPriority w:val="99"/>
    <w:locked/>
    <w:rsid w:val="009A2AAE"/>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9A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A2A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AAE"/>
    <w:rPr>
      <w:rFonts w:ascii="Segoe UI" w:eastAsia="Times New Roman" w:hAnsi="Segoe UI" w:cs="Segoe UI"/>
      <w:sz w:val="18"/>
      <w:szCs w:val="18"/>
      <w:lang w:val="es-ES" w:eastAsia="es-ES"/>
    </w:rPr>
  </w:style>
  <w:style w:type="paragraph" w:styleId="NormalWeb">
    <w:name w:val="Normal (Web)"/>
    <w:basedOn w:val="Normal"/>
    <w:uiPriority w:val="99"/>
    <w:unhideWhenUsed/>
    <w:rsid w:val="00FB7572"/>
    <w:pPr>
      <w:spacing w:before="100" w:beforeAutospacing="1" w:after="100" w:afterAutospacing="1"/>
    </w:pPr>
    <w:rPr>
      <w:sz w:val="24"/>
      <w:szCs w:val="24"/>
      <w:lang w:val="es-EC" w:eastAsia="es-EC"/>
    </w:rPr>
  </w:style>
  <w:style w:type="paragraph" w:styleId="Asuntodelcomentario">
    <w:name w:val="annotation subject"/>
    <w:basedOn w:val="Textocomentario"/>
    <w:next w:val="Textocomentario"/>
    <w:link w:val="AsuntodelcomentarioCar"/>
    <w:uiPriority w:val="99"/>
    <w:semiHidden/>
    <w:unhideWhenUsed/>
    <w:rsid w:val="00B4458A"/>
    <w:rPr>
      <w:b/>
      <w:bCs/>
    </w:rPr>
  </w:style>
  <w:style w:type="character" w:customStyle="1" w:styleId="AsuntodelcomentarioCar">
    <w:name w:val="Asunto del comentario Car"/>
    <w:basedOn w:val="TextocomentarioCar"/>
    <w:link w:val="Asuntodelcomentario"/>
    <w:uiPriority w:val="99"/>
    <w:semiHidden/>
    <w:rsid w:val="00B4458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71790">
      <w:bodyDiv w:val="1"/>
      <w:marLeft w:val="0"/>
      <w:marRight w:val="0"/>
      <w:marTop w:val="0"/>
      <w:marBottom w:val="0"/>
      <w:divBdr>
        <w:top w:val="none" w:sz="0" w:space="0" w:color="auto"/>
        <w:left w:val="none" w:sz="0" w:space="0" w:color="auto"/>
        <w:bottom w:val="none" w:sz="0" w:space="0" w:color="auto"/>
        <w:right w:val="none" w:sz="0" w:space="0" w:color="auto"/>
      </w:divBdr>
    </w:div>
    <w:div w:id="1511676733">
      <w:bodyDiv w:val="1"/>
      <w:marLeft w:val="0"/>
      <w:marRight w:val="0"/>
      <w:marTop w:val="0"/>
      <w:marBottom w:val="0"/>
      <w:divBdr>
        <w:top w:val="none" w:sz="0" w:space="0" w:color="auto"/>
        <w:left w:val="none" w:sz="0" w:space="0" w:color="auto"/>
        <w:bottom w:val="none" w:sz="0" w:space="0" w:color="auto"/>
        <w:right w:val="none" w:sz="0" w:space="0" w:color="auto"/>
      </w:divBdr>
    </w:div>
    <w:div w:id="1538928323">
      <w:bodyDiv w:val="1"/>
      <w:marLeft w:val="0"/>
      <w:marRight w:val="0"/>
      <w:marTop w:val="0"/>
      <w:marBottom w:val="0"/>
      <w:divBdr>
        <w:top w:val="none" w:sz="0" w:space="0" w:color="auto"/>
        <w:left w:val="none" w:sz="0" w:space="0" w:color="auto"/>
        <w:bottom w:val="none" w:sz="0" w:space="0" w:color="auto"/>
        <w:right w:val="none" w:sz="0" w:space="0" w:color="auto"/>
      </w:divBdr>
    </w:div>
    <w:div w:id="1760062610">
      <w:bodyDiv w:val="1"/>
      <w:marLeft w:val="0"/>
      <w:marRight w:val="0"/>
      <w:marTop w:val="0"/>
      <w:marBottom w:val="0"/>
      <w:divBdr>
        <w:top w:val="none" w:sz="0" w:space="0" w:color="auto"/>
        <w:left w:val="none" w:sz="0" w:space="0" w:color="auto"/>
        <w:bottom w:val="none" w:sz="0" w:space="0" w:color="auto"/>
        <w:right w:val="none" w:sz="0" w:space="0" w:color="auto"/>
      </w:divBdr>
    </w:div>
    <w:div w:id="1797141014">
      <w:bodyDiv w:val="1"/>
      <w:marLeft w:val="0"/>
      <w:marRight w:val="0"/>
      <w:marTop w:val="0"/>
      <w:marBottom w:val="0"/>
      <w:divBdr>
        <w:top w:val="none" w:sz="0" w:space="0" w:color="auto"/>
        <w:left w:val="none" w:sz="0" w:space="0" w:color="auto"/>
        <w:bottom w:val="none" w:sz="0" w:space="0" w:color="auto"/>
        <w:right w:val="none" w:sz="0" w:space="0" w:color="auto"/>
      </w:divBdr>
    </w:div>
    <w:div w:id="19329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4734</Words>
  <Characters>26040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Glenda Alexandra Allan Alegria</cp:lastModifiedBy>
  <cp:revision>3</cp:revision>
  <dcterms:created xsi:type="dcterms:W3CDTF">2021-03-12T15:43:00Z</dcterms:created>
  <dcterms:modified xsi:type="dcterms:W3CDTF">2021-04-22T23:12:00Z</dcterms:modified>
</cp:coreProperties>
</file>