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2B0C0" w14:textId="77777777" w:rsidR="00F331DD" w:rsidRPr="00220827" w:rsidRDefault="00F331DD" w:rsidP="00F331DD">
      <w:pPr>
        <w:autoSpaceDE w:val="0"/>
        <w:autoSpaceDN w:val="0"/>
        <w:adjustRightInd w:val="0"/>
        <w:ind w:left="709" w:hanging="709"/>
        <w:jc w:val="both"/>
        <w:rPr>
          <w:rFonts w:ascii="Palatino Linotype" w:eastAsiaTheme="minorHAnsi" w:hAnsi="Palatino Linotype"/>
          <w:i/>
          <w:sz w:val="22"/>
          <w:szCs w:val="22"/>
          <w:lang w:val="es-EC" w:eastAsia="en-US"/>
        </w:rPr>
      </w:pPr>
    </w:p>
    <w:p w14:paraId="1853A2C6" w14:textId="77777777" w:rsidR="00F331DD" w:rsidRPr="00220827" w:rsidRDefault="00F331DD" w:rsidP="00F331DD">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5B98447E" w14:textId="77777777" w:rsidR="00F331DD" w:rsidRPr="00220827" w:rsidRDefault="00F331DD" w:rsidP="00F331DD">
      <w:pPr>
        <w:autoSpaceDE w:val="0"/>
        <w:autoSpaceDN w:val="0"/>
        <w:adjustRightInd w:val="0"/>
        <w:jc w:val="center"/>
        <w:rPr>
          <w:rFonts w:ascii="Palatino Linotype" w:eastAsiaTheme="minorHAnsi" w:hAnsi="Palatino Linotype"/>
          <w:b/>
          <w:sz w:val="22"/>
          <w:szCs w:val="22"/>
          <w:lang w:val="es-EC" w:eastAsia="en-US"/>
        </w:rPr>
      </w:pPr>
    </w:p>
    <w:p w14:paraId="7B88894F" w14:textId="77777777" w:rsidR="00F331DD" w:rsidRPr="00220827" w:rsidRDefault="00F331DD" w:rsidP="00F331DD">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40089F59"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25D5F8B8" w14:textId="77777777" w:rsidR="00F331DD" w:rsidRDefault="00F331DD" w:rsidP="00F331DD">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1CB36717" w14:textId="77777777" w:rsidR="00F331DD" w:rsidRDefault="00F331DD" w:rsidP="00F331DD">
      <w:pPr>
        <w:autoSpaceDE w:val="0"/>
        <w:autoSpaceDN w:val="0"/>
        <w:adjustRightInd w:val="0"/>
        <w:ind w:left="705" w:hanging="705"/>
        <w:jc w:val="both"/>
        <w:rPr>
          <w:rFonts w:ascii="Palatino Linotype" w:eastAsiaTheme="minorHAnsi" w:hAnsi="Palatino Linotype"/>
          <w:sz w:val="22"/>
          <w:szCs w:val="22"/>
          <w:lang w:val="es-EC" w:eastAsia="en-US"/>
        </w:rPr>
      </w:pPr>
    </w:p>
    <w:p w14:paraId="29869255" w14:textId="77777777" w:rsidR="00F331DD" w:rsidRPr="00220827" w:rsidRDefault="00F331DD" w:rsidP="00F331DD">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2AA88A77"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1ED4CAED"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6479BBD0"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2D2712F9" w14:textId="77777777" w:rsidR="00F331DD" w:rsidRPr="00220827" w:rsidRDefault="00F331DD" w:rsidP="00F331DD">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4F0FB053"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27EC4023"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literal </w:t>
      </w:r>
      <w:r w:rsidRPr="00006FF2">
        <w:rPr>
          <w:rFonts w:ascii="Palatino Linotype" w:eastAsiaTheme="minorHAnsi" w:hAnsi="Palatino Linotype"/>
          <w:sz w:val="22"/>
          <w:szCs w:val="22"/>
          <w:lang w:val="es-EC" w:eastAsia="en-US"/>
        </w:rPr>
        <w:t>a) del artículo 87 del COOTAD,</w:t>
      </w:r>
      <w:r w:rsidRPr="00220827">
        <w:rPr>
          <w:rFonts w:ascii="Palatino Linotype" w:eastAsiaTheme="minorHAnsi" w:hAnsi="Palatino Linotype"/>
          <w:sz w:val="22"/>
          <w:szCs w:val="22"/>
          <w:lang w:val="es-EC" w:eastAsia="en-US"/>
        </w:rPr>
        <w:t xml:space="preserve"> establece como atribuciones del Concejo Metropolitano, ejercer la facultad normativa a través de ordenanzas, acuerdos y resoluciones, en el ámbito de competencia del gobierno autónomo descentralizado metropolitano; </w:t>
      </w:r>
    </w:p>
    <w:p w14:paraId="2D654C58"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222E8657"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v)</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d</w:t>
      </w:r>
      <w:r w:rsidRPr="00220827">
        <w:rPr>
          <w:rFonts w:ascii="Palatino Linotype" w:eastAsiaTheme="minorHAnsi" w:hAnsi="Palatino Linotype"/>
          <w:sz w:val="22"/>
          <w:szCs w:val="22"/>
          <w:lang w:val="es-EC" w:eastAsia="en-US"/>
        </w:rPr>
        <w:t xml:space="preserve">el artículo 87, del COOTAD, al Concejo Metropolitano le corresponde: </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220827">
        <w:rPr>
          <w:rFonts w:ascii="Palatino Linotype" w:eastAsiaTheme="minorHAnsi" w:hAnsi="Palatino Linotype"/>
          <w:sz w:val="22"/>
          <w:szCs w:val="22"/>
          <w:lang w:val="es-EC" w:eastAsia="en-US"/>
        </w:rPr>
        <w:t xml:space="preserve"> </w:t>
      </w:r>
    </w:p>
    <w:p w14:paraId="6DE47E2F"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71C9D552" w14:textId="77777777" w:rsidR="00F331DD" w:rsidRDefault="00F331DD" w:rsidP="00F331DD">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67099B8E" w14:textId="77777777" w:rsidR="00F331DD" w:rsidRDefault="00F331DD" w:rsidP="00F331DD">
      <w:pPr>
        <w:autoSpaceDE w:val="0"/>
        <w:autoSpaceDN w:val="0"/>
        <w:adjustRightInd w:val="0"/>
        <w:ind w:left="709" w:hanging="709"/>
        <w:jc w:val="both"/>
        <w:rPr>
          <w:rFonts w:ascii="Palatino Linotype" w:eastAsiaTheme="minorHAnsi" w:hAnsi="Palatino Linotype"/>
          <w:i/>
          <w:iCs/>
          <w:sz w:val="22"/>
          <w:szCs w:val="22"/>
          <w:lang w:val="es-EC" w:eastAsia="en-US"/>
        </w:rPr>
      </w:pPr>
    </w:p>
    <w:p w14:paraId="76A17EA9" w14:textId="77777777" w:rsidR="00F331DD"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r w:rsidRPr="0050720F">
        <w:rPr>
          <w:rFonts w:ascii="Palatino Linotype" w:eastAsiaTheme="minorHAnsi" w:hAnsi="Palatino Linotype"/>
          <w:sz w:val="22"/>
          <w:szCs w:val="22"/>
          <w:lang w:val="es-EC" w:eastAsia="en-US"/>
        </w:rPr>
        <w:t>Que,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14:paraId="2C84FEB3" w14:textId="77777777" w:rsidR="00F331DD"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052BE2B0" w14:textId="77777777" w:rsidR="00F331DD" w:rsidRDefault="00F331DD" w:rsidP="00F331DD">
      <w:pPr>
        <w:autoSpaceDE w:val="0"/>
        <w:autoSpaceDN w:val="0"/>
        <w:adjustRightInd w:val="0"/>
        <w:ind w:left="709" w:hanging="709"/>
        <w:jc w:val="both"/>
        <w:rPr>
          <w:rFonts w:ascii="Palatino Linotype" w:eastAsiaTheme="minorHAnsi" w:hAnsi="Palatino Linotype" w:cs="CourierNewNormal"/>
          <w:i/>
          <w:sz w:val="22"/>
          <w:szCs w:val="22"/>
          <w:lang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472 del COOTAD señala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w:t>
      </w:r>
      <w:r>
        <w:rPr>
          <w:rFonts w:ascii="Palatino Linotype" w:eastAsiaTheme="minorHAnsi" w:hAnsi="Palatino Linotype" w:cs="CourierNewNormal"/>
          <w:i/>
          <w:sz w:val="22"/>
          <w:szCs w:val="22"/>
          <w:lang w:eastAsia="en-US"/>
        </w:rPr>
        <w:t>l (</w:t>
      </w:r>
      <w:r w:rsidRPr="00220827">
        <w:rPr>
          <w:rFonts w:ascii="Palatino Linotype" w:eastAsiaTheme="minorHAnsi" w:hAnsi="Palatino Linotype" w:cs="CourierNewNormal"/>
          <w:i/>
          <w:sz w:val="22"/>
          <w:szCs w:val="22"/>
          <w:lang w:eastAsia="en-US"/>
        </w:rPr>
        <w:t>...</w:t>
      </w:r>
      <w:r>
        <w:rPr>
          <w:rFonts w:ascii="Palatino Linotype" w:eastAsiaTheme="minorHAnsi" w:hAnsi="Palatino Linotype" w:cs="CourierNewNormal"/>
          <w:i/>
          <w:sz w:val="22"/>
          <w:szCs w:val="22"/>
          <w:lang w:eastAsia="en-US"/>
        </w:rPr>
        <w:t>)</w:t>
      </w:r>
      <w:r w:rsidRPr="00220827">
        <w:rPr>
          <w:rFonts w:ascii="Palatino Linotype" w:eastAsiaTheme="minorHAnsi" w:hAnsi="Palatino Linotype" w:cs="CourierNewNormal"/>
          <w:i/>
          <w:sz w:val="22"/>
          <w:szCs w:val="22"/>
          <w:lang w:eastAsia="en-US"/>
        </w:rPr>
        <w:t>”;</w:t>
      </w:r>
    </w:p>
    <w:p w14:paraId="7FA41C40"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55DCCACB"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125CBE37" w14:textId="77777777" w:rsidR="00F331DD" w:rsidRPr="00220827" w:rsidRDefault="00F331DD" w:rsidP="00F331DD">
      <w:pPr>
        <w:autoSpaceDE w:val="0"/>
        <w:autoSpaceDN w:val="0"/>
        <w:adjustRightInd w:val="0"/>
        <w:jc w:val="both"/>
        <w:rPr>
          <w:rFonts w:ascii="Palatino Linotype" w:hAnsi="Palatino Linotype"/>
          <w:sz w:val="22"/>
          <w:szCs w:val="22"/>
        </w:rPr>
      </w:pPr>
    </w:p>
    <w:p w14:paraId="0AFA101C"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3648CAA1"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21924EC4"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04E48B99"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4ECC309E"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0A71F48B" w14:textId="77777777" w:rsidR="00F331DD" w:rsidRPr="00220827"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50BF357D" w14:textId="77777777" w:rsidR="00F331DD" w:rsidRPr="00220827" w:rsidRDefault="00F331DD" w:rsidP="00F331DD">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5273D0B4" w14:textId="77777777" w:rsidR="00F331DD" w:rsidRPr="00220827" w:rsidRDefault="00F331DD" w:rsidP="00F331DD">
      <w:pPr>
        <w:autoSpaceDE w:val="0"/>
        <w:autoSpaceDN w:val="0"/>
        <w:adjustRightInd w:val="0"/>
        <w:ind w:left="709" w:hanging="709"/>
        <w:jc w:val="both"/>
        <w:rPr>
          <w:rFonts w:ascii="Palatino Linotype" w:hAnsi="Palatino Linotype"/>
          <w:sz w:val="22"/>
          <w:szCs w:val="22"/>
        </w:rPr>
      </w:pPr>
    </w:p>
    <w:p w14:paraId="401A707E" w14:textId="77777777" w:rsidR="00F331DD" w:rsidRPr="00220827" w:rsidRDefault="00F331DD" w:rsidP="00F331DD">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515A6937" w14:textId="77777777" w:rsidR="00F331DD" w:rsidRPr="00220827" w:rsidRDefault="00F331DD" w:rsidP="00F331DD">
      <w:pPr>
        <w:autoSpaceDE w:val="0"/>
        <w:autoSpaceDN w:val="0"/>
        <w:adjustRightInd w:val="0"/>
        <w:ind w:left="709" w:hanging="709"/>
        <w:jc w:val="both"/>
        <w:rPr>
          <w:rFonts w:ascii="Palatino Linotype" w:eastAsiaTheme="minorHAnsi" w:hAnsi="Palatino Linotype"/>
          <w:i/>
          <w:sz w:val="22"/>
          <w:szCs w:val="22"/>
          <w:lang w:val="es-EC" w:eastAsia="en-US"/>
        </w:rPr>
      </w:pPr>
    </w:p>
    <w:p w14:paraId="14833BD9" w14:textId="2A628ADF" w:rsidR="00F331DD" w:rsidRDefault="00F331DD" w:rsidP="00F331DD">
      <w:pPr>
        <w:autoSpaceDE w:val="0"/>
        <w:autoSpaceDN w:val="0"/>
        <w:adjustRightInd w:val="0"/>
        <w:ind w:left="709" w:hanging="709"/>
        <w:jc w:val="both"/>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oficio </w:t>
      </w:r>
      <w:r w:rsidRPr="00F331DD">
        <w:rPr>
          <w:rFonts w:ascii="Palatino Linotype" w:eastAsiaTheme="minorHAnsi" w:hAnsi="Palatino Linotype"/>
          <w:sz w:val="22"/>
          <w:szCs w:val="22"/>
          <w:lang w:val="es-EC" w:eastAsia="en-US"/>
        </w:rPr>
        <w:t xml:space="preserve">S/N de fecha 16 de noviembre de 2018, dirigido a la Procuraduría Metropolitana, la señora Dilia Margot Zambrano Macías, señala que con providencia de 30 de agosto de 2018 el Juez de la causa, mandó a oír al Gobierno Autónomo Descentralizado del Distrito Metropolitano de Quito, para que emita el informe previo a la partición, de conformidad con el artículo 473 del </w:t>
      </w:r>
      <w:r w:rsidR="000173C9">
        <w:rPr>
          <w:rFonts w:ascii="Palatino Linotype" w:eastAsiaTheme="minorHAnsi" w:hAnsi="Palatino Linotype"/>
          <w:sz w:val="22"/>
          <w:szCs w:val="22"/>
          <w:lang w:val="es-EC" w:eastAsia="en-US"/>
        </w:rPr>
        <w:t>COOTAD</w:t>
      </w:r>
      <w:r w:rsidRPr="00F331DD">
        <w:rPr>
          <w:rFonts w:ascii="Palatino Linotype" w:eastAsiaTheme="minorHAnsi" w:hAnsi="Palatino Linotype"/>
          <w:sz w:val="22"/>
          <w:szCs w:val="22"/>
          <w:lang w:val="es-EC" w:eastAsia="en-US"/>
        </w:rPr>
        <w:t xml:space="preserve"> y solicita que se sirva agotar el trámite para que se emita el informe que la norma legal antes citada exige.</w:t>
      </w:r>
    </w:p>
    <w:p w14:paraId="099BB7A5" w14:textId="77777777" w:rsidR="00F331DD"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35E0F72E" w14:textId="1D30F8E2" w:rsidR="00F331DD" w:rsidRDefault="00F331DD" w:rsidP="008F5FD9">
      <w:pPr>
        <w:autoSpaceDE w:val="0"/>
        <w:autoSpaceDN w:val="0"/>
        <w:adjustRightInd w:val="0"/>
        <w:ind w:left="709" w:hanging="709"/>
        <w:jc w:val="both"/>
        <w:rPr>
          <w:rFonts w:ascii="Palatino Linotype" w:eastAsiaTheme="minorHAnsi" w:hAnsi="Palatino Linotype"/>
          <w:i/>
          <w:sz w:val="22"/>
          <w:szCs w:val="22"/>
          <w:lang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mediante memorando Nro</w:t>
      </w:r>
      <w:r w:rsidR="000173C9">
        <w:rPr>
          <w:rFonts w:ascii="Palatino Linotype" w:eastAsiaTheme="minorHAnsi" w:hAnsi="Palatino Linotype"/>
          <w:sz w:val="22"/>
          <w:szCs w:val="22"/>
          <w:lang w:val="es-EC" w:eastAsia="en-US"/>
        </w:rPr>
        <w:t>.</w:t>
      </w:r>
      <w:r w:rsidR="008F5FD9">
        <w:t xml:space="preserve"> GADDMQ-AZLD-DGT-2020-0134-M</w:t>
      </w:r>
      <w:r w:rsidR="008F5FD9">
        <w:rPr>
          <w:rFonts w:ascii="Palatino Linotype" w:eastAsiaTheme="minorHAnsi" w:hAnsi="Palatino Linotype"/>
          <w:sz w:val="22"/>
          <w:szCs w:val="22"/>
          <w:lang w:val="es-EC" w:eastAsia="en-US"/>
        </w:rPr>
        <w:t xml:space="preserve"> de 18 de febrero de 2020, el Ing. </w:t>
      </w:r>
      <w:r w:rsidR="008F5FD9" w:rsidRPr="008F5FD9">
        <w:rPr>
          <w:rFonts w:ascii="Palatino Linotype" w:eastAsiaTheme="minorHAnsi" w:hAnsi="Palatino Linotype"/>
          <w:sz w:val="22"/>
          <w:szCs w:val="22"/>
          <w:lang w:val="es-EC" w:eastAsia="en-US"/>
        </w:rPr>
        <w:t>Eddy Ramiro González Mora, Director de Gestión del Territorio de</w:t>
      </w:r>
      <w:r w:rsidR="008F5FD9">
        <w:rPr>
          <w:rFonts w:ascii="Palatino Linotype" w:eastAsiaTheme="minorHAnsi" w:hAnsi="Palatino Linotype"/>
          <w:sz w:val="22"/>
          <w:szCs w:val="22"/>
          <w:lang w:val="es-EC" w:eastAsia="en-US"/>
        </w:rPr>
        <w:t xml:space="preserve"> </w:t>
      </w:r>
      <w:r w:rsidR="008F5FD9" w:rsidRPr="008F5FD9">
        <w:rPr>
          <w:rFonts w:ascii="Palatino Linotype" w:eastAsiaTheme="minorHAnsi" w:hAnsi="Palatino Linotype"/>
          <w:sz w:val="22"/>
          <w:szCs w:val="22"/>
          <w:lang w:val="es-EC" w:eastAsia="en-US"/>
        </w:rPr>
        <w:t>la Administración Zonal La Delicia</w:t>
      </w:r>
      <w:r>
        <w:rPr>
          <w:rFonts w:ascii="Palatino Linotype" w:eastAsiaTheme="minorHAnsi" w:hAnsi="Palatino Linotype"/>
          <w:sz w:val="22"/>
          <w:szCs w:val="22"/>
          <w:lang w:val="es-EC" w:eastAsia="en-US"/>
        </w:rPr>
        <w:t>, señala:</w:t>
      </w:r>
      <w:r w:rsidR="008F5FD9" w:rsidRPr="008F5FD9">
        <w:t xml:space="preserve"> </w:t>
      </w:r>
      <w:r w:rsidR="008F5FD9" w:rsidRPr="008F5FD9">
        <w:rPr>
          <w:i/>
          <w:iCs/>
        </w:rPr>
        <w:t xml:space="preserve">“Revisado el Informe de Regulación Metropolitana (IRM) No. 723228, el predio 204405 forma parte del condominio declarado en PROPIEDAD HORIZONTAL, con una alícuota de 0.5905%, con un área de construcción cubierta de 85.15 m2, área de construcción abierta de 11.50 m2, Zonificación A23 (A610-50) y A8 (A603-35), por lo cual los datos de Zonificación son válidos para todo el lote que conforma el condominio. En ese contexto me permito informar que el predio No. 204405 </w:t>
      </w:r>
      <w:r w:rsidR="008F5FD9" w:rsidRPr="008F5FD9">
        <w:rPr>
          <w:b/>
          <w:bCs/>
          <w:i/>
          <w:iCs/>
        </w:rPr>
        <w:t>NO ES FACTIBLE</w:t>
      </w:r>
      <w:r w:rsidR="008F5FD9" w:rsidRPr="008F5FD9">
        <w:rPr>
          <w:i/>
          <w:iCs/>
        </w:rPr>
        <w:t xml:space="preserve"> de partición por no cumplir con la Zonificación respecto al lote mínimo. En base a esto se envía el expediente a fin de que la Dirección Jurídica de esta Administración Zonal emita el correspondiente informe Legal conforme a derecho”</w:t>
      </w:r>
      <w:r w:rsidRPr="00BD3BDC">
        <w:rPr>
          <w:rFonts w:ascii="Palatino Linotype" w:eastAsiaTheme="minorHAnsi" w:hAnsi="Palatino Linotype"/>
          <w:i/>
          <w:sz w:val="22"/>
          <w:szCs w:val="22"/>
          <w:lang w:eastAsia="en-US"/>
        </w:rPr>
        <w:t>.</w:t>
      </w:r>
    </w:p>
    <w:p w14:paraId="12776912" w14:textId="77777777" w:rsidR="00F331DD" w:rsidRDefault="00F331DD" w:rsidP="00F331DD">
      <w:pPr>
        <w:autoSpaceDE w:val="0"/>
        <w:autoSpaceDN w:val="0"/>
        <w:adjustRightInd w:val="0"/>
        <w:ind w:left="709" w:hanging="709"/>
        <w:jc w:val="both"/>
        <w:rPr>
          <w:rFonts w:ascii="Palatino Linotype" w:eastAsiaTheme="minorHAnsi" w:hAnsi="Palatino Linotype"/>
          <w:i/>
          <w:sz w:val="22"/>
          <w:szCs w:val="22"/>
          <w:lang w:eastAsia="en-US"/>
        </w:rPr>
      </w:pPr>
      <w:r w:rsidRPr="00BD3BDC">
        <w:rPr>
          <w:rFonts w:ascii="Palatino Linotype" w:eastAsiaTheme="minorHAnsi" w:hAnsi="Palatino Linotype"/>
          <w:i/>
          <w:sz w:val="22"/>
          <w:szCs w:val="22"/>
          <w:lang w:eastAsia="en-US"/>
        </w:rPr>
        <w:t xml:space="preserve"> </w:t>
      </w:r>
    </w:p>
    <w:p w14:paraId="0A06845A" w14:textId="37519BFE" w:rsidR="00F331DD" w:rsidRDefault="00F331DD" w:rsidP="00F331DD">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informe legal Nro. </w:t>
      </w:r>
      <w:r w:rsidR="008F5FD9">
        <w:t>AZLD-DJ-2020-0127 de 20 de febrero de 2020</w:t>
      </w:r>
      <w:r>
        <w:rPr>
          <w:rFonts w:ascii="Palatino Linotype" w:eastAsiaTheme="minorHAnsi" w:hAnsi="Palatino Linotype"/>
          <w:sz w:val="22"/>
          <w:szCs w:val="22"/>
          <w:lang w:val="es-EC" w:eastAsia="en-US"/>
        </w:rPr>
        <w:t xml:space="preserve">, el </w:t>
      </w:r>
      <w:r w:rsidR="008F5FD9">
        <w:t>Dr. Byron Flores López</w:t>
      </w:r>
      <w:r>
        <w:rPr>
          <w:rFonts w:ascii="Palatino Linotype" w:eastAsiaTheme="minorHAnsi" w:hAnsi="Palatino Linotype"/>
          <w:sz w:val="22"/>
          <w:szCs w:val="22"/>
          <w:lang w:val="es-EC" w:eastAsia="en-US"/>
        </w:rPr>
        <w:t xml:space="preserve">, Director Jurídico de la Administración Zonal </w:t>
      </w:r>
      <w:r w:rsidR="008F5FD9">
        <w:rPr>
          <w:rFonts w:ascii="Palatino Linotype" w:eastAsiaTheme="minorHAnsi" w:hAnsi="Palatino Linotype"/>
          <w:sz w:val="22"/>
          <w:szCs w:val="22"/>
          <w:lang w:val="es-EC" w:eastAsia="en-US"/>
        </w:rPr>
        <w:t>La Delicia</w:t>
      </w:r>
      <w:r>
        <w:rPr>
          <w:rFonts w:ascii="Palatino Linotype" w:eastAsiaTheme="minorHAnsi" w:hAnsi="Palatino Linotype"/>
          <w:sz w:val="22"/>
          <w:szCs w:val="22"/>
          <w:lang w:val="es-EC" w:eastAsia="en-US"/>
        </w:rPr>
        <w:t xml:space="preserve">, señala: </w:t>
      </w:r>
      <w:r w:rsidR="008F5FD9" w:rsidRPr="008F5FD9">
        <w:rPr>
          <w:rFonts w:ascii="Palatino Linotype" w:eastAsiaTheme="minorHAnsi" w:hAnsi="Palatino Linotype"/>
          <w:i/>
          <w:iCs/>
          <w:sz w:val="22"/>
          <w:szCs w:val="22"/>
          <w:lang w:val="es-EC" w:eastAsia="en-US"/>
        </w:rPr>
        <w:t>“</w:t>
      </w:r>
      <w:r w:rsidR="008F5FD9" w:rsidRPr="008F5FD9">
        <w:rPr>
          <w:i/>
          <w:iCs/>
        </w:rPr>
        <w:t>Con Informe Técnico constante en el memorando No. GADDMQ-AZLD-DGT-2020-0134 de 18 de febrero de 2020, el Ing. Eddy Ramiro González Mora, Director de Gestión del Territorio indica que “ (…) el predio 204405 forma parte del condominio declarado en PROPIEDAD HORIZONTAL, con una alícuota de 0.5905% con un área de construcción cubierta de 85.15 m2, área de construcción abierta de 11.50 m2, zonificación A23 (A610-50) y A8 (A603-35), por lo cual los datos de Zonificación son válidos para todo el lote que conforma el condominio. En ese contexto me permito informar que el predio No. 204405 NO ES FACTIBLE de partición por no cumplir con la Zonificación respecto al lote mínimo. Es decir que el predio número 204405, no es divisible. Por las consideraciones expuestas esta Dirección emite criterio jurídico DESFAVORABLE por cuanto no es factible su fraccionamiento al estar declarado en propiedad horizontal y por no cumplir con la zonificación respecto al lote mínimo (…)”</w:t>
      </w:r>
      <w:r w:rsidRPr="008F5FD9">
        <w:rPr>
          <w:i/>
          <w:iCs/>
        </w:rPr>
        <w:t>.</w:t>
      </w:r>
      <w:r>
        <w:t xml:space="preserve"> </w:t>
      </w:r>
    </w:p>
    <w:p w14:paraId="371015A3" w14:textId="77777777" w:rsidR="00F331DD"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7F1AD6BE" w14:textId="5E41D148" w:rsidR="00F331DD" w:rsidRDefault="00F331DD" w:rsidP="00F331DD">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 Que, </w:t>
      </w:r>
      <w:r>
        <w:rPr>
          <w:rFonts w:ascii="Palatino Linotype" w:eastAsiaTheme="minorHAnsi" w:hAnsi="Palatino Linotype"/>
          <w:sz w:val="22"/>
          <w:szCs w:val="22"/>
          <w:lang w:val="es-EC" w:eastAsia="en-US"/>
        </w:rPr>
        <w:tab/>
        <w:t xml:space="preserve">mediante expediente Nro. </w:t>
      </w:r>
      <w:r w:rsidR="008F5FD9">
        <w:t xml:space="preserve">GADDMQ-PM-SAUOS-2020-0147-O </w:t>
      </w:r>
      <w:r>
        <w:rPr>
          <w:rFonts w:ascii="Palatino Linotype" w:eastAsiaTheme="minorHAnsi" w:hAnsi="Palatino Linotype"/>
          <w:sz w:val="22"/>
          <w:szCs w:val="22"/>
          <w:lang w:val="es-EC" w:eastAsia="en-US"/>
        </w:rPr>
        <w:t xml:space="preserve">de </w:t>
      </w:r>
      <w:r w:rsidR="008F5FD9">
        <w:rPr>
          <w:rFonts w:ascii="Palatino Linotype" w:eastAsiaTheme="minorHAnsi" w:hAnsi="Palatino Linotype"/>
          <w:sz w:val="22"/>
          <w:szCs w:val="22"/>
          <w:lang w:val="es-EC" w:eastAsia="en-US"/>
        </w:rPr>
        <w:t>29</w:t>
      </w:r>
      <w:r>
        <w:rPr>
          <w:rFonts w:ascii="Palatino Linotype" w:eastAsiaTheme="minorHAnsi" w:hAnsi="Palatino Linotype"/>
          <w:sz w:val="22"/>
          <w:szCs w:val="22"/>
          <w:lang w:val="es-EC" w:eastAsia="en-US"/>
        </w:rPr>
        <w:t xml:space="preserve"> de mayo de 2020, el Dr. Edison Yépez Vinueza, Subprocurador Metropolitano, señala: “</w:t>
      </w:r>
      <w:r w:rsidR="008F5FD9" w:rsidRPr="008F5FD9">
        <w:rPr>
          <w:i/>
          <w:iCs/>
        </w:rPr>
        <w:t>De la revisión del expediente, se establece que el presente trámite se refiere al predio No. 204405, ubicado en la parroquia Comité del Pueblo, con zonificación A23 (A610-50) y A8 (A603-35). De acuerdo con los informes de la Administración Zonal La Delicia, el inmueble forma parte de un bien declarado bajo régimen de propiedad horizontal y se encuentra individualizado con sus respectivas alícuotas. En virtud de los informes técnico y legal de la Administración Zonal La Delicia y, de la normativa anteriormente expuestos, Procuraduría Metropolitana emite criterio legal desfavorable, para que el Concejo Metropolitano de Quito autorice la partición del predio No. 204405, ubicado en la parroquia Comité del Pueblo, por cuanto constituye un bien declarado bajo el régimen de propiedad horizontal, y como tal, no es factible de subdivisión. En estas condiciones no pueden cumplir con los requisitos y presupuestos materiales previstos en el régimen jurídico aplicable, en lo referente al lote y frente mínimos, necesarios para aprobar subdivisiones de bienes inmuebles en el Distrito Metropolitano de Quito. 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 De este particular, el Concejo Metropolitano de Quito, comunicará a la señora Dilia Zambrano Macías</w:t>
      </w:r>
      <w:r w:rsidRPr="002460A9">
        <w:rPr>
          <w:rFonts w:ascii="Palatino Linotype" w:eastAsiaTheme="minorHAnsi" w:hAnsi="Palatino Linotype"/>
          <w:i/>
          <w:iCs/>
          <w:sz w:val="22"/>
          <w:szCs w:val="22"/>
          <w:lang w:val="es-EC" w:eastAsia="en-US"/>
        </w:rPr>
        <w:t>”;</w:t>
      </w:r>
      <w:r>
        <w:rPr>
          <w:rFonts w:ascii="Palatino Linotype" w:eastAsiaTheme="minorHAnsi" w:hAnsi="Palatino Linotype"/>
          <w:i/>
          <w:sz w:val="22"/>
          <w:szCs w:val="22"/>
          <w:lang w:val="es-EC" w:eastAsia="en-US"/>
        </w:rPr>
        <w:t xml:space="preserve"> </w:t>
      </w:r>
    </w:p>
    <w:p w14:paraId="43AD30A2" w14:textId="77777777" w:rsidR="00F331DD" w:rsidRDefault="00F331DD" w:rsidP="00F331DD">
      <w:pPr>
        <w:autoSpaceDE w:val="0"/>
        <w:autoSpaceDN w:val="0"/>
        <w:adjustRightInd w:val="0"/>
        <w:ind w:left="709" w:hanging="709"/>
        <w:jc w:val="both"/>
        <w:rPr>
          <w:rFonts w:ascii="Palatino Linotype" w:eastAsiaTheme="minorHAnsi" w:hAnsi="Palatino Linotype"/>
          <w:i/>
          <w:sz w:val="22"/>
          <w:szCs w:val="22"/>
          <w:lang w:val="es-EC" w:eastAsia="en-US"/>
        </w:rPr>
      </w:pPr>
    </w:p>
    <w:p w14:paraId="662F8932" w14:textId="74CABDD8" w:rsidR="00F331DD"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Comisión de Uso de Suelo en sesión ordinaria Nro. 045, de 22 de junio de 2020 analizó los informes técnicos y legales, emitidos por la Administración </w:t>
      </w:r>
      <w:r w:rsidR="00ED7294">
        <w:rPr>
          <w:rFonts w:ascii="Palatino Linotype" w:eastAsiaTheme="minorHAnsi" w:hAnsi="Palatino Linotype"/>
          <w:sz w:val="22"/>
          <w:szCs w:val="22"/>
          <w:lang w:val="es-EC" w:eastAsia="en-US"/>
        </w:rPr>
        <w:t>La Delicia</w:t>
      </w:r>
      <w:r>
        <w:rPr>
          <w:rFonts w:ascii="Palatino Linotype" w:eastAsiaTheme="minorHAnsi" w:hAnsi="Palatino Linotype"/>
          <w:sz w:val="22"/>
          <w:szCs w:val="22"/>
          <w:lang w:val="es-EC" w:eastAsia="en-US"/>
        </w:rPr>
        <w:t xml:space="preserve"> y el criterio de la Procuraduría Metropolitana</w:t>
      </w:r>
      <w:r w:rsidR="00ED7294">
        <w:rPr>
          <w:rFonts w:ascii="Palatino Linotype" w:eastAsiaTheme="minorHAnsi" w:hAnsi="Palatino Linotype"/>
          <w:sz w:val="22"/>
          <w:szCs w:val="22"/>
          <w:lang w:val="es-EC" w:eastAsia="en-US"/>
        </w:rPr>
        <w:t>;</w:t>
      </w:r>
      <w:r>
        <w:rPr>
          <w:rFonts w:ascii="Palatino Linotype" w:eastAsiaTheme="minorHAnsi" w:hAnsi="Palatino Linotype"/>
          <w:sz w:val="22"/>
          <w:szCs w:val="22"/>
          <w:lang w:val="es-EC" w:eastAsia="en-US"/>
        </w:rPr>
        <w:t xml:space="preserve"> y</w:t>
      </w:r>
      <w:r w:rsidR="00ED7294">
        <w:rPr>
          <w:rFonts w:ascii="Palatino Linotype" w:eastAsiaTheme="minorHAnsi" w:hAnsi="Palatino Linotype"/>
          <w:sz w:val="22"/>
          <w:szCs w:val="22"/>
          <w:lang w:val="es-EC" w:eastAsia="en-US"/>
        </w:rPr>
        <w:t>,</w:t>
      </w:r>
      <w:r>
        <w:rPr>
          <w:rFonts w:ascii="Palatino Linotype" w:eastAsiaTheme="minorHAnsi" w:hAnsi="Palatino Linotype"/>
          <w:sz w:val="22"/>
          <w:szCs w:val="22"/>
          <w:lang w:val="es-EC" w:eastAsia="en-US"/>
        </w:rPr>
        <w:t xml:space="preserve"> emitió dictamen desfavorable para que el Concejo Metropolitano autorice la partición del predio Nro. </w:t>
      </w:r>
      <w:r w:rsidR="008F5FD9" w:rsidRPr="008F5FD9">
        <w:rPr>
          <w:rFonts w:ascii="Palatino Linotype" w:eastAsiaTheme="minorHAnsi" w:hAnsi="Palatino Linotype"/>
          <w:sz w:val="22"/>
          <w:szCs w:val="22"/>
          <w:lang w:val="es-EC" w:eastAsia="en-US"/>
        </w:rPr>
        <w:t>204405</w:t>
      </w:r>
      <w:r>
        <w:rPr>
          <w:rFonts w:ascii="Palatino Linotype" w:eastAsiaTheme="minorHAnsi" w:hAnsi="Palatino Linotype"/>
          <w:sz w:val="22"/>
          <w:szCs w:val="22"/>
          <w:lang w:val="es-EC" w:eastAsia="en-US"/>
        </w:rPr>
        <w:t>, ubicado en la parroquia</w:t>
      </w:r>
      <w:r w:rsidR="00ED7294">
        <w:rPr>
          <w:rFonts w:ascii="Palatino Linotype" w:eastAsiaTheme="minorHAnsi" w:hAnsi="Palatino Linotype"/>
          <w:sz w:val="22"/>
          <w:szCs w:val="22"/>
          <w:lang w:val="es-EC" w:eastAsia="en-US"/>
        </w:rPr>
        <w:t xml:space="preserve"> Comité del Pueblo</w:t>
      </w:r>
      <w:r>
        <w:rPr>
          <w:rFonts w:ascii="Palatino Linotype" w:eastAsiaTheme="minorHAnsi" w:hAnsi="Palatino Linotype"/>
          <w:sz w:val="22"/>
          <w:szCs w:val="22"/>
          <w:lang w:val="es-EC" w:eastAsia="en-US"/>
        </w:rPr>
        <w:t xml:space="preserve">, de este cantón; </w:t>
      </w:r>
    </w:p>
    <w:p w14:paraId="48AF34E8" w14:textId="77777777" w:rsidR="00F331DD"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p>
    <w:p w14:paraId="048D77C9" w14:textId="4C512D1E" w:rsidR="00F331DD" w:rsidRDefault="00F331DD" w:rsidP="00F331DD">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Concejo Metropolitano de Quito, en sesión pública ordinaria realizada el …. de 2020, analizó el Informe No. IC-CUS-2020-0</w:t>
      </w:r>
      <w:r w:rsidR="008F5FD9">
        <w:rPr>
          <w:rFonts w:ascii="Palatino Linotype" w:eastAsiaTheme="minorHAnsi" w:hAnsi="Palatino Linotype"/>
          <w:sz w:val="22"/>
          <w:szCs w:val="22"/>
          <w:lang w:val="es-EC" w:eastAsia="en-US"/>
        </w:rPr>
        <w:t>40</w:t>
      </w:r>
      <w:r>
        <w:rPr>
          <w:rFonts w:ascii="Palatino Linotype" w:eastAsiaTheme="minorHAnsi" w:hAnsi="Palatino Linotype"/>
          <w:sz w:val="22"/>
          <w:szCs w:val="22"/>
          <w:lang w:val="es-EC" w:eastAsia="en-US"/>
        </w:rPr>
        <w:t xml:space="preserve">, emitido por la Comisión de Uso de Suelo; </w:t>
      </w:r>
    </w:p>
    <w:p w14:paraId="423902C8" w14:textId="77777777" w:rsidR="00F331DD" w:rsidRPr="00220827" w:rsidRDefault="00F331DD" w:rsidP="00F331DD">
      <w:pPr>
        <w:autoSpaceDE w:val="0"/>
        <w:autoSpaceDN w:val="0"/>
        <w:adjustRightInd w:val="0"/>
        <w:jc w:val="both"/>
        <w:rPr>
          <w:rFonts w:ascii="Palatino Linotype" w:eastAsiaTheme="minorHAnsi" w:hAnsi="Palatino Linotype"/>
          <w:sz w:val="22"/>
          <w:szCs w:val="22"/>
          <w:lang w:val="es-EC" w:eastAsia="en-US"/>
        </w:rPr>
      </w:pPr>
    </w:p>
    <w:p w14:paraId="202C854E" w14:textId="77777777" w:rsidR="00F331DD" w:rsidRPr="00220827" w:rsidRDefault="00F331DD" w:rsidP="00F331DD">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6702C239" w14:textId="77777777" w:rsidR="00F331DD" w:rsidRPr="00220827" w:rsidRDefault="00F331DD" w:rsidP="00F331DD">
      <w:pPr>
        <w:autoSpaceDE w:val="0"/>
        <w:autoSpaceDN w:val="0"/>
        <w:adjustRightInd w:val="0"/>
        <w:jc w:val="center"/>
        <w:rPr>
          <w:rFonts w:ascii="Palatino Linotype" w:eastAsiaTheme="minorHAnsi" w:hAnsi="Palatino Linotype"/>
          <w:b/>
          <w:bCs/>
          <w:sz w:val="22"/>
          <w:szCs w:val="22"/>
          <w:lang w:val="es-EC" w:eastAsia="en-US"/>
        </w:rPr>
      </w:pPr>
    </w:p>
    <w:p w14:paraId="6FE1EA15" w14:textId="77777777" w:rsidR="00F331DD" w:rsidRPr="00220827" w:rsidRDefault="00F331DD" w:rsidP="00F331DD">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48DE1E9D" w14:textId="77777777" w:rsidR="00F331DD" w:rsidRPr="00220827" w:rsidRDefault="00F331DD" w:rsidP="00F331DD">
      <w:pPr>
        <w:autoSpaceDE w:val="0"/>
        <w:autoSpaceDN w:val="0"/>
        <w:adjustRightInd w:val="0"/>
        <w:jc w:val="center"/>
        <w:rPr>
          <w:rFonts w:ascii="Palatino Linotype" w:hAnsi="Palatino Linotype"/>
          <w:sz w:val="22"/>
          <w:szCs w:val="22"/>
        </w:rPr>
      </w:pPr>
    </w:p>
    <w:p w14:paraId="74C0338F" w14:textId="43C20F9A" w:rsidR="00F331DD" w:rsidRDefault="00F331DD" w:rsidP="00F331DD">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1.-</w:t>
      </w:r>
      <w:r w:rsidRPr="00220827">
        <w:rPr>
          <w:rFonts w:ascii="Palatino Linotype" w:eastAsiaTheme="minorHAnsi" w:hAnsi="Palatino Linotype"/>
          <w:sz w:val="22"/>
          <w:szCs w:val="22"/>
          <w:lang w:val="es-EC" w:eastAsia="en-US"/>
        </w:rPr>
        <w:t xml:space="preserve"> Acoger el informe Nro. IC-CUS-20</w:t>
      </w:r>
      <w:r>
        <w:rPr>
          <w:rFonts w:ascii="Palatino Linotype" w:eastAsiaTheme="minorHAnsi" w:hAnsi="Palatino Linotype"/>
          <w:sz w:val="22"/>
          <w:szCs w:val="22"/>
          <w:lang w:val="es-EC" w:eastAsia="en-US"/>
        </w:rPr>
        <w:t>20</w:t>
      </w:r>
      <w:r w:rsidRPr="00220827">
        <w:rPr>
          <w:rFonts w:ascii="Palatino Linotype" w:eastAsiaTheme="minorHAnsi" w:hAnsi="Palatino Linotype"/>
          <w:sz w:val="22"/>
          <w:szCs w:val="22"/>
          <w:lang w:val="es-EC" w:eastAsia="en-US"/>
        </w:rPr>
        <w:t>-</w:t>
      </w:r>
      <w:r>
        <w:rPr>
          <w:rFonts w:ascii="Palatino Linotype" w:eastAsiaTheme="minorHAnsi" w:hAnsi="Palatino Linotype"/>
          <w:sz w:val="22"/>
          <w:szCs w:val="22"/>
          <w:lang w:val="es-EC" w:eastAsia="en-US"/>
        </w:rPr>
        <w:t>0</w:t>
      </w:r>
      <w:r w:rsidR="008F5FD9">
        <w:rPr>
          <w:rFonts w:ascii="Palatino Linotype" w:eastAsiaTheme="minorHAnsi" w:hAnsi="Palatino Linotype"/>
          <w:sz w:val="22"/>
          <w:szCs w:val="22"/>
          <w:lang w:val="es-EC" w:eastAsia="en-US"/>
        </w:rPr>
        <w:t>40</w:t>
      </w:r>
      <w:r>
        <w:rPr>
          <w:rFonts w:ascii="Palatino Linotype" w:eastAsiaTheme="minorHAnsi" w:hAnsi="Palatino Linotype"/>
          <w:sz w:val="22"/>
          <w:szCs w:val="22"/>
          <w:lang w:val="es-EC" w:eastAsia="en-US"/>
        </w:rPr>
        <w:t xml:space="preserve"> del 22 de junio de 2020, </w:t>
      </w:r>
      <w:r w:rsidRPr="00220827">
        <w:rPr>
          <w:rFonts w:ascii="Palatino Linotype" w:eastAsiaTheme="minorHAnsi" w:hAnsi="Palatino Linotype"/>
          <w:sz w:val="22"/>
          <w:szCs w:val="22"/>
          <w:lang w:val="es-EC" w:eastAsia="en-US"/>
        </w:rPr>
        <w:t>emitido por la Comisión de Uso de Suelo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y</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por tanto, </w:t>
      </w:r>
      <w:r>
        <w:rPr>
          <w:rFonts w:ascii="Palatino Linotype" w:eastAsiaTheme="minorHAnsi" w:hAnsi="Palatino Linotype"/>
          <w:sz w:val="22"/>
          <w:szCs w:val="22"/>
          <w:lang w:val="es-EC" w:eastAsia="en-US"/>
        </w:rPr>
        <w:t xml:space="preserve">no autorizar la partición del predio Nro. </w:t>
      </w:r>
      <w:r w:rsidR="00F10A5A" w:rsidRPr="00F10A5A">
        <w:t>204405</w:t>
      </w:r>
      <w:r>
        <w:rPr>
          <w:rFonts w:ascii="Palatino Linotype" w:eastAsiaTheme="minorHAnsi" w:hAnsi="Palatino Linotype"/>
          <w:sz w:val="22"/>
          <w:szCs w:val="22"/>
          <w:lang w:val="es-EC" w:eastAsia="en-US"/>
        </w:rPr>
        <w:t xml:space="preserve">, clave catastral anterior Nro. </w:t>
      </w:r>
      <w:r w:rsidR="00F10A5A" w:rsidRPr="00F10A5A">
        <w:rPr>
          <w:rFonts w:ascii="Palatino Linotype" w:eastAsiaTheme="minorHAnsi" w:hAnsi="Palatino Linotype"/>
          <w:sz w:val="22"/>
          <w:szCs w:val="22"/>
          <w:lang w:val="es-EC" w:eastAsia="en-US"/>
        </w:rPr>
        <w:t>12706</w:t>
      </w:r>
      <w:r w:rsidR="00F10A5A">
        <w:rPr>
          <w:rFonts w:ascii="Palatino Linotype" w:eastAsiaTheme="minorHAnsi" w:hAnsi="Palatino Linotype"/>
          <w:sz w:val="22"/>
          <w:szCs w:val="22"/>
          <w:lang w:val="es-EC" w:eastAsia="en-US"/>
        </w:rPr>
        <w:t>-</w:t>
      </w:r>
      <w:r w:rsidR="00F10A5A" w:rsidRPr="00F10A5A">
        <w:rPr>
          <w:rFonts w:ascii="Palatino Linotype" w:eastAsiaTheme="minorHAnsi" w:hAnsi="Palatino Linotype"/>
          <w:sz w:val="22"/>
          <w:szCs w:val="22"/>
          <w:lang w:val="es-EC" w:eastAsia="en-US"/>
        </w:rPr>
        <w:t>04</w:t>
      </w:r>
      <w:r w:rsidR="00F10A5A">
        <w:rPr>
          <w:rFonts w:ascii="Palatino Linotype" w:eastAsiaTheme="minorHAnsi" w:hAnsi="Palatino Linotype"/>
          <w:sz w:val="22"/>
          <w:szCs w:val="22"/>
          <w:lang w:val="es-EC" w:eastAsia="en-US"/>
        </w:rPr>
        <w:t>-</w:t>
      </w:r>
      <w:r w:rsidR="00F10A5A" w:rsidRPr="00F10A5A">
        <w:rPr>
          <w:rFonts w:ascii="Palatino Linotype" w:eastAsiaTheme="minorHAnsi" w:hAnsi="Palatino Linotype"/>
          <w:sz w:val="22"/>
          <w:szCs w:val="22"/>
          <w:lang w:val="es-EC" w:eastAsia="en-US"/>
        </w:rPr>
        <w:t>001</w:t>
      </w:r>
      <w:r w:rsidR="00F10A5A">
        <w:rPr>
          <w:rFonts w:ascii="Palatino Linotype" w:eastAsiaTheme="minorHAnsi" w:hAnsi="Palatino Linotype"/>
          <w:sz w:val="22"/>
          <w:szCs w:val="22"/>
          <w:lang w:val="es-EC" w:eastAsia="en-US"/>
        </w:rPr>
        <w:t>-</w:t>
      </w:r>
      <w:r w:rsidR="00F10A5A" w:rsidRPr="00F10A5A">
        <w:rPr>
          <w:rFonts w:ascii="Palatino Linotype" w:eastAsiaTheme="minorHAnsi" w:hAnsi="Palatino Linotype"/>
          <w:sz w:val="22"/>
          <w:szCs w:val="22"/>
          <w:lang w:val="es-EC" w:eastAsia="en-US"/>
        </w:rPr>
        <w:t>004</w:t>
      </w:r>
      <w:r w:rsidR="00F10A5A">
        <w:rPr>
          <w:rFonts w:ascii="Palatino Linotype" w:eastAsiaTheme="minorHAnsi" w:hAnsi="Palatino Linotype"/>
          <w:sz w:val="22"/>
          <w:szCs w:val="22"/>
          <w:lang w:val="es-EC" w:eastAsia="en-US"/>
        </w:rPr>
        <w:t>-</w:t>
      </w:r>
      <w:r w:rsidR="00F10A5A" w:rsidRPr="00F10A5A">
        <w:rPr>
          <w:rFonts w:ascii="Palatino Linotype" w:eastAsiaTheme="minorHAnsi" w:hAnsi="Palatino Linotype"/>
          <w:sz w:val="22"/>
          <w:szCs w:val="22"/>
          <w:lang w:val="es-EC" w:eastAsia="en-US"/>
        </w:rPr>
        <w:t>004</w:t>
      </w:r>
      <w:r w:rsidR="00F10A5A">
        <w:rPr>
          <w:rFonts w:ascii="Palatino Linotype" w:eastAsiaTheme="minorHAnsi" w:hAnsi="Palatino Linotype"/>
          <w:sz w:val="22"/>
          <w:szCs w:val="22"/>
          <w:lang w:val="es-EC" w:eastAsia="en-US"/>
        </w:rPr>
        <w:t>-</w:t>
      </w:r>
      <w:r w:rsidR="00F10A5A" w:rsidRPr="00F10A5A">
        <w:rPr>
          <w:rFonts w:ascii="Palatino Linotype" w:eastAsiaTheme="minorHAnsi" w:hAnsi="Palatino Linotype"/>
          <w:sz w:val="22"/>
          <w:szCs w:val="22"/>
          <w:lang w:val="es-EC" w:eastAsia="en-US"/>
        </w:rPr>
        <w:t>002</w:t>
      </w:r>
      <w:r>
        <w:rPr>
          <w:rFonts w:ascii="Palatino Linotype" w:eastAsiaTheme="minorHAnsi" w:hAnsi="Palatino Linotype"/>
          <w:sz w:val="22"/>
          <w:szCs w:val="22"/>
          <w:lang w:val="es-EC" w:eastAsia="en-US"/>
        </w:rPr>
        <w:t xml:space="preserve">, ubicado en la parroquia </w:t>
      </w:r>
      <w:r w:rsidR="00F10A5A">
        <w:t>Comité del Pueblo</w:t>
      </w:r>
      <w:r>
        <w:rPr>
          <w:rFonts w:ascii="Palatino Linotype" w:eastAsiaTheme="minorHAnsi" w:hAnsi="Palatino Linotype"/>
          <w:sz w:val="22"/>
          <w:szCs w:val="22"/>
          <w:lang w:val="es-EC" w:eastAsia="en-US"/>
        </w:rPr>
        <w:t>, solicitada</w:t>
      </w:r>
      <w:r w:rsidR="00ED7294">
        <w:rPr>
          <w:rFonts w:ascii="Palatino Linotype" w:eastAsiaTheme="minorHAnsi" w:hAnsi="Palatino Linotype"/>
          <w:sz w:val="22"/>
          <w:szCs w:val="22"/>
          <w:lang w:val="es-EC" w:eastAsia="en-US"/>
        </w:rPr>
        <w:t xml:space="preserve"> por</w:t>
      </w:r>
      <w:r>
        <w:rPr>
          <w:rFonts w:ascii="Palatino Linotype" w:eastAsiaTheme="minorHAnsi" w:hAnsi="Palatino Linotype"/>
          <w:sz w:val="22"/>
          <w:szCs w:val="22"/>
          <w:lang w:val="es-EC" w:eastAsia="en-US"/>
        </w:rPr>
        <w:t xml:space="preserve"> </w:t>
      </w:r>
      <w:r w:rsidR="00F10A5A">
        <w:rPr>
          <w:rFonts w:ascii="Palatino Linotype" w:eastAsiaTheme="minorHAnsi" w:hAnsi="Palatino Linotype"/>
          <w:sz w:val="22"/>
          <w:szCs w:val="22"/>
          <w:lang w:val="es-EC" w:eastAsia="en-US"/>
        </w:rPr>
        <w:t xml:space="preserve">la señora </w:t>
      </w:r>
      <w:r w:rsidR="00F10A5A">
        <w:t>Dilia Margot Zambrano Macías</w:t>
      </w:r>
      <w:r>
        <w:rPr>
          <w:rFonts w:ascii="Palatino Linotype" w:eastAsiaTheme="minorHAnsi" w:hAnsi="Palatino Linotype"/>
          <w:sz w:val="22"/>
          <w:szCs w:val="22"/>
          <w:lang w:val="es-EC" w:eastAsia="en-US"/>
        </w:rPr>
        <w:t xml:space="preserve">, </w:t>
      </w:r>
      <w:r w:rsidR="00F10A5A">
        <w:rPr>
          <w:rFonts w:ascii="Palatino Linotype" w:eastAsiaTheme="minorHAnsi" w:hAnsi="Palatino Linotype"/>
          <w:sz w:val="22"/>
          <w:szCs w:val="22"/>
          <w:lang w:val="es-EC" w:eastAsia="en-US"/>
        </w:rPr>
        <w:t>debido a que el predio forma parte de un bien declarado bajo el régimen de propiedad horizontal y se encuentra debidamente individualizado con su respectiva alícuota, en estas condiciones, no pueden cumplir con los requisitos y presupuestos materiales previstos en el régimen jurídico aplicable, en lo referente al lote y frente mínimos, necesarios para aprobar subdivisiones de bienes inmuebles en el Distrito Metropolitano de Quito.</w:t>
      </w:r>
    </w:p>
    <w:p w14:paraId="33C647E4" w14:textId="77777777" w:rsidR="00F10A5A" w:rsidRPr="00220827" w:rsidRDefault="00F10A5A" w:rsidP="00F331DD">
      <w:pPr>
        <w:autoSpaceDE w:val="0"/>
        <w:autoSpaceDN w:val="0"/>
        <w:adjustRightInd w:val="0"/>
        <w:jc w:val="both"/>
        <w:rPr>
          <w:rFonts w:ascii="Palatino Linotype" w:eastAsiaTheme="minorHAnsi" w:hAnsi="Palatino Linotype"/>
          <w:b/>
          <w:sz w:val="22"/>
          <w:szCs w:val="22"/>
          <w:lang w:val="es-EC" w:eastAsia="en-US"/>
        </w:rPr>
      </w:pPr>
    </w:p>
    <w:p w14:paraId="0C86E1D3" w14:textId="75557682" w:rsidR="00F331DD" w:rsidRPr="00220827" w:rsidRDefault="00F331DD" w:rsidP="00F331DD">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2.-</w:t>
      </w:r>
      <w:r w:rsidRPr="00220827">
        <w:rPr>
          <w:rFonts w:ascii="Palatino Linotype" w:eastAsiaTheme="minorHAnsi" w:hAnsi="Palatino Linotype"/>
          <w:sz w:val="22"/>
          <w:szCs w:val="22"/>
          <w:lang w:val="es-EC" w:eastAsia="en-US"/>
        </w:rPr>
        <w:t xml:space="preserve"> Comuníquese al interesado, a la Administraci</w:t>
      </w:r>
      <w:r>
        <w:rPr>
          <w:rFonts w:ascii="Palatino Linotype" w:eastAsiaTheme="minorHAnsi" w:hAnsi="Palatino Linotype"/>
          <w:sz w:val="22"/>
          <w:szCs w:val="22"/>
          <w:lang w:val="es-EC" w:eastAsia="en-US"/>
        </w:rPr>
        <w:t xml:space="preserve">ón Zonal </w:t>
      </w:r>
      <w:r w:rsidR="00ED7294">
        <w:rPr>
          <w:rFonts w:ascii="Palatino Linotype" w:eastAsiaTheme="minorHAnsi" w:hAnsi="Palatino Linotype"/>
          <w:sz w:val="22"/>
          <w:szCs w:val="22"/>
          <w:lang w:val="es-EC" w:eastAsia="en-US"/>
        </w:rPr>
        <w:t>L</w:t>
      </w:r>
      <w:r w:rsidR="00F10A5A">
        <w:rPr>
          <w:rFonts w:ascii="Palatino Linotype" w:eastAsiaTheme="minorHAnsi" w:hAnsi="Palatino Linotype"/>
          <w:sz w:val="22"/>
          <w:szCs w:val="22"/>
          <w:lang w:val="es-EC" w:eastAsia="en-US"/>
        </w:rPr>
        <w:t>a Delicia</w:t>
      </w:r>
      <w:r w:rsidRPr="00220827">
        <w:rPr>
          <w:rFonts w:ascii="Palatino Linotype" w:eastAsiaTheme="minorHAnsi" w:hAnsi="Palatino Linotype"/>
          <w:sz w:val="22"/>
          <w:szCs w:val="22"/>
          <w:lang w:val="es-EC" w:eastAsia="en-US"/>
        </w:rPr>
        <w:t xml:space="preserve"> y, a la Secretaría de Territorio, Hábitat y Vivienda, a fin de que se continúe con los trámites de ley. </w:t>
      </w:r>
    </w:p>
    <w:p w14:paraId="56EDFB93" w14:textId="77777777" w:rsidR="00F331DD" w:rsidRPr="00006FF2" w:rsidRDefault="00F331DD" w:rsidP="00F331DD">
      <w:pPr>
        <w:autoSpaceDE w:val="0"/>
        <w:autoSpaceDN w:val="0"/>
        <w:adjustRightInd w:val="0"/>
        <w:jc w:val="both"/>
        <w:rPr>
          <w:rFonts w:ascii="Palatino Linotype" w:eastAsiaTheme="minorHAnsi" w:hAnsi="Palatino Linotype"/>
          <w:bCs/>
          <w:sz w:val="22"/>
          <w:szCs w:val="22"/>
          <w:lang w:val="es-EC" w:eastAsia="en-US"/>
        </w:rPr>
      </w:pPr>
      <w:bookmarkStart w:id="0"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0"/>
    <w:p w14:paraId="02D912F1" w14:textId="77777777" w:rsidR="00F331DD" w:rsidRPr="00006FF2" w:rsidRDefault="00F331DD" w:rsidP="00F331DD">
      <w:pPr>
        <w:autoSpaceDE w:val="0"/>
        <w:autoSpaceDN w:val="0"/>
        <w:adjustRightInd w:val="0"/>
        <w:jc w:val="both"/>
        <w:rPr>
          <w:rFonts w:ascii="Palatino Linotype" w:eastAsiaTheme="minorHAnsi" w:hAnsi="Palatino Linotype"/>
          <w:bCs/>
          <w:sz w:val="22"/>
          <w:szCs w:val="22"/>
          <w:lang w:val="es-EC" w:eastAsia="en-US"/>
        </w:rPr>
      </w:pPr>
    </w:p>
    <w:p w14:paraId="5CB8678A" w14:textId="77777777" w:rsidR="00F331DD" w:rsidRPr="00220827" w:rsidRDefault="00F331DD" w:rsidP="00F331DD">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Pr>
          <w:rFonts w:ascii="Arial" w:hAnsi="Arial" w:cs="Arial"/>
          <w:sz w:val="21"/>
          <w:szCs w:val="21"/>
          <w:shd w:val="clear" w:color="auto" w:fill="FFFFFF"/>
        </w:rPr>
        <w:t xml:space="preserve">, </w:t>
      </w:r>
    </w:p>
    <w:p w14:paraId="2968F79F" w14:textId="77777777" w:rsidR="00F331DD" w:rsidRPr="00220827" w:rsidRDefault="00F331DD" w:rsidP="00F331DD">
      <w:pPr>
        <w:autoSpaceDE w:val="0"/>
        <w:autoSpaceDN w:val="0"/>
        <w:adjustRightInd w:val="0"/>
        <w:jc w:val="both"/>
        <w:rPr>
          <w:rFonts w:ascii="Palatino Linotype" w:eastAsiaTheme="minorHAnsi" w:hAnsi="Palatino Linotype"/>
          <w:sz w:val="22"/>
          <w:szCs w:val="22"/>
          <w:lang w:val="es-EC" w:eastAsia="en-US"/>
        </w:rPr>
      </w:pPr>
    </w:p>
    <w:p w14:paraId="3AF05B1D" w14:textId="77777777" w:rsidR="00F331DD" w:rsidRPr="00220827" w:rsidRDefault="00F331DD" w:rsidP="00F331DD">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31E444E6" w14:textId="77777777" w:rsidR="00F331DD" w:rsidRPr="00220827" w:rsidRDefault="00F331DD" w:rsidP="00F331DD">
      <w:pPr>
        <w:jc w:val="both"/>
        <w:rPr>
          <w:rFonts w:ascii="Palatino Linotype" w:hAnsi="Palatino Linotype"/>
          <w:sz w:val="22"/>
          <w:szCs w:val="22"/>
        </w:rPr>
      </w:pPr>
    </w:p>
    <w:p w14:paraId="1D33EB79" w14:textId="77777777" w:rsidR="00F331DD" w:rsidRPr="00220827" w:rsidRDefault="00F331DD" w:rsidP="00F331DD">
      <w:pPr>
        <w:jc w:val="center"/>
        <w:rPr>
          <w:rFonts w:ascii="Palatino Linotype" w:hAnsi="Palatino Linotype"/>
          <w:b/>
          <w:sz w:val="22"/>
          <w:szCs w:val="22"/>
        </w:rPr>
      </w:pPr>
      <w:r w:rsidRPr="00220827">
        <w:rPr>
          <w:rFonts w:ascii="Palatino Linotype" w:hAnsi="Palatino Linotype"/>
          <w:b/>
          <w:sz w:val="22"/>
          <w:szCs w:val="22"/>
        </w:rPr>
        <w:t>EJECÚTESE:</w:t>
      </w:r>
    </w:p>
    <w:p w14:paraId="6BDD321C" w14:textId="77777777" w:rsidR="00F331DD" w:rsidRPr="00220827" w:rsidRDefault="00F331DD" w:rsidP="00F331DD">
      <w:pPr>
        <w:pStyle w:val="Sinespaciado"/>
        <w:jc w:val="center"/>
        <w:rPr>
          <w:rFonts w:ascii="Palatino Linotype" w:hAnsi="Palatino Linotype"/>
          <w:sz w:val="22"/>
          <w:szCs w:val="22"/>
        </w:rPr>
      </w:pPr>
    </w:p>
    <w:p w14:paraId="1FD83C02" w14:textId="77777777" w:rsidR="00F331DD" w:rsidRPr="00220827" w:rsidRDefault="00F331DD" w:rsidP="00F331DD">
      <w:pPr>
        <w:pStyle w:val="Sinespaciado"/>
        <w:jc w:val="center"/>
        <w:rPr>
          <w:rFonts w:ascii="Palatino Linotype" w:hAnsi="Palatino Linotype"/>
          <w:sz w:val="22"/>
          <w:szCs w:val="22"/>
        </w:rPr>
      </w:pPr>
    </w:p>
    <w:p w14:paraId="4582D87E" w14:textId="77777777" w:rsidR="00F331DD" w:rsidRPr="00220827" w:rsidRDefault="00F331DD" w:rsidP="00F331DD">
      <w:pPr>
        <w:pStyle w:val="Sinespaciado"/>
        <w:jc w:val="center"/>
        <w:rPr>
          <w:rFonts w:ascii="Palatino Linotype" w:hAnsi="Palatino Linotype"/>
          <w:sz w:val="22"/>
          <w:szCs w:val="22"/>
        </w:rPr>
      </w:pPr>
    </w:p>
    <w:p w14:paraId="47B8235A" w14:textId="77777777" w:rsidR="00F331DD" w:rsidRPr="00220827" w:rsidRDefault="00F331DD" w:rsidP="00F331DD">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7E311BC4" w14:textId="77777777" w:rsidR="00F331DD" w:rsidRPr="00220827" w:rsidRDefault="00F331DD" w:rsidP="00F331DD">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3D0339DF" w14:textId="77777777" w:rsidR="00F331DD" w:rsidRPr="00220827" w:rsidRDefault="00F331DD" w:rsidP="00F331DD">
      <w:pPr>
        <w:jc w:val="both"/>
        <w:rPr>
          <w:rFonts w:ascii="Palatino Linotype" w:hAnsi="Palatino Linotype"/>
          <w:b/>
          <w:sz w:val="22"/>
          <w:szCs w:val="22"/>
        </w:rPr>
      </w:pPr>
    </w:p>
    <w:p w14:paraId="3FCFE9AB" w14:textId="77777777" w:rsidR="00F331DD" w:rsidRPr="00220827" w:rsidRDefault="00F331DD" w:rsidP="00F331DD">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Alcalde del Distrito Metropolitano de Quito, ….</w:t>
      </w:r>
    </w:p>
    <w:p w14:paraId="26440DCE" w14:textId="77777777" w:rsidR="00F331DD" w:rsidRPr="00220827" w:rsidRDefault="00F331DD" w:rsidP="00F331DD">
      <w:pPr>
        <w:jc w:val="both"/>
        <w:rPr>
          <w:rFonts w:ascii="Palatino Linotype" w:hAnsi="Palatino Linotype"/>
          <w:b/>
          <w:sz w:val="22"/>
          <w:szCs w:val="22"/>
        </w:rPr>
      </w:pPr>
    </w:p>
    <w:p w14:paraId="1BD252A8" w14:textId="77777777" w:rsidR="00F331DD" w:rsidRPr="00220827" w:rsidRDefault="00F331DD" w:rsidP="00F331DD">
      <w:pPr>
        <w:jc w:val="both"/>
        <w:rPr>
          <w:rFonts w:ascii="Palatino Linotype" w:hAnsi="Palatino Linotype"/>
          <w:sz w:val="22"/>
          <w:szCs w:val="22"/>
        </w:rPr>
      </w:pPr>
      <w:r w:rsidRPr="00220827">
        <w:rPr>
          <w:rFonts w:ascii="Palatino Linotype" w:hAnsi="Palatino Linotype"/>
          <w:b/>
          <w:sz w:val="22"/>
          <w:szCs w:val="22"/>
        </w:rPr>
        <w:t xml:space="preserve">Lo certifico.- </w:t>
      </w:r>
      <w:r w:rsidRPr="00220827">
        <w:rPr>
          <w:rFonts w:ascii="Palatino Linotype" w:hAnsi="Palatino Linotype"/>
          <w:sz w:val="22"/>
          <w:szCs w:val="22"/>
        </w:rPr>
        <w:t>Distrito Metropolitano de Quito, …..</w:t>
      </w:r>
    </w:p>
    <w:p w14:paraId="6EB9C10F" w14:textId="77777777" w:rsidR="00F331DD" w:rsidRPr="00220827" w:rsidRDefault="00F331DD" w:rsidP="00F331DD">
      <w:pPr>
        <w:rPr>
          <w:rFonts w:ascii="Palatino Linotype" w:hAnsi="Palatino Linotype"/>
          <w:sz w:val="22"/>
          <w:szCs w:val="22"/>
        </w:rPr>
      </w:pPr>
    </w:p>
    <w:p w14:paraId="673047F8" w14:textId="77777777" w:rsidR="00F331DD" w:rsidRPr="00220827" w:rsidRDefault="00F331DD" w:rsidP="00F331DD">
      <w:pPr>
        <w:jc w:val="both"/>
        <w:rPr>
          <w:rFonts w:ascii="Palatino Linotype" w:hAnsi="Palatino Linotype"/>
          <w:sz w:val="22"/>
          <w:szCs w:val="22"/>
        </w:rPr>
      </w:pPr>
    </w:p>
    <w:p w14:paraId="4245E81C" w14:textId="77777777" w:rsidR="00F331DD" w:rsidRPr="00220827" w:rsidRDefault="00F331DD" w:rsidP="00F331DD">
      <w:pPr>
        <w:jc w:val="both"/>
        <w:rPr>
          <w:rFonts w:ascii="Palatino Linotype" w:hAnsi="Palatino Linotype"/>
          <w:sz w:val="22"/>
          <w:szCs w:val="22"/>
        </w:rPr>
      </w:pPr>
    </w:p>
    <w:p w14:paraId="0EE64D0C" w14:textId="77777777" w:rsidR="00F331DD" w:rsidRPr="00220827" w:rsidRDefault="00F331DD" w:rsidP="00F331DD">
      <w:pPr>
        <w:jc w:val="both"/>
        <w:rPr>
          <w:rFonts w:ascii="Palatino Linotype" w:hAnsi="Palatino Linotype"/>
          <w:sz w:val="22"/>
          <w:szCs w:val="22"/>
        </w:rPr>
      </w:pPr>
    </w:p>
    <w:p w14:paraId="342674CA" w14:textId="77777777" w:rsidR="00F331DD" w:rsidRPr="00220827" w:rsidRDefault="00F331DD" w:rsidP="00F331DD">
      <w:pPr>
        <w:pStyle w:val="Sinespaciado"/>
        <w:jc w:val="center"/>
        <w:rPr>
          <w:rFonts w:ascii="Palatino Linotype" w:hAnsi="Palatino Linotype"/>
          <w:sz w:val="22"/>
          <w:szCs w:val="22"/>
        </w:rPr>
      </w:pPr>
      <w:r w:rsidRPr="00220827">
        <w:rPr>
          <w:rFonts w:ascii="Palatino Linotype" w:hAnsi="Palatino Linotype"/>
          <w:sz w:val="22"/>
          <w:szCs w:val="22"/>
        </w:rPr>
        <w:t>Abg. Damaris Ortiz Pasuy</w:t>
      </w:r>
    </w:p>
    <w:p w14:paraId="425B4266" w14:textId="77777777" w:rsidR="00F331DD" w:rsidRPr="00220827" w:rsidRDefault="00F331DD" w:rsidP="00F331DD">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420F14CD" w14:textId="77777777" w:rsidR="00F331DD" w:rsidRPr="00220827" w:rsidRDefault="00F331DD" w:rsidP="00F331DD">
      <w:pPr>
        <w:pStyle w:val="Sinespaciado"/>
        <w:rPr>
          <w:rFonts w:ascii="Palatino Linotype" w:hAnsi="Palatino Linotype"/>
          <w:sz w:val="22"/>
          <w:szCs w:val="22"/>
        </w:rPr>
      </w:pPr>
    </w:p>
    <w:p w14:paraId="579DDCD4" w14:textId="77777777" w:rsidR="00F331DD" w:rsidRDefault="00F331DD" w:rsidP="00F331DD"/>
    <w:p w14:paraId="5E2DA17B" w14:textId="77777777" w:rsidR="00F331DD" w:rsidRDefault="00F331DD" w:rsidP="00F331DD"/>
    <w:p w14:paraId="1798DE2D" w14:textId="77777777" w:rsidR="00F331DD" w:rsidRDefault="00F331DD" w:rsidP="00F331DD"/>
    <w:p w14:paraId="5E902CCD" w14:textId="77777777" w:rsidR="00F331DD" w:rsidRDefault="00F331DD" w:rsidP="00F331DD"/>
    <w:p w14:paraId="24F0073F" w14:textId="77777777" w:rsidR="00E53BE5" w:rsidRDefault="00E53BE5"/>
    <w:sectPr w:rsidR="00E53BE5" w:rsidSect="00603285">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F7F8D" w14:textId="77777777" w:rsidR="00DB1EB8" w:rsidRDefault="00DB1EB8">
      <w:r>
        <w:separator/>
      </w:r>
    </w:p>
  </w:endnote>
  <w:endnote w:type="continuationSeparator" w:id="0">
    <w:p w14:paraId="43D3B6D5" w14:textId="77777777" w:rsidR="00DB1EB8" w:rsidRDefault="00DB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75BA1F83" w14:textId="77777777" w:rsidR="00603285" w:rsidRPr="008479FB" w:rsidRDefault="00F10A5A">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0057E3D3" w14:textId="77777777" w:rsidR="00603285" w:rsidRPr="008479FB" w:rsidRDefault="00DB1EB8">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13FD3" w14:textId="77777777" w:rsidR="00DB1EB8" w:rsidRDefault="00DB1EB8">
      <w:r>
        <w:separator/>
      </w:r>
    </w:p>
  </w:footnote>
  <w:footnote w:type="continuationSeparator" w:id="0">
    <w:p w14:paraId="1940FA60" w14:textId="77777777" w:rsidR="00DB1EB8" w:rsidRDefault="00DB1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3A71D" w14:textId="77777777" w:rsidR="00603285" w:rsidRDefault="00DB1EB8" w:rsidP="00603285">
    <w:pPr>
      <w:autoSpaceDE w:val="0"/>
      <w:autoSpaceDN w:val="0"/>
      <w:adjustRightInd w:val="0"/>
      <w:jc w:val="center"/>
      <w:rPr>
        <w:rFonts w:ascii="Palatino Linotype" w:eastAsiaTheme="minorHAnsi" w:hAnsi="Palatino Linotype"/>
        <w:b/>
        <w:bCs/>
        <w:sz w:val="22"/>
        <w:szCs w:val="22"/>
        <w:lang w:val="es-EC" w:eastAsia="en-US"/>
      </w:rPr>
    </w:pPr>
  </w:p>
  <w:p w14:paraId="78FED9ED" w14:textId="77777777" w:rsidR="00603285" w:rsidRDefault="00DB1EB8" w:rsidP="00603285">
    <w:pPr>
      <w:autoSpaceDE w:val="0"/>
      <w:autoSpaceDN w:val="0"/>
      <w:adjustRightInd w:val="0"/>
      <w:jc w:val="center"/>
      <w:rPr>
        <w:rFonts w:ascii="Palatino Linotype" w:eastAsiaTheme="minorHAnsi" w:hAnsi="Palatino Linotype"/>
        <w:b/>
        <w:bCs/>
        <w:sz w:val="22"/>
        <w:szCs w:val="22"/>
        <w:lang w:val="es-EC" w:eastAsia="en-US"/>
      </w:rPr>
    </w:pPr>
  </w:p>
  <w:p w14:paraId="63FB437E" w14:textId="77777777" w:rsidR="00603285" w:rsidRDefault="00DB1EB8" w:rsidP="00603285">
    <w:pPr>
      <w:autoSpaceDE w:val="0"/>
      <w:autoSpaceDN w:val="0"/>
      <w:adjustRightInd w:val="0"/>
      <w:jc w:val="center"/>
      <w:rPr>
        <w:rFonts w:ascii="Palatino Linotype" w:eastAsiaTheme="minorHAnsi" w:hAnsi="Palatino Linotype"/>
        <w:b/>
        <w:bCs/>
        <w:sz w:val="22"/>
        <w:szCs w:val="22"/>
        <w:lang w:val="es-EC" w:eastAsia="en-US"/>
      </w:rPr>
    </w:pPr>
  </w:p>
  <w:p w14:paraId="39593647" w14:textId="77777777" w:rsidR="00603285" w:rsidRDefault="00DB1EB8" w:rsidP="00603285">
    <w:pPr>
      <w:autoSpaceDE w:val="0"/>
      <w:autoSpaceDN w:val="0"/>
      <w:adjustRightInd w:val="0"/>
      <w:jc w:val="center"/>
      <w:rPr>
        <w:rFonts w:ascii="Palatino Linotype" w:eastAsiaTheme="minorHAnsi" w:hAnsi="Palatino Linotype"/>
        <w:b/>
        <w:bCs/>
        <w:sz w:val="22"/>
        <w:szCs w:val="22"/>
        <w:lang w:val="es-EC" w:eastAsia="en-US"/>
      </w:rPr>
    </w:pPr>
  </w:p>
  <w:p w14:paraId="2E842526" w14:textId="77777777" w:rsidR="00603285" w:rsidRPr="004B36BA" w:rsidRDefault="00F10A5A"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1E91F71A" w14:textId="77777777" w:rsidR="00603285" w:rsidRDefault="00DB1E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DD"/>
    <w:rsid w:val="000173C9"/>
    <w:rsid w:val="008F5FD9"/>
    <w:rsid w:val="00DB1EB8"/>
    <w:rsid w:val="00E53BE5"/>
    <w:rsid w:val="00ED7294"/>
    <w:rsid w:val="00F10A5A"/>
    <w:rsid w:val="00F331D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EFEF"/>
  <w15:chartTrackingRefBased/>
  <w15:docId w15:val="{21DAD09E-9BDC-409D-B53D-B5E844CD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F331D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F331DD"/>
    <w:rPr>
      <w:sz w:val="20"/>
      <w:szCs w:val="20"/>
      <w:lang w:val="es-EC"/>
    </w:rPr>
  </w:style>
  <w:style w:type="paragraph" w:styleId="Piedepgina">
    <w:name w:val="footer"/>
    <w:basedOn w:val="Normal"/>
    <w:link w:val="PiedepginaCar"/>
    <w:uiPriority w:val="99"/>
    <w:unhideWhenUsed/>
    <w:rsid w:val="00F331DD"/>
    <w:pPr>
      <w:tabs>
        <w:tab w:val="center" w:pos="4252"/>
        <w:tab w:val="right" w:pos="8504"/>
      </w:tabs>
    </w:pPr>
  </w:style>
  <w:style w:type="character" w:customStyle="1" w:styleId="PiedepginaCar">
    <w:name w:val="Pie de página Car"/>
    <w:basedOn w:val="Fuentedeprrafopredeter"/>
    <w:link w:val="Piedepgina"/>
    <w:uiPriority w:val="99"/>
    <w:rsid w:val="00F331D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331DD"/>
    <w:pPr>
      <w:tabs>
        <w:tab w:val="center" w:pos="4419"/>
        <w:tab w:val="right" w:pos="8838"/>
      </w:tabs>
    </w:pPr>
  </w:style>
  <w:style w:type="character" w:customStyle="1" w:styleId="EncabezadoCar">
    <w:name w:val="Encabezado Car"/>
    <w:basedOn w:val="Fuentedeprrafopredeter"/>
    <w:link w:val="Encabezado"/>
    <w:uiPriority w:val="99"/>
    <w:rsid w:val="00F331D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2043</Words>
  <Characters>11241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3</cp:revision>
  <dcterms:created xsi:type="dcterms:W3CDTF">2020-06-29T21:55:00Z</dcterms:created>
  <dcterms:modified xsi:type="dcterms:W3CDTF">2020-06-30T22:05:00Z</dcterms:modified>
</cp:coreProperties>
</file>