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D9" w:rsidRPr="00AB7F29" w:rsidRDefault="003F50D9" w:rsidP="00D80A29">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RESOLUCIÓN No. C XXX - 202</w:t>
      </w:r>
      <w:r w:rsidR="004137B7">
        <w:rPr>
          <w:rFonts w:ascii="Palatino Linotype" w:hAnsi="Palatino Linotype"/>
          <w:sz w:val="28"/>
          <w:szCs w:val="28"/>
        </w:rPr>
        <w:t>1</w:t>
      </w:r>
      <w:r w:rsidRPr="00AB7F29">
        <w:rPr>
          <w:rFonts w:ascii="Palatino Linotype" w:hAnsi="Palatino Linotype"/>
          <w:sz w:val="28"/>
          <w:szCs w:val="28"/>
        </w:rPr>
        <w:t xml:space="preserve"> </w:t>
      </w:r>
    </w:p>
    <w:p w:rsidR="003F50D9" w:rsidRPr="00AB7F29" w:rsidRDefault="003F50D9" w:rsidP="00E175D0">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w:rsidR="003F50D9" w:rsidRPr="00AB7F29" w:rsidRDefault="003F50D9" w:rsidP="00D80A29">
      <w:pPr>
        <w:autoSpaceDE w:val="0"/>
        <w:autoSpaceDN w:val="0"/>
        <w:adjustRightInd w:val="0"/>
        <w:jc w:val="center"/>
        <w:rPr>
          <w:rFonts w:ascii="Palatino Linotype" w:hAnsi="Palatino Linotype"/>
          <w:sz w:val="28"/>
          <w:szCs w:val="28"/>
        </w:rPr>
      </w:pPr>
    </w:p>
    <w:p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rsidR="003F50D9" w:rsidRPr="003F50D9" w:rsidRDefault="003F50D9" w:rsidP="00D80A29">
      <w:pPr>
        <w:autoSpaceDE w:val="0"/>
        <w:autoSpaceDN w:val="0"/>
        <w:adjustRightInd w:val="0"/>
        <w:jc w:val="center"/>
        <w:rPr>
          <w:rFonts w:ascii="Palatino Linotype" w:hAnsi="Palatino Linotype"/>
          <w:sz w:val="36"/>
          <w:szCs w:val="36"/>
        </w:rPr>
      </w:pPr>
    </w:p>
    <w:p w:rsidR="00D80A29" w:rsidRPr="00974EE8" w:rsidRDefault="00D80A29" w:rsidP="00625A1B">
      <w:pPr>
        <w:autoSpaceDE w:val="0"/>
        <w:autoSpaceDN w:val="0"/>
        <w:adjustRightInd w:val="0"/>
        <w:ind w:left="709" w:hanging="709"/>
        <w:jc w:val="both"/>
        <w:rPr>
          <w:rFonts w:ascii="Palatino Linotype" w:eastAsiaTheme="minorHAnsi" w:hAnsi="Palatino Linotype"/>
          <w:sz w:val="22"/>
          <w:szCs w:val="22"/>
          <w:lang w:val="es-EC" w:eastAsia="en-US"/>
        </w:rPr>
      </w:pPr>
    </w:p>
    <w:p w:rsidR="00B142EA" w:rsidRDefault="001C2838" w:rsidP="00B142EA">
      <w:pPr>
        <w:autoSpaceDE w:val="0"/>
        <w:autoSpaceDN w:val="0"/>
        <w:adjustRightInd w:val="0"/>
        <w:ind w:left="709" w:hanging="709"/>
        <w:jc w:val="both"/>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B142EA">
        <w:rPr>
          <w:rFonts w:ascii="Palatino Linotype" w:eastAsiaTheme="minorHAnsi" w:hAnsi="Palatino Linotype"/>
          <w:sz w:val="22"/>
          <w:szCs w:val="22"/>
          <w:lang w:val="es-EC" w:eastAsia="en-US"/>
        </w:rPr>
        <w:t>L</w:t>
      </w:r>
      <w:r w:rsidR="00B142EA">
        <w:t xml:space="preserve">a Constitución de la República del Ecuador en el artículo 226, prescribe: </w:t>
      </w:r>
      <w:r w:rsidR="00B142EA" w:rsidRPr="006721D1">
        <w:rPr>
          <w:i/>
        </w:rPr>
        <w:t>“Las instituciones del Estado, sus organismos, sus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w:t>
      </w:r>
      <w:r w:rsidR="002376E2" w:rsidRPr="006721D1">
        <w:rPr>
          <w:i/>
        </w:rPr>
        <w:t>econocidos en la Constitución”;</w:t>
      </w:r>
    </w:p>
    <w:p w:rsidR="00B142EA" w:rsidRPr="00974EE8" w:rsidRDefault="00B142EA" w:rsidP="001C2838">
      <w:pPr>
        <w:autoSpaceDE w:val="0"/>
        <w:autoSpaceDN w:val="0"/>
        <w:adjustRightInd w:val="0"/>
        <w:ind w:left="709" w:hanging="709"/>
        <w:jc w:val="both"/>
        <w:rPr>
          <w:rFonts w:ascii="Palatino Linotype" w:eastAsiaTheme="minorHAnsi" w:hAnsi="Palatino Linotype"/>
          <w:i/>
          <w:sz w:val="22"/>
          <w:szCs w:val="22"/>
          <w:lang w:val="es-EC" w:eastAsia="en-US"/>
        </w:rPr>
      </w:pPr>
    </w:p>
    <w:p w:rsidR="00B142EA" w:rsidRDefault="00946371" w:rsidP="00B142EA">
      <w:pPr>
        <w:autoSpaceDE w:val="0"/>
        <w:autoSpaceDN w:val="0"/>
        <w:adjustRightInd w:val="0"/>
        <w:ind w:left="709" w:hanging="709"/>
        <w:jc w:val="both"/>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B142EA">
        <w:t xml:space="preserve">el artículo 227 establece </w:t>
      </w:r>
      <w:r w:rsidR="00B142EA" w:rsidRPr="006721D1">
        <w:rPr>
          <w:i/>
        </w:rPr>
        <w:t>que “La administración pública constituye un servicio a la colectividad que se rige por los principios de eficacia, eficiencia, calidad, jerarquía, desconcentración, descentralización, coordinación, participación, planificaci</w:t>
      </w:r>
      <w:r w:rsidR="002376E2" w:rsidRPr="006721D1">
        <w:rPr>
          <w:i/>
        </w:rPr>
        <w:t>ón, transparencia y evaluación”</w:t>
      </w:r>
      <w:r w:rsidR="002376E2">
        <w:t>;</w:t>
      </w:r>
      <w:r w:rsidR="00B142EA">
        <w:t xml:space="preserve"> </w:t>
      </w:r>
    </w:p>
    <w:p w:rsidR="00B142EA" w:rsidRDefault="00B142EA" w:rsidP="00B142EA">
      <w:pPr>
        <w:autoSpaceDE w:val="0"/>
        <w:autoSpaceDN w:val="0"/>
        <w:adjustRightInd w:val="0"/>
        <w:ind w:left="709" w:hanging="709"/>
        <w:jc w:val="both"/>
      </w:pPr>
    </w:p>
    <w:p w:rsidR="00B142EA" w:rsidRDefault="00B142EA" w:rsidP="00B142EA">
      <w:pPr>
        <w:autoSpaceDE w:val="0"/>
        <w:autoSpaceDN w:val="0"/>
        <w:adjustRightInd w:val="0"/>
        <w:ind w:left="709" w:hanging="709"/>
        <w:jc w:val="both"/>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w:t>
      </w:r>
      <w:r>
        <w:t xml:space="preserve">l artículo 238, ibídem, establece: </w:t>
      </w:r>
      <w:r w:rsidRPr="006721D1">
        <w:rPr>
          <w:i/>
        </w:rPr>
        <w:t>“Los gobiernos autónomos descentralizados gozarán de autonomía política, administrativa y financiera, y se regirán por los principios de solidaridad, subsidiariedad, equidad interterritorial, integración</w:t>
      </w:r>
      <w:r w:rsidR="002376E2" w:rsidRPr="006721D1">
        <w:rPr>
          <w:i/>
        </w:rPr>
        <w:t xml:space="preserve"> y participación ciudadana (…)”</w:t>
      </w:r>
      <w:r w:rsidR="002376E2">
        <w:t>;</w:t>
      </w:r>
      <w:r>
        <w:t xml:space="preserve"> </w:t>
      </w:r>
    </w:p>
    <w:p w:rsidR="00B142EA" w:rsidRPr="00B142EA" w:rsidRDefault="00B142EA" w:rsidP="00B142EA">
      <w:pPr>
        <w:autoSpaceDE w:val="0"/>
        <w:autoSpaceDN w:val="0"/>
        <w:adjustRightInd w:val="0"/>
        <w:ind w:left="709" w:hanging="709"/>
        <w:jc w:val="both"/>
        <w:rPr>
          <w:lang w:val="es-EC"/>
        </w:rPr>
      </w:pPr>
    </w:p>
    <w:p w:rsidR="00B142EA" w:rsidRDefault="00B142EA" w:rsidP="00B142EA">
      <w:pPr>
        <w:autoSpaceDE w:val="0"/>
        <w:autoSpaceDN w:val="0"/>
        <w:adjustRightInd w:val="0"/>
        <w:ind w:left="709" w:hanging="709"/>
        <w:jc w:val="both"/>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Pr>
          <w:lang w:val="es-EC"/>
        </w:rPr>
        <w:t>e</w:t>
      </w:r>
      <w:r>
        <w:t xml:space="preserve">l artículo 260 ibídem, respecto al Régimen de Competencia de los Gobiernos Autónomos Descentralizados y regímenes especiales, establece que: </w:t>
      </w:r>
      <w:r w:rsidRPr="006721D1">
        <w:rPr>
          <w:i/>
        </w:rPr>
        <w:t>“El ejercicio de las competencias exclusivas no excluirá el ejercicio concurrente de la gestión en la prestación de servicios públicos y actividades de colaboración y complementariedad entre los distintos niveles de gobierno”.</w:t>
      </w:r>
      <w:r w:rsidR="002376E2">
        <w:t>;</w:t>
      </w:r>
    </w:p>
    <w:p w:rsidR="00C01DDC" w:rsidRDefault="00C01DDC" w:rsidP="00B142EA">
      <w:pPr>
        <w:autoSpaceDE w:val="0"/>
        <w:autoSpaceDN w:val="0"/>
        <w:adjustRightInd w:val="0"/>
        <w:ind w:left="709" w:hanging="709"/>
        <w:jc w:val="both"/>
      </w:pPr>
    </w:p>
    <w:p w:rsidR="00C01DDC" w:rsidRDefault="00C01DDC" w:rsidP="00B142EA">
      <w:pPr>
        <w:autoSpaceDE w:val="0"/>
        <w:autoSpaceDN w:val="0"/>
        <w:adjustRightInd w:val="0"/>
        <w:ind w:left="709" w:hanging="709"/>
        <w:jc w:val="both"/>
        <w:rPr>
          <w:rFonts w:ascii="Palatino Linotype" w:hAnsi="Palatino Linotype"/>
          <w:sz w:val="22"/>
          <w:szCs w:val="22"/>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Pr="00C01DDC">
        <w:rPr>
          <w:rFonts w:ascii="Palatino Linotype" w:eastAsiaTheme="minorHAnsi" w:hAnsi="Palatino Linotype"/>
          <w:sz w:val="22"/>
          <w:szCs w:val="22"/>
          <w:lang w:val="es-EC" w:eastAsia="en-US"/>
        </w:rPr>
        <w:t>e</w:t>
      </w:r>
      <w:r w:rsidRPr="00C01DDC">
        <w:rPr>
          <w:rFonts w:ascii="Palatino Linotype" w:hAnsi="Palatino Linotype"/>
          <w:sz w:val="22"/>
          <w:szCs w:val="22"/>
        </w:rPr>
        <w:t>l artículo 264 de la Constitución de la República del Ecuador, en su numeral 7</w:t>
      </w:r>
      <w:r>
        <w:rPr>
          <w:rFonts w:ascii="Palatino Linotype" w:hAnsi="Palatino Linotype"/>
          <w:sz w:val="22"/>
          <w:szCs w:val="22"/>
        </w:rPr>
        <w:t xml:space="preserve"> </w:t>
      </w:r>
      <w:r w:rsidRPr="00C01DDC">
        <w:rPr>
          <w:rFonts w:ascii="Palatino Linotype" w:hAnsi="Palatino Linotype"/>
          <w:sz w:val="22"/>
          <w:szCs w:val="22"/>
        </w:rPr>
        <w:t>establece que es competencia de los gobiernos municipales planificar, construir y</w:t>
      </w:r>
      <w:r>
        <w:rPr>
          <w:rFonts w:ascii="Palatino Linotype" w:hAnsi="Palatino Linotype"/>
          <w:sz w:val="22"/>
          <w:szCs w:val="22"/>
        </w:rPr>
        <w:t xml:space="preserve"> </w:t>
      </w:r>
      <w:r w:rsidRPr="00C01DDC">
        <w:rPr>
          <w:rFonts w:ascii="Palatino Linotype" w:hAnsi="Palatino Linotype"/>
          <w:sz w:val="22"/>
          <w:szCs w:val="22"/>
        </w:rPr>
        <w:t>mantener la infraestructura física y los equipamientos de los espacios públicos</w:t>
      </w:r>
      <w:r>
        <w:rPr>
          <w:rFonts w:ascii="Palatino Linotype" w:hAnsi="Palatino Linotype"/>
          <w:sz w:val="22"/>
          <w:szCs w:val="22"/>
        </w:rPr>
        <w:t xml:space="preserve"> </w:t>
      </w:r>
      <w:r w:rsidRPr="00C01DDC">
        <w:rPr>
          <w:rFonts w:ascii="Palatino Linotype" w:hAnsi="Palatino Linotype"/>
          <w:sz w:val="22"/>
          <w:szCs w:val="22"/>
        </w:rPr>
        <w:t>destinados al desarrollo social, cultural y deportivo de acuerdo con la ley</w:t>
      </w:r>
      <w:r w:rsidR="002376E2">
        <w:rPr>
          <w:rFonts w:ascii="Palatino Linotype" w:hAnsi="Palatino Linotype"/>
          <w:sz w:val="22"/>
          <w:szCs w:val="22"/>
        </w:rPr>
        <w:t>;</w:t>
      </w:r>
    </w:p>
    <w:p w:rsidR="00C01DDC" w:rsidRDefault="00C01DDC" w:rsidP="00B142EA">
      <w:pPr>
        <w:autoSpaceDE w:val="0"/>
        <w:autoSpaceDN w:val="0"/>
        <w:adjustRightInd w:val="0"/>
        <w:ind w:left="709" w:hanging="709"/>
        <w:jc w:val="both"/>
        <w:rPr>
          <w:rFonts w:ascii="Palatino Linotype" w:hAnsi="Palatino Linotype"/>
          <w:sz w:val="22"/>
          <w:szCs w:val="22"/>
        </w:rPr>
      </w:pPr>
    </w:p>
    <w:p w:rsidR="00C01DDC" w:rsidRPr="00C01DDC" w:rsidRDefault="00C01DDC" w:rsidP="00C01DDC">
      <w:pPr>
        <w:autoSpaceDE w:val="0"/>
        <w:autoSpaceDN w:val="0"/>
        <w:adjustRightInd w:val="0"/>
        <w:ind w:left="709" w:hanging="709"/>
        <w:jc w:val="both"/>
        <w:rPr>
          <w:rFonts w:ascii="Palatino Linotype" w:hAnsi="Palatino Linotype"/>
          <w:sz w:val="22"/>
          <w:szCs w:val="22"/>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Pr="00C01DDC">
        <w:rPr>
          <w:rFonts w:ascii="Palatino Linotype" w:eastAsiaTheme="minorHAnsi" w:hAnsi="Palatino Linotype"/>
          <w:sz w:val="22"/>
          <w:szCs w:val="22"/>
          <w:lang w:val="es-EC" w:eastAsia="en-US"/>
        </w:rPr>
        <w:t>l</w:t>
      </w:r>
      <w:r w:rsidRPr="00C01DDC">
        <w:rPr>
          <w:rFonts w:ascii="Palatino Linotype" w:hAnsi="Palatino Linotype"/>
          <w:sz w:val="22"/>
          <w:szCs w:val="22"/>
        </w:rPr>
        <w:t>a Ley Orgánica de Régimen para el Distrito Metropolitano de Quito en el artículo</w:t>
      </w:r>
      <w:r>
        <w:rPr>
          <w:rFonts w:ascii="Palatino Linotype" w:hAnsi="Palatino Linotype"/>
          <w:sz w:val="22"/>
          <w:szCs w:val="22"/>
        </w:rPr>
        <w:t xml:space="preserve"> </w:t>
      </w:r>
      <w:r w:rsidRPr="00C01DDC">
        <w:rPr>
          <w:rFonts w:ascii="Palatino Linotype" w:hAnsi="Palatino Linotype"/>
          <w:sz w:val="22"/>
          <w:szCs w:val="22"/>
        </w:rPr>
        <w:t>8, numeral 6, señala que al Concejo Metropolitano le corresponde reglamentar el uso</w:t>
      </w:r>
      <w:r>
        <w:rPr>
          <w:rFonts w:ascii="Palatino Linotype" w:hAnsi="Palatino Linotype"/>
          <w:sz w:val="22"/>
          <w:szCs w:val="22"/>
        </w:rPr>
        <w:t xml:space="preserve"> </w:t>
      </w:r>
      <w:r w:rsidRPr="00C01DDC">
        <w:rPr>
          <w:rFonts w:ascii="Palatino Linotype" w:hAnsi="Palatino Linotype"/>
          <w:sz w:val="22"/>
          <w:szCs w:val="22"/>
        </w:rPr>
        <w:t>de los bienes de dominio público</w:t>
      </w:r>
      <w:r w:rsidR="002376E2">
        <w:rPr>
          <w:rFonts w:ascii="Palatino Linotype" w:hAnsi="Palatino Linotype"/>
          <w:sz w:val="22"/>
          <w:szCs w:val="22"/>
        </w:rPr>
        <w:t>;</w:t>
      </w:r>
    </w:p>
    <w:p w:rsidR="00C01DDC" w:rsidRDefault="00C01DDC" w:rsidP="00B142EA">
      <w:pPr>
        <w:autoSpaceDE w:val="0"/>
        <w:autoSpaceDN w:val="0"/>
        <w:adjustRightInd w:val="0"/>
        <w:ind w:left="709" w:hanging="709"/>
        <w:jc w:val="both"/>
      </w:pPr>
    </w:p>
    <w:p w:rsidR="00DB1E50" w:rsidRDefault="00DB1E50" w:rsidP="001C2838">
      <w:pPr>
        <w:autoSpaceDE w:val="0"/>
        <w:autoSpaceDN w:val="0"/>
        <w:adjustRightInd w:val="0"/>
        <w:ind w:left="709" w:hanging="709"/>
        <w:jc w:val="both"/>
        <w:rPr>
          <w:rFonts w:ascii="Arial" w:hAnsi="Arial" w:cs="Arial"/>
          <w:sz w:val="30"/>
          <w:szCs w:val="30"/>
        </w:rPr>
      </w:pPr>
    </w:p>
    <w:p w:rsidR="002376E2" w:rsidRPr="00C01DDC" w:rsidRDefault="002376E2" w:rsidP="002376E2">
      <w:pPr>
        <w:pStyle w:val="Sinespaciado"/>
        <w:ind w:left="709" w:hanging="709"/>
        <w:rPr>
          <w:rFonts w:ascii="Palatino Linotype" w:hAnsi="Palatino Linotype"/>
          <w:sz w:val="22"/>
          <w:szCs w:val="22"/>
        </w:rPr>
      </w:pPr>
      <w:r w:rsidRPr="00974EE8">
        <w:rPr>
          <w:rFonts w:ascii="Palatino Linotype" w:hAnsi="Palatino Linotype"/>
          <w:sz w:val="22"/>
          <w:szCs w:val="22"/>
        </w:rPr>
        <w:lastRenderedPageBreak/>
        <w:t xml:space="preserve">Que, </w:t>
      </w:r>
      <w:r w:rsidRPr="00974EE8">
        <w:rPr>
          <w:rFonts w:ascii="Palatino Linotype" w:hAnsi="Palatino Linotype"/>
          <w:sz w:val="22"/>
          <w:szCs w:val="22"/>
        </w:rPr>
        <w:tab/>
      </w:r>
      <w:r w:rsidRPr="00C01DDC">
        <w:rPr>
          <w:rFonts w:ascii="Palatino Linotype" w:hAnsi="Palatino Linotype"/>
          <w:sz w:val="22"/>
          <w:szCs w:val="22"/>
        </w:rPr>
        <w:t xml:space="preserve">el artículo </w:t>
      </w:r>
      <w:r>
        <w:rPr>
          <w:rFonts w:ascii="Palatino Linotype" w:hAnsi="Palatino Linotype"/>
          <w:sz w:val="22"/>
          <w:szCs w:val="22"/>
        </w:rPr>
        <w:t>57</w:t>
      </w:r>
      <w:r w:rsidRPr="00C01DDC">
        <w:rPr>
          <w:rFonts w:ascii="Palatino Linotype" w:hAnsi="Palatino Linotype"/>
          <w:sz w:val="22"/>
          <w:szCs w:val="22"/>
        </w:rPr>
        <w:t xml:space="preserve"> literal </w:t>
      </w:r>
      <w:r>
        <w:rPr>
          <w:rFonts w:ascii="Palatino Linotype" w:hAnsi="Palatino Linotype"/>
          <w:sz w:val="22"/>
          <w:szCs w:val="22"/>
        </w:rPr>
        <w:t>d</w:t>
      </w:r>
      <w:r w:rsidRPr="00C01DDC">
        <w:rPr>
          <w:rFonts w:ascii="Palatino Linotype" w:hAnsi="Palatino Linotype"/>
          <w:sz w:val="22"/>
          <w:szCs w:val="22"/>
        </w:rPr>
        <w:t>) del Código Orgánico de Ordenamiento Territorial</w:t>
      </w:r>
      <w:r>
        <w:rPr>
          <w:rFonts w:ascii="Palatino Linotype" w:hAnsi="Palatino Linotype"/>
          <w:sz w:val="22"/>
          <w:szCs w:val="22"/>
        </w:rPr>
        <w:t>, Autonomía</w:t>
      </w:r>
      <w:r w:rsidRPr="00C01DDC">
        <w:rPr>
          <w:rFonts w:ascii="Palatino Linotype" w:hAnsi="Palatino Linotype"/>
          <w:sz w:val="22"/>
          <w:szCs w:val="22"/>
        </w:rPr>
        <w:t xml:space="preserve"> y Descentralización dispone: </w:t>
      </w:r>
      <w:r w:rsidRPr="006721D1">
        <w:rPr>
          <w:rFonts w:ascii="Palatino Linotype" w:hAnsi="Palatino Linotype"/>
          <w:i/>
          <w:sz w:val="22"/>
          <w:szCs w:val="22"/>
        </w:rPr>
        <w:t>“</w:t>
      </w:r>
      <w:r w:rsidRPr="006721D1">
        <w:rPr>
          <w:rFonts w:ascii="Palatino Linotype" w:hAnsi="Palatino Linotype" w:cs="Arial"/>
          <w:i/>
          <w:sz w:val="22"/>
          <w:szCs w:val="22"/>
        </w:rPr>
        <w:t xml:space="preserve">Atribuciones del concejo </w:t>
      </w:r>
      <w:proofErr w:type="gramStart"/>
      <w:r w:rsidRPr="006721D1">
        <w:rPr>
          <w:rFonts w:ascii="Palatino Linotype" w:hAnsi="Palatino Linotype" w:cs="Arial"/>
          <w:i/>
          <w:sz w:val="22"/>
          <w:szCs w:val="22"/>
        </w:rPr>
        <w:t>municipal.-</w:t>
      </w:r>
      <w:proofErr w:type="gramEnd"/>
      <w:r w:rsidRPr="006721D1">
        <w:rPr>
          <w:rFonts w:ascii="Palatino Linotype" w:hAnsi="Palatino Linotype" w:cs="Arial"/>
          <w:i/>
          <w:sz w:val="22"/>
          <w:szCs w:val="22"/>
        </w:rPr>
        <w:t>Al concejo municipal le corresponde</w:t>
      </w:r>
      <w:r w:rsidRPr="006721D1">
        <w:rPr>
          <w:rFonts w:ascii="Arial" w:hAnsi="Arial" w:cs="Arial"/>
          <w:i/>
          <w:sz w:val="30"/>
          <w:szCs w:val="30"/>
        </w:rPr>
        <w:t>:</w:t>
      </w:r>
      <w:r w:rsidRPr="006721D1">
        <w:rPr>
          <w:rFonts w:ascii="Palatino Linotype" w:hAnsi="Palatino Linotype" w:cs="Arial"/>
          <w:i/>
          <w:sz w:val="22"/>
          <w:szCs w:val="22"/>
        </w:rPr>
        <w:t xml:space="preserve"> “d) Expedir acuerdos o resoluciones, en el ámbito de competencia del gobierno autónomo descentralizado municipal, para regular temas institucionales específicos o reconocer</w:t>
      </w:r>
      <w:r w:rsidR="006721D1">
        <w:rPr>
          <w:rFonts w:ascii="Palatino Linotype" w:hAnsi="Palatino Linotype" w:cs="Arial"/>
          <w:i/>
          <w:sz w:val="22"/>
          <w:szCs w:val="22"/>
        </w:rPr>
        <w:t>”;</w:t>
      </w:r>
    </w:p>
    <w:p w:rsidR="00625A1B" w:rsidRDefault="00625A1B" w:rsidP="00625A1B">
      <w:pPr>
        <w:pStyle w:val="Sinespaciado"/>
        <w:ind w:left="709" w:hanging="709"/>
      </w:pPr>
    </w:p>
    <w:p w:rsidR="00C01DDC" w:rsidRPr="002376E2" w:rsidRDefault="00625A1B" w:rsidP="00C01DDC">
      <w:pPr>
        <w:pStyle w:val="Sinespaciado"/>
        <w:ind w:left="709" w:hanging="709"/>
        <w:rPr>
          <w:rFonts w:ascii="Palatino Linotype" w:hAnsi="Palatino Linotype"/>
          <w:sz w:val="22"/>
          <w:szCs w:val="22"/>
        </w:rPr>
      </w:pPr>
      <w:r w:rsidRPr="00974EE8">
        <w:rPr>
          <w:rFonts w:ascii="Palatino Linotype" w:hAnsi="Palatino Linotype"/>
          <w:sz w:val="22"/>
          <w:szCs w:val="22"/>
        </w:rPr>
        <w:t xml:space="preserve">Que, </w:t>
      </w:r>
      <w:r w:rsidRPr="00974EE8">
        <w:rPr>
          <w:rFonts w:ascii="Palatino Linotype" w:hAnsi="Palatino Linotype"/>
          <w:sz w:val="22"/>
          <w:szCs w:val="22"/>
        </w:rPr>
        <w:tab/>
      </w:r>
      <w:r w:rsidR="00C01DDC" w:rsidRPr="00C01DDC">
        <w:rPr>
          <w:rFonts w:ascii="Palatino Linotype" w:hAnsi="Palatino Linotype"/>
          <w:sz w:val="22"/>
          <w:szCs w:val="22"/>
        </w:rPr>
        <w:t>el artículo 8</w:t>
      </w:r>
      <w:r w:rsidR="002376E2">
        <w:rPr>
          <w:rFonts w:ascii="Palatino Linotype" w:hAnsi="Palatino Linotype"/>
          <w:sz w:val="22"/>
          <w:szCs w:val="22"/>
        </w:rPr>
        <w:t>7</w:t>
      </w:r>
      <w:r w:rsidR="00C01DDC" w:rsidRPr="00C01DDC">
        <w:rPr>
          <w:rFonts w:ascii="Palatino Linotype" w:hAnsi="Palatino Linotype"/>
          <w:sz w:val="22"/>
          <w:szCs w:val="22"/>
        </w:rPr>
        <w:t xml:space="preserve"> literal </w:t>
      </w:r>
      <w:r w:rsidR="002376E2">
        <w:rPr>
          <w:rFonts w:ascii="Palatino Linotype" w:hAnsi="Palatino Linotype"/>
          <w:sz w:val="22"/>
          <w:szCs w:val="22"/>
        </w:rPr>
        <w:t>d</w:t>
      </w:r>
      <w:r w:rsidR="00C01DDC" w:rsidRPr="00C01DDC">
        <w:rPr>
          <w:rFonts w:ascii="Palatino Linotype" w:hAnsi="Palatino Linotype"/>
          <w:sz w:val="22"/>
          <w:szCs w:val="22"/>
        </w:rPr>
        <w:t>) del Código Orgánico de Ordenamiento Territorial</w:t>
      </w:r>
      <w:r w:rsidR="002376E2">
        <w:rPr>
          <w:rFonts w:ascii="Palatino Linotype" w:hAnsi="Palatino Linotype"/>
          <w:sz w:val="22"/>
          <w:szCs w:val="22"/>
        </w:rPr>
        <w:t>, Autonomía y Descentralización</w:t>
      </w:r>
      <w:r w:rsidR="00C01DDC" w:rsidRPr="00C01DDC">
        <w:rPr>
          <w:rFonts w:ascii="Palatino Linotype" w:hAnsi="Palatino Linotype"/>
          <w:sz w:val="22"/>
          <w:szCs w:val="22"/>
        </w:rPr>
        <w:t xml:space="preserve"> dispone que son </w:t>
      </w:r>
      <w:r w:rsidR="002376E2" w:rsidRPr="002376E2">
        <w:rPr>
          <w:rFonts w:ascii="Palatino Linotype" w:hAnsi="Palatino Linotype" w:cs="Arial"/>
          <w:sz w:val="22"/>
          <w:szCs w:val="22"/>
        </w:rPr>
        <w:t>Atribuci</w:t>
      </w:r>
      <w:r w:rsidR="006721D1">
        <w:rPr>
          <w:rFonts w:ascii="Palatino Linotype" w:hAnsi="Palatino Linotype" w:cs="Arial"/>
          <w:sz w:val="22"/>
          <w:szCs w:val="22"/>
        </w:rPr>
        <w:t>ones del Concejo Metropolitano a</w:t>
      </w:r>
      <w:r w:rsidR="002376E2" w:rsidRPr="002376E2">
        <w:rPr>
          <w:rFonts w:ascii="Palatino Linotype" w:hAnsi="Palatino Linotype" w:cs="Arial"/>
          <w:sz w:val="22"/>
          <w:szCs w:val="22"/>
        </w:rPr>
        <w:t xml:space="preserve">l concejo metropolitano le corresponde: </w:t>
      </w:r>
      <w:r w:rsidR="006721D1" w:rsidRPr="006721D1">
        <w:rPr>
          <w:rFonts w:ascii="Palatino Linotype" w:hAnsi="Palatino Linotype" w:cs="Arial"/>
          <w:i/>
          <w:sz w:val="22"/>
          <w:szCs w:val="22"/>
        </w:rPr>
        <w:t>“</w:t>
      </w:r>
      <w:r w:rsidR="002376E2" w:rsidRPr="006721D1">
        <w:rPr>
          <w:rFonts w:ascii="Palatino Linotype" w:hAnsi="Palatino Linotype" w:cs="Arial"/>
          <w:i/>
          <w:sz w:val="22"/>
          <w:szCs w:val="22"/>
        </w:rPr>
        <w:t>d) Expedir acuerdos o resoluciones en el ámbito de sus competencias para regular temas institucionales específicos o reconocer derechos particulares</w:t>
      </w:r>
      <w:r w:rsidR="006721D1" w:rsidRPr="006721D1">
        <w:rPr>
          <w:rFonts w:ascii="Palatino Linotype" w:hAnsi="Palatino Linotype" w:cs="Arial"/>
          <w:i/>
          <w:sz w:val="22"/>
          <w:szCs w:val="22"/>
        </w:rPr>
        <w:t>”</w:t>
      </w:r>
      <w:r w:rsidR="006721D1">
        <w:rPr>
          <w:rFonts w:ascii="Palatino Linotype" w:hAnsi="Palatino Linotype" w:cs="Arial"/>
          <w:sz w:val="22"/>
          <w:szCs w:val="22"/>
        </w:rPr>
        <w:t>;</w:t>
      </w:r>
    </w:p>
    <w:p w:rsidR="00625A1B" w:rsidRPr="002376E2" w:rsidRDefault="00625A1B" w:rsidP="00625A1B">
      <w:pPr>
        <w:pStyle w:val="Sinespaciado"/>
        <w:ind w:left="709" w:hanging="709"/>
        <w:rPr>
          <w:rFonts w:ascii="Palatino Linotype" w:hAnsi="Palatino Linotype"/>
          <w:sz w:val="22"/>
          <w:szCs w:val="22"/>
        </w:rPr>
      </w:pPr>
    </w:p>
    <w:p w:rsidR="00625A1B" w:rsidRPr="00625A1B" w:rsidRDefault="00625A1B" w:rsidP="00625A1B">
      <w:pPr>
        <w:pStyle w:val="Sinespaciado"/>
        <w:ind w:left="709" w:hanging="709"/>
        <w:rPr>
          <w:rFonts w:ascii="Palatino Linotype" w:hAnsi="Palatino Linotype"/>
          <w:sz w:val="22"/>
          <w:szCs w:val="22"/>
        </w:rPr>
      </w:pPr>
      <w:r w:rsidRPr="00625A1B">
        <w:rPr>
          <w:rFonts w:ascii="Palatino Linotype" w:hAnsi="Palatino Linotype"/>
          <w:sz w:val="22"/>
          <w:szCs w:val="22"/>
        </w:rPr>
        <w:t xml:space="preserve">Que, </w:t>
      </w:r>
      <w:r w:rsidRPr="00625A1B">
        <w:rPr>
          <w:rFonts w:ascii="Palatino Linotype" w:hAnsi="Palatino Linotype"/>
          <w:sz w:val="22"/>
          <w:szCs w:val="22"/>
        </w:rPr>
        <w:tab/>
        <w:t>el artículo 323 del COOTAD dispone</w:t>
      </w:r>
      <w:r w:rsidRPr="006721D1">
        <w:rPr>
          <w:rFonts w:ascii="Palatino Linotype" w:hAnsi="Palatino Linotype"/>
          <w:i/>
          <w:sz w:val="22"/>
          <w:szCs w:val="22"/>
        </w:rPr>
        <w:t>: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625A1B">
        <w:rPr>
          <w:rFonts w:ascii="Palatino Linotype" w:hAnsi="Palatino Linotype"/>
          <w:sz w:val="22"/>
          <w:szCs w:val="22"/>
        </w:rPr>
        <w:t>;</w:t>
      </w:r>
    </w:p>
    <w:p w:rsidR="00625A1B" w:rsidRDefault="00625A1B" w:rsidP="00625A1B">
      <w:pPr>
        <w:pStyle w:val="Sinespaciado"/>
        <w:ind w:left="709" w:hanging="709"/>
      </w:pP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 xml:space="preserve">el artículo 415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establece que</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625A1B" w:rsidRPr="00C61FF4"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C61FF4" w:rsidRPr="00C61FF4">
        <w:rPr>
          <w:rFonts w:ascii="Palatino Linotype" w:eastAsiaTheme="minorHAnsi" w:hAnsi="Palatino Linotype"/>
          <w:sz w:val="22"/>
          <w:szCs w:val="22"/>
          <w:lang w:val="es-EC" w:eastAsia="en-US"/>
        </w:rPr>
        <w:t>l</w:t>
      </w:r>
      <w:r w:rsidR="00C61FF4" w:rsidRPr="00C61FF4">
        <w:rPr>
          <w:rFonts w:ascii="Palatino Linotype" w:hAnsi="Palatino Linotype"/>
          <w:sz w:val="22"/>
          <w:szCs w:val="22"/>
        </w:rPr>
        <w:t>a Ordenanza Metropolitana No. 001 que contiene el Código Municipal para el Distrito Metropolitano de Quito, en el art. IV.6.22, establece que el Concejo Metropolitano podrá autorizar la celebración de convenios de administración y uso múltiple de áreas recreativas, casas barriales y comunales del Distrito Metropolitano, conjuntamente suscritos con organizaciones de la comunidad, conjuntamente con la Administración Zonal Metropolitana respectiva</w:t>
      </w:r>
      <w:r w:rsidR="002376E2">
        <w:rPr>
          <w:rFonts w:ascii="Palatino Linotype" w:hAnsi="Palatino Linotype"/>
          <w:sz w:val="22"/>
          <w:szCs w:val="22"/>
        </w:rPr>
        <w:t>;</w:t>
      </w:r>
    </w:p>
    <w:p w:rsidR="00625A1B" w:rsidRDefault="00625A1B"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Pr="00974EE8" w:rsidRDefault="00625A1B"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C61FF4" w:rsidRPr="00C61FF4">
        <w:rPr>
          <w:rFonts w:ascii="Palatino Linotype" w:eastAsiaTheme="minorHAnsi" w:hAnsi="Palatino Linotype"/>
          <w:sz w:val="22"/>
          <w:szCs w:val="22"/>
          <w:lang w:val="es-EC" w:eastAsia="en-US"/>
        </w:rPr>
        <w:t>e</w:t>
      </w:r>
      <w:r w:rsidR="00C61FF4" w:rsidRPr="00C61FF4">
        <w:rPr>
          <w:rFonts w:ascii="Palatino Linotype" w:hAnsi="Palatino Linotype"/>
          <w:sz w:val="22"/>
          <w:szCs w:val="22"/>
        </w:rPr>
        <w:t>l art. IV.6.23, ibídem, dispone que el plazo de los convenios de administración y</w:t>
      </w:r>
      <w:r w:rsidR="00C61FF4">
        <w:rPr>
          <w:rFonts w:ascii="Palatino Linotype" w:hAnsi="Palatino Linotype"/>
          <w:sz w:val="22"/>
          <w:szCs w:val="22"/>
        </w:rPr>
        <w:t xml:space="preserve"> </w:t>
      </w:r>
      <w:r w:rsidR="00C61FF4" w:rsidRPr="00C61FF4">
        <w:rPr>
          <w:rFonts w:ascii="Palatino Linotype" w:hAnsi="Palatino Linotype"/>
          <w:sz w:val="22"/>
          <w:szCs w:val="22"/>
        </w:rPr>
        <w:t>uso múltiple de las áreas recreativas, casas barriales y comunales no podrá exceder</w:t>
      </w:r>
      <w:r w:rsidR="00C61FF4">
        <w:rPr>
          <w:rFonts w:ascii="Palatino Linotype" w:hAnsi="Palatino Linotype"/>
          <w:sz w:val="22"/>
          <w:szCs w:val="22"/>
        </w:rPr>
        <w:t xml:space="preserve"> </w:t>
      </w:r>
      <w:r w:rsidR="00C61FF4" w:rsidRPr="00C61FF4">
        <w:rPr>
          <w:rFonts w:ascii="Palatino Linotype" w:hAnsi="Palatino Linotype"/>
          <w:sz w:val="22"/>
          <w:szCs w:val="22"/>
        </w:rPr>
        <w:t>de cinco años, el cual podrá ser renovado o no, según el buen uso y mantenimiento</w:t>
      </w:r>
      <w:r w:rsidR="00C61FF4">
        <w:rPr>
          <w:rFonts w:ascii="Palatino Linotype" w:hAnsi="Palatino Linotype"/>
          <w:sz w:val="22"/>
          <w:szCs w:val="22"/>
        </w:rPr>
        <w:t xml:space="preserve"> </w:t>
      </w:r>
      <w:r w:rsidR="00C61FF4" w:rsidRPr="00C61FF4">
        <w:rPr>
          <w:rFonts w:ascii="Palatino Linotype" w:hAnsi="Palatino Linotype"/>
          <w:sz w:val="22"/>
          <w:szCs w:val="22"/>
        </w:rPr>
        <w:t>del área, las condiciones del convenio y el trámite previsto en el presente Título</w:t>
      </w:r>
      <w:r w:rsidR="002376E2">
        <w:rPr>
          <w:rFonts w:ascii="Palatino Linotype" w:hAnsi="Palatino Linotype"/>
          <w:sz w:val="22"/>
          <w:szCs w:val="22"/>
        </w:rPr>
        <w:t>;</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B367D" w:rsidRDefault="00E80F18" w:rsidP="00C6700F">
      <w:pPr>
        <w:tabs>
          <w:tab w:val="left" w:pos="426"/>
        </w:tabs>
        <w:ind w:left="705" w:hanging="705"/>
        <w:jc w:val="both"/>
        <w:rPr>
          <w:rFonts w:ascii="Palatino Linotype" w:hAnsi="Palatino Linotype"/>
          <w:sz w:val="22"/>
          <w:szCs w:val="22"/>
        </w:rPr>
      </w:pPr>
      <w:r w:rsidRPr="00C60691">
        <w:rPr>
          <w:rFonts w:ascii="Palatino Linotype" w:eastAsiaTheme="minorHAnsi" w:hAnsi="Palatino Linotype"/>
          <w:sz w:val="22"/>
          <w:szCs w:val="22"/>
          <w:lang w:val="es-EC" w:eastAsia="en-US"/>
        </w:rPr>
        <w:t xml:space="preserve">Que, </w:t>
      </w:r>
      <w:r w:rsidRPr="00C60691">
        <w:rPr>
          <w:rFonts w:ascii="Palatino Linotype" w:eastAsiaTheme="minorHAnsi" w:hAnsi="Palatino Linotype"/>
          <w:sz w:val="22"/>
          <w:szCs w:val="22"/>
          <w:lang w:val="es-EC" w:eastAsia="en-US"/>
        </w:rPr>
        <w:tab/>
      </w:r>
      <w:r w:rsidR="006721D1">
        <w:rPr>
          <w:rFonts w:ascii="Palatino Linotype" w:eastAsiaTheme="minorHAnsi" w:hAnsi="Palatino Linotype"/>
          <w:sz w:val="22"/>
          <w:szCs w:val="22"/>
          <w:lang w:val="es-EC" w:eastAsia="en-US"/>
        </w:rPr>
        <w:t>con</w:t>
      </w:r>
      <w:r w:rsidR="006721D1">
        <w:rPr>
          <w:rFonts w:ascii="Palatino Linotype" w:hAnsi="Palatino Linotype"/>
          <w:sz w:val="22"/>
          <w:szCs w:val="22"/>
        </w:rPr>
        <w:t xml:space="preserve"> </w:t>
      </w:r>
      <w:r w:rsidR="00C61FF4">
        <w:rPr>
          <w:rFonts w:ascii="Palatino Linotype" w:hAnsi="Palatino Linotype"/>
          <w:sz w:val="22"/>
          <w:szCs w:val="22"/>
        </w:rPr>
        <w:t>o</w:t>
      </w:r>
      <w:r w:rsidR="00C61FF4" w:rsidRPr="00C61FF4">
        <w:rPr>
          <w:rFonts w:ascii="Palatino Linotype" w:hAnsi="Palatino Linotype"/>
          <w:sz w:val="22"/>
          <w:szCs w:val="22"/>
        </w:rPr>
        <w:t>ficio No. 35 de 20 de septiembre 2019, el licenciado Byron Encalada, Presidente</w:t>
      </w:r>
      <w:r w:rsidR="00C61FF4">
        <w:rPr>
          <w:rFonts w:ascii="Palatino Linotype" w:hAnsi="Palatino Linotype"/>
          <w:sz w:val="22"/>
          <w:szCs w:val="22"/>
        </w:rPr>
        <w:t xml:space="preserve"> </w:t>
      </w:r>
      <w:r w:rsidR="00C61FF4" w:rsidRPr="00C61FF4">
        <w:rPr>
          <w:rFonts w:ascii="Palatino Linotype" w:hAnsi="Palatino Linotype"/>
          <w:sz w:val="22"/>
          <w:szCs w:val="22"/>
        </w:rPr>
        <w:t>del Comité Pro Mejoras Carapungo Libre y Seguro, solicitó se otorgue el Convenio de</w:t>
      </w:r>
      <w:r w:rsidR="00C61FF4">
        <w:rPr>
          <w:rFonts w:ascii="Palatino Linotype" w:hAnsi="Palatino Linotype"/>
          <w:sz w:val="22"/>
          <w:szCs w:val="22"/>
        </w:rPr>
        <w:t xml:space="preserve"> </w:t>
      </w:r>
      <w:r w:rsidR="00C61FF4" w:rsidRPr="00C61FF4">
        <w:rPr>
          <w:rFonts w:ascii="Palatino Linotype" w:hAnsi="Palatino Linotype"/>
          <w:sz w:val="22"/>
          <w:szCs w:val="22"/>
        </w:rPr>
        <w:t xml:space="preserve">Administración y Uso, a fin de realizar los siguientes proyectos: </w:t>
      </w:r>
      <w:r w:rsidR="00C61FF4">
        <w:rPr>
          <w:rFonts w:ascii="Palatino Linotype" w:hAnsi="Palatino Linotype"/>
          <w:sz w:val="22"/>
          <w:szCs w:val="22"/>
        </w:rPr>
        <w:t>“A</w:t>
      </w:r>
      <w:r w:rsidR="00C61FF4" w:rsidRPr="00C61FF4">
        <w:rPr>
          <w:rFonts w:ascii="Palatino Linotype" w:hAnsi="Palatino Linotype"/>
          <w:sz w:val="22"/>
          <w:szCs w:val="22"/>
        </w:rPr>
        <w:t>rte y cultura</w:t>
      </w:r>
      <w:r w:rsidR="00C61FF4">
        <w:rPr>
          <w:rFonts w:ascii="Palatino Linotype" w:hAnsi="Palatino Linotype"/>
          <w:sz w:val="22"/>
          <w:szCs w:val="22"/>
        </w:rPr>
        <w:t>,</w:t>
      </w:r>
      <w:r w:rsidR="00C61FF4" w:rsidRPr="00C61FF4">
        <w:rPr>
          <w:rFonts w:ascii="Palatino Linotype" w:hAnsi="Palatino Linotype"/>
          <w:sz w:val="22"/>
          <w:szCs w:val="22"/>
        </w:rPr>
        <w:t xml:space="preserve"> Gusantina</w:t>
      </w:r>
      <w:r w:rsidR="00C61FF4">
        <w:rPr>
          <w:rFonts w:ascii="Palatino Linotype" w:hAnsi="Palatino Linotype"/>
          <w:sz w:val="22"/>
          <w:szCs w:val="22"/>
        </w:rPr>
        <w:t xml:space="preserve">, </w:t>
      </w:r>
      <w:r w:rsidR="00C61FF4" w:rsidRPr="00C61FF4">
        <w:rPr>
          <w:rFonts w:ascii="Palatino Linotype" w:hAnsi="Palatino Linotype"/>
          <w:sz w:val="22"/>
          <w:szCs w:val="22"/>
        </w:rPr>
        <w:t>Centro de Solidaridad</w:t>
      </w:r>
      <w:r w:rsidR="00C61FF4">
        <w:rPr>
          <w:rFonts w:ascii="Palatino Linotype" w:hAnsi="Palatino Linotype"/>
          <w:sz w:val="22"/>
          <w:szCs w:val="22"/>
        </w:rPr>
        <w:t>,</w:t>
      </w:r>
      <w:r w:rsidR="00C61FF4" w:rsidRPr="00C61FF4">
        <w:rPr>
          <w:rFonts w:ascii="Palatino Linotype" w:hAnsi="Palatino Linotype"/>
          <w:sz w:val="22"/>
          <w:szCs w:val="22"/>
        </w:rPr>
        <w:t xml:space="preserve"> Arrebato Asociación Vecinal</w:t>
      </w:r>
      <w:r w:rsidR="00C61FF4">
        <w:rPr>
          <w:rFonts w:ascii="Palatino Linotype" w:hAnsi="Palatino Linotype"/>
          <w:sz w:val="22"/>
          <w:szCs w:val="22"/>
        </w:rPr>
        <w:t>,</w:t>
      </w:r>
      <w:r w:rsidR="00C61FF4" w:rsidRPr="00C61FF4">
        <w:rPr>
          <w:rFonts w:ascii="Palatino Linotype" w:hAnsi="Palatino Linotype"/>
          <w:sz w:val="22"/>
          <w:szCs w:val="22"/>
        </w:rPr>
        <w:t xml:space="preserve"> Barrio Verde </w:t>
      </w:r>
      <w:r w:rsidR="00C61FF4" w:rsidRPr="00C61FF4">
        <w:rPr>
          <w:rFonts w:ascii="Palatino Linotype" w:hAnsi="Palatino Linotype"/>
          <w:sz w:val="22"/>
          <w:szCs w:val="22"/>
        </w:rPr>
        <w:lastRenderedPageBreak/>
        <w:t>Asociación Cultural</w:t>
      </w:r>
      <w:r w:rsidR="00C61FF4">
        <w:rPr>
          <w:rFonts w:ascii="Palatino Linotype" w:hAnsi="Palatino Linotype"/>
          <w:sz w:val="22"/>
          <w:szCs w:val="22"/>
        </w:rPr>
        <w:t>,</w:t>
      </w:r>
      <w:r w:rsidR="00C61FF4" w:rsidRPr="00C61FF4">
        <w:rPr>
          <w:rFonts w:ascii="Palatino Linotype" w:hAnsi="Palatino Linotype"/>
          <w:sz w:val="22"/>
          <w:szCs w:val="22"/>
        </w:rPr>
        <w:t xml:space="preserve"> Gancho Club de </w:t>
      </w:r>
      <w:proofErr w:type="gramStart"/>
      <w:r w:rsidR="00C61FF4" w:rsidRPr="00C61FF4">
        <w:rPr>
          <w:rFonts w:ascii="Palatino Linotype" w:hAnsi="Palatino Linotype"/>
          <w:sz w:val="22"/>
          <w:szCs w:val="22"/>
        </w:rPr>
        <w:t>Fútbol</w:t>
      </w:r>
      <w:r w:rsidR="00C61FF4">
        <w:rPr>
          <w:rFonts w:ascii="Palatino Linotype" w:hAnsi="Palatino Linotype"/>
          <w:sz w:val="22"/>
          <w:szCs w:val="22"/>
        </w:rPr>
        <w:t xml:space="preserve">, </w:t>
      </w:r>
      <w:r w:rsidR="00C61FF4" w:rsidRPr="00C61FF4">
        <w:rPr>
          <w:rFonts w:ascii="Palatino Linotype" w:hAnsi="Palatino Linotype"/>
          <w:sz w:val="22"/>
          <w:szCs w:val="22"/>
        </w:rPr>
        <w:t xml:space="preserve"> Madres</w:t>
      </w:r>
      <w:proofErr w:type="gramEnd"/>
      <w:r w:rsidR="00C61FF4" w:rsidRPr="00C61FF4">
        <w:rPr>
          <w:rFonts w:ascii="Palatino Linotype" w:hAnsi="Palatino Linotype"/>
          <w:sz w:val="22"/>
          <w:szCs w:val="22"/>
        </w:rPr>
        <w:t xml:space="preserve"> Solas</w:t>
      </w:r>
      <w:r w:rsidR="00C61FF4">
        <w:rPr>
          <w:rFonts w:ascii="Palatino Linotype" w:hAnsi="Palatino Linotype"/>
          <w:sz w:val="22"/>
          <w:szCs w:val="22"/>
        </w:rPr>
        <w:t xml:space="preserve"> y, </w:t>
      </w:r>
      <w:r w:rsidR="00C61FF4" w:rsidRPr="00C61FF4">
        <w:rPr>
          <w:rFonts w:ascii="Palatino Linotype" w:hAnsi="Palatino Linotype"/>
          <w:sz w:val="22"/>
          <w:szCs w:val="22"/>
        </w:rPr>
        <w:t>espacio Visiones para personas discapacitadas</w:t>
      </w:r>
      <w:r w:rsidR="00C61FF4">
        <w:rPr>
          <w:rFonts w:ascii="Palatino Linotype" w:hAnsi="Palatino Linotype"/>
          <w:sz w:val="22"/>
          <w:szCs w:val="22"/>
        </w:rPr>
        <w:t>”</w:t>
      </w:r>
      <w:r w:rsidR="002376E2">
        <w:rPr>
          <w:rFonts w:ascii="Palatino Linotype" w:hAnsi="Palatino Linotype"/>
          <w:sz w:val="22"/>
          <w:szCs w:val="22"/>
        </w:rPr>
        <w:t>;</w:t>
      </w:r>
    </w:p>
    <w:p w:rsidR="000E429B" w:rsidRPr="00974EE8" w:rsidRDefault="000E429B" w:rsidP="00C6700F">
      <w:pPr>
        <w:tabs>
          <w:tab w:val="left" w:pos="426"/>
        </w:tabs>
        <w:ind w:left="705" w:hanging="705"/>
        <w:jc w:val="both"/>
        <w:rPr>
          <w:rFonts w:ascii="Palatino Linotype" w:hAnsi="Palatino Linotype"/>
          <w:sz w:val="22"/>
          <w:szCs w:val="22"/>
        </w:rPr>
      </w:pPr>
    </w:p>
    <w:p w:rsidR="001B367D" w:rsidRPr="00A40329" w:rsidRDefault="00BC11C3" w:rsidP="00C6700F">
      <w:pPr>
        <w:tabs>
          <w:tab w:val="left" w:pos="426"/>
        </w:tabs>
        <w:ind w:left="705" w:hanging="705"/>
        <w:jc w:val="both"/>
        <w:rPr>
          <w:rFonts w:ascii="Palatino Linotype" w:hAnsi="Palatino Linotype"/>
          <w:sz w:val="22"/>
          <w:szCs w:val="22"/>
        </w:rPr>
      </w:pPr>
      <w:r>
        <w:rPr>
          <w:rFonts w:ascii="Palatino Linotype" w:hAnsi="Palatino Linotype"/>
          <w:sz w:val="22"/>
          <w:szCs w:val="22"/>
        </w:rPr>
        <w:t>Que,</w:t>
      </w:r>
      <w:r>
        <w:rPr>
          <w:rFonts w:ascii="Palatino Linotype" w:hAnsi="Palatino Linotype"/>
          <w:sz w:val="22"/>
          <w:szCs w:val="22"/>
        </w:rPr>
        <w:tab/>
      </w:r>
      <w:r w:rsidR="00A40329" w:rsidRPr="00A40329">
        <w:rPr>
          <w:rFonts w:ascii="Palatino Linotype" w:hAnsi="Palatino Linotype"/>
          <w:sz w:val="22"/>
          <w:szCs w:val="22"/>
        </w:rPr>
        <w:t>mediante Informe Social No. 1 Casa Comunal de Carapungo, sin fecha, la Abogada</w:t>
      </w:r>
      <w:r w:rsidR="00A40329">
        <w:rPr>
          <w:rFonts w:ascii="Palatino Linotype" w:hAnsi="Palatino Linotype"/>
          <w:sz w:val="22"/>
          <w:szCs w:val="22"/>
        </w:rPr>
        <w:t xml:space="preserve"> </w:t>
      </w:r>
      <w:r w:rsidR="00A40329" w:rsidRPr="00A40329">
        <w:rPr>
          <w:rFonts w:ascii="Palatino Linotype" w:hAnsi="Palatino Linotype"/>
          <w:sz w:val="22"/>
          <w:szCs w:val="22"/>
        </w:rPr>
        <w:t>Gabriela Rodríguez Aguilar, Directora de Gestión Participativa de la Administración</w:t>
      </w:r>
      <w:r w:rsidR="00A40329">
        <w:rPr>
          <w:rFonts w:ascii="Palatino Linotype" w:hAnsi="Palatino Linotype"/>
          <w:sz w:val="22"/>
          <w:szCs w:val="22"/>
        </w:rPr>
        <w:t xml:space="preserve"> </w:t>
      </w:r>
      <w:r w:rsidR="00A40329" w:rsidRPr="00A40329">
        <w:rPr>
          <w:rFonts w:ascii="Palatino Linotype" w:hAnsi="Palatino Linotype"/>
          <w:sz w:val="22"/>
          <w:szCs w:val="22"/>
        </w:rPr>
        <w:t>Zonal Calderón, emitió informe social favorable y como conclusión respecto del</w:t>
      </w:r>
      <w:r w:rsidR="00A40329">
        <w:rPr>
          <w:rFonts w:ascii="Palatino Linotype" w:hAnsi="Palatino Linotype"/>
          <w:sz w:val="22"/>
          <w:szCs w:val="22"/>
        </w:rPr>
        <w:t xml:space="preserve"> </w:t>
      </w:r>
      <w:r w:rsidR="00A40329" w:rsidRPr="00A40329">
        <w:rPr>
          <w:rFonts w:ascii="Palatino Linotype" w:hAnsi="Palatino Linotype"/>
          <w:sz w:val="22"/>
          <w:szCs w:val="22"/>
        </w:rPr>
        <w:t>Comité Pro Mejoras “Carapungo Libre y Seguro”, manifestó en su parte pertinente</w:t>
      </w:r>
      <w:r w:rsidR="00A40329">
        <w:rPr>
          <w:rFonts w:ascii="Palatino Linotype" w:hAnsi="Palatino Linotype"/>
          <w:sz w:val="22"/>
          <w:szCs w:val="22"/>
        </w:rPr>
        <w:t xml:space="preserve"> </w:t>
      </w:r>
      <w:r w:rsidR="00A40329" w:rsidRPr="00A40329">
        <w:rPr>
          <w:rFonts w:ascii="Palatino Linotype" w:hAnsi="Palatino Linotype"/>
          <w:sz w:val="22"/>
          <w:szCs w:val="22"/>
        </w:rPr>
        <w:t>lo siguiente</w:t>
      </w:r>
      <w:r w:rsidR="00A40329">
        <w:rPr>
          <w:rFonts w:ascii="Palatino Linotype" w:hAnsi="Palatino Linotype"/>
          <w:sz w:val="22"/>
          <w:szCs w:val="22"/>
        </w:rPr>
        <w:t xml:space="preserve">: </w:t>
      </w:r>
      <w:r w:rsidR="006721D1" w:rsidRPr="006721D1">
        <w:rPr>
          <w:rFonts w:ascii="Palatino Linotype" w:hAnsi="Palatino Linotype"/>
          <w:i/>
          <w:sz w:val="22"/>
          <w:szCs w:val="22"/>
        </w:rPr>
        <w:t>“</w:t>
      </w:r>
      <w:r w:rsidR="00A40329" w:rsidRPr="006721D1">
        <w:rPr>
          <w:rFonts w:ascii="Palatino Linotype" w:hAnsi="Palatino Linotype"/>
          <w:i/>
          <w:sz w:val="22"/>
          <w:szCs w:val="22"/>
        </w:rPr>
        <w:t>El Comité Pro-Mejoras “Carapungo Libre y Seguro”, con el objeto de obtener el convenio de administración y uso de la casa comunal, ha presentado varios proyectos que luego de ser analizados son FACTIBLES de realizarlos ya que todos están orientados a mejorar la convivenc</w:t>
      </w:r>
      <w:r w:rsidR="006721D1" w:rsidRPr="006721D1">
        <w:rPr>
          <w:rFonts w:ascii="Palatino Linotype" w:hAnsi="Palatino Linotype"/>
          <w:i/>
          <w:sz w:val="22"/>
          <w:szCs w:val="22"/>
        </w:rPr>
        <w:t>ia de los moradores y usuarios”</w:t>
      </w:r>
      <w:r w:rsidR="002376E2">
        <w:rPr>
          <w:rFonts w:ascii="Palatino Linotype" w:hAnsi="Palatino Linotype"/>
          <w:sz w:val="22"/>
          <w:szCs w:val="22"/>
        </w:rPr>
        <w:t>;</w:t>
      </w:r>
    </w:p>
    <w:p w:rsidR="00612644" w:rsidRPr="00974EE8" w:rsidRDefault="00612644" w:rsidP="00C6700F">
      <w:pPr>
        <w:tabs>
          <w:tab w:val="left" w:pos="426"/>
        </w:tabs>
        <w:ind w:left="705" w:hanging="705"/>
        <w:jc w:val="both"/>
        <w:rPr>
          <w:rFonts w:ascii="Palatino Linotype" w:hAnsi="Palatino Linotype"/>
          <w:sz w:val="22"/>
          <w:szCs w:val="22"/>
        </w:rPr>
      </w:pPr>
    </w:p>
    <w:p w:rsidR="00724137" w:rsidRPr="002376E2" w:rsidRDefault="009540BE" w:rsidP="009540BE">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A40329" w:rsidRPr="002376E2">
        <w:rPr>
          <w:rFonts w:ascii="Palatino Linotype" w:hAnsi="Palatino Linotype"/>
          <w:sz w:val="22"/>
          <w:szCs w:val="22"/>
        </w:rPr>
        <w:t>con Informe Legal No. 001-2020-DJ, la Dra. Mercedes Bravo, en ese entonces Directora Jurídica de la Adminis</w:t>
      </w:r>
      <w:r w:rsidR="006721D1">
        <w:rPr>
          <w:rFonts w:ascii="Palatino Linotype" w:hAnsi="Palatino Linotype"/>
          <w:sz w:val="22"/>
          <w:szCs w:val="22"/>
        </w:rPr>
        <w:t xml:space="preserve">tración Zonal Calderón, señaló: </w:t>
      </w:r>
      <w:r w:rsidR="006721D1" w:rsidRPr="006721D1">
        <w:rPr>
          <w:rFonts w:ascii="Palatino Linotype" w:hAnsi="Palatino Linotype"/>
          <w:i/>
          <w:sz w:val="22"/>
          <w:szCs w:val="22"/>
        </w:rPr>
        <w:t xml:space="preserve">“(…) </w:t>
      </w:r>
      <w:r w:rsidR="00A40329" w:rsidRPr="006721D1">
        <w:rPr>
          <w:rFonts w:ascii="Palatino Linotype" w:hAnsi="Palatino Linotype"/>
          <w:i/>
          <w:sz w:val="22"/>
          <w:szCs w:val="22"/>
        </w:rPr>
        <w:t xml:space="preserve">esta Dirección Jurídica emite CRITERIO LEGAL FAVORABLE, al requerimiento del Convenio DE ADMINISTRACIÓN Y USO MULTIPLE DE ÁREAS RECREATIVAS, CASAS BARRIALES Y COMUNALES DEL DISTRITOMETROPOLITANO previo el cumplimiento de las recomendaciones, observaciones y </w:t>
      </w:r>
      <w:r w:rsidR="006721D1">
        <w:rPr>
          <w:rFonts w:ascii="Palatino Linotype" w:hAnsi="Palatino Linotype"/>
          <w:i/>
          <w:sz w:val="22"/>
          <w:szCs w:val="22"/>
        </w:rPr>
        <w:t>procedimientos antes indicados (</w:t>
      </w:r>
      <w:r w:rsidR="00A40329" w:rsidRPr="006721D1">
        <w:rPr>
          <w:rFonts w:ascii="Palatino Linotype" w:hAnsi="Palatino Linotype" w:cs="Arial"/>
          <w:i/>
          <w:sz w:val="22"/>
          <w:szCs w:val="22"/>
        </w:rPr>
        <w:t>...</w:t>
      </w:r>
      <w:r w:rsidR="006721D1">
        <w:rPr>
          <w:rFonts w:ascii="Palatino Linotype" w:hAnsi="Palatino Linotype"/>
          <w:i/>
          <w:sz w:val="22"/>
          <w:szCs w:val="22"/>
        </w:rPr>
        <w:t>)</w:t>
      </w:r>
      <w:r w:rsidR="002376E2">
        <w:rPr>
          <w:rFonts w:ascii="Palatino Linotype" w:hAnsi="Palatino Linotype"/>
          <w:sz w:val="22"/>
          <w:szCs w:val="22"/>
        </w:rPr>
        <w:t>;</w:t>
      </w:r>
    </w:p>
    <w:p w:rsidR="000E6777" w:rsidRPr="00AC78A2" w:rsidRDefault="000E6777" w:rsidP="009540BE">
      <w:pPr>
        <w:tabs>
          <w:tab w:val="left" w:pos="426"/>
        </w:tabs>
        <w:ind w:left="705" w:hanging="705"/>
        <w:jc w:val="both"/>
        <w:rPr>
          <w:rFonts w:ascii="Palatino Linotype" w:hAnsi="Palatino Linotype"/>
          <w:sz w:val="22"/>
          <w:szCs w:val="22"/>
        </w:rPr>
      </w:pPr>
    </w:p>
    <w:p w:rsidR="000E6777" w:rsidRPr="008C11D9" w:rsidRDefault="000E6777" w:rsidP="000E6777">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8C11D9" w:rsidRPr="008C11D9">
        <w:rPr>
          <w:rFonts w:ascii="Palatino Linotype" w:hAnsi="Palatino Linotype"/>
          <w:sz w:val="22"/>
          <w:szCs w:val="22"/>
        </w:rPr>
        <w:t>Mediante Informe No. DMC-GCE-2020-091 de 31 de julio de 2020 la Dirección</w:t>
      </w:r>
      <w:r w:rsidR="008C11D9">
        <w:rPr>
          <w:rFonts w:ascii="Palatino Linotype" w:hAnsi="Palatino Linotype"/>
          <w:sz w:val="22"/>
          <w:szCs w:val="22"/>
        </w:rPr>
        <w:t xml:space="preserve"> </w:t>
      </w:r>
      <w:r w:rsidR="008C11D9" w:rsidRPr="008C11D9">
        <w:rPr>
          <w:rFonts w:ascii="Palatino Linotype" w:hAnsi="Palatino Linotype"/>
          <w:sz w:val="22"/>
          <w:szCs w:val="22"/>
        </w:rPr>
        <w:t>Metropolitana de Catastro, emitió la ficha con los datos técnicos del área a</w:t>
      </w:r>
      <w:r w:rsidR="008C11D9">
        <w:rPr>
          <w:rFonts w:ascii="Palatino Linotype" w:hAnsi="Palatino Linotype"/>
          <w:sz w:val="22"/>
          <w:szCs w:val="22"/>
        </w:rPr>
        <w:t xml:space="preserve"> </w:t>
      </w:r>
      <w:r w:rsidR="008C11D9" w:rsidRPr="008C11D9">
        <w:rPr>
          <w:rFonts w:ascii="Palatino Linotype" w:hAnsi="Palatino Linotype"/>
          <w:sz w:val="22"/>
          <w:szCs w:val="22"/>
        </w:rPr>
        <w:t>entregarse a través del Convenio, predio 320052 y clave catastral 13411-12-001, a</w:t>
      </w:r>
      <w:r w:rsidR="008C11D9">
        <w:rPr>
          <w:rFonts w:ascii="Palatino Linotype" w:hAnsi="Palatino Linotype"/>
          <w:sz w:val="22"/>
          <w:szCs w:val="22"/>
        </w:rPr>
        <w:t xml:space="preserve"> </w:t>
      </w:r>
      <w:r w:rsidR="008C11D9" w:rsidRPr="008C11D9">
        <w:rPr>
          <w:rFonts w:ascii="Palatino Linotype" w:hAnsi="Palatino Linotype"/>
          <w:sz w:val="22"/>
          <w:szCs w:val="22"/>
        </w:rPr>
        <w:t>fin de que se continúe con el trámite que corresponda</w:t>
      </w:r>
      <w:r w:rsidR="002376E2">
        <w:rPr>
          <w:rFonts w:ascii="Palatino Linotype" w:hAnsi="Palatino Linotype"/>
          <w:sz w:val="22"/>
          <w:szCs w:val="22"/>
        </w:rPr>
        <w:t>;</w:t>
      </w:r>
    </w:p>
    <w:p w:rsidR="005525E0" w:rsidRPr="00AC78A2" w:rsidRDefault="005525E0" w:rsidP="000E6777">
      <w:pPr>
        <w:tabs>
          <w:tab w:val="left" w:pos="426"/>
        </w:tabs>
        <w:ind w:left="705" w:hanging="705"/>
        <w:jc w:val="both"/>
        <w:rPr>
          <w:rFonts w:ascii="Palatino Linotype" w:hAnsi="Palatino Linotype"/>
          <w:sz w:val="22"/>
          <w:szCs w:val="22"/>
        </w:rPr>
      </w:pPr>
    </w:p>
    <w:p w:rsidR="005525E0" w:rsidRPr="00D33E85" w:rsidRDefault="005525E0" w:rsidP="005525E0">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D33E85" w:rsidRPr="00D33E85">
        <w:rPr>
          <w:rFonts w:ascii="Palatino Linotype" w:hAnsi="Palatino Linotype"/>
          <w:sz w:val="22"/>
          <w:szCs w:val="22"/>
        </w:rPr>
        <w:t>mediante oficio No. GADDMQ-SERD-DMDR-2020-00182-O de 13 de octubre de2020, el Ing. Jorge Washington Cartagena Tierra, Director Metropolitano de Deporte</w:t>
      </w:r>
      <w:r w:rsidR="00D33E85">
        <w:rPr>
          <w:rFonts w:ascii="Palatino Linotype" w:hAnsi="Palatino Linotype"/>
          <w:sz w:val="22"/>
          <w:szCs w:val="22"/>
        </w:rPr>
        <w:t xml:space="preserve"> </w:t>
      </w:r>
      <w:r w:rsidR="00D33E85" w:rsidRPr="00D33E85">
        <w:rPr>
          <w:rFonts w:ascii="Palatino Linotype" w:hAnsi="Palatino Linotype"/>
          <w:sz w:val="22"/>
          <w:szCs w:val="22"/>
        </w:rPr>
        <w:t>y Recreación adjuntó el Informe Técnico No. DMDR-AFR-CDU-004-2020 de 13 de</w:t>
      </w:r>
      <w:r w:rsidR="00D33E85">
        <w:rPr>
          <w:rFonts w:ascii="Palatino Linotype" w:hAnsi="Palatino Linotype"/>
          <w:sz w:val="22"/>
          <w:szCs w:val="22"/>
        </w:rPr>
        <w:t xml:space="preserve"> </w:t>
      </w:r>
      <w:r w:rsidR="00D33E85" w:rsidRPr="00D33E85">
        <w:rPr>
          <w:rFonts w:ascii="Palatino Linotype" w:hAnsi="Palatino Linotype"/>
          <w:sz w:val="22"/>
          <w:szCs w:val="22"/>
        </w:rPr>
        <w:t>octubre de 2020, que en su parte pertinente manifiesta lo siguiente:</w:t>
      </w:r>
      <w:r w:rsidR="006721D1">
        <w:rPr>
          <w:rFonts w:ascii="Palatino Linotype" w:hAnsi="Palatino Linotype"/>
          <w:sz w:val="22"/>
          <w:szCs w:val="22"/>
        </w:rPr>
        <w:t xml:space="preserve"> </w:t>
      </w:r>
      <w:r w:rsidR="006721D1" w:rsidRPr="006721D1">
        <w:rPr>
          <w:rFonts w:ascii="Palatino Linotype" w:hAnsi="Palatino Linotype"/>
          <w:i/>
          <w:sz w:val="22"/>
          <w:szCs w:val="22"/>
        </w:rPr>
        <w:t>“</w:t>
      </w:r>
      <w:r w:rsidR="00D33E85" w:rsidRPr="006721D1">
        <w:rPr>
          <w:rFonts w:ascii="Palatino Linotype" w:hAnsi="Palatino Linotype"/>
          <w:i/>
          <w:sz w:val="22"/>
          <w:szCs w:val="22"/>
        </w:rPr>
        <w:t>En base al análisis de la documentación presentada, y la información obtenida, se recomienda calificar el presente informe como FAVORABLE, a fin de continuar con el trámite respectivo para que se conceda la renovación del uso y administración del bien ubicado en el predio municipal 320052, definido como casa comunal, en concordancia con lo señalado en el Art. IV.6.22.- sobre los “CONVENIOS DE ADMINISTRACIÓN YUSO MULTIPLE DE AREAS RECREATIVAS, CASAS BARRIALES YCOMUNALES DEL DISTRITO METROPOLITANO”</w:t>
      </w:r>
      <w:r w:rsidR="006721D1" w:rsidRPr="006721D1">
        <w:rPr>
          <w:rFonts w:ascii="Palatino Linotype" w:hAnsi="Palatino Linotype"/>
          <w:i/>
          <w:sz w:val="22"/>
          <w:szCs w:val="22"/>
        </w:rPr>
        <w:t>, del Código Municipal vigente (</w:t>
      </w:r>
      <w:r w:rsidR="00D33E85" w:rsidRPr="006721D1">
        <w:rPr>
          <w:rFonts w:ascii="Palatino Linotype" w:hAnsi="Palatino Linotype" w:cs="Arial"/>
          <w:i/>
          <w:sz w:val="22"/>
          <w:szCs w:val="22"/>
        </w:rPr>
        <w:t>...</w:t>
      </w:r>
      <w:r w:rsidR="006721D1" w:rsidRPr="006721D1">
        <w:rPr>
          <w:rFonts w:ascii="Palatino Linotype" w:hAnsi="Palatino Linotype"/>
          <w:i/>
          <w:sz w:val="22"/>
          <w:szCs w:val="22"/>
        </w:rPr>
        <w:t>)”</w:t>
      </w:r>
      <w:r w:rsidR="002376E2">
        <w:rPr>
          <w:rFonts w:ascii="Palatino Linotype" w:hAnsi="Palatino Linotype"/>
          <w:sz w:val="22"/>
          <w:szCs w:val="22"/>
        </w:rPr>
        <w:t>;</w:t>
      </w:r>
    </w:p>
    <w:p w:rsidR="005525E0" w:rsidRPr="00AC78A2" w:rsidRDefault="005525E0" w:rsidP="005525E0">
      <w:pPr>
        <w:tabs>
          <w:tab w:val="left" w:pos="426"/>
        </w:tabs>
        <w:ind w:left="705" w:hanging="705"/>
        <w:jc w:val="both"/>
        <w:rPr>
          <w:rFonts w:ascii="Palatino Linotype" w:hAnsi="Palatino Linotype"/>
          <w:sz w:val="22"/>
          <w:szCs w:val="22"/>
        </w:rPr>
      </w:pPr>
    </w:p>
    <w:p w:rsidR="00D33E85" w:rsidRPr="002E5D07" w:rsidRDefault="00B37F9F" w:rsidP="00D33E85">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D33E85" w:rsidRPr="00D33E85">
        <w:rPr>
          <w:rFonts w:ascii="Palatino Linotype" w:hAnsi="Palatino Linotype"/>
          <w:sz w:val="22"/>
          <w:szCs w:val="22"/>
        </w:rPr>
        <w:t>con oficio No. GADDMQ-DMGBI-2020-1442-O de 14 de agosto de 2020, el Ab.</w:t>
      </w:r>
      <w:r w:rsidR="00D33E85">
        <w:rPr>
          <w:rFonts w:ascii="Palatino Linotype" w:hAnsi="Palatino Linotype"/>
          <w:sz w:val="22"/>
          <w:szCs w:val="22"/>
        </w:rPr>
        <w:t xml:space="preserve"> </w:t>
      </w:r>
      <w:r w:rsidR="00D33E85" w:rsidRPr="00D33E85">
        <w:rPr>
          <w:rFonts w:ascii="Palatino Linotype" w:hAnsi="Palatino Linotype"/>
          <w:sz w:val="22"/>
          <w:szCs w:val="22"/>
        </w:rPr>
        <w:t>José Antonio Vaca Jones, Director Metropolitano de Gestión de Bienes Inmuebles,</w:t>
      </w:r>
      <w:r w:rsidR="00D33E85">
        <w:rPr>
          <w:rFonts w:ascii="Palatino Linotype" w:hAnsi="Palatino Linotype"/>
          <w:sz w:val="22"/>
          <w:szCs w:val="22"/>
        </w:rPr>
        <w:t xml:space="preserve"> </w:t>
      </w:r>
      <w:r w:rsidR="00D33E85" w:rsidRPr="00D33E85">
        <w:rPr>
          <w:rFonts w:ascii="Palatino Linotype" w:hAnsi="Palatino Linotype"/>
          <w:sz w:val="22"/>
          <w:szCs w:val="22"/>
        </w:rPr>
        <w:t>estableció lo siguiente:</w:t>
      </w:r>
      <w:r w:rsidR="006721D1">
        <w:rPr>
          <w:rFonts w:ascii="Palatino Linotype" w:hAnsi="Palatino Linotype"/>
          <w:sz w:val="22"/>
          <w:szCs w:val="22"/>
        </w:rPr>
        <w:t xml:space="preserve"> </w:t>
      </w:r>
      <w:r w:rsidR="006721D1" w:rsidRPr="006721D1">
        <w:rPr>
          <w:rFonts w:ascii="Palatino Linotype" w:hAnsi="Palatino Linotype"/>
          <w:i/>
          <w:sz w:val="22"/>
          <w:szCs w:val="22"/>
        </w:rPr>
        <w:t>“</w:t>
      </w:r>
      <w:r w:rsidR="00D33E85" w:rsidRPr="006721D1">
        <w:rPr>
          <w:rFonts w:ascii="Palatino Linotype" w:hAnsi="Palatino Linotype"/>
          <w:i/>
          <w:sz w:val="22"/>
          <w:szCs w:val="22"/>
        </w:rPr>
        <w:t xml:space="preserve">Con los antecedentes mencionados y la verificación dada al proceso administrativo, la Dirección Metropolitana de Gestión de Bienes Inmuebles, emite criterio </w:t>
      </w:r>
      <w:r w:rsidR="00D33E85" w:rsidRPr="006721D1">
        <w:rPr>
          <w:rFonts w:ascii="Palatino Linotype" w:hAnsi="Palatino Linotype"/>
          <w:i/>
          <w:sz w:val="22"/>
          <w:szCs w:val="22"/>
        </w:rPr>
        <w:lastRenderedPageBreak/>
        <w:t>favorable para la Suscripción del Convenio de Administraci</w:t>
      </w:r>
      <w:r w:rsidR="006721D1">
        <w:rPr>
          <w:rFonts w:ascii="Palatino Linotype" w:hAnsi="Palatino Linotype"/>
          <w:i/>
          <w:sz w:val="22"/>
          <w:szCs w:val="22"/>
        </w:rPr>
        <w:t>ón y Uso del predio No. 320052 (</w:t>
      </w:r>
      <w:r w:rsidR="00D33E85" w:rsidRPr="006721D1">
        <w:rPr>
          <w:rFonts w:ascii="Palatino Linotype" w:hAnsi="Palatino Linotype" w:cs="Arial"/>
          <w:i/>
          <w:sz w:val="22"/>
          <w:szCs w:val="22"/>
        </w:rPr>
        <w:t>...</w:t>
      </w:r>
      <w:r w:rsidR="006721D1">
        <w:rPr>
          <w:rFonts w:ascii="Palatino Linotype" w:hAnsi="Palatino Linotype" w:cs="Arial"/>
          <w:i/>
          <w:sz w:val="22"/>
          <w:szCs w:val="22"/>
        </w:rPr>
        <w:t>)”</w:t>
      </w:r>
      <w:r w:rsidR="002376E2">
        <w:rPr>
          <w:rFonts w:ascii="Palatino Linotype" w:hAnsi="Palatino Linotype" w:cs="Arial"/>
          <w:sz w:val="22"/>
          <w:szCs w:val="22"/>
        </w:rPr>
        <w:t>;</w:t>
      </w:r>
    </w:p>
    <w:p w:rsidR="00BA1967" w:rsidRPr="00AC78A2" w:rsidRDefault="00BA1967" w:rsidP="00B37F9F">
      <w:pPr>
        <w:tabs>
          <w:tab w:val="left" w:pos="426"/>
        </w:tabs>
        <w:ind w:left="705" w:hanging="705"/>
        <w:jc w:val="both"/>
        <w:rPr>
          <w:rFonts w:ascii="Palatino Linotype" w:hAnsi="Palatino Linotype"/>
          <w:sz w:val="22"/>
          <w:szCs w:val="22"/>
        </w:rPr>
      </w:pPr>
    </w:p>
    <w:p w:rsidR="00BA1967" w:rsidRPr="002E5D07" w:rsidRDefault="00BA1967" w:rsidP="00BA1967">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D33E85" w:rsidRPr="00D33E85">
        <w:rPr>
          <w:rFonts w:ascii="Palatino Linotype" w:hAnsi="Palatino Linotype"/>
          <w:sz w:val="22"/>
          <w:szCs w:val="22"/>
        </w:rPr>
        <w:t>mediante Memorando No. GADDMQ-AZCA-2020-0502-M de 21 de septiembre de</w:t>
      </w:r>
      <w:r w:rsidR="002376E2">
        <w:rPr>
          <w:rFonts w:ascii="Palatino Linotype" w:hAnsi="Palatino Linotype"/>
          <w:sz w:val="22"/>
          <w:szCs w:val="22"/>
        </w:rPr>
        <w:t>2020, la Soc. Day</w:t>
      </w:r>
      <w:r w:rsidR="00D33E85" w:rsidRPr="00D33E85">
        <w:rPr>
          <w:rFonts w:ascii="Palatino Linotype" w:hAnsi="Palatino Linotype"/>
          <w:sz w:val="22"/>
          <w:szCs w:val="22"/>
        </w:rPr>
        <w:t xml:space="preserve">ana </w:t>
      </w:r>
      <w:proofErr w:type="spellStart"/>
      <w:r w:rsidR="00D33E85" w:rsidRPr="00D33E85">
        <w:rPr>
          <w:rFonts w:ascii="Palatino Linotype" w:hAnsi="Palatino Linotype"/>
          <w:sz w:val="22"/>
          <w:szCs w:val="22"/>
        </w:rPr>
        <w:t>Jassmin</w:t>
      </w:r>
      <w:proofErr w:type="spellEnd"/>
      <w:r w:rsidR="00D33E85" w:rsidRPr="00D33E85">
        <w:rPr>
          <w:rFonts w:ascii="Palatino Linotype" w:hAnsi="Palatino Linotype"/>
          <w:sz w:val="22"/>
          <w:szCs w:val="22"/>
        </w:rPr>
        <w:t xml:space="preserve"> Vargas Borja, Administradora de la Zona Calderón</w:t>
      </w:r>
      <w:r w:rsidR="00D33E85">
        <w:rPr>
          <w:rFonts w:ascii="Palatino Linotype" w:hAnsi="Palatino Linotype"/>
          <w:sz w:val="22"/>
          <w:szCs w:val="22"/>
        </w:rPr>
        <w:t xml:space="preserve"> </w:t>
      </w:r>
      <w:r w:rsidR="006721D1">
        <w:rPr>
          <w:rFonts w:ascii="Palatino Linotype" w:hAnsi="Palatino Linotype"/>
          <w:sz w:val="22"/>
          <w:szCs w:val="22"/>
        </w:rPr>
        <w:t xml:space="preserve">manifestó lo siguiente: </w:t>
      </w:r>
      <w:r w:rsidR="006721D1" w:rsidRPr="006721D1">
        <w:rPr>
          <w:rFonts w:ascii="Palatino Linotype" w:hAnsi="Palatino Linotype"/>
          <w:i/>
          <w:sz w:val="22"/>
          <w:szCs w:val="22"/>
        </w:rPr>
        <w:t>“</w:t>
      </w:r>
      <w:r w:rsidR="00D33E85" w:rsidRPr="006721D1">
        <w:rPr>
          <w:rFonts w:ascii="Palatino Linotype" w:hAnsi="Palatino Linotype"/>
          <w:i/>
          <w:sz w:val="22"/>
          <w:szCs w:val="22"/>
        </w:rPr>
        <w:t xml:space="preserve">En virtud de lo expuesto, en mi calidad Administradora Zonal Calderón, emito criterio favorable para la suscripción de un convenio de uso y administración a favor del Comité Pro Mejoras “Carapungo Libre y Seguro”, a fin de que se remita a la Procuraduría Metropolitana y se emita el informe legal correspondiente, y se pueda continuar con el trámite has su aprobación por el Concejo Metropolitano de Quito, por lo que se adjunta el </w:t>
      </w:r>
      <w:r w:rsidR="006721D1">
        <w:rPr>
          <w:rFonts w:ascii="Palatino Linotype" w:hAnsi="Palatino Linotype"/>
          <w:i/>
          <w:sz w:val="22"/>
          <w:szCs w:val="22"/>
        </w:rPr>
        <w:t>proyecto de Convenio (</w:t>
      </w:r>
      <w:r w:rsidR="00D33E85" w:rsidRPr="006721D1">
        <w:rPr>
          <w:rFonts w:ascii="Palatino Linotype" w:hAnsi="Palatino Linotype" w:cs="Arial"/>
          <w:i/>
          <w:sz w:val="22"/>
          <w:szCs w:val="22"/>
        </w:rPr>
        <w:t>...</w:t>
      </w:r>
      <w:r w:rsidR="006721D1">
        <w:rPr>
          <w:rFonts w:ascii="Palatino Linotype" w:hAnsi="Palatino Linotype" w:cs="Arial"/>
          <w:i/>
          <w:sz w:val="22"/>
          <w:szCs w:val="22"/>
        </w:rPr>
        <w:t>)</w:t>
      </w:r>
      <w:r w:rsidR="006721D1">
        <w:rPr>
          <w:rFonts w:ascii="Palatino Linotype" w:hAnsi="Palatino Linotype" w:cs="Arial"/>
          <w:sz w:val="22"/>
          <w:szCs w:val="22"/>
        </w:rPr>
        <w:t>”</w:t>
      </w:r>
      <w:r w:rsidR="002376E2">
        <w:rPr>
          <w:rFonts w:ascii="Palatino Linotype" w:hAnsi="Palatino Linotype" w:cs="Arial"/>
          <w:sz w:val="22"/>
          <w:szCs w:val="22"/>
        </w:rPr>
        <w:t>;</w:t>
      </w:r>
    </w:p>
    <w:p w:rsidR="00BA1967" w:rsidRPr="00AC78A2" w:rsidRDefault="00BA1967" w:rsidP="00BA1967">
      <w:pPr>
        <w:tabs>
          <w:tab w:val="left" w:pos="426"/>
        </w:tabs>
        <w:ind w:left="705" w:hanging="705"/>
        <w:jc w:val="both"/>
        <w:rPr>
          <w:rFonts w:ascii="Palatino Linotype" w:hAnsi="Palatino Linotype"/>
          <w:sz w:val="22"/>
          <w:szCs w:val="22"/>
        </w:rPr>
      </w:pPr>
    </w:p>
    <w:p w:rsidR="004F7448" w:rsidRDefault="008A6A5B" w:rsidP="00C96B1C">
      <w:pPr>
        <w:tabs>
          <w:tab w:val="left" w:pos="426"/>
        </w:tabs>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Pr="002376E2">
        <w:rPr>
          <w:rFonts w:ascii="Palatino Linotype" w:hAnsi="Palatino Linotype"/>
          <w:sz w:val="22"/>
          <w:szCs w:val="22"/>
        </w:rPr>
        <w:t>m</w:t>
      </w:r>
      <w:r w:rsidR="009540BE" w:rsidRPr="002376E2">
        <w:rPr>
          <w:rFonts w:ascii="Palatino Linotype" w:hAnsi="Palatino Linotype"/>
          <w:sz w:val="22"/>
          <w:szCs w:val="22"/>
        </w:rPr>
        <w:t xml:space="preserve">ediante </w:t>
      </w:r>
      <w:r w:rsidR="002E5D07" w:rsidRPr="002376E2">
        <w:rPr>
          <w:rFonts w:ascii="Palatino Linotype" w:hAnsi="Palatino Linotype"/>
          <w:sz w:val="22"/>
          <w:szCs w:val="22"/>
        </w:rPr>
        <w:t xml:space="preserve">oficio Nro. </w:t>
      </w:r>
      <w:r w:rsidR="002376E2" w:rsidRPr="002376E2">
        <w:rPr>
          <w:rFonts w:ascii="Palatino Linotype" w:hAnsi="Palatino Linotype"/>
          <w:sz w:val="22"/>
          <w:szCs w:val="22"/>
        </w:rPr>
        <w:t>Oficio Nro. GADDMQ-PM-SAUOS-2020-0289-OQuito, D.M., 17 de noviembre de 2020</w:t>
      </w:r>
      <w:r w:rsidR="002E5D07" w:rsidRPr="002376E2">
        <w:rPr>
          <w:rFonts w:ascii="Palatino Linotype" w:hAnsi="Palatino Linotype"/>
          <w:sz w:val="22"/>
          <w:szCs w:val="22"/>
        </w:rPr>
        <w:t xml:space="preserve">, </w:t>
      </w:r>
      <w:r w:rsidR="00AC78A2" w:rsidRPr="002376E2">
        <w:rPr>
          <w:rFonts w:ascii="Palatino Linotype" w:hAnsi="Palatino Linotype"/>
          <w:sz w:val="22"/>
          <w:szCs w:val="22"/>
        </w:rPr>
        <w:t>el Subprocurador Dr. Edison Yépez Vinueza manifiesta que:</w:t>
      </w:r>
      <w:r w:rsidR="002E5D07" w:rsidRPr="002376E2">
        <w:rPr>
          <w:rFonts w:ascii="Palatino Linotype" w:hAnsi="Palatino Linotype"/>
          <w:sz w:val="22"/>
          <w:szCs w:val="22"/>
        </w:rPr>
        <w:t xml:space="preserve"> </w:t>
      </w:r>
      <w:r w:rsidR="002E5D07" w:rsidRPr="006721D1">
        <w:rPr>
          <w:rFonts w:ascii="Palatino Linotype" w:hAnsi="Palatino Linotype"/>
          <w:i/>
          <w:sz w:val="22"/>
          <w:szCs w:val="22"/>
        </w:rPr>
        <w:t>“</w:t>
      </w:r>
      <w:r w:rsidR="002376E2" w:rsidRPr="006721D1">
        <w:rPr>
          <w:rFonts w:ascii="Palatino Linotype" w:hAnsi="Palatino Linotype"/>
          <w:i/>
          <w:sz w:val="22"/>
          <w:szCs w:val="22"/>
        </w:rPr>
        <w:t>De los documentos que constan en el expediente se establece (i) que el predio municipal No. 320052, corresponde a área comunal; y, una parte de este predio (3.291,94 m2) es requerido por el Comité Pro Mejoras “Carapungo Libre y Seguro”, para realizar proyectos de arte, cultura, Gusantina, Centro de Solidaridad, Arrebato Asociación Vecinal, Barrio Verde Asociación Cultural, Gancho Club de Fútbol, Madres Solas y Espacio Visiones para personas discapacitadas, en beneficio de los habitantes del sector; y, (ii) sobre el área requerida el Municipio del Distrito Metropolitano de Quito no tiene planificado la realización de ninguna obra. En este contexto, con fundamento en la normativa legal citada, considerando los informes mencionados y observando el procedimiento señalado en el art. IV.6.25 del Código Municipal, Procuraduría Metropolitana emite criterio legal favorable para que la Comisión de Propiedad y Espacio Público, de considerarlo pertinente, emita su informe para conocimiento y resolución del Concejo Metropolitano, para autorizar la suscripción del Convenio de Administración y Uso Múltiple entre el Comité Pro Mejoras “Carapungo Libre y Seguro” y la Administración Zonal Calderón, sobre el área de 3.291,94 m2, del predio No. 320052 de propiedad municipal, ubicado en la parroquia Calderón, de conformidad con los datos técnicos que constan en la ficha técnica remitida por la Dirección Metropolitana de Catastro</w:t>
      </w:r>
      <w:r w:rsidR="002376E2" w:rsidRPr="006721D1">
        <w:rPr>
          <w:i/>
          <w:sz w:val="27"/>
          <w:szCs w:val="27"/>
        </w:rPr>
        <w:t xml:space="preserve">, </w:t>
      </w:r>
      <w:r w:rsidR="002376E2" w:rsidRPr="006721D1">
        <w:rPr>
          <w:rFonts w:ascii="Palatino Linotype" w:hAnsi="Palatino Linotype"/>
          <w:i/>
          <w:sz w:val="22"/>
          <w:szCs w:val="22"/>
        </w:rPr>
        <w:t>mediante Informe No. DMC-GCE-2020-091 de 31de julio de 2020</w:t>
      </w:r>
      <w:r w:rsidR="006721D1">
        <w:rPr>
          <w:rFonts w:ascii="Palatino Linotype" w:hAnsi="Palatino Linotype"/>
          <w:i/>
          <w:sz w:val="22"/>
          <w:szCs w:val="22"/>
        </w:rPr>
        <w:t>”</w:t>
      </w:r>
      <w:r w:rsidR="002376E2" w:rsidRPr="006721D1">
        <w:rPr>
          <w:rFonts w:ascii="Palatino Linotype" w:hAnsi="Palatino Linotype"/>
          <w:i/>
          <w:sz w:val="22"/>
          <w:szCs w:val="22"/>
        </w:rPr>
        <w:t>;</w:t>
      </w:r>
    </w:p>
    <w:p w:rsidR="002376E2" w:rsidRPr="002376E2" w:rsidRDefault="002376E2" w:rsidP="00C96B1C">
      <w:pPr>
        <w:tabs>
          <w:tab w:val="left" w:pos="426"/>
        </w:tabs>
        <w:ind w:left="705" w:hanging="705"/>
        <w:jc w:val="both"/>
        <w:rPr>
          <w:rFonts w:ascii="Palatino Linotype" w:hAnsi="Palatino Linotype"/>
          <w:sz w:val="22"/>
          <w:szCs w:val="22"/>
        </w:rPr>
      </w:pPr>
    </w:p>
    <w:p w:rsidR="009368DD" w:rsidRPr="00CF36F1" w:rsidRDefault="00AC78A2" w:rsidP="009368DD">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 xml:space="preserve">  </w:t>
      </w:r>
      <w:r w:rsidR="009368DD" w:rsidRPr="00CF36F1">
        <w:rPr>
          <w:rFonts w:ascii="Palatino Linotype" w:hAnsi="Palatino Linotype"/>
          <w:sz w:val="22"/>
          <w:szCs w:val="22"/>
        </w:rPr>
        <w:t>Que,</w:t>
      </w:r>
      <w:r w:rsidR="009368DD"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Propiedad y Espacio Público, emitió </w:t>
      </w:r>
      <w:r w:rsidR="009368DD" w:rsidRPr="00CF36F1">
        <w:rPr>
          <w:rFonts w:ascii="Palatino Linotype" w:eastAsiaTheme="minorHAnsi" w:hAnsi="Palatino Linotype"/>
          <w:sz w:val="22"/>
          <w:szCs w:val="22"/>
          <w:lang w:val="es-EC" w:eastAsia="en-US"/>
        </w:rPr>
        <w:t>el Informe No. IC-CPP-20</w:t>
      </w:r>
      <w:r>
        <w:rPr>
          <w:rFonts w:ascii="Palatino Linotype" w:eastAsiaTheme="minorHAnsi" w:hAnsi="Palatino Linotype"/>
          <w:sz w:val="22"/>
          <w:szCs w:val="22"/>
          <w:lang w:val="es-EC" w:eastAsia="en-US"/>
        </w:rPr>
        <w:t>21</w:t>
      </w:r>
      <w:r w:rsidR="009368DD"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009368DD"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009368DD"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009368DD" w:rsidRPr="00CF36F1">
        <w:rPr>
          <w:rFonts w:ascii="Palatino Linotype" w:eastAsiaTheme="minorHAnsi" w:hAnsi="Palatino Linotype"/>
          <w:sz w:val="22"/>
          <w:szCs w:val="22"/>
          <w:lang w:val="es-EC" w:eastAsia="en-US"/>
        </w:rPr>
        <w:t xml:space="preserve"> de 20</w:t>
      </w:r>
      <w:r>
        <w:rPr>
          <w:rFonts w:ascii="Palatino Linotype" w:eastAsiaTheme="minorHAnsi" w:hAnsi="Palatino Linotype"/>
          <w:sz w:val="22"/>
          <w:szCs w:val="22"/>
          <w:lang w:val="es-EC" w:eastAsia="en-US"/>
        </w:rPr>
        <w:t>21</w:t>
      </w:r>
      <w:r w:rsidR="009368DD" w:rsidRPr="00CF36F1">
        <w:rPr>
          <w:rFonts w:ascii="Palatino Linotype" w:eastAsiaTheme="minorHAnsi" w:hAnsi="Palatino Linotype"/>
          <w:sz w:val="22"/>
          <w:szCs w:val="22"/>
          <w:lang w:val="es-EC" w:eastAsia="en-US"/>
        </w:rPr>
        <w:t>, el que contiene el dictamen favorable para que el Concejo Metropolitano se pronuncie en los términos previstos en la presente resolución.</w:t>
      </w:r>
    </w:p>
    <w:p w:rsidR="006A1262" w:rsidRPr="00974EE8" w:rsidRDefault="006A1262" w:rsidP="006F7558">
      <w:pPr>
        <w:autoSpaceDE w:val="0"/>
        <w:autoSpaceDN w:val="0"/>
        <w:adjustRightInd w:val="0"/>
        <w:jc w:val="both"/>
        <w:rPr>
          <w:rFonts w:ascii="Palatino Linotype" w:eastAsiaTheme="minorHAnsi" w:hAnsi="Palatino Linotype"/>
          <w:sz w:val="22"/>
          <w:szCs w:val="22"/>
          <w:lang w:val="es-EC" w:eastAsia="en-US"/>
        </w:rPr>
      </w:pPr>
    </w:p>
    <w:p w:rsidR="004F7448" w:rsidRPr="004F7448" w:rsidRDefault="00447553" w:rsidP="004F7448">
      <w:pPr>
        <w:pStyle w:val="Sinespaciado"/>
        <w:rPr>
          <w:rFonts w:ascii="Palatino Linotype" w:hAnsi="Palatino Linotype"/>
          <w:b/>
          <w:sz w:val="22"/>
          <w:szCs w:val="22"/>
        </w:rPr>
      </w:pPr>
      <w:r>
        <w:rPr>
          <w:rFonts w:ascii="Palatino Linotype" w:hAnsi="Palatino Linotype"/>
          <w:b/>
          <w:bCs/>
          <w:sz w:val="22"/>
          <w:szCs w:val="22"/>
        </w:rPr>
        <w:t>El Concejo Metropolitana de Quito, e</w:t>
      </w:r>
      <w:r w:rsidR="006F7558" w:rsidRPr="00974EE8">
        <w:rPr>
          <w:rFonts w:ascii="Palatino Linotype" w:hAnsi="Palatino Linotype"/>
          <w:b/>
          <w:bCs/>
          <w:sz w:val="22"/>
          <w:szCs w:val="22"/>
        </w:rPr>
        <w:t xml:space="preserve">n ejercicio de sus atribuciones previstas en </w:t>
      </w:r>
      <w:r w:rsidR="002376E2">
        <w:rPr>
          <w:rFonts w:ascii="Palatino Linotype" w:hAnsi="Palatino Linotype"/>
          <w:b/>
          <w:bCs/>
          <w:sz w:val="22"/>
          <w:szCs w:val="22"/>
        </w:rPr>
        <w:t>e</w:t>
      </w:r>
      <w:r w:rsidR="00DB1E50" w:rsidRPr="00974EE8">
        <w:rPr>
          <w:rFonts w:ascii="Palatino Linotype" w:hAnsi="Palatino Linotype"/>
          <w:b/>
          <w:bCs/>
          <w:sz w:val="22"/>
          <w:szCs w:val="22"/>
        </w:rPr>
        <w:t>l artículo</w:t>
      </w:r>
      <w:r w:rsidR="002376E2">
        <w:rPr>
          <w:rFonts w:ascii="Palatino Linotype" w:hAnsi="Palatino Linotype"/>
          <w:b/>
          <w:bCs/>
          <w:sz w:val="22"/>
          <w:szCs w:val="22"/>
        </w:rPr>
        <w:t xml:space="preserve"> 8, numeral 6) de </w:t>
      </w:r>
      <w:r w:rsidR="002376E2" w:rsidRPr="00CA10F3">
        <w:rPr>
          <w:rFonts w:ascii="Palatino Linotype" w:hAnsi="Palatino Linotype"/>
          <w:b/>
          <w:bCs/>
          <w:sz w:val="22"/>
          <w:szCs w:val="22"/>
        </w:rPr>
        <w:t>l</w:t>
      </w:r>
      <w:r w:rsidR="002376E2" w:rsidRPr="00CA10F3">
        <w:rPr>
          <w:rFonts w:ascii="Palatino Linotype" w:hAnsi="Palatino Linotype"/>
          <w:sz w:val="22"/>
          <w:szCs w:val="22"/>
        </w:rPr>
        <w:t xml:space="preserve">a </w:t>
      </w:r>
      <w:r w:rsidR="002376E2" w:rsidRPr="00CA10F3">
        <w:rPr>
          <w:rFonts w:ascii="Palatino Linotype" w:hAnsi="Palatino Linotype"/>
          <w:b/>
          <w:sz w:val="22"/>
          <w:szCs w:val="22"/>
        </w:rPr>
        <w:t>Ley Orgánica de Régimen para el Distrito Metropolitano de Quito</w:t>
      </w:r>
      <w:r w:rsidR="002376E2">
        <w:rPr>
          <w:sz w:val="27"/>
          <w:szCs w:val="27"/>
        </w:rPr>
        <w:t xml:space="preserve">, </w:t>
      </w:r>
      <w:r w:rsidR="004F7448" w:rsidRPr="004F7448">
        <w:rPr>
          <w:rFonts w:ascii="Palatino Linotype" w:hAnsi="Palatino Linotype"/>
          <w:b/>
          <w:sz w:val="22"/>
          <w:szCs w:val="22"/>
        </w:rPr>
        <w:t xml:space="preserve">artículos </w:t>
      </w:r>
      <w:r w:rsidR="002376E2">
        <w:rPr>
          <w:rFonts w:ascii="Palatino Linotype" w:hAnsi="Palatino Linotype"/>
          <w:b/>
          <w:sz w:val="22"/>
          <w:szCs w:val="22"/>
        </w:rPr>
        <w:t>5</w:t>
      </w:r>
      <w:r w:rsidR="004F7448" w:rsidRPr="004F7448">
        <w:rPr>
          <w:rFonts w:ascii="Palatino Linotype" w:hAnsi="Palatino Linotype"/>
          <w:b/>
          <w:sz w:val="22"/>
          <w:szCs w:val="22"/>
        </w:rPr>
        <w:t xml:space="preserve">7 letra </w:t>
      </w:r>
      <w:r w:rsidR="002376E2">
        <w:rPr>
          <w:rFonts w:ascii="Palatino Linotype" w:hAnsi="Palatino Linotype"/>
          <w:b/>
          <w:sz w:val="22"/>
          <w:szCs w:val="22"/>
        </w:rPr>
        <w:t>d), 87 letra d</w:t>
      </w:r>
      <w:r w:rsidR="004F7448" w:rsidRPr="004F7448">
        <w:rPr>
          <w:rFonts w:ascii="Palatino Linotype" w:hAnsi="Palatino Linotype"/>
          <w:b/>
          <w:sz w:val="22"/>
          <w:szCs w:val="22"/>
        </w:rPr>
        <w:t xml:space="preserve">); y, 323 del Código Orgánico de Organización </w:t>
      </w:r>
      <w:r w:rsidR="004F7448" w:rsidRPr="004F7448">
        <w:rPr>
          <w:rFonts w:ascii="Palatino Linotype" w:hAnsi="Palatino Linotype"/>
          <w:b/>
          <w:sz w:val="22"/>
          <w:szCs w:val="22"/>
        </w:rPr>
        <w:lastRenderedPageBreak/>
        <w:t>Territorial,</w:t>
      </w:r>
      <w:r w:rsidR="002376E2">
        <w:rPr>
          <w:rFonts w:ascii="Palatino Linotype" w:hAnsi="Palatino Linotype"/>
          <w:b/>
          <w:sz w:val="22"/>
          <w:szCs w:val="22"/>
        </w:rPr>
        <w:t xml:space="preserve"> Autonomía y Descentralización; artículos IV.6.22</w:t>
      </w:r>
      <w:r w:rsidR="00CA10F3">
        <w:rPr>
          <w:rFonts w:ascii="Palatino Linotype" w:hAnsi="Palatino Linotype"/>
          <w:b/>
          <w:sz w:val="22"/>
          <w:szCs w:val="22"/>
        </w:rPr>
        <w:t xml:space="preserve"> y </w:t>
      </w:r>
      <w:r w:rsidR="002376E2">
        <w:rPr>
          <w:rFonts w:ascii="Palatino Linotype" w:hAnsi="Palatino Linotype"/>
          <w:b/>
          <w:sz w:val="22"/>
          <w:szCs w:val="22"/>
        </w:rPr>
        <w:t>IV.6.2</w:t>
      </w:r>
      <w:r w:rsidR="00CA10F3">
        <w:rPr>
          <w:rFonts w:ascii="Palatino Linotype" w:hAnsi="Palatino Linotype"/>
          <w:b/>
          <w:sz w:val="22"/>
          <w:szCs w:val="22"/>
        </w:rPr>
        <w:t>3 del Código Municipal para el Distrito Metropolitano der Quito.</w:t>
      </w:r>
      <w:r w:rsidR="002376E2">
        <w:rPr>
          <w:rFonts w:ascii="Palatino Linotype" w:hAnsi="Palatino Linotype"/>
          <w:b/>
          <w:sz w:val="22"/>
          <w:szCs w:val="22"/>
        </w:rPr>
        <w:t xml:space="preserve"> </w:t>
      </w:r>
    </w:p>
    <w:p w:rsidR="00387B31" w:rsidRDefault="00387B31" w:rsidP="006F7558">
      <w:pPr>
        <w:autoSpaceDE w:val="0"/>
        <w:autoSpaceDN w:val="0"/>
        <w:adjustRightInd w:val="0"/>
        <w:jc w:val="center"/>
        <w:rPr>
          <w:rFonts w:ascii="Palatino Linotype" w:eastAsiaTheme="minorHAnsi" w:hAnsi="Palatino Linotype"/>
          <w:b/>
          <w:bCs/>
          <w:sz w:val="32"/>
          <w:szCs w:val="32"/>
          <w:lang w:val="es-EC" w:eastAsia="en-US"/>
        </w:rPr>
      </w:pPr>
    </w:p>
    <w:p w:rsidR="006F7558" w:rsidRDefault="006F7558" w:rsidP="006F7558">
      <w:pPr>
        <w:autoSpaceDE w:val="0"/>
        <w:autoSpaceDN w:val="0"/>
        <w:adjustRightInd w:val="0"/>
        <w:jc w:val="center"/>
        <w:rPr>
          <w:rFonts w:ascii="Palatino Linotype" w:eastAsiaTheme="minorHAnsi" w:hAnsi="Palatino Linotype"/>
          <w:b/>
          <w:bCs/>
          <w:sz w:val="32"/>
          <w:szCs w:val="32"/>
          <w:lang w:val="es-EC" w:eastAsia="en-US"/>
        </w:rPr>
      </w:pPr>
      <w:r w:rsidRPr="008F1A94">
        <w:rPr>
          <w:rFonts w:ascii="Palatino Linotype" w:eastAsiaTheme="minorHAnsi" w:hAnsi="Palatino Linotype"/>
          <w:b/>
          <w:bCs/>
          <w:sz w:val="32"/>
          <w:szCs w:val="32"/>
          <w:lang w:val="es-EC" w:eastAsia="en-US"/>
        </w:rPr>
        <w:t>RESUELVE</w:t>
      </w:r>
      <w:r w:rsidR="00445D37" w:rsidRPr="008F1A94">
        <w:rPr>
          <w:rFonts w:ascii="Palatino Linotype" w:eastAsiaTheme="minorHAnsi" w:hAnsi="Palatino Linotype"/>
          <w:b/>
          <w:bCs/>
          <w:sz w:val="32"/>
          <w:szCs w:val="32"/>
          <w:lang w:val="es-EC" w:eastAsia="en-US"/>
        </w:rPr>
        <w:t>:</w:t>
      </w:r>
    </w:p>
    <w:p w:rsidR="00D60378" w:rsidRDefault="00D60378" w:rsidP="00D60378">
      <w:pPr>
        <w:autoSpaceDE w:val="0"/>
        <w:autoSpaceDN w:val="0"/>
        <w:adjustRightInd w:val="0"/>
        <w:rPr>
          <w:rFonts w:ascii="Palatino Linotype" w:eastAsiaTheme="minorHAnsi" w:hAnsi="Palatino Linotype"/>
          <w:b/>
          <w:bCs/>
          <w:sz w:val="32"/>
          <w:szCs w:val="32"/>
          <w:lang w:val="es-EC" w:eastAsia="en-US"/>
        </w:rPr>
      </w:pPr>
    </w:p>
    <w:p w:rsidR="003D7CFA" w:rsidRDefault="00D60378" w:rsidP="004F7448">
      <w:pPr>
        <w:pStyle w:val="Sinespaciado"/>
        <w:rPr>
          <w:rFonts w:ascii="Palatino Linotype" w:hAnsi="Palatino Linotype"/>
          <w:sz w:val="22"/>
          <w:szCs w:val="22"/>
        </w:rPr>
      </w:pPr>
      <w:r w:rsidRPr="00974EE8">
        <w:rPr>
          <w:rFonts w:ascii="Palatino Linotype" w:hAnsi="Palatino Linotype"/>
          <w:b/>
          <w:sz w:val="22"/>
          <w:szCs w:val="22"/>
        </w:rPr>
        <w:t>Artículo 1.-</w:t>
      </w:r>
      <w:r w:rsidR="004F3B81">
        <w:rPr>
          <w:rFonts w:ascii="Palatino Linotype" w:hAnsi="Palatino Linotype"/>
          <w:sz w:val="22"/>
          <w:szCs w:val="22"/>
        </w:rPr>
        <w:t xml:space="preserve"> </w:t>
      </w:r>
      <w:r w:rsidR="004F7448" w:rsidRPr="004F7448">
        <w:rPr>
          <w:rFonts w:ascii="Palatino Linotype" w:hAnsi="Palatino Linotype"/>
          <w:sz w:val="22"/>
          <w:szCs w:val="22"/>
        </w:rPr>
        <w:t xml:space="preserve">Autorizar </w:t>
      </w:r>
      <w:r w:rsidR="003D7CFA" w:rsidRPr="002376E2">
        <w:rPr>
          <w:rFonts w:ascii="Palatino Linotype" w:hAnsi="Palatino Linotype"/>
          <w:sz w:val="22"/>
          <w:szCs w:val="22"/>
        </w:rPr>
        <w:t>la suscripción del Convenio de Administración y Uso Múltiple entre el Comité Pro Mejoras “Carapungo Libre y Seguro” y la Administración Zonal Calderón, sobre el área de 3.291,94 m2, del predio No. 320052 de propiedad municipal, ubicado en la parroquia Calderón, de conformidad con los datos técnicos que constan en la ficha técnica remitida por la Dirección Metropolitana de Catastro</w:t>
      </w:r>
      <w:r w:rsidR="003D7CFA">
        <w:rPr>
          <w:sz w:val="27"/>
          <w:szCs w:val="27"/>
        </w:rPr>
        <w:t xml:space="preserve">, </w:t>
      </w:r>
      <w:r w:rsidR="003D7CFA" w:rsidRPr="002376E2">
        <w:rPr>
          <w:rFonts w:ascii="Palatino Linotype" w:hAnsi="Palatino Linotype"/>
          <w:sz w:val="22"/>
          <w:szCs w:val="22"/>
        </w:rPr>
        <w:t>mediante Informe No. DMC-GCE-2020-091 de 31de julio de 2020</w:t>
      </w:r>
      <w:r w:rsidR="006721D1">
        <w:rPr>
          <w:rFonts w:ascii="Palatino Linotype" w:hAnsi="Palatino Linotype"/>
          <w:sz w:val="22"/>
          <w:szCs w:val="22"/>
        </w:rPr>
        <w:t>.</w:t>
      </w:r>
    </w:p>
    <w:p w:rsidR="004F7448" w:rsidRDefault="004F7448" w:rsidP="004F7448">
      <w:pPr>
        <w:pStyle w:val="Sinespaciado"/>
        <w:rPr>
          <w:rFonts w:ascii="Palatino Linotype" w:hAnsi="Palatino Linotype"/>
          <w:sz w:val="22"/>
          <w:szCs w:val="22"/>
        </w:rPr>
      </w:pPr>
    </w:p>
    <w:p w:rsidR="003D7CFA" w:rsidRDefault="00BC7A8A" w:rsidP="003D7CFA">
      <w:pPr>
        <w:jc w:val="both"/>
        <w:rPr>
          <w:rFonts w:ascii="Arial" w:hAnsi="Arial" w:cs="Arial"/>
          <w:sz w:val="26"/>
          <w:szCs w:val="26"/>
        </w:rPr>
      </w:pPr>
      <w:r w:rsidRPr="004F7448">
        <w:rPr>
          <w:rFonts w:ascii="Palatino Linotype" w:hAnsi="Palatino Linotype"/>
          <w:b/>
          <w:sz w:val="22"/>
          <w:szCs w:val="22"/>
        </w:rPr>
        <w:t xml:space="preserve">Artículo </w:t>
      </w:r>
      <w:r w:rsidR="00007F7B" w:rsidRPr="004F7448">
        <w:rPr>
          <w:rFonts w:ascii="Palatino Linotype" w:hAnsi="Palatino Linotype"/>
          <w:b/>
          <w:sz w:val="22"/>
          <w:szCs w:val="22"/>
        </w:rPr>
        <w:t>2</w:t>
      </w:r>
      <w:r w:rsidRPr="004F7448">
        <w:rPr>
          <w:rFonts w:ascii="Palatino Linotype" w:hAnsi="Palatino Linotype"/>
          <w:b/>
          <w:sz w:val="22"/>
          <w:szCs w:val="22"/>
        </w:rPr>
        <w:t>.-</w:t>
      </w:r>
      <w:r w:rsidR="00007F7B" w:rsidRPr="004F7448">
        <w:rPr>
          <w:rFonts w:ascii="Palatino Linotype" w:hAnsi="Palatino Linotype"/>
          <w:b/>
          <w:sz w:val="22"/>
          <w:szCs w:val="22"/>
        </w:rPr>
        <w:t xml:space="preserve"> </w:t>
      </w:r>
      <w:r w:rsidR="003D7CFA" w:rsidRPr="003D7CFA">
        <w:rPr>
          <w:rFonts w:ascii="Palatino Linotype" w:hAnsi="Palatino Linotype"/>
          <w:sz w:val="22"/>
          <w:szCs w:val="22"/>
        </w:rPr>
        <w:t>Disponer a</w:t>
      </w:r>
      <w:r w:rsidR="003D7CFA">
        <w:rPr>
          <w:rFonts w:ascii="Palatino Linotype" w:hAnsi="Palatino Linotype"/>
          <w:b/>
          <w:sz w:val="22"/>
          <w:szCs w:val="22"/>
        </w:rPr>
        <w:t xml:space="preserve"> </w:t>
      </w:r>
      <w:r w:rsidR="003D7CFA" w:rsidRPr="003D7CFA">
        <w:rPr>
          <w:rFonts w:ascii="Palatino Linotype" w:hAnsi="Palatino Linotype" w:cs="Arial"/>
          <w:sz w:val="22"/>
          <w:szCs w:val="22"/>
        </w:rPr>
        <w:t xml:space="preserve">la Administración Zonal </w:t>
      </w:r>
      <w:r w:rsidR="003D7CFA">
        <w:rPr>
          <w:rFonts w:ascii="Palatino Linotype" w:hAnsi="Palatino Linotype" w:cs="Arial"/>
          <w:sz w:val="22"/>
          <w:szCs w:val="22"/>
        </w:rPr>
        <w:t>Calderón</w:t>
      </w:r>
      <w:r w:rsidR="003D7CFA" w:rsidRPr="003D7CFA">
        <w:rPr>
          <w:rFonts w:ascii="Palatino Linotype" w:hAnsi="Palatino Linotype" w:cs="Arial"/>
          <w:sz w:val="22"/>
          <w:szCs w:val="22"/>
        </w:rPr>
        <w:t xml:space="preserve">, </w:t>
      </w:r>
      <w:r w:rsidR="003D7CFA">
        <w:rPr>
          <w:rFonts w:ascii="Palatino Linotype" w:hAnsi="Palatino Linotype" w:cs="Arial"/>
          <w:sz w:val="22"/>
          <w:szCs w:val="22"/>
        </w:rPr>
        <w:t xml:space="preserve">que una vez suscrito el Convenio </w:t>
      </w:r>
      <w:r w:rsidR="003D7CFA" w:rsidRPr="002376E2">
        <w:rPr>
          <w:rFonts w:ascii="Palatino Linotype" w:hAnsi="Palatino Linotype"/>
          <w:sz w:val="22"/>
          <w:szCs w:val="22"/>
        </w:rPr>
        <w:t>de Administración y Uso Múltiple entre el Comité Pro Mejoras “Carapungo Libre y Seguro”</w:t>
      </w:r>
      <w:r w:rsidR="003D7CFA">
        <w:rPr>
          <w:rFonts w:ascii="Palatino Linotype" w:hAnsi="Palatino Linotype"/>
          <w:sz w:val="22"/>
          <w:szCs w:val="22"/>
        </w:rPr>
        <w:t>, registre en su base el</w:t>
      </w:r>
      <w:r w:rsidR="003D7CFA" w:rsidRPr="003D7CFA">
        <w:rPr>
          <w:rFonts w:ascii="Palatino Linotype" w:hAnsi="Palatino Linotype" w:cs="Arial"/>
          <w:sz w:val="22"/>
          <w:szCs w:val="22"/>
        </w:rPr>
        <w:t xml:space="preserve"> mismo y remit</w:t>
      </w:r>
      <w:r w:rsidR="003D7CFA">
        <w:rPr>
          <w:rFonts w:ascii="Palatino Linotype" w:hAnsi="Palatino Linotype" w:cs="Arial"/>
          <w:sz w:val="22"/>
          <w:szCs w:val="22"/>
        </w:rPr>
        <w:t>a</w:t>
      </w:r>
      <w:r w:rsidR="003D7CFA" w:rsidRPr="003D7CFA">
        <w:rPr>
          <w:rFonts w:ascii="Palatino Linotype" w:hAnsi="Palatino Linotype" w:cs="Arial"/>
          <w:sz w:val="22"/>
          <w:szCs w:val="22"/>
        </w:rPr>
        <w:t xml:space="preserve"> una copia para conocimiento y registro de este acuerdo a la Procuraduría Metropolitana, a la Dirección Metropolitana de Gestión de Bienes Inmuebles, a la Dirección Metropolitana de Deportes y a la Dirección Metropolitana de Catastro.</w:t>
      </w:r>
    </w:p>
    <w:p w:rsidR="003D7CFA" w:rsidRDefault="003D7CFA" w:rsidP="003D7CFA">
      <w:pPr>
        <w:jc w:val="both"/>
        <w:rPr>
          <w:rFonts w:ascii="Arial" w:hAnsi="Arial" w:cs="Arial"/>
          <w:sz w:val="26"/>
          <w:szCs w:val="26"/>
        </w:rPr>
      </w:pPr>
    </w:p>
    <w:p w:rsidR="003D7CFA" w:rsidRPr="003D7CFA" w:rsidRDefault="004F7448" w:rsidP="003D7CFA">
      <w:pPr>
        <w:pStyle w:val="Sinespaciado"/>
        <w:rPr>
          <w:rFonts w:ascii="Palatino Linotype" w:hAnsi="Palatino Linotype"/>
          <w:sz w:val="22"/>
          <w:szCs w:val="22"/>
        </w:rPr>
      </w:pPr>
      <w:r w:rsidRPr="004F7448">
        <w:rPr>
          <w:rFonts w:ascii="Palatino Linotype" w:hAnsi="Palatino Linotype"/>
          <w:b/>
          <w:sz w:val="22"/>
          <w:szCs w:val="22"/>
        </w:rPr>
        <w:t>Artículo 3.-</w:t>
      </w:r>
      <w:r w:rsidRPr="004F7448">
        <w:rPr>
          <w:rFonts w:ascii="Palatino Linotype" w:hAnsi="Palatino Linotype"/>
          <w:sz w:val="22"/>
          <w:szCs w:val="22"/>
        </w:rPr>
        <w:t xml:space="preserve"> </w:t>
      </w:r>
      <w:r w:rsidR="003D7CFA" w:rsidRPr="003D7CFA">
        <w:rPr>
          <w:rFonts w:ascii="Palatino Linotype" w:hAnsi="Palatino Linotype"/>
          <w:sz w:val="22"/>
          <w:szCs w:val="22"/>
        </w:rPr>
        <w:t>Disponer a</w:t>
      </w:r>
      <w:r w:rsidR="003D7CFA">
        <w:rPr>
          <w:rFonts w:ascii="Palatino Linotype" w:hAnsi="Palatino Linotype"/>
          <w:b/>
          <w:sz w:val="22"/>
          <w:szCs w:val="22"/>
        </w:rPr>
        <w:t xml:space="preserve"> </w:t>
      </w:r>
      <w:r w:rsidR="003D7CFA" w:rsidRPr="003D7CFA">
        <w:rPr>
          <w:rFonts w:ascii="Palatino Linotype" w:hAnsi="Palatino Linotype" w:cs="Arial"/>
          <w:sz w:val="22"/>
          <w:szCs w:val="22"/>
        </w:rPr>
        <w:t xml:space="preserve">la Administración Zonal </w:t>
      </w:r>
      <w:r w:rsidR="003D7CFA">
        <w:rPr>
          <w:rFonts w:ascii="Palatino Linotype" w:hAnsi="Palatino Linotype" w:cs="Arial"/>
          <w:sz w:val="22"/>
          <w:szCs w:val="22"/>
        </w:rPr>
        <w:t>Calderón</w:t>
      </w:r>
      <w:r w:rsidR="003D7CFA">
        <w:rPr>
          <w:rFonts w:ascii="Palatino Linotype" w:hAnsi="Palatino Linotype"/>
          <w:sz w:val="22"/>
          <w:szCs w:val="22"/>
        </w:rPr>
        <w:t xml:space="preserve"> </w:t>
      </w:r>
      <w:r w:rsidR="003D7CFA">
        <w:rPr>
          <w:rFonts w:ascii="Palatino Linotype" w:hAnsi="Palatino Linotype" w:cs="Arial"/>
          <w:sz w:val="22"/>
          <w:szCs w:val="22"/>
        </w:rPr>
        <w:t>e</w:t>
      </w:r>
      <w:r w:rsidR="003D7CFA" w:rsidRPr="003D7CFA">
        <w:rPr>
          <w:rFonts w:ascii="Palatino Linotype" w:hAnsi="Palatino Linotype" w:cs="Arial"/>
          <w:sz w:val="22"/>
          <w:szCs w:val="22"/>
        </w:rPr>
        <w:t>l seguimiento, control y cumplimiento de est</w:t>
      </w:r>
      <w:r w:rsidR="003D7CFA">
        <w:rPr>
          <w:rFonts w:ascii="Palatino Linotype" w:hAnsi="Palatino Linotype" w:cs="Arial"/>
          <w:sz w:val="22"/>
          <w:szCs w:val="22"/>
        </w:rPr>
        <w:t>e</w:t>
      </w:r>
      <w:r w:rsidR="003D7CFA" w:rsidRPr="003D7CFA">
        <w:rPr>
          <w:rFonts w:ascii="Palatino Linotype" w:hAnsi="Palatino Linotype" w:cs="Arial"/>
          <w:sz w:val="22"/>
          <w:szCs w:val="22"/>
        </w:rPr>
        <w:t xml:space="preserve"> convenio</w:t>
      </w:r>
      <w:r w:rsidR="003D7CFA">
        <w:rPr>
          <w:rFonts w:ascii="Palatino Linotype" w:hAnsi="Palatino Linotype" w:cs="Arial"/>
          <w:sz w:val="22"/>
          <w:szCs w:val="22"/>
        </w:rPr>
        <w:t xml:space="preserve">. </w:t>
      </w:r>
    </w:p>
    <w:p w:rsidR="004F7448" w:rsidRDefault="004F7448" w:rsidP="004F7448">
      <w:pPr>
        <w:pStyle w:val="Sinespaciado"/>
        <w:rPr>
          <w:rFonts w:ascii="Palatino Linotype" w:hAnsi="Palatino Linotype"/>
          <w:sz w:val="22"/>
          <w:szCs w:val="22"/>
        </w:rPr>
      </w:pPr>
    </w:p>
    <w:p w:rsidR="004F7448" w:rsidRDefault="004F7448" w:rsidP="004F7448">
      <w:pPr>
        <w:pStyle w:val="Sinespaciado"/>
        <w:rPr>
          <w:rFonts w:ascii="Arial" w:hAnsi="Arial" w:cs="Arial"/>
          <w:sz w:val="26"/>
          <w:szCs w:val="26"/>
        </w:rPr>
      </w:pPr>
      <w:r w:rsidRPr="004F7448">
        <w:rPr>
          <w:rFonts w:ascii="Palatino Linotype" w:hAnsi="Palatino Linotype"/>
          <w:b/>
          <w:sz w:val="22"/>
          <w:szCs w:val="22"/>
        </w:rPr>
        <w:t>Artículo 4.-</w:t>
      </w:r>
      <w:r w:rsidRPr="004F7448">
        <w:rPr>
          <w:rFonts w:ascii="Palatino Linotype" w:hAnsi="Palatino Linotype"/>
          <w:sz w:val="22"/>
          <w:szCs w:val="22"/>
        </w:rPr>
        <w:t xml:space="preserve"> </w:t>
      </w:r>
      <w:r w:rsidR="003D7CFA" w:rsidRPr="003D7CFA">
        <w:rPr>
          <w:rFonts w:ascii="Palatino Linotype" w:hAnsi="Palatino Linotype" w:cs="Arial"/>
          <w:sz w:val="22"/>
          <w:szCs w:val="22"/>
        </w:rPr>
        <w:t xml:space="preserve">Los espacios recreativos que se entreguen mediante el Convenio de Administración y Uso Múltiple de las Áreas </w:t>
      </w:r>
      <w:r w:rsidR="003D7CFA">
        <w:rPr>
          <w:rFonts w:ascii="Palatino Linotype" w:hAnsi="Palatino Linotype" w:cs="Arial"/>
          <w:sz w:val="22"/>
          <w:szCs w:val="22"/>
        </w:rPr>
        <w:t>entregadas</w:t>
      </w:r>
      <w:r w:rsidR="003D7CFA" w:rsidRPr="003D7CFA">
        <w:rPr>
          <w:rFonts w:ascii="Palatino Linotype" w:hAnsi="Palatino Linotype" w:cs="Arial"/>
          <w:sz w:val="22"/>
          <w:szCs w:val="22"/>
        </w:rPr>
        <w:t xml:space="preserve"> no podrán ser destinados o utilizados en propósitos diferentes al acordado en el convenio</w:t>
      </w:r>
      <w:r w:rsidR="003D7CFA" w:rsidRPr="00CA34D2">
        <w:rPr>
          <w:rFonts w:ascii="Arial" w:hAnsi="Arial" w:cs="Arial"/>
          <w:sz w:val="26"/>
          <w:szCs w:val="26"/>
        </w:rPr>
        <w:t>.</w:t>
      </w:r>
    </w:p>
    <w:p w:rsidR="003D7CFA" w:rsidRDefault="003D7CFA" w:rsidP="004F7448">
      <w:pPr>
        <w:pStyle w:val="Sinespaciado"/>
        <w:rPr>
          <w:rFonts w:ascii="Arial" w:hAnsi="Arial" w:cs="Arial"/>
          <w:sz w:val="26"/>
          <w:szCs w:val="26"/>
        </w:rPr>
      </w:pPr>
    </w:p>
    <w:p w:rsidR="003D7CFA" w:rsidRPr="003D7CFA" w:rsidRDefault="003D7CFA" w:rsidP="003D7CFA">
      <w:pPr>
        <w:pStyle w:val="Sinespaciado"/>
        <w:rPr>
          <w:rFonts w:ascii="Palatino Linotype" w:hAnsi="Palatino Linotype"/>
          <w:sz w:val="22"/>
          <w:szCs w:val="22"/>
        </w:rPr>
      </w:pPr>
      <w:r w:rsidRPr="004F7448">
        <w:rPr>
          <w:rFonts w:ascii="Palatino Linotype" w:hAnsi="Palatino Linotype"/>
          <w:b/>
          <w:sz w:val="22"/>
          <w:szCs w:val="22"/>
        </w:rPr>
        <w:t>Artículo 5.-</w:t>
      </w:r>
      <w:r w:rsidRPr="004F7448">
        <w:rPr>
          <w:rFonts w:ascii="Palatino Linotype" w:hAnsi="Palatino Linotype"/>
          <w:sz w:val="22"/>
          <w:szCs w:val="22"/>
        </w:rPr>
        <w:t xml:space="preserve"> </w:t>
      </w:r>
      <w:r w:rsidRPr="003D7CFA">
        <w:rPr>
          <w:rFonts w:ascii="Palatino Linotype" w:hAnsi="Palatino Linotype" w:cs="Arial"/>
          <w:sz w:val="22"/>
          <w:szCs w:val="22"/>
        </w:rPr>
        <w:t xml:space="preserve">En caso de mal uso y/o deterioro de las instalaciones entregadas o incumplimiento de lo estipulado en el Convenio de Administración y Uso Múltiple de las Áreas </w:t>
      </w:r>
      <w:r>
        <w:rPr>
          <w:rFonts w:ascii="Palatino Linotype" w:hAnsi="Palatino Linotype" w:cs="Arial"/>
          <w:sz w:val="22"/>
          <w:szCs w:val="22"/>
        </w:rPr>
        <w:t>entregadas</w:t>
      </w:r>
      <w:r w:rsidRPr="003D7CFA">
        <w:rPr>
          <w:rFonts w:ascii="Palatino Linotype" w:hAnsi="Palatino Linotype" w:cs="Arial"/>
          <w:sz w:val="22"/>
          <w:szCs w:val="22"/>
        </w:rPr>
        <w:t>, la Administración Zonal</w:t>
      </w:r>
      <w:r>
        <w:rPr>
          <w:rFonts w:ascii="Palatino Linotype" w:hAnsi="Palatino Linotype" w:cs="Arial"/>
          <w:sz w:val="22"/>
          <w:szCs w:val="22"/>
        </w:rPr>
        <w:t xml:space="preserve"> Calderón</w:t>
      </w:r>
      <w:r w:rsidRPr="003D7CFA">
        <w:rPr>
          <w:rFonts w:ascii="Palatino Linotype" w:hAnsi="Palatino Linotype" w:cs="Arial"/>
          <w:sz w:val="22"/>
          <w:szCs w:val="22"/>
        </w:rPr>
        <w:t xml:space="preserve"> informará de este particular a la Comisión </w:t>
      </w:r>
      <w:r>
        <w:rPr>
          <w:rFonts w:ascii="Palatino Linotype" w:hAnsi="Palatino Linotype" w:cs="Arial"/>
          <w:sz w:val="22"/>
          <w:szCs w:val="22"/>
        </w:rPr>
        <w:t xml:space="preserve">de Propiedad y Espacio Público </w:t>
      </w:r>
      <w:r w:rsidRPr="003D7CFA">
        <w:rPr>
          <w:rFonts w:ascii="Palatino Linotype" w:hAnsi="Palatino Linotype" w:cs="Arial"/>
          <w:sz w:val="22"/>
          <w:szCs w:val="22"/>
        </w:rPr>
        <w:t>para que se adopten los correctivos del caso o se dé por terminado el convenio</w:t>
      </w:r>
      <w:r>
        <w:rPr>
          <w:rFonts w:ascii="Palatino Linotype" w:hAnsi="Palatino Linotype" w:cs="Arial"/>
          <w:sz w:val="22"/>
          <w:szCs w:val="22"/>
        </w:rPr>
        <w:t>.</w:t>
      </w:r>
    </w:p>
    <w:p w:rsidR="004F7448" w:rsidRDefault="004F7448" w:rsidP="004F7448">
      <w:pPr>
        <w:pStyle w:val="Sinespaciado"/>
        <w:rPr>
          <w:rFonts w:ascii="Palatino Linotype" w:hAnsi="Palatino Linotype"/>
          <w:sz w:val="22"/>
          <w:szCs w:val="22"/>
        </w:rPr>
      </w:pPr>
      <w:bookmarkStart w:id="0" w:name="_GoBack"/>
      <w:bookmarkEnd w:id="0"/>
    </w:p>
    <w:p w:rsidR="004F7448" w:rsidRPr="004F7448" w:rsidRDefault="003D7CFA" w:rsidP="004F7448">
      <w:pPr>
        <w:pStyle w:val="Sinespaciado"/>
        <w:rPr>
          <w:rFonts w:ascii="Palatino Linotype" w:hAnsi="Palatino Linotype"/>
          <w:sz w:val="22"/>
          <w:szCs w:val="22"/>
        </w:rPr>
      </w:pPr>
      <w:r>
        <w:rPr>
          <w:rFonts w:ascii="Palatino Linotype" w:hAnsi="Palatino Linotype"/>
          <w:b/>
          <w:sz w:val="22"/>
          <w:szCs w:val="22"/>
        </w:rPr>
        <w:t>Artículo 6</w:t>
      </w:r>
      <w:r w:rsidR="004F7448" w:rsidRPr="004F7448">
        <w:rPr>
          <w:rFonts w:ascii="Palatino Linotype" w:hAnsi="Palatino Linotype"/>
          <w:b/>
          <w:sz w:val="22"/>
          <w:szCs w:val="22"/>
        </w:rPr>
        <w:t>.-</w:t>
      </w:r>
      <w:r w:rsidR="004F7448" w:rsidRPr="004F7448">
        <w:rPr>
          <w:rFonts w:ascii="Palatino Linotype" w:hAnsi="Palatino Linotype"/>
          <w:sz w:val="22"/>
          <w:szCs w:val="22"/>
        </w:rPr>
        <w:t xml:space="preserve"> </w:t>
      </w:r>
      <w:r w:rsidRPr="003D7CFA">
        <w:rPr>
          <w:rFonts w:ascii="Palatino Linotype" w:hAnsi="Palatino Linotype"/>
          <w:sz w:val="22"/>
          <w:szCs w:val="22"/>
        </w:rPr>
        <w:t>Con la resolución del Concejo Metropolitano, comuníquese al</w:t>
      </w:r>
      <w:r>
        <w:rPr>
          <w:rFonts w:ascii="Palatino Linotype" w:hAnsi="Palatino Linotype"/>
          <w:sz w:val="22"/>
          <w:szCs w:val="22"/>
        </w:rPr>
        <w:t xml:space="preserve"> interesado</w:t>
      </w:r>
      <w:r w:rsidRPr="003D7CFA">
        <w:rPr>
          <w:rFonts w:ascii="Palatino Linotype" w:hAnsi="Palatino Linotype"/>
          <w:sz w:val="22"/>
          <w:szCs w:val="22"/>
        </w:rPr>
        <w:t xml:space="preserve"> y a las dependencias involucradas.</w:t>
      </w:r>
    </w:p>
    <w:p w:rsidR="004F7448" w:rsidRPr="004F7448" w:rsidRDefault="004F7448" w:rsidP="004F7448">
      <w:pPr>
        <w:pStyle w:val="Sinespaciado"/>
        <w:rPr>
          <w:rFonts w:ascii="Palatino Linotype" w:hAnsi="Palatino Linotype"/>
          <w:sz w:val="22"/>
          <w:szCs w:val="22"/>
        </w:rPr>
      </w:pPr>
    </w:p>
    <w:p w:rsidR="00371D00" w:rsidRPr="009937FA" w:rsidRDefault="004014B8" w:rsidP="003653E3">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Disposición Final. -</w:t>
      </w:r>
      <w:r w:rsidR="00371D00" w:rsidRPr="00974EE8">
        <w:rPr>
          <w:rFonts w:ascii="Palatino Linotype" w:eastAsiaTheme="minorHAnsi" w:hAnsi="Palatino Linotype"/>
          <w:b/>
          <w:sz w:val="22"/>
          <w:szCs w:val="22"/>
          <w:lang w:val="es-EC" w:eastAsia="en-US"/>
        </w:rPr>
        <w:t xml:space="preserve"> </w:t>
      </w:r>
      <w:r w:rsidRPr="00974EE8">
        <w:rPr>
          <w:rFonts w:ascii="Palatino Linotype" w:eastAsiaTheme="minorHAnsi" w:hAnsi="Palatino Linotype"/>
          <w:sz w:val="22"/>
          <w:szCs w:val="22"/>
          <w:lang w:val="es-EC" w:eastAsia="en-US"/>
        </w:rPr>
        <w:t>La presente Resolución entrará en vigencia a partir de su suscripción sin perjuicio de su publicación.</w:t>
      </w:r>
      <w:r w:rsidR="00371D00" w:rsidRPr="00974EE8">
        <w:rPr>
          <w:rFonts w:ascii="Palatino Linotype" w:eastAsiaTheme="minorHAnsi" w:hAnsi="Palatino Linotype"/>
          <w:sz w:val="22"/>
          <w:szCs w:val="22"/>
          <w:lang w:val="es-EC" w:eastAsia="en-US"/>
        </w:rPr>
        <w:t xml:space="preserve"> </w:t>
      </w:r>
    </w:p>
    <w:p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rsidR="00371D00" w:rsidRPr="00974EE8" w:rsidRDefault="00371D00" w:rsidP="00371D00">
      <w:pPr>
        <w:jc w:val="both"/>
        <w:rPr>
          <w:rFonts w:ascii="Palatino Linotype" w:hAnsi="Palatino Linotype"/>
          <w:sz w:val="22"/>
          <w:szCs w:val="22"/>
        </w:rPr>
      </w:pPr>
    </w:p>
    <w:p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Dr. Jorge Yunda Machado</w:t>
      </w:r>
    </w:p>
    <w:p w:rsidR="00371D00" w:rsidRPr="00974EE8" w:rsidRDefault="00371D00" w:rsidP="00371D00">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rsidR="00371D00" w:rsidRPr="00974EE8" w:rsidRDefault="00371D00" w:rsidP="00371D00">
      <w:pPr>
        <w:jc w:val="both"/>
        <w:rPr>
          <w:rFonts w:ascii="Palatino Linotype" w:hAnsi="Palatino Linotype"/>
          <w:b/>
          <w:sz w:val="22"/>
          <w:szCs w:val="22"/>
        </w:rPr>
      </w:pPr>
    </w:p>
    <w:p w:rsidR="00371D00" w:rsidRPr="00974EE8" w:rsidRDefault="00371D00" w:rsidP="00371D00">
      <w:pPr>
        <w:jc w:val="both"/>
        <w:rPr>
          <w:rFonts w:ascii="Palatino Linotype" w:hAnsi="Palatino Linotype"/>
          <w:sz w:val="22"/>
          <w:szCs w:val="22"/>
        </w:rPr>
      </w:pPr>
      <w:r w:rsidRPr="00974EE8">
        <w:rPr>
          <w:rFonts w:ascii="Palatino Linotype" w:hAnsi="Palatino Linotype"/>
          <w:b/>
          <w:sz w:val="22"/>
          <w:szCs w:val="22"/>
        </w:rPr>
        <w:t>CERTIFICO,</w:t>
      </w:r>
      <w:r w:rsidRPr="00974EE8">
        <w:rPr>
          <w:rFonts w:ascii="Palatino Linotype" w:hAnsi="Palatino Linotype"/>
          <w:sz w:val="22"/>
          <w:szCs w:val="22"/>
        </w:rPr>
        <w:t xml:space="preserve"> que la presente resolución fue discutida y aprobada en sesión pública ordinaria del Concejo Metropolitano de Quito, el</w:t>
      </w:r>
      <w:r w:rsidR="00B26D77">
        <w:rPr>
          <w:rFonts w:ascii="Palatino Linotype" w:hAnsi="Palatino Linotype"/>
          <w:sz w:val="22"/>
          <w:szCs w:val="22"/>
        </w:rPr>
        <w:t xml:space="preserve"> XXXXXXXXXXX</w:t>
      </w:r>
      <w:r w:rsidR="00140E5B" w:rsidRPr="00974EE8">
        <w:rPr>
          <w:rFonts w:ascii="Palatino Linotype" w:hAnsi="Palatino Linotype"/>
          <w:sz w:val="22"/>
          <w:szCs w:val="22"/>
        </w:rPr>
        <w:t>;</w:t>
      </w:r>
      <w:r w:rsidRPr="00974EE8">
        <w:rPr>
          <w:rFonts w:ascii="Palatino Linotype" w:hAnsi="Palatino Linotype"/>
          <w:sz w:val="22"/>
          <w:szCs w:val="22"/>
        </w:rPr>
        <w:t xml:space="preserve"> y, suscrita por el Dr. Jorge Yunda Machado, Alcalde del Distrito Metropolitano de Quito, el </w:t>
      </w:r>
      <w:r w:rsidR="00B26D77">
        <w:rPr>
          <w:rFonts w:ascii="Palatino Linotype" w:hAnsi="Palatino Linotype"/>
          <w:sz w:val="22"/>
          <w:szCs w:val="22"/>
        </w:rPr>
        <w:t>XXXXXXXXXXX</w:t>
      </w:r>
      <w:r w:rsidR="00140E5B" w:rsidRPr="00974EE8">
        <w:rPr>
          <w:rFonts w:ascii="Palatino Linotype" w:hAnsi="Palatino Linotype"/>
          <w:sz w:val="22"/>
          <w:szCs w:val="22"/>
        </w:rPr>
        <w:t xml:space="preserve"> de </w:t>
      </w:r>
      <w:r w:rsidR="00B26D77">
        <w:rPr>
          <w:rFonts w:ascii="Palatino Linotype" w:hAnsi="Palatino Linotype"/>
          <w:sz w:val="22"/>
          <w:szCs w:val="22"/>
        </w:rPr>
        <w:t>XXXXXXX</w:t>
      </w:r>
      <w:r w:rsidR="00140E5B" w:rsidRPr="00974EE8">
        <w:rPr>
          <w:rFonts w:ascii="Palatino Linotype" w:hAnsi="Palatino Linotype"/>
          <w:sz w:val="22"/>
          <w:szCs w:val="22"/>
        </w:rPr>
        <w:t xml:space="preserve"> de 202</w:t>
      </w:r>
      <w:r w:rsidR="00BC11C3">
        <w:rPr>
          <w:rFonts w:ascii="Palatino Linotype" w:hAnsi="Palatino Linotype"/>
          <w:sz w:val="22"/>
          <w:szCs w:val="22"/>
        </w:rPr>
        <w:t>1</w:t>
      </w:r>
      <w:r w:rsidR="009368DD" w:rsidRPr="00974EE8">
        <w:rPr>
          <w:rFonts w:ascii="Palatino Linotype" w:hAnsi="Palatino Linotype"/>
          <w:sz w:val="22"/>
          <w:szCs w:val="22"/>
        </w:rPr>
        <w:t>.</w:t>
      </w:r>
    </w:p>
    <w:p w:rsidR="00076EB1" w:rsidRPr="00974EE8" w:rsidRDefault="00076EB1" w:rsidP="00371D00">
      <w:pPr>
        <w:jc w:val="both"/>
        <w:rPr>
          <w:rFonts w:ascii="Palatino Linotype" w:hAnsi="Palatino Linotype"/>
          <w:b/>
          <w:sz w:val="22"/>
          <w:szCs w:val="22"/>
        </w:rPr>
      </w:pPr>
    </w:p>
    <w:p w:rsidR="00140E5B" w:rsidRPr="00974EE8" w:rsidRDefault="00371D00" w:rsidP="00140E5B">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003653E3" w:rsidRPr="00974EE8">
        <w:rPr>
          <w:rFonts w:ascii="Palatino Linotype" w:hAnsi="Palatino Linotype"/>
          <w:sz w:val="22"/>
          <w:szCs w:val="22"/>
        </w:rPr>
        <w:t xml:space="preserve">el </w:t>
      </w:r>
    </w:p>
    <w:p w:rsidR="00371D00" w:rsidRPr="00974EE8" w:rsidRDefault="00371D00" w:rsidP="00371D00">
      <w:pPr>
        <w:jc w:val="both"/>
        <w:rPr>
          <w:rFonts w:ascii="Palatino Linotype" w:hAnsi="Palatino Linotype"/>
          <w:sz w:val="22"/>
          <w:szCs w:val="22"/>
        </w:rPr>
      </w:pPr>
    </w:p>
    <w:p w:rsidR="00371D00" w:rsidRPr="00974EE8" w:rsidRDefault="00371D00" w:rsidP="00371D00">
      <w:pPr>
        <w:rPr>
          <w:rFonts w:ascii="Palatino Linotype" w:hAnsi="Palatino Linotype"/>
          <w:sz w:val="22"/>
          <w:szCs w:val="22"/>
        </w:rPr>
      </w:pPr>
    </w:p>
    <w:p w:rsidR="00371D00" w:rsidRPr="00974EE8" w:rsidRDefault="00371D00" w:rsidP="00371D00">
      <w:pPr>
        <w:jc w:val="both"/>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 xml:space="preserve">Abg. </w:t>
      </w:r>
      <w:r w:rsidR="00076EB1" w:rsidRPr="00974EE8">
        <w:rPr>
          <w:rFonts w:ascii="Palatino Linotype" w:hAnsi="Palatino Linotype"/>
          <w:sz w:val="22"/>
          <w:szCs w:val="22"/>
        </w:rPr>
        <w:t>Damaris Ortiz Pasuy</w:t>
      </w:r>
    </w:p>
    <w:p w:rsidR="008C7FBB" w:rsidRPr="00974EE8" w:rsidRDefault="00076EB1" w:rsidP="004F7448">
      <w:pPr>
        <w:pStyle w:val="Sinespaciado"/>
        <w:jc w:val="center"/>
        <w:rPr>
          <w:rFonts w:ascii="Palatino Linotype" w:hAnsi="Palatino Linotype"/>
          <w:sz w:val="22"/>
          <w:szCs w:val="22"/>
        </w:rPr>
      </w:pPr>
      <w:r w:rsidRPr="00974EE8">
        <w:rPr>
          <w:rFonts w:ascii="Palatino Linotype" w:hAnsi="Palatino Linotype"/>
          <w:b/>
          <w:sz w:val="22"/>
          <w:szCs w:val="22"/>
        </w:rPr>
        <w:t>SECRETARIA</w:t>
      </w:r>
      <w:r w:rsidR="00371D00" w:rsidRPr="00974EE8">
        <w:rPr>
          <w:rFonts w:ascii="Palatino Linotype" w:hAnsi="Palatino Linotype"/>
          <w:b/>
          <w:sz w:val="22"/>
          <w:szCs w:val="22"/>
        </w:rPr>
        <w:t xml:space="preserve"> GENERAL DEL CONCEJO METROPOLITANO DE QUITO</w:t>
      </w:r>
      <w:r w:rsidRPr="00974EE8">
        <w:rPr>
          <w:rFonts w:ascii="Palatino Linotype" w:hAnsi="Palatino Linotype"/>
          <w:b/>
          <w:sz w:val="22"/>
          <w:szCs w:val="22"/>
        </w:rPr>
        <w:t xml:space="preserve"> </w:t>
      </w:r>
    </w:p>
    <w:sectPr w:rsidR="008C7FBB" w:rsidRPr="00974EE8" w:rsidSect="006372F5">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9A" w:rsidRDefault="00184F9A">
      <w:r>
        <w:separator/>
      </w:r>
    </w:p>
  </w:endnote>
  <w:endnote w:type="continuationSeparator" w:id="0">
    <w:p w:rsidR="00184F9A" w:rsidRDefault="0018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8479FB" w:rsidRPr="008479FB" w:rsidRDefault="009862E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7975C1"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7975C1" w:rsidRPr="008479FB">
              <w:rPr>
                <w:rFonts w:ascii="Palatino Linotype" w:hAnsi="Palatino Linotype"/>
                <w:b/>
                <w:bCs/>
                <w:sz w:val="20"/>
                <w:szCs w:val="20"/>
              </w:rPr>
              <w:fldChar w:fldCharType="separate"/>
            </w:r>
            <w:r w:rsidR="006721D1">
              <w:rPr>
                <w:rFonts w:ascii="Palatino Linotype" w:hAnsi="Palatino Linotype"/>
                <w:b/>
                <w:bCs/>
                <w:noProof/>
                <w:sz w:val="20"/>
                <w:szCs w:val="20"/>
              </w:rPr>
              <w:t>6</w:t>
            </w:r>
            <w:r w:rsidR="007975C1"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7975C1"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7975C1" w:rsidRPr="008479FB">
              <w:rPr>
                <w:rFonts w:ascii="Palatino Linotype" w:hAnsi="Palatino Linotype"/>
                <w:b/>
                <w:bCs/>
                <w:sz w:val="20"/>
                <w:szCs w:val="20"/>
              </w:rPr>
              <w:fldChar w:fldCharType="separate"/>
            </w:r>
            <w:r w:rsidR="006721D1">
              <w:rPr>
                <w:rFonts w:ascii="Palatino Linotype" w:hAnsi="Palatino Linotype"/>
                <w:b/>
                <w:bCs/>
                <w:noProof/>
                <w:sz w:val="20"/>
                <w:szCs w:val="20"/>
              </w:rPr>
              <w:t>6</w:t>
            </w:r>
            <w:r w:rsidR="007975C1" w:rsidRPr="008479FB">
              <w:rPr>
                <w:rFonts w:ascii="Palatino Linotype" w:hAnsi="Palatino Linotype"/>
                <w:b/>
                <w:bCs/>
                <w:sz w:val="20"/>
                <w:szCs w:val="20"/>
              </w:rPr>
              <w:fldChar w:fldCharType="end"/>
            </w:r>
          </w:p>
        </w:sdtContent>
      </w:sdt>
    </w:sdtContent>
  </w:sdt>
  <w:p w:rsidR="008479FB" w:rsidRPr="008479FB" w:rsidRDefault="00184F9A">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9A" w:rsidRDefault="00184F9A">
      <w:r>
        <w:separator/>
      </w:r>
    </w:p>
  </w:footnote>
  <w:footnote w:type="continuationSeparator" w:id="0">
    <w:p w:rsidR="00184F9A" w:rsidRDefault="0018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184F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184F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184F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07F7B"/>
    <w:rsid w:val="000207F1"/>
    <w:rsid w:val="000352E0"/>
    <w:rsid w:val="00035B0F"/>
    <w:rsid w:val="000426DD"/>
    <w:rsid w:val="00043D93"/>
    <w:rsid w:val="00045A6C"/>
    <w:rsid w:val="00076EB1"/>
    <w:rsid w:val="00084379"/>
    <w:rsid w:val="000900BA"/>
    <w:rsid w:val="000A02CD"/>
    <w:rsid w:val="000A2956"/>
    <w:rsid w:val="000B4236"/>
    <w:rsid w:val="000B736C"/>
    <w:rsid w:val="000C230C"/>
    <w:rsid w:val="000D095A"/>
    <w:rsid w:val="000E018B"/>
    <w:rsid w:val="000E1DDE"/>
    <w:rsid w:val="000E429B"/>
    <w:rsid w:val="000E6777"/>
    <w:rsid w:val="00102BEB"/>
    <w:rsid w:val="00103A56"/>
    <w:rsid w:val="00106439"/>
    <w:rsid w:val="0011274C"/>
    <w:rsid w:val="00116C0F"/>
    <w:rsid w:val="001208B7"/>
    <w:rsid w:val="00121B7E"/>
    <w:rsid w:val="0013605F"/>
    <w:rsid w:val="00140E5B"/>
    <w:rsid w:val="0016353C"/>
    <w:rsid w:val="001649BA"/>
    <w:rsid w:val="001776AB"/>
    <w:rsid w:val="00184F9A"/>
    <w:rsid w:val="0019225A"/>
    <w:rsid w:val="00197779"/>
    <w:rsid w:val="00197C45"/>
    <w:rsid w:val="001A42FC"/>
    <w:rsid w:val="001B0913"/>
    <w:rsid w:val="001B12A1"/>
    <w:rsid w:val="001B367D"/>
    <w:rsid w:val="001C0B81"/>
    <w:rsid w:val="001C2838"/>
    <w:rsid w:val="001C6FEA"/>
    <w:rsid w:val="001C7D49"/>
    <w:rsid w:val="001D7422"/>
    <w:rsid w:val="001E5733"/>
    <w:rsid w:val="001F2CD2"/>
    <w:rsid w:val="001F31C5"/>
    <w:rsid w:val="002042A3"/>
    <w:rsid w:val="00205E32"/>
    <w:rsid w:val="00207231"/>
    <w:rsid w:val="00212B00"/>
    <w:rsid w:val="00224CC5"/>
    <w:rsid w:val="00226825"/>
    <w:rsid w:val="002312FC"/>
    <w:rsid w:val="00234D87"/>
    <w:rsid w:val="002365A6"/>
    <w:rsid w:val="002376E2"/>
    <w:rsid w:val="0023794C"/>
    <w:rsid w:val="00237CA1"/>
    <w:rsid w:val="00245412"/>
    <w:rsid w:val="00247336"/>
    <w:rsid w:val="002534F2"/>
    <w:rsid w:val="00260A9D"/>
    <w:rsid w:val="00261856"/>
    <w:rsid w:val="00263CE2"/>
    <w:rsid w:val="0028210B"/>
    <w:rsid w:val="0028355A"/>
    <w:rsid w:val="002B11B3"/>
    <w:rsid w:val="002D6F62"/>
    <w:rsid w:val="002E2CA5"/>
    <w:rsid w:val="002E5D07"/>
    <w:rsid w:val="002F034D"/>
    <w:rsid w:val="002F0A16"/>
    <w:rsid w:val="002F199A"/>
    <w:rsid w:val="002F5BA3"/>
    <w:rsid w:val="00302B05"/>
    <w:rsid w:val="00303F16"/>
    <w:rsid w:val="00305C8A"/>
    <w:rsid w:val="0031642D"/>
    <w:rsid w:val="003325C5"/>
    <w:rsid w:val="003361D1"/>
    <w:rsid w:val="00347941"/>
    <w:rsid w:val="003627CB"/>
    <w:rsid w:val="003653E3"/>
    <w:rsid w:val="00371D00"/>
    <w:rsid w:val="00373370"/>
    <w:rsid w:val="00377192"/>
    <w:rsid w:val="00377AFB"/>
    <w:rsid w:val="003837F3"/>
    <w:rsid w:val="00387B31"/>
    <w:rsid w:val="00397810"/>
    <w:rsid w:val="003B0B04"/>
    <w:rsid w:val="003B2A8E"/>
    <w:rsid w:val="003C4C4F"/>
    <w:rsid w:val="003C6346"/>
    <w:rsid w:val="003C656B"/>
    <w:rsid w:val="003C75B0"/>
    <w:rsid w:val="003D7CFA"/>
    <w:rsid w:val="003E1331"/>
    <w:rsid w:val="003E3193"/>
    <w:rsid w:val="003E4BFF"/>
    <w:rsid w:val="003F1DD0"/>
    <w:rsid w:val="003F50D9"/>
    <w:rsid w:val="003F718D"/>
    <w:rsid w:val="004014B8"/>
    <w:rsid w:val="0040538D"/>
    <w:rsid w:val="00410550"/>
    <w:rsid w:val="00410CBE"/>
    <w:rsid w:val="0041307F"/>
    <w:rsid w:val="004137B7"/>
    <w:rsid w:val="004154D6"/>
    <w:rsid w:val="00421449"/>
    <w:rsid w:val="00427B59"/>
    <w:rsid w:val="00430B1C"/>
    <w:rsid w:val="00430DD4"/>
    <w:rsid w:val="00436221"/>
    <w:rsid w:val="004365CB"/>
    <w:rsid w:val="00444EBC"/>
    <w:rsid w:val="00445D37"/>
    <w:rsid w:val="00445F1C"/>
    <w:rsid w:val="00447553"/>
    <w:rsid w:val="00452AD1"/>
    <w:rsid w:val="0045355A"/>
    <w:rsid w:val="00453791"/>
    <w:rsid w:val="004568A5"/>
    <w:rsid w:val="00457A8D"/>
    <w:rsid w:val="004606CF"/>
    <w:rsid w:val="00465AD9"/>
    <w:rsid w:val="004666F4"/>
    <w:rsid w:val="00470289"/>
    <w:rsid w:val="00474DDF"/>
    <w:rsid w:val="004779D5"/>
    <w:rsid w:val="00487063"/>
    <w:rsid w:val="00494191"/>
    <w:rsid w:val="004B07E1"/>
    <w:rsid w:val="004B46EE"/>
    <w:rsid w:val="004D7DDE"/>
    <w:rsid w:val="004E20B3"/>
    <w:rsid w:val="004E3DEB"/>
    <w:rsid w:val="004F0E2F"/>
    <w:rsid w:val="004F1E77"/>
    <w:rsid w:val="004F3B81"/>
    <w:rsid w:val="004F7448"/>
    <w:rsid w:val="00501D9A"/>
    <w:rsid w:val="00502C6B"/>
    <w:rsid w:val="005077B1"/>
    <w:rsid w:val="005125A9"/>
    <w:rsid w:val="00515422"/>
    <w:rsid w:val="00515B43"/>
    <w:rsid w:val="00517EC3"/>
    <w:rsid w:val="005225B2"/>
    <w:rsid w:val="00526C22"/>
    <w:rsid w:val="00527CFB"/>
    <w:rsid w:val="00540863"/>
    <w:rsid w:val="005525E0"/>
    <w:rsid w:val="005605E0"/>
    <w:rsid w:val="005617D9"/>
    <w:rsid w:val="005641FF"/>
    <w:rsid w:val="0057165E"/>
    <w:rsid w:val="00587B68"/>
    <w:rsid w:val="005A57D5"/>
    <w:rsid w:val="005A6079"/>
    <w:rsid w:val="005B2A24"/>
    <w:rsid w:val="005B4B5D"/>
    <w:rsid w:val="005C54C9"/>
    <w:rsid w:val="005C65BE"/>
    <w:rsid w:val="005D330E"/>
    <w:rsid w:val="005E0CFB"/>
    <w:rsid w:val="005F785F"/>
    <w:rsid w:val="00612644"/>
    <w:rsid w:val="00625A1B"/>
    <w:rsid w:val="00630AF4"/>
    <w:rsid w:val="00636023"/>
    <w:rsid w:val="006442D0"/>
    <w:rsid w:val="0064438A"/>
    <w:rsid w:val="006623FE"/>
    <w:rsid w:val="006721D1"/>
    <w:rsid w:val="00682934"/>
    <w:rsid w:val="00684090"/>
    <w:rsid w:val="00686A06"/>
    <w:rsid w:val="00692ADA"/>
    <w:rsid w:val="00693946"/>
    <w:rsid w:val="006A1262"/>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957C8"/>
    <w:rsid w:val="00796746"/>
    <w:rsid w:val="007975C1"/>
    <w:rsid w:val="007A40E8"/>
    <w:rsid w:val="007D2A9C"/>
    <w:rsid w:val="007D4E1F"/>
    <w:rsid w:val="007E70E8"/>
    <w:rsid w:val="007E75C9"/>
    <w:rsid w:val="007F4760"/>
    <w:rsid w:val="007F60DD"/>
    <w:rsid w:val="007F6839"/>
    <w:rsid w:val="008005EC"/>
    <w:rsid w:val="00800F3A"/>
    <w:rsid w:val="00816B47"/>
    <w:rsid w:val="00826D08"/>
    <w:rsid w:val="00832BC7"/>
    <w:rsid w:val="00836BC5"/>
    <w:rsid w:val="00837642"/>
    <w:rsid w:val="0084137F"/>
    <w:rsid w:val="008415FB"/>
    <w:rsid w:val="00846F5F"/>
    <w:rsid w:val="008515C7"/>
    <w:rsid w:val="008529C4"/>
    <w:rsid w:val="00862D32"/>
    <w:rsid w:val="00866908"/>
    <w:rsid w:val="0086718B"/>
    <w:rsid w:val="00874C84"/>
    <w:rsid w:val="00883741"/>
    <w:rsid w:val="008A11D4"/>
    <w:rsid w:val="008A140F"/>
    <w:rsid w:val="008A6A5B"/>
    <w:rsid w:val="008B5F96"/>
    <w:rsid w:val="008C11D9"/>
    <w:rsid w:val="008C1731"/>
    <w:rsid w:val="008C2104"/>
    <w:rsid w:val="008C2767"/>
    <w:rsid w:val="008C2910"/>
    <w:rsid w:val="008C7FBB"/>
    <w:rsid w:val="008D0A6E"/>
    <w:rsid w:val="008D30F7"/>
    <w:rsid w:val="008D4CC4"/>
    <w:rsid w:val="008D589B"/>
    <w:rsid w:val="008E107B"/>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2120"/>
    <w:rsid w:val="009540BE"/>
    <w:rsid w:val="009670A4"/>
    <w:rsid w:val="00970C3A"/>
    <w:rsid w:val="00971525"/>
    <w:rsid w:val="00974EE8"/>
    <w:rsid w:val="009862ED"/>
    <w:rsid w:val="009937FA"/>
    <w:rsid w:val="00995E06"/>
    <w:rsid w:val="009C0946"/>
    <w:rsid w:val="009C3E74"/>
    <w:rsid w:val="009C74F3"/>
    <w:rsid w:val="009D59C8"/>
    <w:rsid w:val="009F5813"/>
    <w:rsid w:val="00A01E0B"/>
    <w:rsid w:val="00A0701E"/>
    <w:rsid w:val="00A1090A"/>
    <w:rsid w:val="00A12AAA"/>
    <w:rsid w:val="00A1492B"/>
    <w:rsid w:val="00A264F8"/>
    <w:rsid w:val="00A40329"/>
    <w:rsid w:val="00A54E7F"/>
    <w:rsid w:val="00A670E7"/>
    <w:rsid w:val="00A72162"/>
    <w:rsid w:val="00A75561"/>
    <w:rsid w:val="00A90669"/>
    <w:rsid w:val="00A940A1"/>
    <w:rsid w:val="00AB3A93"/>
    <w:rsid w:val="00AB6AFA"/>
    <w:rsid w:val="00AB7F29"/>
    <w:rsid w:val="00AC78A2"/>
    <w:rsid w:val="00AD12FB"/>
    <w:rsid w:val="00AD601E"/>
    <w:rsid w:val="00AE003F"/>
    <w:rsid w:val="00AE2A18"/>
    <w:rsid w:val="00AE2A26"/>
    <w:rsid w:val="00AE64F9"/>
    <w:rsid w:val="00AF1457"/>
    <w:rsid w:val="00AF227D"/>
    <w:rsid w:val="00AF26A9"/>
    <w:rsid w:val="00AF3316"/>
    <w:rsid w:val="00AF4573"/>
    <w:rsid w:val="00AF4E7B"/>
    <w:rsid w:val="00AF5151"/>
    <w:rsid w:val="00B0338D"/>
    <w:rsid w:val="00B11A72"/>
    <w:rsid w:val="00B11E1F"/>
    <w:rsid w:val="00B12067"/>
    <w:rsid w:val="00B142EA"/>
    <w:rsid w:val="00B20A65"/>
    <w:rsid w:val="00B23C68"/>
    <w:rsid w:val="00B26D77"/>
    <w:rsid w:val="00B30D6F"/>
    <w:rsid w:val="00B3519C"/>
    <w:rsid w:val="00B37F9F"/>
    <w:rsid w:val="00B40647"/>
    <w:rsid w:val="00B415CF"/>
    <w:rsid w:val="00B42A68"/>
    <w:rsid w:val="00B42B9B"/>
    <w:rsid w:val="00B44277"/>
    <w:rsid w:val="00B470B6"/>
    <w:rsid w:val="00B536D3"/>
    <w:rsid w:val="00B641EF"/>
    <w:rsid w:val="00B74EE9"/>
    <w:rsid w:val="00B84E12"/>
    <w:rsid w:val="00B85812"/>
    <w:rsid w:val="00B87ECC"/>
    <w:rsid w:val="00B952E1"/>
    <w:rsid w:val="00B954C7"/>
    <w:rsid w:val="00B95A41"/>
    <w:rsid w:val="00BA1967"/>
    <w:rsid w:val="00BB01B9"/>
    <w:rsid w:val="00BB0232"/>
    <w:rsid w:val="00BB141A"/>
    <w:rsid w:val="00BC11C3"/>
    <w:rsid w:val="00BC7A8A"/>
    <w:rsid w:val="00BE1872"/>
    <w:rsid w:val="00BE6CFB"/>
    <w:rsid w:val="00BF15C4"/>
    <w:rsid w:val="00C01DDC"/>
    <w:rsid w:val="00C16819"/>
    <w:rsid w:val="00C3066C"/>
    <w:rsid w:val="00C3378E"/>
    <w:rsid w:val="00C3379B"/>
    <w:rsid w:val="00C3401C"/>
    <w:rsid w:val="00C3468C"/>
    <w:rsid w:val="00C35AD5"/>
    <w:rsid w:val="00C36C71"/>
    <w:rsid w:val="00C454CC"/>
    <w:rsid w:val="00C463A7"/>
    <w:rsid w:val="00C50E56"/>
    <w:rsid w:val="00C51A3F"/>
    <w:rsid w:val="00C5244E"/>
    <w:rsid w:val="00C5581F"/>
    <w:rsid w:val="00C60691"/>
    <w:rsid w:val="00C61FF4"/>
    <w:rsid w:val="00C6700F"/>
    <w:rsid w:val="00C71B96"/>
    <w:rsid w:val="00C743F4"/>
    <w:rsid w:val="00C75085"/>
    <w:rsid w:val="00C75D88"/>
    <w:rsid w:val="00C8111C"/>
    <w:rsid w:val="00C81B71"/>
    <w:rsid w:val="00C8504F"/>
    <w:rsid w:val="00C90214"/>
    <w:rsid w:val="00C941C4"/>
    <w:rsid w:val="00C96B1C"/>
    <w:rsid w:val="00CA0D7C"/>
    <w:rsid w:val="00CA10F3"/>
    <w:rsid w:val="00CA74A4"/>
    <w:rsid w:val="00CC37FC"/>
    <w:rsid w:val="00CD285E"/>
    <w:rsid w:val="00CD4D3D"/>
    <w:rsid w:val="00CE5A2F"/>
    <w:rsid w:val="00CF2A0C"/>
    <w:rsid w:val="00CF36F1"/>
    <w:rsid w:val="00D002E2"/>
    <w:rsid w:val="00D22406"/>
    <w:rsid w:val="00D33E85"/>
    <w:rsid w:val="00D372CA"/>
    <w:rsid w:val="00D60378"/>
    <w:rsid w:val="00D80A29"/>
    <w:rsid w:val="00D850CF"/>
    <w:rsid w:val="00D8544E"/>
    <w:rsid w:val="00D86743"/>
    <w:rsid w:val="00D8774A"/>
    <w:rsid w:val="00D95DB6"/>
    <w:rsid w:val="00D95EEA"/>
    <w:rsid w:val="00D97E8A"/>
    <w:rsid w:val="00DA5568"/>
    <w:rsid w:val="00DB1E50"/>
    <w:rsid w:val="00DB64D8"/>
    <w:rsid w:val="00DC1AF3"/>
    <w:rsid w:val="00DD0020"/>
    <w:rsid w:val="00DD09A4"/>
    <w:rsid w:val="00DD3787"/>
    <w:rsid w:val="00DD4559"/>
    <w:rsid w:val="00DF0B4F"/>
    <w:rsid w:val="00DF21AB"/>
    <w:rsid w:val="00E03299"/>
    <w:rsid w:val="00E035DB"/>
    <w:rsid w:val="00E175D0"/>
    <w:rsid w:val="00E213C8"/>
    <w:rsid w:val="00E348B3"/>
    <w:rsid w:val="00E367AE"/>
    <w:rsid w:val="00E40902"/>
    <w:rsid w:val="00E52A1F"/>
    <w:rsid w:val="00E62529"/>
    <w:rsid w:val="00E70011"/>
    <w:rsid w:val="00E74B3D"/>
    <w:rsid w:val="00E769DA"/>
    <w:rsid w:val="00E80F18"/>
    <w:rsid w:val="00E941DF"/>
    <w:rsid w:val="00EA1E48"/>
    <w:rsid w:val="00EB1DDC"/>
    <w:rsid w:val="00EC11EB"/>
    <w:rsid w:val="00ED3D71"/>
    <w:rsid w:val="00F0029E"/>
    <w:rsid w:val="00F0200B"/>
    <w:rsid w:val="00F02902"/>
    <w:rsid w:val="00F2464A"/>
    <w:rsid w:val="00F25E0F"/>
    <w:rsid w:val="00F30838"/>
    <w:rsid w:val="00F3519B"/>
    <w:rsid w:val="00F365C2"/>
    <w:rsid w:val="00F43477"/>
    <w:rsid w:val="00F4568F"/>
    <w:rsid w:val="00F574C4"/>
    <w:rsid w:val="00F739C4"/>
    <w:rsid w:val="00FA5017"/>
    <w:rsid w:val="00FB22E8"/>
    <w:rsid w:val="00FB6291"/>
    <w:rsid w:val="00FD02C4"/>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ADFEEB"/>
  <w15:docId w15:val="{477B0198-CC12-4748-963E-DEB45B42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2EA"/>
    <w:pPr>
      <w:spacing w:before="100" w:beforeAutospacing="1" w:after="100" w:afterAutospacing="1"/>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7631">
      <w:bodyDiv w:val="1"/>
      <w:marLeft w:val="0"/>
      <w:marRight w:val="0"/>
      <w:marTop w:val="0"/>
      <w:marBottom w:val="0"/>
      <w:divBdr>
        <w:top w:val="none" w:sz="0" w:space="0" w:color="auto"/>
        <w:left w:val="none" w:sz="0" w:space="0" w:color="auto"/>
        <w:bottom w:val="none" w:sz="0" w:space="0" w:color="auto"/>
        <w:right w:val="none" w:sz="0" w:space="0" w:color="auto"/>
      </w:divBdr>
    </w:div>
    <w:div w:id="237524918">
      <w:bodyDiv w:val="1"/>
      <w:marLeft w:val="0"/>
      <w:marRight w:val="0"/>
      <w:marTop w:val="0"/>
      <w:marBottom w:val="0"/>
      <w:divBdr>
        <w:top w:val="none" w:sz="0" w:space="0" w:color="auto"/>
        <w:left w:val="none" w:sz="0" w:space="0" w:color="auto"/>
        <w:bottom w:val="none" w:sz="0" w:space="0" w:color="auto"/>
        <w:right w:val="none" w:sz="0" w:space="0" w:color="auto"/>
      </w:divBdr>
    </w:div>
    <w:div w:id="270363656">
      <w:bodyDiv w:val="1"/>
      <w:marLeft w:val="0"/>
      <w:marRight w:val="0"/>
      <w:marTop w:val="0"/>
      <w:marBottom w:val="0"/>
      <w:divBdr>
        <w:top w:val="none" w:sz="0" w:space="0" w:color="auto"/>
        <w:left w:val="none" w:sz="0" w:space="0" w:color="auto"/>
        <w:bottom w:val="none" w:sz="0" w:space="0" w:color="auto"/>
        <w:right w:val="none" w:sz="0" w:space="0" w:color="auto"/>
      </w:divBdr>
    </w:div>
    <w:div w:id="717706261">
      <w:bodyDiv w:val="1"/>
      <w:marLeft w:val="0"/>
      <w:marRight w:val="0"/>
      <w:marTop w:val="0"/>
      <w:marBottom w:val="0"/>
      <w:divBdr>
        <w:top w:val="none" w:sz="0" w:space="0" w:color="auto"/>
        <w:left w:val="none" w:sz="0" w:space="0" w:color="auto"/>
        <w:bottom w:val="none" w:sz="0" w:space="0" w:color="auto"/>
        <w:right w:val="none" w:sz="0" w:space="0" w:color="auto"/>
      </w:divBdr>
    </w:div>
    <w:div w:id="873037241">
      <w:bodyDiv w:val="1"/>
      <w:marLeft w:val="0"/>
      <w:marRight w:val="0"/>
      <w:marTop w:val="0"/>
      <w:marBottom w:val="0"/>
      <w:divBdr>
        <w:top w:val="none" w:sz="0" w:space="0" w:color="auto"/>
        <w:left w:val="none" w:sz="0" w:space="0" w:color="auto"/>
        <w:bottom w:val="none" w:sz="0" w:space="0" w:color="auto"/>
        <w:right w:val="none" w:sz="0" w:space="0" w:color="auto"/>
      </w:divBdr>
    </w:div>
    <w:div w:id="1074661808">
      <w:bodyDiv w:val="1"/>
      <w:marLeft w:val="0"/>
      <w:marRight w:val="0"/>
      <w:marTop w:val="0"/>
      <w:marBottom w:val="0"/>
      <w:divBdr>
        <w:top w:val="none" w:sz="0" w:space="0" w:color="auto"/>
        <w:left w:val="none" w:sz="0" w:space="0" w:color="auto"/>
        <w:bottom w:val="none" w:sz="0" w:space="0" w:color="auto"/>
        <w:right w:val="none" w:sz="0" w:space="0" w:color="auto"/>
      </w:divBdr>
    </w:div>
    <w:div w:id="1306273665">
      <w:bodyDiv w:val="1"/>
      <w:marLeft w:val="0"/>
      <w:marRight w:val="0"/>
      <w:marTop w:val="0"/>
      <w:marBottom w:val="0"/>
      <w:divBdr>
        <w:top w:val="none" w:sz="0" w:space="0" w:color="auto"/>
        <w:left w:val="none" w:sz="0" w:space="0" w:color="auto"/>
        <w:bottom w:val="none" w:sz="0" w:space="0" w:color="auto"/>
        <w:right w:val="none" w:sz="0" w:space="0" w:color="auto"/>
      </w:divBdr>
    </w:div>
    <w:div w:id="1491604782">
      <w:bodyDiv w:val="1"/>
      <w:marLeft w:val="0"/>
      <w:marRight w:val="0"/>
      <w:marTop w:val="0"/>
      <w:marBottom w:val="0"/>
      <w:divBdr>
        <w:top w:val="none" w:sz="0" w:space="0" w:color="auto"/>
        <w:left w:val="none" w:sz="0" w:space="0" w:color="auto"/>
        <w:bottom w:val="none" w:sz="0" w:space="0" w:color="auto"/>
        <w:right w:val="none" w:sz="0" w:space="0" w:color="auto"/>
      </w:divBdr>
    </w:div>
    <w:div w:id="1618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1996-A5E1-45C5-9DB1-6DEC6DFB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10957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Juan Sebastian Jimenez Osorio</cp:lastModifiedBy>
  <cp:revision>3</cp:revision>
  <cp:lastPrinted>2020-02-12T17:44:00Z</cp:lastPrinted>
  <dcterms:created xsi:type="dcterms:W3CDTF">2021-01-25T22:00:00Z</dcterms:created>
  <dcterms:modified xsi:type="dcterms:W3CDTF">2021-01-25T22:04:00Z</dcterms:modified>
</cp:coreProperties>
</file>