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4409EC" w14:textId="77777777" w:rsidR="001E73B0" w:rsidRPr="00220827" w:rsidRDefault="001E73B0" w:rsidP="001E73B0">
      <w:pPr>
        <w:autoSpaceDE w:val="0"/>
        <w:autoSpaceDN w:val="0"/>
        <w:adjustRightInd w:val="0"/>
        <w:ind w:left="709" w:hanging="709"/>
        <w:jc w:val="both"/>
        <w:rPr>
          <w:rFonts w:ascii="Palatino Linotype" w:eastAsiaTheme="minorHAnsi" w:hAnsi="Palatino Linotype"/>
          <w:i/>
          <w:sz w:val="22"/>
          <w:szCs w:val="22"/>
          <w:lang w:val="es-EC" w:eastAsia="en-US"/>
        </w:rPr>
      </w:pPr>
    </w:p>
    <w:p w14:paraId="793D68CA" w14:textId="77777777" w:rsidR="001E73B0" w:rsidRPr="00220827" w:rsidRDefault="001E73B0" w:rsidP="001E73B0">
      <w:pPr>
        <w:autoSpaceDE w:val="0"/>
        <w:autoSpaceDN w:val="0"/>
        <w:adjustRightInd w:val="0"/>
        <w:jc w:val="center"/>
        <w:rPr>
          <w:rFonts w:ascii="Palatino Linotype" w:eastAsiaTheme="minorHAnsi" w:hAnsi="Palatino Linotype"/>
          <w:b/>
          <w:sz w:val="22"/>
          <w:szCs w:val="22"/>
          <w:lang w:val="es-EC" w:eastAsia="en-US"/>
        </w:rPr>
      </w:pPr>
      <w:r w:rsidRPr="00220827">
        <w:rPr>
          <w:rFonts w:ascii="Palatino Linotype" w:eastAsiaTheme="minorHAnsi" w:hAnsi="Palatino Linotype"/>
          <w:b/>
          <w:sz w:val="22"/>
          <w:szCs w:val="22"/>
          <w:lang w:val="es-EC" w:eastAsia="en-US"/>
        </w:rPr>
        <w:t>EL CONCEJO METROPOLITANO DE QUITO</w:t>
      </w:r>
    </w:p>
    <w:p w14:paraId="43EA0737" w14:textId="77777777" w:rsidR="001E73B0" w:rsidRPr="00220827" w:rsidRDefault="001E73B0" w:rsidP="001E73B0">
      <w:pPr>
        <w:autoSpaceDE w:val="0"/>
        <w:autoSpaceDN w:val="0"/>
        <w:adjustRightInd w:val="0"/>
        <w:jc w:val="center"/>
        <w:rPr>
          <w:rFonts w:ascii="Palatino Linotype" w:eastAsiaTheme="minorHAnsi" w:hAnsi="Palatino Linotype"/>
          <w:b/>
          <w:sz w:val="22"/>
          <w:szCs w:val="22"/>
          <w:lang w:val="es-EC" w:eastAsia="en-US"/>
        </w:rPr>
      </w:pPr>
    </w:p>
    <w:p w14:paraId="0423B050" w14:textId="77777777" w:rsidR="001E73B0" w:rsidRPr="00220827" w:rsidRDefault="001E73B0" w:rsidP="001E73B0">
      <w:pPr>
        <w:autoSpaceDE w:val="0"/>
        <w:autoSpaceDN w:val="0"/>
        <w:adjustRightInd w:val="0"/>
        <w:jc w:val="center"/>
        <w:rPr>
          <w:rFonts w:ascii="Palatino Linotype" w:eastAsiaTheme="minorHAnsi" w:hAnsi="Palatino Linotype"/>
          <w:b/>
          <w:sz w:val="22"/>
          <w:szCs w:val="22"/>
          <w:lang w:val="es-EC" w:eastAsia="en-US"/>
        </w:rPr>
      </w:pPr>
      <w:r w:rsidRPr="00220827">
        <w:rPr>
          <w:rFonts w:ascii="Palatino Linotype" w:eastAsiaTheme="minorHAnsi" w:hAnsi="Palatino Linotype"/>
          <w:b/>
          <w:sz w:val="22"/>
          <w:szCs w:val="22"/>
          <w:lang w:val="es-EC" w:eastAsia="en-US"/>
        </w:rPr>
        <w:t>CONSIDERANDO:</w:t>
      </w:r>
    </w:p>
    <w:p w14:paraId="682F8CAE" w14:textId="77777777" w:rsidR="001E73B0" w:rsidRPr="00220827" w:rsidRDefault="001E73B0" w:rsidP="001E73B0">
      <w:pPr>
        <w:autoSpaceDE w:val="0"/>
        <w:autoSpaceDN w:val="0"/>
        <w:adjustRightInd w:val="0"/>
        <w:ind w:left="709" w:hanging="709"/>
        <w:jc w:val="both"/>
        <w:rPr>
          <w:rFonts w:ascii="Palatino Linotype" w:eastAsiaTheme="minorHAnsi" w:hAnsi="Palatino Linotype"/>
          <w:sz w:val="22"/>
          <w:szCs w:val="22"/>
          <w:lang w:val="es-EC" w:eastAsia="en-US"/>
        </w:rPr>
      </w:pPr>
    </w:p>
    <w:p w14:paraId="0334E214" w14:textId="77777777" w:rsidR="001E73B0" w:rsidRDefault="001E73B0" w:rsidP="001E73B0">
      <w:pPr>
        <w:autoSpaceDE w:val="0"/>
        <w:autoSpaceDN w:val="0"/>
        <w:adjustRightInd w:val="0"/>
        <w:ind w:left="705" w:hanging="705"/>
        <w:jc w:val="both"/>
        <w:rPr>
          <w:rFonts w:ascii="Palatino Linotype" w:eastAsiaTheme="minorHAnsi" w:hAnsi="Palatino Linotype"/>
          <w:i/>
          <w:iCs/>
          <w:sz w:val="22"/>
          <w:szCs w:val="22"/>
          <w:lang w:val="es-EC" w:eastAsia="en-US"/>
        </w:rPr>
      </w:pPr>
      <w:r>
        <w:rPr>
          <w:rFonts w:ascii="Palatino Linotype" w:eastAsiaTheme="minorHAnsi" w:hAnsi="Palatino Linotype"/>
          <w:sz w:val="22"/>
          <w:szCs w:val="22"/>
          <w:lang w:val="es-EC" w:eastAsia="en-US"/>
        </w:rPr>
        <w:t xml:space="preserve">Que, </w:t>
      </w:r>
      <w:r>
        <w:rPr>
          <w:rFonts w:ascii="Palatino Linotype" w:eastAsiaTheme="minorHAnsi" w:hAnsi="Palatino Linotype"/>
          <w:sz w:val="22"/>
          <w:szCs w:val="22"/>
          <w:lang w:val="es-EC" w:eastAsia="en-US"/>
        </w:rPr>
        <w:tab/>
        <w:t xml:space="preserve"> el artículo 240 de la Constitución de República del Ecuador, en adelante Constitución, establece: “Los</w:t>
      </w:r>
      <w:r w:rsidRPr="00006FF2">
        <w:rPr>
          <w:rFonts w:ascii="Palatino Linotype" w:eastAsiaTheme="minorHAnsi" w:hAnsi="Palatino Linotype"/>
          <w:i/>
          <w:iCs/>
          <w:sz w:val="22"/>
          <w:szCs w:val="22"/>
          <w:lang w:val="es-EC" w:eastAsia="en-US"/>
        </w:rPr>
        <w:t xml:space="preserve"> gobiernos autónomos descentralizados de las regiones, distritos metropolitanos, provincias y cantones tendrán facultades legislativas en el ámbito de sus competencias y jurisdicciones territoriales. Las juntas parroquiales rurales tendrán facultades reglamentarias. (…)</w:t>
      </w:r>
      <w:r>
        <w:rPr>
          <w:rFonts w:ascii="Palatino Linotype" w:eastAsiaTheme="minorHAnsi" w:hAnsi="Palatino Linotype"/>
          <w:i/>
          <w:iCs/>
          <w:sz w:val="22"/>
          <w:szCs w:val="22"/>
          <w:lang w:val="es-EC" w:eastAsia="en-US"/>
        </w:rPr>
        <w:t>”</w:t>
      </w:r>
    </w:p>
    <w:p w14:paraId="1ED1DE34" w14:textId="77777777" w:rsidR="001E73B0" w:rsidRDefault="001E73B0" w:rsidP="001E73B0">
      <w:pPr>
        <w:autoSpaceDE w:val="0"/>
        <w:autoSpaceDN w:val="0"/>
        <w:adjustRightInd w:val="0"/>
        <w:ind w:left="705" w:hanging="705"/>
        <w:jc w:val="both"/>
        <w:rPr>
          <w:rFonts w:ascii="Palatino Linotype" w:eastAsiaTheme="minorHAnsi" w:hAnsi="Palatino Linotype"/>
          <w:sz w:val="22"/>
          <w:szCs w:val="22"/>
          <w:lang w:val="es-EC" w:eastAsia="en-US"/>
        </w:rPr>
      </w:pPr>
    </w:p>
    <w:p w14:paraId="74462890" w14:textId="77777777" w:rsidR="001E73B0" w:rsidRPr="00220827" w:rsidRDefault="001E73B0" w:rsidP="001E73B0">
      <w:pPr>
        <w:autoSpaceDE w:val="0"/>
        <w:autoSpaceDN w:val="0"/>
        <w:adjustRightInd w:val="0"/>
        <w:ind w:left="705" w:hanging="705"/>
        <w:jc w:val="both"/>
        <w:rPr>
          <w:rFonts w:ascii="Palatino Linotype" w:eastAsiaTheme="minorHAnsi" w:hAnsi="Palatino Linotype"/>
          <w:sz w:val="22"/>
          <w:szCs w:val="22"/>
          <w:lang w:val="es-EC" w:eastAsia="en-US"/>
        </w:rPr>
      </w:pPr>
      <w:r w:rsidRPr="00220827">
        <w:rPr>
          <w:rFonts w:ascii="Palatino Linotype" w:eastAsiaTheme="minorHAnsi" w:hAnsi="Palatino Linotype"/>
          <w:sz w:val="22"/>
          <w:szCs w:val="22"/>
          <w:lang w:val="es-EC" w:eastAsia="en-US"/>
        </w:rPr>
        <w:t xml:space="preserve">Que, </w:t>
      </w:r>
      <w:r w:rsidRPr="00220827">
        <w:rPr>
          <w:rFonts w:ascii="Palatino Linotype" w:eastAsiaTheme="minorHAnsi" w:hAnsi="Palatino Linotype"/>
          <w:sz w:val="22"/>
          <w:szCs w:val="22"/>
          <w:lang w:val="es-EC" w:eastAsia="en-US"/>
        </w:rPr>
        <w:tab/>
      </w:r>
      <w:r>
        <w:rPr>
          <w:rFonts w:ascii="Palatino Linotype" w:eastAsiaTheme="minorHAnsi" w:hAnsi="Palatino Linotype"/>
          <w:sz w:val="22"/>
          <w:szCs w:val="22"/>
          <w:lang w:val="es-EC" w:eastAsia="en-US"/>
        </w:rPr>
        <w:t xml:space="preserve">los numerales 1 y 2 del artículo 264 de </w:t>
      </w:r>
      <w:r w:rsidRPr="00006FF2">
        <w:rPr>
          <w:rFonts w:ascii="Palatino Linotype" w:eastAsiaTheme="minorHAnsi" w:hAnsi="Palatino Linotype"/>
          <w:sz w:val="22"/>
          <w:szCs w:val="22"/>
          <w:lang w:val="es-EC" w:eastAsia="en-US"/>
        </w:rPr>
        <w:t>la Constitución, disponen:</w:t>
      </w:r>
      <w:r w:rsidRPr="00220827">
        <w:rPr>
          <w:rFonts w:ascii="Palatino Linotype" w:eastAsiaTheme="minorHAnsi" w:hAnsi="Palatino Linotype"/>
          <w:sz w:val="22"/>
          <w:szCs w:val="22"/>
          <w:lang w:val="es-EC" w:eastAsia="en-US"/>
        </w:rPr>
        <w:t xml:space="preserve"> </w:t>
      </w:r>
      <w:r w:rsidRPr="00220827">
        <w:rPr>
          <w:rFonts w:ascii="Palatino Linotype" w:eastAsiaTheme="minorHAnsi" w:hAnsi="Palatino Linotype"/>
          <w:i/>
          <w:sz w:val="22"/>
          <w:szCs w:val="22"/>
          <w:lang w:val="es-EC" w:eastAsia="en-US"/>
        </w:rPr>
        <w:t>“Los gobiernos municipales tendrán las siguientes competencias exclusivas sin perjuicio de otras que determine la ley: 1. Planificar el desarrollo cantonal y formular los correspondientes planes de ordenamiento territorial, de manera articulada con la planificación nacional, regional, provincial y parroquial, con el fin de regular el uso y la ocupación del suelo urbano y rural. 2. Ejercer el control sobre el uso y ocupación del suelo en el cantón.”</w:t>
      </w:r>
      <w:r w:rsidRPr="00220827">
        <w:rPr>
          <w:rFonts w:ascii="Palatino Linotype" w:eastAsiaTheme="minorHAnsi" w:hAnsi="Palatino Linotype"/>
          <w:sz w:val="22"/>
          <w:szCs w:val="22"/>
          <w:lang w:val="es-EC" w:eastAsia="en-US"/>
        </w:rPr>
        <w:t>;</w:t>
      </w:r>
    </w:p>
    <w:p w14:paraId="428F0B95" w14:textId="77777777" w:rsidR="001E73B0" w:rsidRPr="00220827" w:rsidRDefault="001E73B0" w:rsidP="001E73B0">
      <w:pPr>
        <w:autoSpaceDE w:val="0"/>
        <w:autoSpaceDN w:val="0"/>
        <w:adjustRightInd w:val="0"/>
        <w:ind w:left="709" w:hanging="709"/>
        <w:jc w:val="both"/>
        <w:rPr>
          <w:rFonts w:ascii="Palatino Linotype" w:eastAsiaTheme="minorHAnsi" w:hAnsi="Palatino Linotype"/>
          <w:sz w:val="22"/>
          <w:szCs w:val="22"/>
          <w:lang w:val="es-EC" w:eastAsia="en-US"/>
        </w:rPr>
      </w:pPr>
    </w:p>
    <w:p w14:paraId="04BC22EE" w14:textId="77777777" w:rsidR="001E73B0" w:rsidRPr="00220827" w:rsidRDefault="001E73B0" w:rsidP="001E73B0">
      <w:pPr>
        <w:autoSpaceDE w:val="0"/>
        <w:autoSpaceDN w:val="0"/>
        <w:adjustRightInd w:val="0"/>
        <w:ind w:left="709" w:hanging="709"/>
        <w:jc w:val="both"/>
        <w:rPr>
          <w:rFonts w:ascii="Palatino Linotype" w:eastAsiaTheme="minorHAnsi" w:hAnsi="Palatino Linotype"/>
          <w:sz w:val="22"/>
          <w:szCs w:val="22"/>
          <w:lang w:val="es-EC" w:eastAsia="en-US"/>
        </w:rPr>
      </w:pPr>
      <w:r w:rsidRPr="00220827">
        <w:rPr>
          <w:rFonts w:ascii="Palatino Linotype" w:eastAsiaTheme="minorHAnsi" w:hAnsi="Palatino Linotype"/>
          <w:sz w:val="22"/>
          <w:szCs w:val="22"/>
          <w:lang w:val="es-EC" w:eastAsia="en-US"/>
        </w:rPr>
        <w:t xml:space="preserve">Que, </w:t>
      </w:r>
      <w:r w:rsidRPr="00220827">
        <w:rPr>
          <w:rFonts w:ascii="Palatino Linotype" w:eastAsiaTheme="minorHAnsi" w:hAnsi="Palatino Linotype"/>
          <w:sz w:val="22"/>
          <w:szCs w:val="22"/>
          <w:lang w:val="es-EC" w:eastAsia="en-US"/>
        </w:rPr>
        <w:tab/>
      </w:r>
      <w:r>
        <w:rPr>
          <w:rFonts w:ascii="Palatino Linotype" w:eastAsiaTheme="minorHAnsi" w:hAnsi="Palatino Linotype"/>
          <w:sz w:val="22"/>
          <w:szCs w:val="22"/>
          <w:lang w:val="es-EC" w:eastAsia="en-US"/>
        </w:rPr>
        <w:t xml:space="preserve">el </w:t>
      </w:r>
      <w:r w:rsidRPr="00006FF2">
        <w:rPr>
          <w:rFonts w:ascii="Palatino Linotype" w:eastAsiaTheme="minorHAnsi" w:hAnsi="Palatino Linotype"/>
          <w:sz w:val="22"/>
          <w:szCs w:val="22"/>
          <w:lang w:val="es-EC" w:eastAsia="en-US"/>
        </w:rPr>
        <w:t>artículo 266</w:t>
      </w:r>
      <w:r>
        <w:rPr>
          <w:rFonts w:ascii="Palatino Linotype" w:eastAsiaTheme="minorHAnsi" w:hAnsi="Palatino Linotype"/>
          <w:sz w:val="22"/>
          <w:szCs w:val="22"/>
          <w:lang w:val="es-EC" w:eastAsia="en-US"/>
        </w:rPr>
        <w:t xml:space="preserve"> de la Constitución</w:t>
      </w:r>
      <w:r w:rsidRPr="00220827">
        <w:rPr>
          <w:rFonts w:ascii="Palatino Linotype" w:eastAsiaTheme="minorHAnsi" w:hAnsi="Palatino Linotype"/>
          <w:sz w:val="22"/>
          <w:szCs w:val="22"/>
          <w:lang w:val="es-EC" w:eastAsia="en-US"/>
        </w:rPr>
        <w:t xml:space="preserve">, determina: </w:t>
      </w:r>
      <w:r w:rsidRPr="00220827">
        <w:rPr>
          <w:rFonts w:ascii="Palatino Linotype" w:eastAsiaTheme="minorHAnsi" w:hAnsi="Palatino Linotype"/>
          <w:i/>
          <w:sz w:val="22"/>
          <w:szCs w:val="22"/>
          <w:lang w:val="es-EC" w:eastAsia="en-US"/>
        </w:rPr>
        <w:t>“Los gobiernos de los distritos metropolitanos autónomos ejercerán las competencias que corresponden a los gobiernos cantonales y todas las que sean aplicables a los gobiernos provinciales y regionales, sin perjuicio de las adicionales que determine la ley que regule el sistema nacional de competencias (…)"</w:t>
      </w:r>
      <w:r w:rsidRPr="00220827">
        <w:rPr>
          <w:rFonts w:ascii="Palatino Linotype" w:eastAsiaTheme="minorHAnsi" w:hAnsi="Palatino Linotype"/>
          <w:sz w:val="22"/>
          <w:szCs w:val="22"/>
          <w:lang w:val="es-EC" w:eastAsia="en-US"/>
        </w:rPr>
        <w:t>;</w:t>
      </w:r>
    </w:p>
    <w:p w14:paraId="4094C918" w14:textId="77777777" w:rsidR="001E73B0" w:rsidRPr="00220827" w:rsidRDefault="001E73B0" w:rsidP="001E73B0">
      <w:pPr>
        <w:autoSpaceDE w:val="0"/>
        <w:autoSpaceDN w:val="0"/>
        <w:adjustRightInd w:val="0"/>
        <w:ind w:left="709" w:hanging="709"/>
        <w:jc w:val="both"/>
        <w:rPr>
          <w:rFonts w:ascii="Palatino Linotype" w:eastAsiaTheme="minorHAnsi" w:hAnsi="Palatino Linotype"/>
          <w:sz w:val="22"/>
          <w:szCs w:val="22"/>
          <w:lang w:val="es-EC" w:eastAsia="en-US"/>
        </w:rPr>
      </w:pPr>
    </w:p>
    <w:p w14:paraId="26F3863F" w14:textId="77777777" w:rsidR="001E73B0" w:rsidRPr="00220827" w:rsidRDefault="001E73B0" w:rsidP="001E73B0">
      <w:pPr>
        <w:autoSpaceDE w:val="0"/>
        <w:autoSpaceDN w:val="0"/>
        <w:adjustRightInd w:val="0"/>
        <w:ind w:left="709" w:hanging="709"/>
        <w:jc w:val="both"/>
        <w:rPr>
          <w:rFonts w:ascii="Palatino Linotype" w:eastAsiaTheme="minorHAnsi" w:hAnsi="Palatino Linotype"/>
          <w:i/>
          <w:sz w:val="22"/>
          <w:szCs w:val="22"/>
          <w:lang w:val="es-EC" w:eastAsia="en-US"/>
        </w:rPr>
      </w:pPr>
      <w:r w:rsidRPr="00220827">
        <w:rPr>
          <w:rFonts w:ascii="Palatino Linotype" w:eastAsiaTheme="minorHAnsi" w:hAnsi="Palatino Linotype"/>
          <w:sz w:val="22"/>
          <w:szCs w:val="22"/>
          <w:lang w:val="es-EC" w:eastAsia="en-US"/>
        </w:rPr>
        <w:t>Que, el literal c)</w:t>
      </w:r>
      <w:r>
        <w:rPr>
          <w:rFonts w:ascii="Palatino Linotype" w:eastAsiaTheme="minorHAnsi" w:hAnsi="Palatino Linotype"/>
          <w:sz w:val="22"/>
          <w:szCs w:val="22"/>
          <w:lang w:val="es-EC" w:eastAsia="en-US"/>
        </w:rPr>
        <w:t xml:space="preserve"> del </w:t>
      </w:r>
      <w:r w:rsidRPr="00220827">
        <w:rPr>
          <w:rFonts w:ascii="Palatino Linotype" w:eastAsiaTheme="minorHAnsi" w:hAnsi="Palatino Linotype"/>
          <w:sz w:val="22"/>
          <w:szCs w:val="22"/>
          <w:lang w:val="es-EC" w:eastAsia="en-US"/>
        </w:rPr>
        <w:t xml:space="preserve">artículo 84, del Código Orgánico de Organización Territorial, Autonomía y Descentralización, en adelante COOTAD, manifiesta: </w:t>
      </w:r>
      <w:r w:rsidRPr="00220827">
        <w:rPr>
          <w:rFonts w:ascii="Palatino Linotype" w:eastAsiaTheme="minorHAnsi" w:hAnsi="Palatino Linotype"/>
          <w:i/>
          <w:sz w:val="22"/>
          <w:szCs w:val="22"/>
          <w:lang w:val="es-EC" w:eastAsia="en-US"/>
        </w:rPr>
        <w:t>"Son funciones del gobierno del distrito autónomo metropolitano: c)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p>
    <w:p w14:paraId="6771E145" w14:textId="77777777" w:rsidR="001E73B0" w:rsidRPr="00220827" w:rsidRDefault="001E73B0" w:rsidP="001E73B0">
      <w:pPr>
        <w:autoSpaceDE w:val="0"/>
        <w:autoSpaceDN w:val="0"/>
        <w:adjustRightInd w:val="0"/>
        <w:ind w:left="709" w:hanging="709"/>
        <w:jc w:val="both"/>
        <w:rPr>
          <w:rFonts w:ascii="Palatino Linotype" w:eastAsiaTheme="minorHAnsi" w:hAnsi="Palatino Linotype"/>
          <w:sz w:val="22"/>
          <w:szCs w:val="22"/>
          <w:lang w:val="es-EC" w:eastAsia="en-US"/>
        </w:rPr>
      </w:pPr>
    </w:p>
    <w:p w14:paraId="16DC11B9" w14:textId="77777777" w:rsidR="001E73B0" w:rsidRPr="00220827" w:rsidRDefault="001E73B0" w:rsidP="001E73B0">
      <w:pPr>
        <w:autoSpaceDE w:val="0"/>
        <w:autoSpaceDN w:val="0"/>
        <w:adjustRightInd w:val="0"/>
        <w:ind w:left="709" w:hanging="709"/>
        <w:jc w:val="both"/>
        <w:rPr>
          <w:rFonts w:ascii="Palatino Linotype" w:eastAsiaTheme="minorHAnsi" w:hAnsi="Palatino Linotype"/>
          <w:sz w:val="22"/>
          <w:szCs w:val="22"/>
          <w:lang w:val="es-EC" w:eastAsia="en-US"/>
        </w:rPr>
      </w:pPr>
      <w:r w:rsidRPr="00220827">
        <w:rPr>
          <w:rFonts w:ascii="Palatino Linotype" w:eastAsiaTheme="minorHAnsi" w:hAnsi="Palatino Linotype"/>
          <w:sz w:val="22"/>
          <w:szCs w:val="22"/>
          <w:lang w:val="es-EC" w:eastAsia="en-US"/>
        </w:rPr>
        <w:t xml:space="preserve">Que, </w:t>
      </w:r>
      <w:r w:rsidRPr="00220827">
        <w:rPr>
          <w:rFonts w:ascii="Palatino Linotype" w:eastAsiaTheme="minorHAnsi" w:hAnsi="Palatino Linotype"/>
          <w:sz w:val="22"/>
          <w:szCs w:val="22"/>
          <w:lang w:val="es-EC" w:eastAsia="en-US"/>
        </w:rPr>
        <w:tab/>
      </w:r>
      <w:r>
        <w:rPr>
          <w:rFonts w:ascii="Palatino Linotype" w:eastAsiaTheme="minorHAnsi" w:hAnsi="Palatino Linotype"/>
          <w:sz w:val="22"/>
          <w:szCs w:val="22"/>
          <w:lang w:val="es-EC" w:eastAsia="en-US"/>
        </w:rPr>
        <w:t xml:space="preserve">el literal </w:t>
      </w:r>
      <w:r w:rsidRPr="00006FF2">
        <w:rPr>
          <w:rFonts w:ascii="Palatino Linotype" w:eastAsiaTheme="minorHAnsi" w:hAnsi="Palatino Linotype"/>
          <w:sz w:val="22"/>
          <w:szCs w:val="22"/>
          <w:lang w:val="es-EC" w:eastAsia="en-US"/>
        </w:rPr>
        <w:t>a) del artículo 87 del COOTAD,</w:t>
      </w:r>
      <w:r w:rsidRPr="00220827">
        <w:rPr>
          <w:rFonts w:ascii="Palatino Linotype" w:eastAsiaTheme="minorHAnsi" w:hAnsi="Palatino Linotype"/>
          <w:sz w:val="22"/>
          <w:szCs w:val="22"/>
          <w:lang w:val="es-EC" w:eastAsia="en-US"/>
        </w:rPr>
        <w:t xml:space="preserve"> establece como atribuciones del Concejo Metropolitano, ejercer la facultad normativa a través de ordenanzas, acuerdos y resoluciones, en el ámbito de competencia del gobierno autónomo descentralizado metropolitano; </w:t>
      </w:r>
    </w:p>
    <w:p w14:paraId="13A0B123" w14:textId="77777777" w:rsidR="001E73B0" w:rsidRPr="00220827" w:rsidRDefault="001E73B0" w:rsidP="001E73B0">
      <w:pPr>
        <w:autoSpaceDE w:val="0"/>
        <w:autoSpaceDN w:val="0"/>
        <w:adjustRightInd w:val="0"/>
        <w:ind w:left="709" w:hanging="709"/>
        <w:jc w:val="both"/>
        <w:rPr>
          <w:rFonts w:ascii="Palatino Linotype" w:eastAsiaTheme="minorHAnsi" w:hAnsi="Palatino Linotype"/>
          <w:sz w:val="22"/>
          <w:szCs w:val="22"/>
          <w:lang w:val="es-EC" w:eastAsia="en-US"/>
        </w:rPr>
      </w:pPr>
    </w:p>
    <w:p w14:paraId="16B857C5" w14:textId="77777777" w:rsidR="001E73B0" w:rsidRPr="00220827" w:rsidRDefault="001E73B0" w:rsidP="001E73B0">
      <w:pPr>
        <w:autoSpaceDE w:val="0"/>
        <w:autoSpaceDN w:val="0"/>
        <w:adjustRightInd w:val="0"/>
        <w:ind w:left="709" w:hanging="709"/>
        <w:jc w:val="both"/>
        <w:rPr>
          <w:rFonts w:ascii="Palatino Linotype" w:eastAsiaTheme="minorHAnsi" w:hAnsi="Palatino Linotype"/>
          <w:sz w:val="22"/>
          <w:szCs w:val="22"/>
          <w:lang w:val="es-EC" w:eastAsia="en-US"/>
        </w:rPr>
      </w:pPr>
      <w:r w:rsidRPr="00220827">
        <w:rPr>
          <w:rFonts w:ascii="Palatino Linotype" w:eastAsiaTheme="minorHAnsi" w:hAnsi="Palatino Linotype"/>
          <w:sz w:val="22"/>
          <w:szCs w:val="22"/>
          <w:lang w:val="es-EC" w:eastAsia="en-US"/>
        </w:rPr>
        <w:t xml:space="preserve">Que, </w:t>
      </w:r>
      <w:r w:rsidRPr="00220827">
        <w:rPr>
          <w:rFonts w:ascii="Palatino Linotype" w:eastAsiaTheme="minorHAnsi" w:hAnsi="Palatino Linotype"/>
          <w:sz w:val="22"/>
          <w:szCs w:val="22"/>
          <w:lang w:val="es-EC" w:eastAsia="en-US"/>
        </w:rPr>
        <w:tab/>
      </w:r>
      <w:r>
        <w:rPr>
          <w:rFonts w:ascii="Palatino Linotype" w:eastAsiaTheme="minorHAnsi" w:hAnsi="Palatino Linotype"/>
          <w:sz w:val="22"/>
          <w:szCs w:val="22"/>
          <w:lang w:val="es-EC" w:eastAsia="en-US"/>
        </w:rPr>
        <w:t>el literal v)</w:t>
      </w:r>
      <w:r w:rsidRPr="00220827">
        <w:rPr>
          <w:rFonts w:ascii="Palatino Linotype" w:eastAsiaTheme="minorHAnsi" w:hAnsi="Palatino Linotype"/>
          <w:sz w:val="22"/>
          <w:szCs w:val="22"/>
          <w:lang w:val="es-EC" w:eastAsia="en-US"/>
        </w:rPr>
        <w:t xml:space="preserve"> </w:t>
      </w:r>
      <w:r>
        <w:rPr>
          <w:rFonts w:ascii="Palatino Linotype" w:eastAsiaTheme="minorHAnsi" w:hAnsi="Palatino Linotype"/>
          <w:sz w:val="22"/>
          <w:szCs w:val="22"/>
          <w:lang w:val="es-EC" w:eastAsia="en-US"/>
        </w:rPr>
        <w:t>d</w:t>
      </w:r>
      <w:r w:rsidRPr="00220827">
        <w:rPr>
          <w:rFonts w:ascii="Palatino Linotype" w:eastAsiaTheme="minorHAnsi" w:hAnsi="Palatino Linotype"/>
          <w:sz w:val="22"/>
          <w:szCs w:val="22"/>
          <w:lang w:val="es-EC" w:eastAsia="en-US"/>
        </w:rPr>
        <w:t xml:space="preserve">el artículo 87, del COOTAD, al Concejo Metropolitano le corresponde: </w:t>
      </w:r>
      <w:r>
        <w:rPr>
          <w:rFonts w:ascii="Palatino Linotype" w:eastAsiaTheme="minorHAnsi" w:hAnsi="Palatino Linotype"/>
          <w:i/>
          <w:sz w:val="22"/>
          <w:szCs w:val="22"/>
          <w:lang w:val="es-EC" w:eastAsia="en-US"/>
        </w:rPr>
        <w:t>“</w:t>
      </w:r>
      <w:r w:rsidRPr="00220827">
        <w:rPr>
          <w:rFonts w:ascii="Palatino Linotype" w:eastAsiaTheme="minorHAnsi" w:hAnsi="Palatino Linotype"/>
          <w:i/>
          <w:sz w:val="22"/>
          <w:szCs w:val="22"/>
          <w:lang w:val="es-EC" w:eastAsia="en-US"/>
        </w:rPr>
        <w:t>v) Regular y controlar el uso del suelo en el territorio del distrito metropolitano, de conformidad con las leyes sobre la materia, y establecer el régimen urbanístico de la tierra”;</w:t>
      </w:r>
      <w:r w:rsidRPr="00220827">
        <w:rPr>
          <w:rFonts w:ascii="Palatino Linotype" w:eastAsiaTheme="minorHAnsi" w:hAnsi="Palatino Linotype"/>
          <w:sz w:val="22"/>
          <w:szCs w:val="22"/>
          <w:lang w:val="es-EC" w:eastAsia="en-US"/>
        </w:rPr>
        <w:t xml:space="preserve"> </w:t>
      </w:r>
    </w:p>
    <w:p w14:paraId="390BE20E" w14:textId="77777777" w:rsidR="001E73B0" w:rsidRPr="00220827" w:rsidRDefault="001E73B0" w:rsidP="001E73B0">
      <w:pPr>
        <w:autoSpaceDE w:val="0"/>
        <w:autoSpaceDN w:val="0"/>
        <w:adjustRightInd w:val="0"/>
        <w:ind w:left="709" w:hanging="709"/>
        <w:jc w:val="both"/>
        <w:rPr>
          <w:rFonts w:ascii="Palatino Linotype" w:eastAsiaTheme="minorHAnsi" w:hAnsi="Palatino Linotype"/>
          <w:sz w:val="22"/>
          <w:szCs w:val="22"/>
          <w:lang w:val="es-EC" w:eastAsia="en-US"/>
        </w:rPr>
      </w:pPr>
    </w:p>
    <w:p w14:paraId="17EC037D" w14:textId="77777777" w:rsidR="001E73B0" w:rsidRDefault="001E73B0" w:rsidP="001E73B0">
      <w:pPr>
        <w:autoSpaceDE w:val="0"/>
        <w:autoSpaceDN w:val="0"/>
        <w:adjustRightInd w:val="0"/>
        <w:ind w:left="709" w:hanging="709"/>
        <w:jc w:val="both"/>
        <w:rPr>
          <w:rFonts w:ascii="Palatino Linotype" w:eastAsiaTheme="minorHAnsi" w:hAnsi="Palatino Linotype"/>
          <w:i/>
          <w:iCs/>
          <w:sz w:val="22"/>
          <w:szCs w:val="22"/>
          <w:lang w:val="es-EC" w:eastAsia="en-US"/>
        </w:rPr>
      </w:pPr>
      <w:r>
        <w:rPr>
          <w:rFonts w:ascii="Palatino Linotype" w:eastAsiaTheme="minorHAnsi" w:hAnsi="Palatino Linotype"/>
          <w:sz w:val="22"/>
          <w:szCs w:val="22"/>
          <w:lang w:val="es-EC" w:eastAsia="en-US"/>
        </w:rPr>
        <w:t xml:space="preserve">Que, </w:t>
      </w:r>
      <w:r>
        <w:rPr>
          <w:rFonts w:ascii="Palatino Linotype" w:eastAsiaTheme="minorHAnsi" w:hAnsi="Palatino Linotype"/>
          <w:sz w:val="22"/>
          <w:szCs w:val="22"/>
          <w:lang w:val="es-EC" w:eastAsia="en-US"/>
        </w:rPr>
        <w:tab/>
        <w:t>el artículo 323 del COOTAD establece: “</w:t>
      </w:r>
      <w:r w:rsidRPr="00006FF2">
        <w:rPr>
          <w:rFonts w:ascii="Palatino Linotype" w:eastAsiaTheme="minorHAnsi" w:hAnsi="Palatino Linotype"/>
          <w:i/>
          <w:iCs/>
          <w:sz w:val="22"/>
          <w:szCs w:val="22"/>
          <w:lang w:val="es-EC" w:eastAsia="en-US"/>
        </w:rPr>
        <w:t>Aprobación de otros actos normativos.- El órgano normativo del respectivo gobierno autónomo descentralizado podrá expedir además, acuerdos y resoluciones sobre temas que tengan carácter especial o específico, los que serán aprobados por el órgano legislativo del gobierno autónomo, por simple mayoría, en un solo debate y serán notificados a los interesados, sin perjuicio de disponer su publicación en cualquiera de los medios determinados en el artículo precedente, de existir mérito para ello. (…)</w:t>
      </w:r>
      <w:r>
        <w:rPr>
          <w:rFonts w:ascii="Palatino Linotype" w:eastAsiaTheme="minorHAnsi" w:hAnsi="Palatino Linotype"/>
          <w:i/>
          <w:iCs/>
          <w:sz w:val="22"/>
          <w:szCs w:val="22"/>
          <w:lang w:val="es-EC" w:eastAsia="en-US"/>
        </w:rPr>
        <w:t>”</w:t>
      </w:r>
    </w:p>
    <w:p w14:paraId="544E8210" w14:textId="77777777" w:rsidR="001E73B0" w:rsidRDefault="001E73B0" w:rsidP="001E73B0">
      <w:pPr>
        <w:autoSpaceDE w:val="0"/>
        <w:autoSpaceDN w:val="0"/>
        <w:adjustRightInd w:val="0"/>
        <w:ind w:left="709" w:hanging="709"/>
        <w:jc w:val="both"/>
        <w:rPr>
          <w:rFonts w:ascii="Palatino Linotype" w:eastAsiaTheme="minorHAnsi" w:hAnsi="Palatino Linotype"/>
          <w:i/>
          <w:iCs/>
          <w:sz w:val="22"/>
          <w:szCs w:val="22"/>
          <w:lang w:val="es-EC" w:eastAsia="en-US"/>
        </w:rPr>
      </w:pPr>
    </w:p>
    <w:p w14:paraId="62E08DBB" w14:textId="77777777" w:rsidR="001E73B0" w:rsidRDefault="001E73B0" w:rsidP="001E73B0">
      <w:pPr>
        <w:autoSpaceDE w:val="0"/>
        <w:autoSpaceDN w:val="0"/>
        <w:adjustRightInd w:val="0"/>
        <w:ind w:left="709" w:hanging="709"/>
        <w:jc w:val="both"/>
        <w:rPr>
          <w:rFonts w:ascii="Palatino Linotype" w:eastAsiaTheme="minorHAnsi" w:hAnsi="Palatino Linotype"/>
          <w:sz w:val="22"/>
          <w:szCs w:val="22"/>
          <w:lang w:val="es-EC" w:eastAsia="en-US"/>
        </w:rPr>
      </w:pPr>
      <w:r w:rsidRPr="0050720F">
        <w:rPr>
          <w:rFonts w:ascii="Palatino Linotype" w:eastAsiaTheme="minorHAnsi" w:hAnsi="Palatino Linotype"/>
          <w:sz w:val="22"/>
          <w:szCs w:val="22"/>
          <w:lang w:val="es-EC" w:eastAsia="en-US"/>
        </w:rPr>
        <w:t>Que, el artículo 326 del COOTAD determina que los órganos legislativos de los gobiernos autónomos descentralizados, conformarán comisiones de trabajo las que emitirán conclusiones y recomendaciones que serán consideradas como base para la discusión y aprobación de sus decisiones;</w:t>
      </w:r>
    </w:p>
    <w:p w14:paraId="5BAA2AAE" w14:textId="77777777" w:rsidR="001E73B0" w:rsidRDefault="001E73B0" w:rsidP="001E73B0">
      <w:pPr>
        <w:autoSpaceDE w:val="0"/>
        <w:autoSpaceDN w:val="0"/>
        <w:adjustRightInd w:val="0"/>
        <w:ind w:left="709" w:hanging="709"/>
        <w:jc w:val="both"/>
        <w:rPr>
          <w:rFonts w:ascii="Palatino Linotype" w:eastAsiaTheme="minorHAnsi" w:hAnsi="Palatino Linotype"/>
          <w:sz w:val="22"/>
          <w:szCs w:val="22"/>
          <w:lang w:val="es-EC" w:eastAsia="en-US"/>
        </w:rPr>
      </w:pPr>
    </w:p>
    <w:p w14:paraId="2A3436B2" w14:textId="77777777" w:rsidR="001E73B0" w:rsidRDefault="001E73B0" w:rsidP="001E73B0">
      <w:pPr>
        <w:autoSpaceDE w:val="0"/>
        <w:autoSpaceDN w:val="0"/>
        <w:adjustRightInd w:val="0"/>
        <w:ind w:left="709" w:hanging="709"/>
        <w:jc w:val="both"/>
        <w:rPr>
          <w:rFonts w:ascii="Palatino Linotype" w:eastAsiaTheme="minorHAnsi" w:hAnsi="Palatino Linotype" w:cs="CourierNewNormal"/>
          <w:i/>
          <w:sz w:val="22"/>
          <w:szCs w:val="22"/>
          <w:lang w:eastAsia="en-US"/>
        </w:rPr>
      </w:pPr>
      <w:r w:rsidRPr="00220827">
        <w:rPr>
          <w:rFonts w:ascii="Palatino Linotype" w:eastAsiaTheme="minorHAnsi" w:hAnsi="Palatino Linotype"/>
          <w:sz w:val="22"/>
          <w:szCs w:val="22"/>
          <w:lang w:val="es-EC" w:eastAsia="en-US"/>
        </w:rPr>
        <w:t>Que,</w:t>
      </w:r>
      <w:r w:rsidRPr="00220827">
        <w:rPr>
          <w:rFonts w:ascii="Palatino Linotype" w:eastAsiaTheme="minorHAnsi" w:hAnsi="Palatino Linotype"/>
          <w:sz w:val="22"/>
          <w:szCs w:val="22"/>
          <w:lang w:val="es-EC" w:eastAsia="en-US"/>
        </w:rPr>
        <w:tab/>
        <w:t xml:space="preserve">el artículo 472 del COOTAD señala que: </w:t>
      </w:r>
      <w:r w:rsidRPr="00220827">
        <w:rPr>
          <w:rFonts w:ascii="Palatino Linotype" w:eastAsiaTheme="minorHAnsi" w:hAnsi="Palatino Linotype"/>
          <w:i/>
          <w:sz w:val="22"/>
          <w:szCs w:val="22"/>
          <w:lang w:val="es-EC" w:eastAsia="en-US"/>
        </w:rPr>
        <w:t>“</w:t>
      </w:r>
      <w:r w:rsidRPr="00220827">
        <w:rPr>
          <w:rFonts w:ascii="Palatino Linotype" w:eastAsiaTheme="minorHAnsi" w:hAnsi="Palatino Linotype" w:cs="CourierNewNormal"/>
          <w:i/>
          <w:sz w:val="22"/>
          <w:szCs w:val="22"/>
          <w:lang w:eastAsia="en-US"/>
        </w:rPr>
        <w:t>Para la fijación de las superficies mínimas en los fraccionamientos urbanos se atenderá a las normas que al efecto contenga el plan de ordenamiento territoria</w:t>
      </w:r>
      <w:r>
        <w:rPr>
          <w:rFonts w:ascii="Palatino Linotype" w:eastAsiaTheme="minorHAnsi" w:hAnsi="Palatino Linotype" w:cs="CourierNewNormal"/>
          <w:i/>
          <w:sz w:val="22"/>
          <w:szCs w:val="22"/>
          <w:lang w:eastAsia="en-US"/>
        </w:rPr>
        <w:t>l (</w:t>
      </w:r>
      <w:r w:rsidRPr="00220827">
        <w:rPr>
          <w:rFonts w:ascii="Palatino Linotype" w:eastAsiaTheme="minorHAnsi" w:hAnsi="Palatino Linotype" w:cs="CourierNewNormal"/>
          <w:i/>
          <w:sz w:val="22"/>
          <w:szCs w:val="22"/>
          <w:lang w:eastAsia="en-US"/>
        </w:rPr>
        <w:t>...</w:t>
      </w:r>
      <w:r>
        <w:rPr>
          <w:rFonts w:ascii="Palatino Linotype" w:eastAsiaTheme="minorHAnsi" w:hAnsi="Palatino Linotype" w:cs="CourierNewNormal"/>
          <w:i/>
          <w:sz w:val="22"/>
          <w:szCs w:val="22"/>
          <w:lang w:eastAsia="en-US"/>
        </w:rPr>
        <w:t>)</w:t>
      </w:r>
      <w:r w:rsidRPr="00220827">
        <w:rPr>
          <w:rFonts w:ascii="Palatino Linotype" w:eastAsiaTheme="minorHAnsi" w:hAnsi="Palatino Linotype" w:cs="CourierNewNormal"/>
          <w:i/>
          <w:sz w:val="22"/>
          <w:szCs w:val="22"/>
          <w:lang w:eastAsia="en-US"/>
        </w:rPr>
        <w:t>”;</w:t>
      </w:r>
    </w:p>
    <w:p w14:paraId="30230A34" w14:textId="77777777" w:rsidR="001E73B0" w:rsidRPr="00220827" w:rsidRDefault="001E73B0" w:rsidP="001E73B0">
      <w:pPr>
        <w:autoSpaceDE w:val="0"/>
        <w:autoSpaceDN w:val="0"/>
        <w:adjustRightInd w:val="0"/>
        <w:ind w:left="709" w:hanging="709"/>
        <w:jc w:val="both"/>
        <w:rPr>
          <w:rFonts w:ascii="Palatino Linotype" w:eastAsiaTheme="minorHAnsi" w:hAnsi="Palatino Linotype"/>
          <w:sz w:val="22"/>
          <w:szCs w:val="22"/>
          <w:lang w:val="es-EC" w:eastAsia="en-US"/>
        </w:rPr>
      </w:pPr>
    </w:p>
    <w:p w14:paraId="4B4B47EE" w14:textId="77777777" w:rsidR="001E73B0" w:rsidRPr="00220827" w:rsidRDefault="001E73B0" w:rsidP="001E73B0">
      <w:pPr>
        <w:autoSpaceDE w:val="0"/>
        <w:autoSpaceDN w:val="0"/>
        <w:adjustRightInd w:val="0"/>
        <w:ind w:left="709" w:hanging="709"/>
        <w:jc w:val="both"/>
        <w:rPr>
          <w:rFonts w:ascii="Palatino Linotype" w:eastAsiaTheme="minorHAnsi" w:hAnsi="Palatino Linotype"/>
          <w:sz w:val="22"/>
          <w:szCs w:val="22"/>
          <w:lang w:val="es-EC" w:eastAsia="en-US"/>
        </w:rPr>
      </w:pPr>
      <w:r w:rsidRPr="00220827">
        <w:rPr>
          <w:rFonts w:ascii="Palatino Linotype" w:eastAsiaTheme="minorHAnsi" w:hAnsi="Palatino Linotype"/>
          <w:sz w:val="22"/>
          <w:szCs w:val="22"/>
          <w:lang w:val="es-EC" w:eastAsia="en-US"/>
        </w:rPr>
        <w:t>Que,</w:t>
      </w:r>
      <w:r w:rsidRPr="00220827">
        <w:rPr>
          <w:rFonts w:ascii="Palatino Linotype" w:eastAsiaTheme="minorHAnsi" w:hAnsi="Palatino Linotype"/>
          <w:sz w:val="22"/>
          <w:szCs w:val="22"/>
          <w:lang w:val="es-EC" w:eastAsia="en-US"/>
        </w:rPr>
        <w:tab/>
        <w:t xml:space="preserve">el artículo 473 del COOTAD establece que: </w:t>
      </w:r>
      <w:r w:rsidRPr="00220827">
        <w:rPr>
          <w:rFonts w:ascii="Palatino Linotype" w:eastAsiaTheme="minorHAnsi" w:hAnsi="Palatino Linotype"/>
          <w:i/>
          <w:sz w:val="22"/>
          <w:szCs w:val="22"/>
          <w:lang w:val="es-EC" w:eastAsia="en-US"/>
        </w:rPr>
        <w:t>“</w:t>
      </w:r>
      <w:r w:rsidRPr="00220827">
        <w:rPr>
          <w:rFonts w:ascii="Palatino Linotype" w:eastAsiaTheme="minorHAnsi" w:hAnsi="Palatino Linotype" w:cs="CourierNewNormal"/>
          <w:i/>
          <w:sz w:val="22"/>
          <w:szCs w:val="22"/>
          <w:lang w:eastAsia="en-US"/>
        </w:rPr>
        <w:t>En el caso de partición judicial de inmuebles, los jueces ordenarán que se cite con la demanda a la municipalidad del cantón o distrito metropolitano y no se podrá realizar la partición sino con informe favorable del respectivo concejo. Si de hecho se realiza la partición, será nula. En el caso de partición extrajudicial, los interesados pedirán al gobierno municipal o metropolitano la autorización respectiva, sin la cual no podrá realizarse la partición.</w:t>
      </w:r>
      <w:r w:rsidRPr="00220827">
        <w:rPr>
          <w:rFonts w:ascii="Palatino Linotype" w:eastAsiaTheme="minorHAnsi" w:hAnsi="Palatino Linotype"/>
          <w:i/>
          <w:sz w:val="22"/>
          <w:szCs w:val="22"/>
          <w:lang w:val="es-EC" w:eastAsia="en-US"/>
        </w:rPr>
        <w:t>”</w:t>
      </w:r>
      <w:r w:rsidRPr="00220827">
        <w:rPr>
          <w:rFonts w:ascii="Palatino Linotype" w:eastAsiaTheme="minorHAnsi" w:hAnsi="Palatino Linotype"/>
          <w:sz w:val="22"/>
          <w:szCs w:val="22"/>
          <w:lang w:val="es-EC" w:eastAsia="en-US"/>
        </w:rPr>
        <w:t>;</w:t>
      </w:r>
    </w:p>
    <w:p w14:paraId="2213438A" w14:textId="77777777" w:rsidR="001E73B0" w:rsidRPr="00220827" w:rsidRDefault="001E73B0" w:rsidP="001E73B0">
      <w:pPr>
        <w:autoSpaceDE w:val="0"/>
        <w:autoSpaceDN w:val="0"/>
        <w:adjustRightInd w:val="0"/>
        <w:jc w:val="both"/>
        <w:rPr>
          <w:rFonts w:ascii="Palatino Linotype" w:hAnsi="Palatino Linotype"/>
          <w:sz w:val="22"/>
          <w:szCs w:val="22"/>
        </w:rPr>
      </w:pPr>
    </w:p>
    <w:p w14:paraId="5812C2F3" w14:textId="77777777" w:rsidR="001E73B0" w:rsidRPr="00220827" w:rsidRDefault="001E73B0" w:rsidP="001E73B0">
      <w:pPr>
        <w:autoSpaceDE w:val="0"/>
        <w:autoSpaceDN w:val="0"/>
        <w:adjustRightInd w:val="0"/>
        <w:ind w:left="709" w:hanging="709"/>
        <w:jc w:val="both"/>
        <w:rPr>
          <w:rFonts w:ascii="Palatino Linotype" w:eastAsiaTheme="minorHAnsi" w:hAnsi="Palatino Linotype"/>
          <w:sz w:val="22"/>
          <w:szCs w:val="22"/>
          <w:lang w:val="es-EC" w:eastAsia="en-US"/>
        </w:rPr>
      </w:pPr>
      <w:r w:rsidRPr="00220827">
        <w:rPr>
          <w:rFonts w:ascii="Palatino Linotype" w:eastAsiaTheme="minorHAnsi" w:hAnsi="Palatino Linotype"/>
          <w:sz w:val="22"/>
          <w:szCs w:val="22"/>
          <w:lang w:val="es-EC" w:eastAsia="en-US"/>
        </w:rPr>
        <w:t>Que,</w:t>
      </w:r>
      <w:r w:rsidRPr="00220827">
        <w:rPr>
          <w:rFonts w:ascii="Palatino Linotype" w:eastAsiaTheme="minorHAnsi" w:hAnsi="Palatino Linotype"/>
          <w:sz w:val="22"/>
          <w:szCs w:val="22"/>
          <w:lang w:val="es-EC" w:eastAsia="en-US"/>
        </w:rPr>
        <w:tab/>
      </w:r>
      <w:r>
        <w:rPr>
          <w:rFonts w:ascii="Palatino Linotype" w:eastAsiaTheme="minorHAnsi" w:hAnsi="Palatino Linotype"/>
          <w:sz w:val="22"/>
          <w:szCs w:val="22"/>
          <w:lang w:val="es-EC" w:eastAsia="en-US"/>
        </w:rPr>
        <w:t xml:space="preserve">el numeral 1, del artículo 2 de </w:t>
      </w:r>
      <w:r w:rsidRPr="00006FF2">
        <w:rPr>
          <w:rFonts w:ascii="Palatino Linotype" w:eastAsiaTheme="minorHAnsi" w:hAnsi="Palatino Linotype"/>
          <w:sz w:val="22"/>
          <w:szCs w:val="22"/>
          <w:lang w:val="es-EC" w:eastAsia="en-US"/>
        </w:rPr>
        <w:t>la Ley de Régimen para el Distrito Metropolitano de Quito, determina</w:t>
      </w:r>
      <w:r>
        <w:rPr>
          <w:rFonts w:ascii="Palatino Linotype" w:eastAsiaTheme="minorHAnsi" w:hAnsi="Palatino Linotype"/>
          <w:sz w:val="22"/>
          <w:szCs w:val="22"/>
          <w:lang w:val="es-EC" w:eastAsia="en-US"/>
        </w:rPr>
        <w:t>, como finalidad,</w:t>
      </w:r>
      <w:r w:rsidRPr="00220827">
        <w:rPr>
          <w:rFonts w:ascii="Palatino Linotype" w:eastAsiaTheme="minorHAnsi" w:hAnsi="Palatino Linotype"/>
          <w:sz w:val="22"/>
          <w:szCs w:val="22"/>
          <w:lang w:val="es-EC" w:eastAsia="en-US"/>
        </w:rPr>
        <w:t xml:space="preserve"> que el Municipio del</w:t>
      </w:r>
      <w:r>
        <w:rPr>
          <w:rFonts w:ascii="Palatino Linotype" w:eastAsiaTheme="minorHAnsi" w:hAnsi="Palatino Linotype"/>
          <w:sz w:val="22"/>
          <w:szCs w:val="22"/>
          <w:lang w:val="es-EC" w:eastAsia="en-US"/>
        </w:rPr>
        <w:t xml:space="preserve"> </w:t>
      </w:r>
      <w:r w:rsidRPr="00220827">
        <w:rPr>
          <w:rFonts w:ascii="Palatino Linotype" w:eastAsiaTheme="minorHAnsi" w:hAnsi="Palatino Linotype"/>
          <w:sz w:val="22"/>
          <w:szCs w:val="22"/>
          <w:lang w:val="es-EC" w:eastAsia="en-US"/>
        </w:rPr>
        <w:t>Distrito Metropolitano de Quito</w:t>
      </w:r>
      <w:r>
        <w:rPr>
          <w:rFonts w:ascii="Palatino Linotype" w:eastAsiaTheme="minorHAnsi" w:hAnsi="Palatino Linotype"/>
          <w:sz w:val="22"/>
          <w:szCs w:val="22"/>
          <w:lang w:val="es-EC" w:eastAsia="en-US"/>
        </w:rPr>
        <w:t>:</w:t>
      </w:r>
      <w:r w:rsidRPr="00220827">
        <w:rPr>
          <w:rFonts w:ascii="Palatino Linotype" w:eastAsiaTheme="minorHAnsi" w:hAnsi="Palatino Linotype"/>
          <w:sz w:val="22"/>
          <w:szCs w:val="22"/>
          <w:lang w:val="es-EC" w:eastAsia="en-US"/>
        </w:rPr>
        <w:t xml:space="preserve"> </w:t>
      </w:r>
      <w:r>
        <w:rPr>
          <w:rFonts w:ascii="Palatino Linotype" w:eastAsiaTheme="minorHAnsi" w:hAnsi="Palatino Linotype"/>
          <w:sz w:val="22"/>
          <w:szCs w:val="22"/>
          <w:lang w:val="es-EC" w:eastAsia="en-US"/>
        </w:rPr>
        <w:t>“</w:t>
      </w:r>
      <w:r w:rsidRPr="00006FF2">
        <w:rPr>
          <w:rFonts w:ascii="Palatino Linotype" w:eastAsiaTheme="minorHAnsi" w:hAnsi="Palatino Linotype"/>
          <w:i/>
          <w:iCs/>
          <w:sz w:val="22"/>
          <w:szCs w:val="22"/>
          <w:lang w:val="es-EC" w:eastAsia="en-US"/>
        </w:rPr>
        <w:t>regulará el uso y la adecuada ocupación del suelo y ejercerá control sobre el mismo con competencia exclusiva y privativa. De igual manera regulará y controlará, con competencia exclusiva y privativa las construcciones o edificaciones, su estado, utilización y condicione</w:t>
      </w:r>
      <w:r>
        <w:rPr>
          <w:rFonts w:ascii="Palatino Linotype" w:eastAsiaTheme="minorHAnsi" w:hAnsi="Palatino Linotype"/>
          <w:i/>
          <w:iCs/>
          <w:sz w:val="22"/>
          <w:szCs w:val="22"/>
          <w:lang w:val="es-EC" w:eastAsia="en-US"/>
        </w:rPr>
        <w:t>s”</w:t>
      </w:r>
      <w:r w:rsidRPr="00220827">
        <w:rPr>
          <w:rFonts w:ascii="Palatino Linotype" w:eastAsiaTheme="minorHAnsi" w:hAnsi="Palatino Linotype"/>
          <w:sz w:val="22"/>
          <w:szCs w:val="22"/>
          <w:lang w:val="es-EC" w:eastAsia="en-US"/>
        </w:rPr>
        <w:t>;</w:t>
      </w:r>
    </w:p>
    <w:p w14:paraId="62CDB87F" w14:textId="77777777" w:rsidR="001E73B0" w:rsidRPr="00220827" w:rsidRDefault="001E73B0" w:rsidP="001E73B0">
      <w:pPr>
        <w:autoSpaceDE w:val="0"/>
        <w:autoSpaceDN w:val="0"/>
        <w:adjustRightInd w:val="0"/>
        <w:ind w:left="709" w:hanging="709"/>
        <w:jc w:val="both"/>
        <w:rPr>
          <w:rFonts w:ascii="Palatino Linotype" w:eastAsiaTheme="minorHAnsi" w:hAnsi="Palatino Linotype"/>
          <w:sz w:val="22"/>
          <w:szCs w:val="22"/>
          <w:lang w:val="es-EC" w:eastAsia="en-US"/>
        </w:rPr>
      </w:pPr>
    </w:p>
    <w:p w14:paraId="092BC046" w14:textId="77777777" w:rsidR="001E73B0" w:rsidRPr="00220827" w:rsidRDefault="001E73B0" w:rsidP="001E73B0">
      <w:pPr>
        <w:autoSpaceDE w:val="0"/>
        <w:autoSpaceDN w:val="0"/>
        <w:adjustRightInd w:val="0"/>
        <w:ind w:left="709" w:hanging="709"/>
        <w:jc w:val="both"/>
        <w:rPr>
          <w:rFonts w:ascii="Palatino Linotype" w:eastAsiaTheme="minorHAnsi" w:hAnsi="Palatino Linotype"/>
          <w:sz w:val="22"/>
          <w:szCs w:val="22"/>
          <w:lang w:val="es-EC" w:eastAsia="en-US"/>
        </w:rPr>
      </w:pPr>
      <w:r w:rsidRPr="00220827">
        <w:rPr>
          <w:rFonts w:ascii="Palatino Linotype" w:eastAsiaTheme="minorHAnsi" w:hAnsi="Palatino Linotype"/>
          <w:sz w:val="22"/>
          <w:szCs w:val="22"/>
          <w:lang w:val="es-EC" w:eastAsia="en-US"/>
        </w:rPr>
        <w:t>Que,</w:t>
      </w:r>
      <w:r w:rsidRPr="00220827">
        <w:rPr>
          <w:rFonts w:ascii="Palatino Linotype" w:eastAsiaTheme="minorHAnsi" w:hAnsi="Palatino Linotype"/>
          <w:sz w:val="22"/>
          <w:szCs w:val="22"/>
          <w:lang w:val="es-EC" w:eastAsia="en-US"/>
        </w:rPr>
        <w:tab/>
      </w:r>
      <w:r>
        <w:rPr>
          <w:rFonts w:ascii="Palatino Linotype" w:eastAsiaTheme="minorHAnsi" w:hAnsi="Palatino Linotype"/>
          <w:sz w:val="22"/>
          <w:szCs w:val="22"/>
          <w:lang w:val="es-EC" w:eastAsia="en-US"/>
        </w:rPr>
        <w:t>los literales a y b del numeral 1, del</w:t>
      </w:r>
      <w:r w:rsidRPr="00220827">
        <w:rPr>
          <w:rFonts w:ascii="Palatino Linotype" w:eastAsiaTheme="minorHAnsi" w:hAnsi="Palatino Linotype"/>
          <w:sz w:val="22"/>
          <w:szCs w:val="22"/>
          <w:lang w:val="es-EC" w:eastAsia="en-US"/>
        </w:rPr>
        <w:t xml:space="preserve"> artículo IV.1.64 del Código Municipal para el Distrito Metropolitano de Quito, en adelante Código Municipal, señala</w:t>
      </w:r>
      <w:r>
        <w:rPr>
          <w:rFonts w:ascii="Palatino Linotype" w:eastAsiaTheme="minorHAnsi" w:hAnsi="Palatino Linotype"/>
          <w:sz w:val="22"/>
          <w:szCs w:val="22"/>
          <w:lang w:val="es-EC" w:eastAsia="en-US"/>
        </w:rPr>
        <w:t>n</w:t>
      </w:r>
      <w:r w:rsidRPr="00220827">
        <w:rPr>
          <w:rFonts w:ascii="Palatino Linotype" w:eastAsiaTheme="minorHAnsi" w:hAnsi="Palatino Linotype"/>
          <w:sz w:val="22"/>
          <w:szCs w:val="22"/>
          <w:lang w:val="es-EC" w:eastAsia="en-US"/>
        </w:rPr>
        <w:t xml:space="preserve"> que las asignaciones de zonificación para habilitación del suelo y edificación son</w:t>
      </w:r>
      <w:r w:rsidRPr="00006FF2">
        <w:rPr>
          <w:rFonts w:ascii="Palatino Linotype" w:eastAsiaTheme="minorHAnsi" w:hAnsi="Palatino Linotype"/>
          <w:i/>
          <w:iCs/>
          <w:sz w:val="22"/>
          <w:szCs w:val="22"/>
          <w:lang w:val="es-EC" w:eastAsia="en-US"/>
        </w:rPr>
        <w:t>: a. Para habilitación del suelo: el tamaño mínimo de lote, expresado en metros cuadrados; el frente mínimo del lote, expresado en metros lineales; y, b. Para edificación: los retiros de construcción de la edificación; el coeficiente de ocupación del suelo en planta baja ("COS PLANTA BAJA"); el coeficiente de ocupación del suelo total ("COS TOTAL"), expresados en porcentaje; la altura de la edificación expresada en número de pisos y metros lineales.”</w:t>
      </w:r>
    </w:p>
    <w:p w14:paraId="6E7BF2A0" w14:textId="77777777" w:rsidR="001E73B0" w:rsidRPr="00220827" w:rsidRDefault="001E73B0" w:rsidP="001E73B0">
      <w:pPr>
        <w:autoSpaceDE w:val="0"/>
        <w:autoSpaceDN w:val="0"/>
        <w:adjustRightInd w:val="0"/>
        <w:ind w:left="709" w:hanging="709"/>
        <w:jc w:val="both"/>
        <w:rPr>
          <w:rFonts w:ascii="Palatino Linotype" w:eastAsiaTheme="minorHAnsi" w:hAnsi="Palatino Linotype"/>
          <w:sz w:val="22"/>
          <w:szCs w:val="22"/>
          <w:lang w:val="es-EC" w:eastAsia="en-US"/>
        </w:rPr>
      </w:pPr>
    </w:p>
    <w:p w14:paraId="2417E2FB" w14:textId="77777777" w:rsidR="001E73B0" w:rsidRPr="00220827" w:rsidRDefault="001E73B0" w:rsidP="001E73B0">
      <w:pPr>
        <w:autoSpaceDE w:val="0"/>
        <w:autoSpaceDN w:val="0"/>
        <w:adjustRightInd w:val="0"/>
        <w:ind w:left="709" w:hanging="709"/>
        <w:jc w:val="both"/>
        <w:rPr>
          <w:rFonts w:ascii="Palatino Linotype" w:eastAsiaTheme="minorHAnsi" w:hAnsi="Palatino Linotype"/>
          <w:sz w:val="22"/>
          <w:szCs w:val="22"/>
          <w:lang w:val="es-EC" w:eastAsia="en-US"/>
        </w:rPr>
      </w:pPr>
      <w:r w:rsidRPr="00603285">
        <w:rPr>
          <w:rFonts w:ascii="Palatino Linotype" w:eastAsiaTheme="minorHAnsi" w:hAnsi="Palatino Linotype"/>
          <w:sz w:val="22"/>
          <w:szCs w:val="22"/>
          <w:lang w:val="es-EC" w:eastAsia="en-US"/>
        </w:rPr>
        <w:t xml:space="preserve">Que, </w:t>
      </w:r>
      <w:r w:rsidRPr="00603285">
        <w:rPr>
          <w:rFonts w:ascii="Palatino Linotype" w:eastAsiaTheme="minorHAnsi" w:hAnsi="Palatino Linotype"/>
          <w:sz w:val="22"/>
          <w:szCs w:val="22"/>
          <w:lang w:val="es-EC" w:eastAsia="en-US"/>
        </w:rPr>
        <w:tab/>
      </w:r>
      <w:r>
        <w:rPr>
          <w:rFonts w:ascii="Palatino Linotype" w:eastAsiaTheme="minorHAnsi" w:hAnsi="Palatino Linotype"/>
          <w:sz w:val="22"/>
          <w:szCs w:val="22"/>
          <w:lang w:val="es-EC" w:eastAsia="en-US"/>
        </w:rPr>
        <w:t>el literal a, del numeral 1, d</w:t>
      </w:r>
      <w:r w:rsidRPr="00603285">
        <w:rPr>
          <w:rFonts w:ascii="Palatino Linotype" w:eastAsiaTheme="minorHAnsi" w:hAnsi="Palatino Linotype"/>
          <w:sz w:val="22"/>
          <w:szCs w:val="22"/>
          <w:lang w:val="es-EC" w:eastAsia="en-US"/>
        </w:rPr>
        <w:t>el artículo IV.1.65 del Código Municipal establece:</w:t>
      </w:r>
      <w:r w:rsidRPr="00220827">
        <w:rPr>
          <w:rFonts w:ascii="Palatino Linotype" w:eastAsiaTheme="minorHAnsi" w:hAnsi="Palatino Linotype"/>
          <w:sz w:val="22"/>
          <w:szCs w:val="22"/>
          <w:lang w:val="es-EC" w:eastAsia="en-US"/>
        </w:rPr>
        <w:t xml:space="preserve"> </w:t>
      </w:r>
      <w:r w:rsidRPr="00220827">
        <w:rPr>
          <w:rFonts w:ascii="Palatino Linotype" w:eastAsiaTheme="minorHAnsi" w:hAnsi="Palatino Linotype"/>
          <w:i/>
          <w:sz w:val="22"/>
          <w:szCs w:val="22"/>
          <w:lang w:val="es-EC" w:eastAsia="en-US"/>
        </w:rPr>
        <w:t>"1. La delimitación de la zonificación en relación a la forma de ocupación y edificabilidad se realiza por sectores y ejes, y se aplicará a los lotes en las siguientes condiciones: a. En cada sector la asignación de cada tipo de zonificación se aplicará a todos los lotes que lo conforman</w:t>
      </w:r>
      <w:r>
        <w:rPr>
          <w:rFonts w:ascii="Palatino Linotype" w:eastAsiaTheme="minorHAnsi" w:hAnsi="Palatino Linotype"/>
          <w:i/>
          <w:sz w:val="22"/>
          <w:szCs w:val="22"/>
          <w:lang w:val="es-EC" w:eastAsia="en-US"/>
        </w:rPr>
        <w:t>.</w:t>
      </w:r>
      <w:r w:rsidRPr="00220827">
        <w:rPr>
          <w:rFonts w:ascii="Palatino Linotype" w:eastAsiaTheme="minorHAnsi" w:hAnsi="Palatino Linotype"/>
          <w:i/>
          <w:sz w:val="22"/>
          <w:szCs w:val="22"/>
          <w:lang w:val="es-EC" w:eastAsia="en-US"/>
        </w:rPr>
        <w:t>";</w:t>
      </w:r>
    </w:p>
    <w:p w14:paraId="436B7E97" w14:textId="77777777" w:rsidR="001E73B0" w:rsidRPr="00220827" w:rsidRDefault="001E73B0" w:rsidP="001E73B0">
      <w:pPr>
        <w:autoSpaceDE w:val="0"/>
        <w:autoSpaceDN w:val="0"/>
        <w:adjustRightInd w:val="0"/>
        <w:ind w:left="709" w:hanging="709"/>
        <w:jc w:val="both"/>
        <w:rPr>
          <w:rFonts w:ascii="Palatino Linotype" w:eastAsiaTheme="minorHAnsi" w:hAnsi="Palatino Linotype"/>
          <w:sz w:val="22"/>
          <w:szCs w:val="22"/>
          <w:lang w:val="es-EC" w:eastAsia="en-US"/>
        </w:rPr>
      </w:pPr>
    </w:p>
    <w:p w14:paraId="0DE444AB" w14:textId="77777777" w:rsidR="001E73B0" w:rsidRPr="00220827" w:rsidRDefault="001E73B0" w:rsidP="001E73B0">
      <w:pPr>
        <w:autoSpaceDE w:val="0"/>
        <w:autoSpaceDN w:val="0"/>
        <w:adjustRightInd w:val="0"/>
        <w:ind w:left="709" w:hanging="709"/>
        <w:jc w:val="both"/>
        <w:rPr>
          <w:rFonts w:ascii="Palatino Linotype" w:hAnsi="Palatino Linotype"/>
          <w:sz w:val="22"/>
          <w:szCs w:val="22"/>
        </w:rPr>
      </w:pPr>
      <w:r w:rsidRPr="00220827">
        <w:rPr>
          <w:rFonts w:ascii="Palatino Linotype" w:eastAsiaTheme="minorHAnsi" w:hAnsi="Palatino Linotype"/>
          <w:sz w:val="22"/>
          <w:szCs w:val="22"/>
          <w:lang w:val="es-EC" w:eastAsia="en-US"/>
        </w:rPr>
        <w:t xml:space="preserve">Que, </w:t>
      </w:r>
      <w:r w:rsidRPr="00220827">
        <w:rPr>
          <w:rFonts w:ascii="Palatino Linotype" w:eastAsiaTheme="minorHAnsi" w:hAnsi="Palatino Linotype"/>
          <w:sz w:val="22"/>
          <w:szCs w:val="22"/>
          <w:lang w:val="es-EC" w:eastAsia="en-US"/>
        </w:rPr>
        <w:tab/>
      </w:r>
      <w:r>
        <w:rPr>
          <w:rFonts w:ascii="Palatino Linotype" w:eastAsiaTheme="minorHAnsi" w:hAnsi="Palatino Linotype"/>
          <w:sz w:val="22"/>
          <w:szCs w:val="22"/>
          <w:lang w:val="es-EC" w:eastAsia="en-US"/>
        </w:rPr>
        <w:t xml:space="preserve">los numerales </w:t>
      </w:r>
      <w:r w:rsidRPr="00220827">
        <w:rPr>
          <w:rFonts w:ascii="Palatino Linotype" w:eastAsiaTheme="minorHAnsi" w:hAnsi="Palatino Linotype"/>
          <w:sz w:val="22"/>
          <w:szCs w:val="22"/>
          <w:lang w:val="es-EC" w:eastAsia="en-US"/>
        </w:rPr>
        <w:t>1 y 5</w:t>
      </w:r>
      <w:r>
        <w:rPr>
          <w:rFonts w:ascii="Palatino Linotype" w:eastAsiaTheme="minorHAnsi" w:hAnsi="Palatino Linotype"/>
          <w:sz w:val="22"/>
          <w:szCs w:val="22"/>
          <w:lang w:val="es-EC" w:eastAsia="en-US"/>
        </w:rPr>
        <w:t xml:space="preserve"> del artículo </w:t>
      </w:r>
      <w:r w:rsidRPr="00220827">
        <w:rPr>
          <w:rFonts w:ascii="Palatino Linotype" w:eastAsiaTheme="minorHAnsi" w:hAnsi="Palatino Linotype"/>
          <w:sz w:val="22"/>
          <w:szCs w:val="22"/>
          <w:lang w:val="es-EC" w:eastAsia="en-US"/>
        </w:rPr>
        <w:t>IV.1.70</w:t>
      </w:r>
      <w:r>
        <w:rPr>
          <w:rFonts w:ascii="Palatino Linotype" w:eastAsiaTheme="minorHAnsi" w:hAnsi="Palatino Linotype"/>
          <w:sz w:val="22"/>
          <w:szCs w:val="22"/>
          <w:lang w:val="es-EC" w:eastAsia="en-US"/>
        </w:rPr>
        <w:t xml:space="preserve">, del </w:t>
      </w:r>
      <w:r w:rsidRPr="00220827">
        <w:rPr>
          <w:rFonts w:ascii="Palatino Linotype" w:eastAsiaTheme="minorHAnsi" w:hAnsi="Palatino Linotype"/>
          <w:sz w:val="22"/>
          <w:szCs w:val="22"/>
          <w:lang w:val="es-EC" w:eastAsia="en-US"/>
        </w:rPr>
        <w:t>Código Municipal determina</w:t>
      </w:r>
      <w:r>
        <w:rPr>
          <w:rFonts w:ascii="Palatino Linotype" w:eastAsiaTheme="minorHAnsi" w:hAnsi="Palatino Linotype"/>
          <w:sz w:val="22"/>
          <w:szCs w:val="22"/>
          <w:lang w:val="es-EC" w:eastAsia="en-US"/>
        </w:rPr>
        <w:t>,</w:t>
      </w:r>
      <w:r w:rsidRPr="00220827">
        <w:rPr>
          <w:rFonts w:ascii="Palatino Linotype" w:eastAsiaTheme="minorHAnsi" w:hAnsi="Palatino Linotype"/>
          <w:sz w:val="22"/>
          <w:szCs w:val="22"/>
          <w:lang w:val="es-EC" w:eastAsia="en-US"/>
        </w:rPr>
        <w:t xml:space="preserve"> que: </w:t>
      </w:r>
      <w:r w:rsidRPr="00220827">
        <w:rPr>
          <w:rFonts w:ascii="Palatino Linotype" w:eastAsiaTheme="minorHAnsi" w:hAnsi="Palatino Linotype"/>
          <w:i/>
          <w:sz w:val="22"/>
          <w:szCs w:val="22"/>
          <w:lang w:val="es-EC" w:eastAsia="en-US"/>
        </w:rPr>
        <w:t xml:space="preserve">“1. Los proyectos de subdivisión son propuestas que tienen por finalidad dividir y habilitar predios, conforme la zonificación establecida en el PUOS y demás instrumentos de planificación. En todos los casos deberá observarse el lote mínimo establecido en la normativa vigente. 5. </w:t>
      </w:r>
      <w:r w:rsidRPr="00220827">
        <w:rPr>
          <w:rFonts w:ascii="Palatino Linotype" w:hAnsi="Palatino Linotype"/>
          <w:i/>
          <w:sz w:val="22"/>
          <w:szCs w:val="22"/>
        </w:rPr>
        <w:t>Se considera, además, como subdivisión a las habilitaciones originadas por partición judicial que pueden generarse en suelo urbano y rural. Éstas deberán sujetarse a la zonificación y normativa vigentes”</w:t>
      </w:r>
      <w:r w:rsidRPr="00220827">
        <w:rPr>
          <w:rFonts w:ascii="Palatino Linotype" w:hAnsi="Palatino Linotype"/>
          <w:sz w:val="22"/>
          <w:szCs w:val="22"/>
        </w:rPr>
        <w:t xml:space="preserve">; </w:t>
      </w:r>
    </w:p>
    <w:p w14:paraId="092B177C" w14:textId="77777777" w:rsidR="001E73B0" w:rsidRPr="00220827" w:rsidRDefault="001E73B0" w:rsidP="001E73B0">
      <w:pPr>
        <w:autoSpaceDE w:val="0"/>
        <w:autoSpaceDN w:val="0"/>
        <w:adjustRightInd w:val="0"/>
        <w:ind w:left="709" w:hanging="709"/>
        <w:jc w:val="both"/>
        <w:rPr>
          <w:rFonts w:ascii="Palatino Linotype" w:hAnsi="Palatino Linotype"/>
          <w:sz w:val="22"/>
          <w:szCs w:val="22"/>
        </w:rPr>
      </w:pPr>
    </w:p>
    <w:p w14:paraId="5530AED6" w14:textId="77777777" w:rsidR="001E73B0" w:rsidRPr="00220827" w:rsidRDefault="001E73B0" w:rsidP="001E73B0">
      <w:pPr>
        <w:autoSpaceDE w:val="0"/>
        <w:autoSpaceDN w:val="0"/>
        <w:adjustRightInd w:val="0"/>
        <w:ind w:left="709" w:hanging="709"/>
        <w:jc w:val="both"/>
        <w:rPr>
          <w:rFonts w:ascii="Palatino Linotype" w:eastAsiaTheme="minorHAnsi" w:hAnsi="Palatino Linotype"/>
          <w:i/>
          <w:sz w:val="22"/>
          <w:szCs w:val="22"/>
          <w:lang w:val="es-EC" w:eastAsia="en-US"/>
        </w:rPr>
      </w:pPr>
      <w:r w:rsidRPr="00220827">
        <w:rPr>
          <w:rFonts w:ascii="Palatino Linotype" w:eastAsiaTheme="minorHAnsi" w:hAnsi="Palatino Linotype"/>
          <w:sz w:val="22"/>
          <w:szCs w:val="22"/>
          <w:lang w:val="es-EC" w:eastAsia="en-US"/>
        </w:rPr>
        <w:t xml:space="preserve">Que, </w:t>
      </w:r>
      <w:r w:rsidRPr="00220827">
        <w:rPr>
          <w:rFonts w:ascii="Palatino Linotype" w:eastAsiaTheme="minorHAnsi" w:hAnsi="Palatino Linotype"/>
          <w:sz w:val="22"/>
          <w:szCs w:val="22"/>
          <w:lang w:val="es-EC" w:eastAsia="en-US"/>
        </w:rPr>
        <w:tab/>
        <w:t>el artículo IV.1.72</w:t>
      </w:r>
      <w:r>
        <w:rPr>
          <w:rFonts w:ascii="Palatino Linotype" w:eastAsiaTheme="minorHAnsi" w:hAnsi="Palatino Linotype"/>
          <w:sz w:val="22"/>
          <w:szCs w:val="22"/>
          <w:lang w:val="es-EC" w:eastAsia="en-US"/>
        </w:rPr>
        <w:t xml:space="preserve"> del </w:t>
      </w:r>
      <w:r w:rsidRPr="00220827">
        <w:rPr>
          <w:rFonts w:ascii="Palatino Linotype" w:eastAsiaTheme="minorHAnsi" w:hAnsi="Palatino Linotype"/>
          <w:sz w:val="22"/>
          <w:szCs w:val="22"/>
          <w:lang w:val="es-EC" w:eastAsia="en-US"/>
        </w:rPr>
        <w:t>Código Municipal</w:t>
      </w:r>
      <w:r>
        <w:rPr>
          <w:rFonts w:ascii="Palatino Linotype" w:eastAsiaTheme="minorHAnsi" w:hAnsi="Palatino Linotype"/>
          <w:sz w:val="22"/>
          <w:szCs w:val="22"/>
          <w:lang w:val="es-EC" w:eastAsia="en-US"/>
        </w:rPr>
        <w:t xml:space="preserve">, respecto a </w:t>
      </w:r>
      <w:r w:rsidRPr="00220827">
        <w:rPr>
          <w:rFonts w:ascii="Palatino Linotype" w:eastAsiaTheme="minorHAnsi" w:hAnsi="Palatino Linotype"/>
          <w:sz w:val="22"/>
          <w:szCs w:val="22"/>
          <w:lang w:val="es-EC" w:eastAsia="en-US"/>
        </w:rPr>
        <w:t>las dimensiones y áreas mínimas de lotes, establece:</w:t>
      </w:r>
      <w:r w:rsidRPr="00220827">
        <w:rPr>
          <w:rFonts w:ascii="Palatino Linotype" w:hAnsi="Palatino Linotype" w:cs="Arial"/>
          <w:i/>
          <w:iCs/>
          <w:sz w:val="22"/>
          <w:szCs w:val="22"/>
        </w:rPr>
        <w:t xml:space="preserve"> </w:t>
      </w:r>
      <w:r w:rsidRPr="00220827">
        <w:rPr>
          <w:rFonts w:ascii="Palatino Linotype" w:eastAsiaTheme="minorHAnsi" w:hAnsi="Palatino Linotype"/>
          <w:i/>
          <w:sz w:val="22"/>
          <w:szCs w:val="22"/>
          <w:lang w:val="es-EC" w:eastAsia="en-US"/>
        </w:rPr>
        <w:t>"Las habilitaciones del suelo observarán las dimensiones y las superficies de los lotes, y grados o porcentajes de pendientes establecidas en el PUOS, y demás instrumentos de planificación, de conformidad con el ordenamiento jurídico metropolitano”;</w:t>
      </w:r>
    </w:p>
    <w:p w14:paraId="47B029D3" w14:textId="77777777" w:rsidR="001E73B0" w:rsidRPr="00220827" w:rsidRDefault="001E73B0" w:rsidP="001E73B0">
      <w:pPr>
        <w:autoSpaceDE w:val="0"/>
        <w:autoSpaceDN w:val="0"/>
        <w:adjustRightInd w:val="0"/>
        <w:ind w:left="709" w:hanging="709"/>
        <w:jc w:val="both"/>
        <w:rPr>
          <w:rFonts w:ascii="Palatino Linotype" w:eastAsiaTheme="minorHAnsi" w:hAnsi="Palatino Linotype"/>
          <w:i/>
          <w:sz w:val="22"/>
          <w:szCs w:val="22"/>
          <w:lang w:val="es-EC" w:eastAsia="en-US"/>
        </w:rPr>
      </w:pPr>
    </w:p>
    <w:p w14:paraId="4C415493" w14:textId="451E066A" w:rsidR="001E73B0" w:rsidRDefault="001E73B0" w:rsidP="001E73B0">
      <w:pPr>
        <w:autoSpaceDE w:val="0"/>
        <w:autoSpaceDN w:val="0"/>
        <w:adjustRightInd w:val="0"/>
        <w:ind w:left="709" w:hanging="709"/>
        <w:jc w:val="both"/>
      </w:pPr>
      <w:r>
        <w:rPr>
          <w:rFonts w:ascii="Palatino Linotype" w:eastAsiaTheme="minorHAnsi" w:hAnsi="Palatino Linotype"/>
          <w:sz w:val="22"/>
          <w:szCs w:val="22"/>
          <w:lang w:val="es-EC" w:eastAsia="en-US"/>
        </w:rPr>
        <w:t xml:space="preserve">Que, </w:t>
      </w:r>
      <w:r>
        <w:rPr>
          <w:rFonts w:ascii="Palatino Linotype" w:eastAsiaTheme="minorHAnsi" w:hAnsi="Palatino Linotype"/>
          <w:sz w:val="22"/>
          <w:szCs w:val="22"/>
          <w:lang w:val="es-EC" w:eastAsia="en-US"/>
        </w:rPr>
        <w:tab/>
        <w:t xml:space="preserve">mediante oficio </w:t>
      </w:r>
      <w:r>
        <w:t>S/N y sin fecha, dirigidos al Concejo del Distrito Metropolitano de Quito, el Dr. Víctor Hugo León, abogado de los señores Daniel Moyon Arévalo y Rosa Orfelina Abrigo Montoya, solicitó la autorización para la partición judicial del predio No. 240040</w:t>
      </w:r>
    </w:p>
    <w:p w14:paraId="01566BD7" w14:textId="77777777" w:rsidR="001E73B0" w:rsidRDefault="001E73B0" w:rsidP="001E73B0">
      <w:pPr>
        <w:autoSpaceDE w:val="0"/>
        <w:autoSpaceDN w:val="0"/>
        <w:adjustRightInd w:val="0"/>
        <w:ind w:left="709" w:hanging="709"/>
        <w:jc w:val="both"/>
        <w:rPr>
          <w:rFonts w:ascii="Palatino Linotype" w:eastAsiaTheme="minorHAnsi" w:hAnsi="Palatino Linotype"/>
          <w:sz w:val="22"/>
          <w:szCs w:val="22"/>
          <w:lang w:val="es-EC" w:eastAsia="en-US"/>
        </w:rPr>
      </w:pPr>
    </w:p>
    <w:p w14:paraId="6B73C1D0" w14:textId="287E9175" w:rsidR="001E73B0" w:rsidRDefault="001E73B0" w:rsidP="001E73B0">
      <w:pPr>
        <w:autoSpaceDE w:val="0"/>
        <w:autoSpaceDN w:val="0"/>
        <w:adjustRightInd w:val="0"/>
        <w:ind w:left="709" w:hanging="709"/>
        <w:jc w:val="both"/>
        <w:rPr>
          <w:rFonts w:ascii="Palatino Linotype" w:eastAsiaTheme="minorHAnsi" w:hAnsi="Palatino Linotype"/>
          <w:i/>
          <w:sz w:val="22"/>
          <w:szCs w:val="22"/>
          <w:lang w:eastAsia="en-US"/>
        </w:rPr>
      </w:pPr>
      <w:r>
        <w:rPr>
          <w:rFonts w:ascii="Palatino Linotype" w:eastAsiaTheme="minorHAnsi" w:hAnsi="Palatino Linotype"/>
          <w:sz w:val="22"/>
          <w:szCs w:val="22"/>
          <w:lang w:val="es-EC" w:eastAsia="en-US"/>
        </w:rPr>
        <w:t xml:space="preserve">Que, </w:t>
      </w:r>
      <w:r>
        <w:rPr>
          <w:rFonts w:ascii="Palatino Linotype" w:eastAsiaTheme="minorHAnsi" w:hAnsi="Palatino Linotype"/>
          <w:sz w:val="22"/>
          <w:szCs w:val="22"/>
          <w:lang w:val="es-EC" w:eastAsia="en-US"/>
        </w:rPr>
        <w:tab/>
        <w:t xml:space="preserve">mediante </w:t>
      </w:r>
      <w:r w:rsidR="003C7722">
        <w:rPr>
          <w:rFonts w:ascii="Palatino Linotype" w:eastAsiaTheme="minorHAnsi" w:hAnsi="Palatino Linotype"/>
          <w:sz w:val="22"/>
          <w:szCs w:val="22"/>
          <w:lang w:val="es-EC" w:eastAsia="en-US"/>
        </w:rPr>
        <w:t>informe técnico</w:t>
      </w:r>
      <w:r>
        <w:rPr>
          <w:rFonts w:ascii="Palatino Linotype" w:eastAsiaTheme="minorHAnsi" w:hAnsi="Palatino Linotype"/>
          <w:sz w:val="22"/>
          <w:szCs w:val="22"/>
          <w:lang w:val="es-EC" w:eastAsia="en-US"/>
        </w:rPr>
        <w:t xml:space="preserve"> Nro. </w:t>
      </w:r>
      <w:r>
        <w:t xml:space="preserve">GADDMQ-AZEE-DGT-2019-0304-M </w:t>
      </w:r>
      <w:r>
        <w:rPr>
          <w:rFonts w:ascii="Palatino Linotype" w:eastAsiaTheme="minorHAnsi" w:hAnsi="Palatino Linotype"/>
          <w:sz w:val="22"/>
          <w:szCs w:val="22"/>
          <w:lang w:val="es-EC" w:eastAsia="en-US"/>
        </w:rPr>
        <w:t xml:space="preserve">de 24 de marzo de 2020, el </w:t>
      </w:r>
      <w:r>
        <w:t>Arq. Wladimir Alejandro Rosero Ortiz</w:t>
      </w:r>
      <w:r w:rsidRPr="008F5FD9">
        <w:rPr>
          <w:rFonts w:ascii="Palatino Linotype" w:eastAsiaTheme="minorHAnsi" w:hAnsi="Palatino Linotype"/>
          <w:sz w:val="22"/>
          <w:szCs w:val="22"/>
          <w:lang w:val="es-EC" w:eastAsia="en-US"/>
        </w:rPr>
        <w:t>, Director de Gestión del Territorio de</w:t>
      </w:r>
      <w:r>
        <w:rPr>
          <w:rFonts w:ascii="Palatino Linotype" w:eastAsiaTheme="minorHAnsi" w:hAnsi="Palatino Linotype"/>
          <w:sz w:val="22"/>
          <w:szCs w:val="22"/>
          <w:lang w:val="es-EC" w:eastAsia="en-US"/>
        </w:rPr>
        <w:t xml:space="preserve"> </w:t>
      </w:r>
      <w:r w:rsidRPr="008F5FD9">
        <w:rPr>
          <w:rFonts w:ascii="Palatino Linotype" w:eastAsiaTheme="minorHAnsi" w:hAnsi="Palatino Linotype"/>
          <w:sz w:val="22"/>
          <w:szCs w:val="22"/>
          <w:lang w:val="es-EC" w:eastAsia="en-US"/>
        </w:rPr>
        <w:t xml:space="preserve">la Administración Zonal </w:t>
      </w:r>
      <w:r>
        <w:rPr>
          <w:rFonts w:ascii="Palatino Linotype" w:eastAsiaTheme="minorHAnsi" w:hAnsi="Palatino Linotype"/>
          <w:sz w:val="22"/>
          <w:szCs w:val="22"/>
          <w:lang w:val="es-EC" w:eastAsia="en-US"/>
        </w:rPr>
        <w:t>Eugenio Espejo, señala:</w:t>
      </w:r>
      <w:r w:rsidRPr="008F5FD9">
        <w:t xml:space="preserve"> </w:t>
      </w:r>
      <w:r w:rsidRPr="001E73B0">
        <w:rPr>
          <w:rFonts w:ascii="Palatino Linotype" w:eastAsiaTheme="minorHAnsi" w:hAnsi="Palatino Linotype"/>
          <w:i/>
          <w:sz w:val="22"/>
          <w:szCs w:val="22"/>
          <w:lang w:val="es-EC" w:eastAsia="en-US"/>
        </w:rPr>
        <w:t xml:space="preserve">“Con respecto al criterio técnico de factibilidad de fraccionamiento del predio consultado, revisada la documentación adjunta, y verificado en el Sistema Informático se determina que el predio Nº 240040, con clave catastral 11702 09 033, se encuentra registrado a nombre de PARRA CANIZARES OLGA BEATRIZ Y OTRO, bajo el Régimen de Unipropiedad, con un área de terreno global según escritura de 750.00 m² y un área gráfica de 655.83 m². [...] Con estos antecedentes, la Dirección de Gestión del Territorio emite </w:t>
      </w:r>
      <w:r w:rsidRPr="001E73B0">
        <w:rPr>
          <w:rFonts w:ascii="Palatino Linotype" w:eastAsiaTheme="minorHAnsi" w:hAnsi="Palatino Linotype"/>
          <w:b/>
          <w:bCs/>
          <w:i/>
          <w:sz w:val="22"/>
          <w:szCs w:val="22"/>
          <w:lang w:val="es-EC" w:eastAsia="en-US"/>
        </w:rPr>
        <w:t xml:space="preserve">Informe Técnico Desfavorable </w:t>
      </w:r>
      <w:r w:rsidRPr="001E73B0">
        <w:rPr>
          <w:rFonts w:ascii="Palatino Linotype" w:eastAsiaTheme="minorHAnsi" w:hAnsi="Palatino Linotype"/>
          <w:i/>
          <w:sz w:val="22"/>
          <w:szCs w:val="22"/>
          <w:lang w:val="es-EC" w:eastAsia="en-US"/>
        </w:rPr>
        <w:t>de partición del predio No. 240040. Pese a que el área de terreno global según escritura de 750.00m² es superior al lote mínimo requerido por la zonificación de 200m², el frente total del predio es de 18,48m. De acuerdo a la normativa vigente, para el caso de una propuesta de partición, el frente mínimo requerido es de 10m, por lo que no cumple con el frente mínimo requerido por la zonificación asignada”.</w:t>
      </w:r>
    </w:p>
    <w:p w14:paraId="52DF36EF" w14:textId="77777777" w:rsidR="001E73B0" w:rsidRDefault="001E73B0" w:rsidP="001E73B0">
      <w:pPr>
        <w:autoSpaceDE w:val="0"/>
        <w:autoSpaceDN w:val="0"/>
        <w:adjustRightInd w:val="0"/>
        <w:ind w:left="709" w:hanging="709"/>
        <w:jc w:val="both"/>
        <w:rPr>
          <w:rFonts w:ascii="Palatino Linotype" w:eastAsiaTheme="minorHAnsi" w:hAnsi="Palatino Linotype"/>
          <w:i/>
          <w:sz w:val="22"/>
          <w:szCs w:val="22"/>
          <w:lang w:eastAsia="en-US"/>
        </w:rPr>
      </w:pPr>
      <w:r w:rsidRPr="00BD3BDC">
        <w:rPr>
          <w:rFonts w:ascii="Palatino Linotype" w:eastAsiaTheme="minorHAnsi" w:hAnsi="Palatino Linotype"/>
          <w:i/>
          <w:sz w:val="22"/>
          <w:szCs w:val="22"/>
          <w:lang w:eastAsia="en-US"/>
        </w:rPr>
        <w:t xml:space="preserve"> </w:t>
      </w:r>
    </w:p>
    <w:p w14:paraId="584B4344" w14:textId="2CC5CF72" w:rsidR="001E73B0" w:rsidRDefault="001E73B0" w:rsidP="001E73B0">
      <w:pPr>
        <w:autoSpaceDE w:val="0"/>
        <w:autoSpaceDN w:val="0"/>
        <w:adjustRightInd w:val="0"/>
        <w:ind w:left="709" w:hanging="709"/>
        <w:jc w:val="both"/>
        <w:rPr>
          <w:rFonts w:ascii="Palatino Linotype" w:eastAsiaTheme="minorHAnsi" w:hAnsi="Palatino Linotype"/>
          <w:i/>
          <w:sz w:val="22"/>
          <w:szCs w:val="22"/>
          <w:lang w:val="es-EC" w:eastAsia="en-US"/>
        </w:rPr>
      </w:pPr>
      <w:r>
        <w:rPr>
          <w:rFonts w:ascii="Palatino Linotype" w:eastAsiaTheme="minorHAnsi" w:hAnsi="Palatino Linotype"/>
          <w:sz w:val="22"/>
          <w:szCs w:val="22"/>
          <w:lang w:val="es-EC" w:eastAsia="en-US"/>
        </w:rPr>
        <w:t xml:space="preserve">Que, </w:t>
      </w:r>
      <w:r>
        <w:rPr>
          <w:rFonts w:ascii="Palatino Linotype" w:eastAsiaTheme="minorHAnsi" w:hAnsi="Palatino Linotype"/>
          <w:sz w:val="22"/>
          <w:szCs w:val="22"/>
          <w:lang w:val="es-EC" w:eastAsia="en-US"/>
        </w:rPr>
        <w:tab/>
        <w:t xml:space="preserve">mediante informe legal Nro. </w:t>
      </w:r>
      <w:r>
        <w:t>AZEE-DJ-2020-002 de 24 de marzo de 2020</w:t>
      </w:r>
      <w:r>
        <w:rPr>
          <w:rFonts w:ascii="Palatino Linotype" w:eastAsiaTheme="minorHAnsi" w:hAnsi="Palatino Linotype"/>
          <w:sz w:val="22"/>
          <w:szCs w:val="22"/>
          <w:lang w:val="es-EC" w:eastAsia="en-US"/>
        </w:rPr>
        <w:t xml:space="preserve">, el </w:t>
      </w:r>
      <w:r>
        <w:t>Abg. Mauricio Proaño</w:t>
      </w:r>
      <w:r>
        <w:rPr>
          <w:rFonts w:ascii="Palatino Linotype" w:eastAsiaTheme="minorHAnsi" w:hAnsi="Palatino Linotype"/>
          <w:sz w:val="22"/>
          <w:szCs w:val="22"/>
          <w:lang w:val="es-EC" w:eastAsia="en-US"/>
        </w:rPr>
        <w:t xml:space="preserve">, Director Jurídico de la Administración Zonal Eugenio Espejo, señala: </w:t>
      </w:r>
      <w:r w:rsidRPr="001E73B0">
        <w:rPr>
          <w:i/>
          <w:iCs/>
        </w:rPr>
        <w:t xml:space="preserve">“(…) esta Dirección de Asesoría Jurídica luego de verificar las observaciones técnicas suscritas por el Arq. Wladimir Rosero, Director de Gestión del Territorio – AZEE, a través del Memorando No. GADDMQ-AZEE-DGT-2020-0304-M, de 24 de marzo del 2020, determina que el predio No. 240040, no es susceptible de partición, en razón de que si bien la superficie del terreno es superior al lote mínimo requerido por la zonificación vigente, el frente total no lo es respecto del mínimo requerido, por lo tanto, la Dirección de Asesoría Jurídica </w:t>
      </w:r>
      <w:r w:rsidRPr="001E73B0">
        <w:rPr>
          <w:b/>
          <w:bCs/>
          <w:i/>
          <w:iCs/>
        </w:rPr>
        <w:t>emite informe legal no favorable</w:t>
      </w:r>
      <w:r w:rsidRPr="001E73B0">
        <w:rPr>
          <w:i/>
          <w:iCs/>
        </w:rPr>
        <w:t xml:space="preserve"> para la partición del predio en mención, en virtud de que tanto la superficie como el frente total del mismo deben superar el frente y lote mínimo requeridos por la zonificación vigente, al no existir; el mínimo requerido en el caso del frente total resulta imposible proceder con la partición del predio en cuestión.”.</w:t>
      </w:r>
    </w:p>
    <w:p w14:paraId="5A607CBD" w14:textId="77777777" w:rsidR="001E73B0" w:rsidRDefault="001E73B0" w:rsidP="001E73B0">
      <w:pPr>
        <w:autoSpaceDE w:val="0"/>
        <w:autoSpaceDN w:val="0"/>
        <w:adjustRightInd w:val="0"/>
        <w:ind w:left="709" w:hanging="709"/>
        <w:jc w:val="both"/>
        <w:rPr>
          <w:rFonts w:ascii="Palatino Linotype" w:eastAsiaTheme="minorHAnsi" w:hAnsi="Palatino Linotype"/>
          <w:sz w:val="22"/>
          <w:szCs w:val="22"/>
          <w:lang w:val="es-EC" w:eastAsia="en-US"/>
        </w:rPr>
      </w:pPr>
    </w:p>
    <w:p w14:paraId="429E5439" w14:textId="7CB366EA" w:rsidR="001E73B0" w:rsidRDefault="001E73B0" w:rsidP="001E73B0">
      <w:pPr>
        <w:autoSpaceDE w:val="0"/>
        <w:autoSpaceDN w:val="0"/>
        <w:adjustRightInd w:val="0"/>
        <w:ind w:left="709" w:hanging="709"/>
        <w:jc w:val="both"/>
        <w:rPr>
          <w:rFonts w:ascii="Palatino Linotype" w:eastAsiaTheme="minorHAnsi" w:hAnsi="Palatino Linotype"/>
          <w:i/>
          <w:sz w:val="22"/>
          <w:szCs w:val="22"/>
          <w:lang w:val="es-EC" w:eastAsia="en-US"/>
        </w:rPr>
      </w:pPr>
      <w:r>
        <w:rPr>
          <w:rFonts w:ascii="Palatino Linotype" w:eastAsiaTheme="minorHAnsi" w:hAnsi="Palatino Linotype"/>
          <w:sz w:val="22"/>
          <w:szCs w:val="22"/>
          <w:lang w:val="es-EC" w:eastAsia="en-US"/>
        </w:rPr>
        <w:t xml:space="preserve"> Que, </w:t>
      </w:r>
      <w:r>
        <w:rPr>
          <w:rFonts w:ascii="Palatino Linotype" w:eastAsiaTheme="minorHAnsi" w:hAnsi="Palatino Linotype"/>
          <w:sz w:val="22"/>
          <w:szCs w:val="22"/>
          <w:lang w:val="es-EC" w:eastAsia="en-US"/>
        </w:rPr>
        <w:tab/>
        <w:t xml:space="preserve">mediante expediente Nro. </w:t>
      </w:r>
      <w:r>
        <w:t xml:space="preserve">GADDMQ-PM-SAUOS-2020-0132-O </w:t>
      </w:r>
      <w:r>
        <w:rPr>
          <w:rFonts w:ascii="Palatino Linotype" w:eastAsiaTheme="minorHAnsi" w:hAnsi="Palatino Linotype"/>
          <w:sz w:val="22"/>
          <w:szCs w:val="22"/>
          <w:lang w:val="es-EC" w:eastAsia="en-US"/>
        </w:rPr>
        <w:t xml:space="preserve">de 22 de mayo de 2020, el Dr. Edison Yépez Vinueza, Subprocurador Metropolitano, señala: </w:t>
      </w:r>
      <w:r w:rsidRPr="001E73B0">
        <w:rPr>
          <w:rFonts w:ascii="Palatino Linotype" w:eastAsiaTheme="minorHAnsi" w:hAnsi="Palatino Linotype"/>
          <w:i/>
          <w:iCs/>
          <w:sz w:val="22"/>
          <w:szCs w:val="22"/>
          <w:lang w:val="es-EC" w:eastAsia="en-US"/>
        </w:rPr>
        <w:t>“</w:t>
      </w:r>
      <w:r w:rsidRPr="001E73B0">
        <w:rPr>
          <w:i/>
          <w:iCs/>
        </w:rPr>
        <w:t>De la revisión del expediente, se establece que el presente trámite se refiere al predio No. 240040, ubicado en la parroquia Chaupicruz, con zonificación D3 (D203-80). De acuerdo con la normativa citada y los informes de la Administración Zonal Eugenio Espejo, se establece que el frente mínimo para subdivisión en el sector es de 10 m, requerimiento que no se cumple en el presente caso, por cuanto el predio tiene un frente de 18,48 m. En virtud de los informes técnico y legal de la Administración Zonal Eugenio Espejo; y, de la normativa anteriormente expuesta, Procuraduría Metropolitana emite criterio legal desfavorable, para que el Concejo Metropolitano de Quito autorice la partición del predio No. 240040, por cuanto no cumple con el requisito y presupuesto material previsto en el régimen jurídico aplicable, en lo referente al frente mínimo, necesario para aprobar subdivisiones de bienes inmuebles en el Distrito Metropolitano de Quito. Cabe indicar que en los procesos judiciales en los que la pretensión jurídica no implique subdivisión o fraccionamiento de inmuebles, no corresponde al Concejo Metropolitano emitir el informe establecido en el artículo 473 del COOTAD. No obstante, está situación no impide que las autoridades judiciales continúen con el proceso que corresponda en la causa. De este particular, el Concejo Metropolitano de Quito, comunicará al Dr. Víctor Hugo León, abogado del señor Daniel Moyón Arévalo y señora Rosa Orfelina Abrigo Montoya.</w:t>
      </w:r>
      <w:r w:rsidRPr="001E73B0">
        <w:rPr>
          <w:rFonts w:ascii="Palatino Linotype" w:eastAsiaTheme="minorHAnsi" w:hAnsi="Palatino Linotype"/>
          <w:i/>
          <w:iCs/>
          <w:sz w:val="22"/>
          <w:szCs w:val="22"/>
          <w:lang w:val="es-EC" w:eastAsia="en-US"/>
        </w:rPr>
        <w:t>”</w:t>
      </w:r>
      <w:r w:rsidRPr="002460A9">
        <w:rPr>
          <w:rFonts w:ascii="Palatino Linotype" w:eastAsiaTheme="minorHAnsi" w:hAnsi="Palatino Linotype"/>
          <w:i/>
          <w:iCs/>
          <w:sz w:val="22"/>
          <w:szCs w:val="22"/>
          <w:lang w:val="es-EC" w:eastAsia="en-US"/>
        </w:rPr>
        <w:t>;</w:t>
      </w:r>
      <w:r>
        <w:rPr>
          <w:rFonts w:ascii="Palatino Linotype" w:eastAsiaTheme="minorHAnsi" w:hAnsi="Palatino Linotype"/>
          <w:i/>
          <w:sz w:val="22"/>
          <w:szCs w:val="22"/>
          <w:lang w:val="es-EC" w:eastAsia="en-US"/>
        </w:rPr>
        <w:t xml:space="preserve"> </w:t>
      </w:r>
    </w:p>
    <w:p w14:paraId="4F11E852" w14:textId="77777777" w:rsidR="001E73B0" w:rsidRDefault="001E73B0" w:rsidP="001E73B0">
      <w:pPr>
        <w:autoSpaceDE w:val="0"/>
        <w:autoSpaceDN w:val="0"/>
        <w:adjustRightInd w:val="0"/>
        <w:ind w:left="709" w:hanging="709"/>
        <w:jc w:val="both"/>
        <w:rPr>
          <w:rFonts w:ascii="Palatino Linotype" w:eastAsiaTheme="minorHAnsi" w:hAnsi="Palatino Linotype"/>
          <w:i/>
          <w:sz w:val="22"/>
          <w:szCs w:val="22"/>
          <w:lang w:val="es-EC" w:eastAsia="en-US"/>
        </w:rPr>
      </w:pPr>
    </w:p>
    <w:p w14:paraId="7D0A74EA" w14:textId="6826712E" w:rsidR="001E73B0" w:rsidRDefault="001E73B0" w:rsidP="001E73B0">
      <w:pPr>
        <w:autoSpaceDE w:val="0"/>
        <w:autoSpaceDN w:val="0"/>
        <w:adjustRightInd w:val="0"/>
        <w:ind w:left="709" w:hanging="709"/>
        <w:jc w:val="both"/>
        <w:rPr>
          <w:rFonts w:ascii="Palatino Linotype" w:eastAsiaTheme="minorHAnsi" w:hAnsi="Palatino Linotype"/>
          <w:sz w:val="22"/>
          <w:szCs w:val="22"/>
          <w:lang w:val="es-EC" w:eastAsia="en-US"/>
        </w:rPr>
      </w:pPr>
      <w:r>
        <w:rPr>
          <w:rFonts w:ascii="Palatino Linotype" w:eastAsiaTheme="minorHAnsi" w:hAnsi="Palatino Linotype"/>
          <w:sz w:val="22"/>
          <w:szCs w:val="22"/>
          <w:lang w:val="es-EC" w:eastAsia="en-US"/>
        </w:rPr>
        <w:t xml:space="preserve">Que, </w:t>
      </w:r>
      <w:r>
        <w:rPr>
          <w:rFonts w:ascii="Palatino Linotype" w:eastAsiaTheme="minorHAnsi" w:hAnsi="Palatino Linotype"/>
          <w:sz w:val="22"/>
          <w:szCs w:val="22"/>
          <w:lang w:val="es-EC" w:eastAsia="en-US"/>
        </w:rPr>
        <w:tab/>
        <w:t xml:space="preserve">la Comisión de Uso de Suelo en sesión ordinaria Nro. 045, de 22 de junio de 2020 analizó los informes técnicos y legales, emitidos por la Administración </w:t>
      </w:r>
      <w:r w:rsidR="00E54E39">
        <w:rPr>
          <w:rFonts w:ascii="Palatino Linotype" w:eastAsiaTheme="minorHAnsi" w:hAnsi="Palatino Linotype"/>
          <w:sz w:val="22"/>
          <w:szCs w:val="22"/>
          <w:lang w:val="es-EC" w:eastAsia="en-US"/>
        </w:rPr>
        <w:t xml:space="preserve">Eugenio Espejo </w:t>
      </w:r>
      <w:r>
        <w:rPr>
          <w:rFonts w:ascii="Palatino Linotype" w:eastAsiaTheme="minorHAnsi" w:hAnsi="Palatino Linotype"/>
          <w:sz w:val="22"/>
          <w:szCs w:val="22"/>
          <w:lang w:val="es-EC" w:eastAsia="en-US"/>
        </w:rPr>
        <w:t xml:space="preserve">y el criterio de la Procuraduría Metropolitana y emitió dictamen desfavorable para que el Concejo Metropolitano autorice la partición del predio Nro. </w:t>
      </w:r>
      <w:r w:rsidRPr="001E73B0">
        <w:rPr>
          <w:rFonts w:ascii="Palatino Linotype" w:eastAsiaTheme="minorHAnsi" w:hAnsi="Palatino Linotype"/>
          <w:sz w:val="22"/>
          <w:szCs w:val="22"/>
          <w:lang w:val="es-EC" w:eastAsia="en-US"/>
        </w:rPr>
        <w:t>240040</w:t>
      </w:r>
      <w:r>
        <w:rPr>
          <w:rFonts w:ascii="Palatino Linotype" w:eastAsiaTheme="minorHAnsi" w:hAnsi="Palatino Linotype"/>
          <w:sz w:val="22"/>
          <w:szCs w:val="22"/>
          <w:lang w:val="es-EC" w:eastAsia="en-US"/>
        </w:rPr>
        <w:t xml:space="preserve">, ubicado en la parroquia </w:t>
      </w:r>
      <w:r w:rsidR="00E54E39">
        <w:t>Chaupicruz</w:t>
      </w:r>
      <w:r>
        <w:rPr>
          <w:rFonts w:ascii="Palatino Linotype" w:eastAsiaTheme="minorHAnsi" w:hAnsi="Palatino Linotype"/>
          <w:sz w:val="22"/>
          <w:szCs w:val="22"/>
          <w:lang w:val="es-EC" w:eastAsia="en-US"/>
        </w:rPr>
        <w:t xml:space="preserve">, de este cantón; </w:t>
      </w:r>
    </w:p>
    <w:p w14:paraId="15344120" w14:textId="77777777" w:rsidR="001E73B0" w:rsidRDefault="001E73B0" w:rsidP="001E73B0">
      <w:pPr>
        <w:autoSpaceDE w:val="0"/>
        <w:autoSpaceDN w:val="0"/>
        <w:adjustRightInd w:val="0"/>
        <w:ind w:left="709" w:hanging="709"/>
        <w:jc w:val="both"/>
        <w:rPr>
          <w:rFonts w:ascii="Palatino Linotype" w:eastAsiaTheme="minorHAnsi" w:hAnsi="Palatino Linotype"/>
          <w:sz w:val="22"/>
          <w:szCs w:val="22"/>
          <w:lang w:val="es-EC" w:eastAsia="en-US"/>
        </w:rPr>
      </w:pPr>
    </w:p>
    <w:p w14:paraId="10B335E1" w14:textId="1A9EEE14" w:rsidR="001E73B0" w:rsidRDefault="001E73B0" w:rsidP="001E73B0">
      <w:pPr>
        <w:autoSpaceDE w:val="0"/>
        <w:autoSpaceDN w:val="0"/>
        <w:adjustRightInd w:val="0"/>
        <w:ind w:left="709" w:hanging="709"/>
        <w:jc w:val="both"/>
        <w:rPr>
          <w:rFonts w:ascii="Palatino Linotype" w:eastAsiaTheme="minorHAnsi" w:hAnsi="Palatino Linotype"/>
          <w:sz w:val="22"/>
          <w:szCs w:val="22"/>
          <w:lang w:val="es-EC" w:eastAsia="en-US"/>
        </w:rPr>
      </w:pPr>
      <w:r>
        <w:rPr>
          <w:rFonts w:ascii="Palatino Linotype" w:eastAsiaTheme="minorHAnsi" w:hAnsi="Palatino Linotype"/>
          <w:sz w:val="22"/>
          <w:szCs w:val="22"/>
          <w:lang w:val="es-EC" w:eastAsia="en-US"/>
        </w:rPr>
        <w:t xml:space="preserve">Que, </w:t>
      </w:r>
      <w:r>
        <w:rPr>
          <w:rFonts w:ascii="Palatino Linotype" w:eastAsiaTheme="minorHAnsi" w:hAnsi="Palatino Linotype"/>
          <w:sz w:val="22"/>
          <w:szCs w:val="22"/>
          <w:lang w:val="es-EC" w:eastAsia="en-US"/>
        </w:rPr>
        <w:tab/>
        <w:t>el Concejo Metropolitano de Quito, en sesión pública ordinaria realizada el …. de 2020, analizó el Informe N</w:t>
      </w:r>
      <w:r w:rsidR="003C7722">
        <w:rPr>
          <w:rFonts w:ascii="Palatino Linotype" w:eastAsiaTheme="minorHAnsi" w:hAnsi="Palatino Linotype"/>
          <w:sz w:val="22"/>
          <w:szCs w:val="22"/>
          <w:lang w:val="es-EC" w:eastAsia="en-US"/>
        </w:rPr>
        <w:t>r</w:t>
      </w:r>
      <w:r>
        <w:rPr>
          <w:rFonts w:ascii="Palatino Linotype" w:eastAsiaTheme="minorHAnsi" w:hAnsi="Palatino Linotype"/>
          <w:sz w:val="22"/>
          <w:szCs w:val="22"/>
          <w:lang w:val="es-EC" w:eastAsia="en-US"/>
        </w:rPr>
        <w:t>o. IC-CUS-2020-04</w:t>
      </w:r>
      <w:r w:rsidR="00E54E39">
        <w:rPr>
          <w:rFonts w:ascii="Palatino Linotype" w:eastAsiaTheme="minorHAnsi" w:hAnsi="Palatino Linotype"/>
          <w:sz w:val="22"/>
          <w:szCs w:val="22"/>
          <w:lang w:val="es-EC" w:eastAsia="en-US"/>
        </w:rPr>
        <w:t>1</w:t>
      </w:r>
      <w:r>
        <w:rPr>
          <w:rFonts w:ascii="Palatino Linotype" w:eastAsiaTheme="minorHAnsi" w:hAnsi="Palatino Linotype"/>
          <w:sz w:val="22"/>
          <w:szCs w:val="22"/>
          <w:lang w:val="es-EC" w:eastAsia="en-US"/>
        </w:rPr>
        <w:t xml:space="preserve">, emitido por la Comisión de Uso de Suelo; </w:t>
      </w:r>
    </w:p>
    <w:p w14:paraId="4626B6A1" w14:textId="77777777" w:rsidR="001E73B0" w:rsidRPr="00220827" w:rsidRDefault="001E73B0" w:rsidP="001E73B0">
      <w:pPr>
        <w:autoSpaceDE w:val="0"/>
        <w:autoSpaceDN w:val="0"/>
        <w:adjustRightInd w:val="0"/>
        <w:jc w:val="both"/>
        <w:rPr>
          <w:rFonts w:ascii="Palatino Linotype" w:eastAsiaTheme="minorHAnsi" w:hAnsi="Palatino Linotype"/>
          <w:sz w:val="22"/>
          <w:szCs w:val="22"/>
          <w:lang w:val="es-EC" w:eastAsia="en-US"/>
        </w:rPr>
      </w:pPr>
    </w:p>
    <w:p w14:paraId="563919AD" w14:textId="77777777" w:rsidR="001E73B0" w:rsidRPr="00220827" w:rsidRDefault="001E73B0" w:rsidP="001E73B0">
      <w:pPr>
        <w:autoSpaceDE w:val="0"/>
        <w:autoSpaceDN w:val="0"/>
        <w:adjustRightInd w:val="0"/>
        <w:jc w:val="both"/>
        <w:rPr>
          <w:rFonts w:ascii="Palatino Linotype" w:eastAsiaTheme="minorHAnsi" w:hAnsi="Palatino Linotype"/>
          <w:b/>
          <w:bCs/>
          <w:sz w:val="22"/>
          <w:szCs w:val="22"/>
          <w:lang w:val="es-EC" w:eastAsia="en-US"/>
        </w:rPr>
      </w:pPr>
      <w:r w:rsidRPr="00220827">
        <w:rPr>
          <w:rFonts w:ascii="Palatino Linotype" w:eastAsiaTheme="minorHAnsi" w:hAnsi="Palatino Linotype"/>
          <w:b/>
          <w:bCs/>
          <w:sz w:val="22"/>
          <w:szCs w:val="22"/>
          <w:lang w:val="es-EC" w:eastAsia="en-US"/>
        </w:rPr>
        <w:t>En ejercicio de sus atribuciones previstas en el artículo 240 y 266 de la Constitución de la República y artículos 87 letra a) y d); y, 323 del Código Orgánico de Organización Territorial, Autonomía y Descentralización;</w:t>
      </w:r>
    </w:p>
    <w:p w14:paraId="679ADDDC" w14:textId="77777777" w:rsidR="001E73B0" w:rsidRPr="00220827" w:rsidRDefault="001E73B0" w:rsidP="001E73B0">
      <w:pPr>
        <w:autoSpaceDE w:val="0"/>
        <w:autoSpaceDN w:val="0"/>
        <w:adjustRightInd w:val="0"/>
        <w:jc w:val="center"/>
        <w:rPr>
          <w:rFonts w:ascii="Palatino Linotype" w:eastAsiaTheme="minorHAnsi" w:hAnsi="Palatino Linotype"/>
          <w:b/>
          <w:bCs/>
          <w:sz w:val="22"/>
          <w:szCs w:val="22"/>
          <w:lang w:val="es-EC" w:eastAsia="en-US"/>
        </w:rPr>
      </w:pPr>
    </w:p>
    <w:p w14:paraId="3B3E1CDC" w14:textId="77777777" w:rsidR="001E73B0" w:rsidRPr="00220827" w:rsidRDefault="001E73B0" w:rsidP="001E73B0">
      <w:pPr>
        <w:autoSpaceDE w:val="0"/>
        <w:autoSpaceDN w:val="0"/>
        <w:adjustRightInd w:val="0"/>
        <w:jc w:val="center"/>
        <w:rPr>
          <w:rFonts w:ascii="Palatino Linotype" w:eastAsiaTheme="minorHAnsi" w:hAnsi="Palatino Linotype"/>
          <w:b/>
          <w:bCs/>
          <w:sz w:val="22"/>
          <w:szCs w:val="22"/>
          <w:lang w:val="es-EC" w:eastAsia="en-US"/>
        </w:rPr>
      </w:pPr>
      <w:r w:rsidRPr="00220827">
        <w:rPr>
          <w:rFonts w:ascii="Palatino Linotype" w:eastAsiaTheme="minorHAnsi" w:hAnsi="Palatino Linotype"/>
          <w:b/>
          <w:bCs/>
          <w:sz w:val="22"/>
          <w:szCs w:val="22"/>
          <w:lang w:val="es-EC" w:eastAsia="en-US"/>
        </w:rPr>
        <w:t>RESUELVE</w:t>
      </w:r>
    </w:p>
    <w:p w14:paraId="58E5F8E4" w14:textId="77777777" w:rsidR="001E73B0" w:rsidRPr="00220827" w:rsidRDefault="001E73B0" w:rsidP="001E73B0">
      <w:pPr>
        <w:autoSpaceDE w:val="0"/>
        <w:autoSpaceDN w:val="0"/>
        <w:adjustRightInd w:val="0"/>
        <w:jc w:val="center"/>
        <w:rPr>
          <w:rFonts w:ascii="Palatino Linotype" w:hAnsi="Palatino Linotype"/>
          <w:sz w:val="22"/>
          <w:szCs w:val="22"/>
        </w:rPr>
      </w:pPr>
    </w:p>
    <w:p w14:paraId="27967229" w14:textId="02975C9F" w:rsidR="00E54E39" w:rsidRDefault="001E73B0" w:rsidP="00E54E39">
      <w:pPr>
        <w:autoSpaceDE w:val="0"/>
        <w:autoSpaceDN w:val="0"/>
        <w:adjustRightInd w:val="0"/>
        <w:jc w:val="both"/>
        <w:rPr>
          <w:rFonts w:ascii="Palatino Linotype" w:eastAsiaTheme="minorHAnsi" w:hAnsi="Palatino Linotype"/>
          <w:sz w:val="22"/>
          <w:szCs w:val="22"/>
          <w:lang w:val="es-EC" w:eastAsia="en-US"/>
        </w:rPr>
      </w:pPr>
      <w:r w:rsidRPr="00220827">
        <w:rPr>
          <w:rFonts w:ascii="Palatino Linotype" w:eastAsiaTheme="minorHAnsi" w:hAnsi="Palatino Linotype"/>
          <w:b/>
          <w:sz w:val="22"/>
          <w:szCs w:val="22"/>
          <w:lang w:val="es-EC" w:eastAsia="en-US"/>
        </w:rPr>
        <w:t>Artículo 1.-</w:t>
      </w:r>
      <w:r w:rsidRPr="00220827">
        <w:rPr>
          <w:rFonts w:ascii="Palatino Linotype" w:eastAsiaTheme="minorHAnsi" w:hAnsi="Palatino Linotype"/>
          <w:sz w:val="22"/>
          <w:szCs w:val="22"/>
          <w:lang w:val="es-EC" w:eastAsia="en-US"/>
        </w:rPr>
        <w:t xml:space="preserve"> Acoger el informe Nro. IC-CUS-20</w:t>
      </w:r>
      <w:r>
        <w:rPr>
          <w:rFonts w:ascii="Palatino Linotype" w:eastAsiaTheme="minorHAnsi" w:hAnsi="Palatino Linotype"/>
          <w:sz w:val="22"/>
          <w:szCs w:val="22"/>
          <w:lang w:val="es-EC" w:eastAsia="en-US"/>
        </w:rPr>
        <w:t>20</w:t>
      </w:r>
      <w:r w:rsidRPr="00220827">
        <w:rPr>
          <w:rFonts w:ascii="Palatino Linotype" w:eastAsiaTheme="minorHAnsi" w:hAnsi="Palatino Linotype"/>
          <w:sz w:val="22"/>
          <w:szCs w:val="22"/>
          <w:lang w:val="es-EC" w:eastAsia="en-US"/>
        </w:rPr>
        <w:t>-</w:t>
      </w:r>
      <w:r>
        <w:rPr>
          <w:rFonts w:ascii="Palatino Linotype" w:eastAsiaTheme="minorHAnsi" w:hAnsi="Palatino Linotype"/>
          <w:sz w:val="22"/>
          <w:szCs w:val="22"/>
          <w:lang w:val="es-EC" w:eastAsia="en-US"/>
        </w:rPr>
        <w:t>04</w:t>
      </w:r>
      <w:r w:rsidR="00E54E39">
        <w:rPr>
          <w:rFonts w:ascii="Palatino Linotype" w:eastAsiaTheme="minorHAnsi" w:hAnsi="Palatino Linotype"/>
          <w:sz w:val="22"/>
          <w:szCs w:val="22"/>
          <w:lang w:val="es-EC" w:eastAsia="en-US"/>
        </w:rPr>
        <w:t>1</w:t>
      </w:r>
      <w:r>
        <w:rPr>
          <w:rFonts w:ascii="Palatino Linotype" w:eastAsiaTheme="minorHAnsi" w:hAnsi="Palatino Linotype"/>
          <w:sz w:val="22"/>
          <w:szCs w:val="22"/>
          <w:lang w:val="es-EC" w:eastAsia="en-US"/>
        </w:rPr>
        <w:t xml:space="preserve"> del 22 de junio de 2020, </w:t>
      </w:r>
      <w:r w:rsidRPr="00220827">
        <w:rPr>
          <w:rFonts w:ascii="Palatino Linotype" w:eastAsiaTheme="minorHAnsi" w:hAnsi="Palatino Linotype"/>
          <w:sz w:val="22"/>
          <w:szCs w:val="22"/>
          <w:lang w:val="es-EC" w:eastAsia="en-US"/>
        </w:rPr>
        <w:t>emitido por la Comisión de Uso de Suelo</w:t>
      </w:r>
      <w:r>
        <w:rPr>
          <w:rFonts w:ascii="Palatino Linotype" w:eastAsiaTheme="minorHAnsi" w:hAnsi="Palatino Linotype"/>
          <w:sz w:val="22"/>
          <w:szCs w:val="22"/>
          <w:lang w:val="es-EC" w:eastAsia="en-US"/>
        </w:rPr>
        <w:t>;</w:t>
      </w:r>
      <w:r w:rsidRPr="00220827">
        <w:rPr>
          <w:rFonts w:ascii="Palatino Linotype" w:eastAsiaTheme="minorHAnsi" w:hAnsi="Palatino Linotype"/>
          <w:sz w:val="22"/>
          <w:szCs w:val="22"/>
          <w:lang w:val="es-EC" w:eastAsia="en-US"/>
        </w:rPr>
        <w:t xml:space="preserve"> y</w:t>
      </w:r>
      <w:r>
        <w:rPr>
          <w:rFonts w:ascii="Palatino Linotype" w:eastAsiaTheme="minorHAnsi" w:hAnsi="Palatino Linotype"/>
          <w:sz w:val="22"/>
          <w:szCs w:val="22"/>
          <w:lang w:val="es-EC" w:eastAsia="en-US"/>
        </w:rPr>
        <w:t>,</w:t>
      </w:r>
      <w:r w:rsidRPr="00220827">
        <w:rPr>
          <w:rFonts w:ascii="Palatino Linotype" w:eastAsiaTheme="minorHAnsi" w:hAnsi="Palatino Linotype"/>
          <w:sz w:val="22"/>
          <w:szCs w:val="22"/>
          <w:lang w:val="es-EC" w:eastAsia="en-US"/>
        </w:rPr>
        <w:t xml:space="preserve"> por tanto, </w:t>
      </w:r>
      <w:r>
        <w:rPr>
          <w:rFonts w:ascii="Palatino Linotype" w:eastAsiaTheme="minorHAnsi" w:hAnsi="Palatino Linotype"/>
          <w:sz w:val="22"/>
          <w:szCs w:val="22"/>
          <w:lang w:val="es-EC" w:eastAsia="en-US"/>
        </w:rPr>
        <w:t xml:space="preserve">no autorizar la partición del predio Nro. </w:t>
      </w:r>
      <w:r w:rsidR="00E54E39" w:rsidRPr="001E73B0">
        <w:rPr>
          <w:rFonts w:ascii="Palatino Linotype" w:eastAsiaTheme="minorHAnsi" w:hAnsi="Palatino Linotype"/>
          <w:sz w:val="22"/>
          <w:szCs w:val="22"/>
          <w:lang w:val="es-EC" w:eastAsia="en-US"/>
        </w:rPr>
        <w:t>240040</w:t>
      </w:r>
      <w:r>
        <w:rPr>
          <w:rFonts w:ascii="Palatino Linotype" w:eastAsiaTheme="minorHAnsi" w:hAnsi="Palatino Linotype"/>
          <w:sz w:val="22"/>
          <w:szCs w:val="22"/>
          <w:lang w:val="es-EC" w:eastAsia="en-US"/>
        </w:rPr>
        <w:t xml:space="preserve">, clave catastral anterior Nro. </w:t>
      </w:r>
      <w:r w:rsidR="00E54E39" w:rsidRPr="00E54E39">
        <w:rPr>
          <w:rFonts w:ascii="Palatino Linotype" w:eastAsiaTheme="minorHAnsi" w:hAnsi="Palatino Linotype"/>
          <w:sz w:val="22"/>
          <w:szCs w:val="22"/>
          <w:lang w:val="es-EC" w:eastAsia="en-US"/>
        </w:rPr>
        <w:t>11702</w:t>
      </w:r>
      <w:r w:rsidR="00E54E39">
        <w:rPr>
          <w:rFonts w:ascii="Palatino Linotype" w:eastAsiaTheme="minorHAnsi" w:hAnsi="Palatino Linotype"/>
          <w:sz w:val="22"/>
          <w:szCs w:val="22"/>
          <w:lang w:val="es-EC" w:eastAsia="en-US"/>
        </w:rPr>
        <w:t>-</w:t>
      </w:r>
      <w:r w:rsidR="00E54E39" w:rsidRPr="00E54E39">
        <w:rPr>
          <w:rFonts w:ascii="Palatino Linotype" w:eastAsiaTheme="minorHAnsi" w:hAnsi="Palatino Linotype"/>
          <w:sz w:val="22"/>
          <w:szCs w:val="22"/>
          <w:lang w:val="es-EC" w:eastAsia="en-US"/>
        </w:rPr>
        <w:t>09</w:t>
      </w:r>
      <w:r w:rsidR="00E54E39">
        <w:rPr>
          <w:rFonts w:ascii="Palatino Linotype" w:eastAsiaTheme="minorHAnsi" w:hAnsi="Palatino Linotype"/>
          <w:sz w:val="22"/>
          <w:szCs w:val="22"/>
          <w:lang w:val="es-EC" w:eastAsia="en-US"/>
        </w:rPr>
        <w:t>-</w:t>
      </w:r>
      <w:r w:rsidR="00E54E39" w:rsidRPr="00E54E39">
        <w:rPr>
          <w:rFonts w:ascii="Palatino Linotype" w:eastAsiaTheme="minorHAnsi" w:hAnsi="Palatino Linotype"/>
          <w:sz w:val="22"/>
          <w:szCs w:val="22"/>
          <w:lang w:val="es-EC" w:eastAsia="en-US"/>
        </w:rPr>
        <w:t>033</w:t>
      </w:r>
      <w:r w:rsidR="00E54E39">
        <w:rPr>
          <w:rFonts w:ascii="Palatino Linotype" w:eastAsiaTheme="minorHAnsi" w:hAnsi="Palatino Linotype"/>
          <w:sz w:val="22"/>
          <w:szCs w:val="22"/>
          <w:lang w:val="es-EC" w:eastAsia="en-US"/>
        </w:rPr>
        <w:t>-</w:t>
      </w:r>
      <w:r w:rsidR="00E54E39" w:rsidRPr="00E54E39">
        <w:rPr>
          <w:rFonts w:ascii="Palatino Linotype" w:eastAsiaTheme="minorHAnsi" w:hAnsi="Palatino Linotype"/>
          <w:sz w:val="22"/>
          <w:szCs w:val="22"/>
          <w:lang w:val="es-EC" w:eastAsia="en-US"/>
        </w:rPr>
        <w:t>000</w:t>
      </w:r>
      <w:r w:rsidR="00E54E39">
        <w:rPr>
          <w:rFonts w:ascii="Palatino Linotype" w:eastAsiaTheme="minorHAnsi" w:hAnsi="Palatino Linotype"/>
          <w:sz w:val="22"/>
          <w:szCs w:val="22"/>
          <w:lang w:val="es-EC" w:eastAsia="en-US"/>
        </w:rPr>
        <w:t>-</w:t>
      </w:r>
      <w:r w:rsidR="00E54E39" w:rsidRPr="00E54E39">
        <w:rPr>
          <w:rFonts w:ascii="Palatino Linotype" w:eastAsiaTheme="minorHAnsi" w:hAnsi="Palatino Linotype"/>
          <w:sz w:val="22"/>
          <w:szCs w:val="22"/>
          <w:lang w:val="es-EC" w:eastAsia="en-US"/>
        </w:rPr>
        <w:t>000</w:t>
      </w:r>
      <w:r w:rsidR="00E54E39">
        <w:rPr>
          <w:rFonts w:ascii="Palatino Linotype" w:eastAsiaTheme="minorHAnsi" w:hAnsi="Palatino Linotype"/>
          <w:sz w:val="22"/>
          <w:szCs w:val="22"/>
          <w:lang w:val="es-EC" w:eastAsia="en-US"/>
        </w:rPr>
        <w:t>-</w:t>
      </w:r>
      <w:r w:rsidR="00E54E39" w:rsidRPr="00E54E39">
        <w:rPr>
          <w:rFonts w:ascii="Palatino Linotype" w:eastAsiaTheme="minorHAnsi" w:hAnsi="Palatino Linotype"/>
          <w:sz w:val="22"/>
          <w:szCs w:val="22"/>
          <w:lang w:val="es-EC" w:eastAsia="en-US"/>
        </w:rPr>
        <w:t>000</w:t>
      </w:r>
      <w:r>
        <w:rPr>
          <w:rFonts w:ascii="Palatino Linotype" w:eastAsiaTheme="minorHAnsi" w:hAnsi="Palatino Linotype"/>
          <w:sz w:val="22"/>
          <w:szCs w:val="22"/>
          <w:lang w:val="es-EC" w:eastAsia="en-US"/>
        </w:rPr>
        <w:t xml:space="preserve">, ubicado en la parroquia </w:t>
      </w:r>
      <w:r w:rsidR="00E54E39">
        <w:t>Chaupicruz</w:t>
      </w:r>
      <w:r>
        <w:rPr>
          <w:rFonts w:ascii="Palatino Linotype" w:eastAsiaTheme="minorHAnsi" w:hAnsi="Palatino Linotype"/>
          <w:sz w:val="22"/>
          <w:szCs w:val="22"/>
          <w:lang w:val="es-EC" w:eastAsia="en-US"/>
        </w:rPr>
        <w:t xml:space="preserve">, solicitada </w:t>
      </w:r>
      <w:r w:rsidR="00E54E39">
        <w:rPr>
          <w:rFonts w:ascii="Palatino Linotype" w:eastAsiaTheme="minorHAnsi" w:hAnsi="Palatino Linotype"/>
          <w:sz w:val="22"/>
          <w:szCs w:val="22"/>
          <w:lang w:val="es-EC" w:eastAsia="en-US"/>
        </w:rPr>
        <w:t xml:space="preserve">por </w:t>
      </w:r>
      <w:r w:rsidR="00E54E39" w:rsidRPr="00E54E39">
        <w:rPr>
          <w:rFonts w:ascii="Palatino Linotype" w:eastAsiaTheme="minorHAnsi" w:hAnsi="Palatino Linotype"/>
          <w:sz w:val="22"/>
          <w:szCs w:val="22"/>
          <w:lang w:val="es-EC" w:eastAsia="en-US"/>
        </w:rPr>
        <w:t>el Dr. Víctor Hugo León, abogado de los señores Daniel Moyon Arévalo y Rosa Orfelina Abrigo Montoya</w:t>
      </w:r>
      <w:r>
        <w:rPr>
          <w:rFonts w:ascii="Palatino Linotype" w:eastAsiaTheme="minorHAnsi" w:hAnsi="Palatino Linotype"/>
          <w:sz w:val="22"/>
          <w:szCs w:val="22"/>
          <w:lang w:val="es-EC" w:eastAsia="en-US"/>
        </w:rPr>
        <w:t xml:space="preserve">, </w:t>
      </w:r>
      <w:r w:rsidR="00E54E39">
        <w:rPr>
          <w:rFonts w:ascii="Palatino Linotype" w:eastAsiaTheme="minorHAnsi" w:hAnsi="Palatino Linotype"/>
          <w:sz w:val="22"/>
          <w:szCs w:val="22"/>
          <w:lang w:val="es-EC" w:eastAsia="en-US"/>
        </w:rPr>
        <w:t>debido a que el frente mínimo para subdivisión en el sector es de 10m, requerimiento que no se cumple en el presente caso, por cuanto el predio tiene una superficie de 18,48m ; y, en estas condiciones, no puede cumplir con el requisito y. presupuesto material previsto en el régimen jurídico aplicable, en lo referente a frente mínimo necesario para aprobar subdivisiones de bienes inmuebles en el Distrito Metropolitano de Quito.</w:t>
      </w:r>
    </w:p>
    <w:p w14:paraId="125DDF17" w14:textId="51A64B36" w:rsidR="001E73B0" w:rsidRPr="00E54E39" w:rsidRDefault="001E73B0" w:rsidP="001E73B0">
      <w:pPr>
        <w:autoSpaceDE w:val="0"/>
        <w:autoSpaceDN w:val="0"/>
        <w:adjustRightInd w:val="0"/>
        <w:jc w:val="both"/>
        <w:rPr>
          <w:rFonts w:ascii="Palatino Linotype" w:eastAsiaTheme="minorHAnsi" w:hAnsi="Palatino Linotype"/>
          <w:sz w:val="22"/>
          <w:szCs w:val="22"/>
          <w:lang w:val="es-EC" w:eastAsia="en-US"/>
        </w:rPr>
      </w:pPr>
    </w:p>
    <w:p w14:paraId="36442B3B" w14:textId="177ECF36" w:rsidR="001E73B0" w:rsidRPr="00220827" w:rsidRDefault="001E73B0" w:rsidP="001E73B0">
      <w:pPr>
        <w:autoSpaceDE w:val="0"/>
        <w:autoSpaceDN w:val="0"/>
        <w:adjustRightInd w:val="0"/>
        <w:jc w:val="both"/>
        <w:rPr>
          <w:rFonts w:ascii="Palatino Linotype" w:eastAsiaTheme="minorHAnsi" w:hAnsi="Palatino Linotype"/>
          <w:sz w:val="22"/>
          <w:szCs w:val="22"/>
          <w:lang w:val="es-EC" w:eastAsia="en-US"/>
        </w:rPr>
      </w:pPr>
      <w:r w:rsidRPr="00220827">
        <w:rPr>
          <w:rFonts w:ascii="Palatino Linotype" w:eastAsiaTheme="minorHAnsi" w:hAnsi="Palatino Linotype"/>
          <w:b/>
          <w:sz w:val="22"/>
          <w:szCs w:val="22"/>
          <w:lang w:val="es-EC" w:eastAsia="en-US"/>
        </w:rPr>
        <w:t>Artículo 2.-</w:t>
      </w:r>
      <w:r w:rsidRPr="00220827">
        <w:rPr>
          <w:rFonts w:ascii="Palatino Linotype" w:eastAsiaTheme="minorHAnsi" w:hAnsi="Palatino Linotype"/>
          <w:sz w:val="22"/>
          <w:szCs w:val="22"/>
          <w:lang w:val="es-EC" w:eastAsia="en-US"/>
        </w:rPr>
        <w:t xml:space="preserve"> Comuníquese al interesado, a la Administraci</w:t>
      </w:r>
      <w:r>
        <w:rPr>
          <w:rFonts w:ascii="Palatino Linotype" w:eastAsiaTheme="minorHAnsi" w:hAnsi="Palatino Linotype"/>
          <w:sz w:val="22"/>
          <w:szCs w:val="22"/>
          <w:lang w:val="es-EC" w:eastAsia="en-US"/>
        </w:rPr>
        <w:t xml:space="preserve">ón Zonal </w:t>
      </w:r>
      <w:r w:rsidR="003C7722">
        <w:rPr>
          <w:rFonts w:ascii="Palatino Linotype" w:eastAsiaTheme="minorHAnsi" w:hAnsi="Palatino Linotype"/>
          <w:sz w:val="22"/>
          <w:szCs w:val="22"/>
          <w:lang w:val="es-EC" w:eastAsia="en-US"/>
        </w:rPr>
        <w:t xml:space="preserve">Eugenio Espejo </w:t>
      </w:r>
      <w:r w:rsidRPr="00220827">
        <w:rPr>
          <w:rFonts w:ascii="Palatino Linotype" w:eastAsiaTheme="minorHAnsi" w:hAnsi="Palatino Linotype"/>
          <w:sz w:val="22"/>
          <w:szCs w:val="22"/>
          <w:lang w:val="es-EC" w:eastAsia="en-US"/>
        </w:rPr>
        <w:t xml:space="preserve">y, a la Secretaría de Territorio, Hábitat y Vivienda, a fin de que se continúe con los trámites de ley. </w:t>
      </w:r>
    </w:p>
    <w:p w14:paraId="703B40E9" w14:textId="77777777" w:rsidR="001E73B0" w:rsidRPr="00006FF2" w:rsidRDefault="001E73B0" w:rsidP="001E73B0">
      <w:pPr>
        <w:autoSpaceDE w:val="0"/>
        <w:autoSpaceDN w:val="0"/>
        <w:adjustRightInd w:val="0"/>
        <w:jc w:val="both"/>
        <w:rPr>
          <w:rFonts w:ascii="Palatino Linotype" w:eastAsiaTheme="minorHAnsi" w:hAnsi="Palatino Linotype"/>
          <w:bCs/>
          <w:sz w:val="22"/>
          <w:szCs w:val="22"/>
          <w:lang w:val="es-EC" w:eastAsia="en-US"/>
        </w:rPr>
      </w:pPr>
      <w:bookmarkStart w:id="0" w:name="_Hlk40866429"/>
      <w:r>
        <w:rPr>
          <w:rFonts w:ascii="Palatino Linotype" w:eastAsiaTheme="minorHAnsi" w:hAnsi="Palatino Linotype"/>
          <w:b/>
          <w:sz w:val="22"/>
          <w:szCs w:val="22"/>
          <w:lang w:val="es-EC" w:eastAsia="en-US"/>
        </w:rPr>
        <w:t xml:space="preserve">Disposición General Única. - </w:t>
      </w:r>
      <w:r w:rsidRPr="00006FF2">
        <w:rPr>
          <w:rFonts w:ascii="Palatino Linotype" w:eastAsiaTheme="minorHAnsi" w:hAnsi="Palatino Linotype"/>
          <w:bCs/>
          <w:sz w:val="22"/>
          <w:szCs w:val="22"/>
          <w:lang w:val="es-EC" w:eastAsia="en-US"/>
        </w:rPr>
        <w:t>La presente resolución se aprueba en base a los informes que son de exclusiva responsabilidad de los funcionarios que lo suscriben y realizan.</w:t>
      </w:r>
    </w:p>
    <w:bookmarkEnd w:id="0"/>
    <w:p w14:paraId="2C36199D" w14:textId="77777777" w:rsidR="001E73B0" w:rsidRPr="00006FF2" w:rsidRDefault="001E73B0" w:rsidP="001E73B0">
      <w:pPr>
        <w:autoSpaceDE w:val="0"/>
        <w:autoSpaceDN w:val="0"/>
        <w:adjustRightInd w:val="0"/>
        <w:jc w:val="both"/>
        <w:rPr>
          <w:rFonts w:ascii="Palatino Linotype" w:eastAsiaTheme="minorHAnsi" w:hAnsi="Palatino Linotype"/>
          <w:bCs/>
          <w:sz w:val="22"/>
          <w:szCs w:val="22"/>
          <w:lang w:val="es-EC" w:eastAsia="en-US"/>
        </w:rPr>
      </w:pPr>
    </w:p>
    <w:p w14:paraId="32817653" w14:textId="77777777" w:rsidR="001E73B0" w:rsidRPr="00220827" w:rsidRDefault="001E73B0" w:rsidP="001E73B0">
      <w:pPr>
        <w:autoSpaceDE w:val="0"/>
        <w:autoSpaceDN w:val="0"/>
        <w:adjustRightInd w:val="0"/>
        <w:jc w:val="both"/>
        <w:rPr>
          <w:rFonts w:ascii="Palatino Linotype" w:eastAsiaTheme="minorHAnsi" w:hAnsi="Palatino Linotype"/>
          <w:sz w:val="22"/>
          <w:szCs w:val="22"/>
          <w:lang w:val="es-EC" w:eastAsia="en-US"/>
        </w:rPr>
      </w:pPr>
      <w:r w:rsidRPr="00220827">
        <w:rPr>
          <w:rFonts w:ascii="Palatino Linotype" w:eastAsiaTheme="minorHAnsi" w:hAnsi="Palatino Linotype"/>
          <w:b/>
          <w:sz w:val="22"/>
          <w:szCs w:val="22"/>
          <w:lang w:val="es-EC" w:eastAsia="en-US"/>
        </w:rPr>
        <w:t>Disposición Final. -</w:t>
      </w:r>
      <w:r w:rsidRPr="00220827">
        <w:rPr>
          <w:rFonts w:ascii="Palatino Linotype" w:eastAsiaTheme="minorHAnsi" w:hAnsi="Palatino Linotype"/>
          <w:sz w:val="22"/>
          <w:szCs w:val="22"/>
          <w:lang w:val="es-EC" w:eastAsia="en-US"/>
        </w:rPr>
        <w:t xml:space="preserve"> La presente resolución entrará en vigencia a partir de su suscripción sin perjuicio de su publicación.</w:t>
      </w:r>
      <w:r>
        <w:rPr>
          <w:rFonts w:ascii="Arial" w:hAnsi="Arial" w:cs="Arial"/>
          <w:sz w:val="21"/>
          <w:szCs w:val="21"/>
          <w:shd w:val="clear" w:color="auto" w:fill="FFFFFF"/>
        </w:rPr>
        <w:t xml:space="preserve">, </w:t>
      </w:r>
    </w:p>
    <w:p w14:paraId="2BA52346" w14:textId="77777777" w:rsidR="001E73B0" w:rsidRPr="00220827" w:rsidRDefault="001E73B0" w:rsidP="001E73B0">
      <w:pPr>
        <w:autoSpaceDE w:val="0"/>
        <w:autoSpaceDN w:val="0"/>
        <w:adjustRightInd w:val="0"/>
        <w:jc w:val="both"/>
        <w:rPr>
          <w:rFonts w:ascii="Palatino Linotype" w:eastAsiaTheme="minorHAnsi" w:hAnsi="Palatino Linotype"/>
          <w:sz w:val="22"/>
          <w:szCs w:val="22"/>
          <w:lang w:val="es-EC" w:eastAsia="en-US"/>
        </w:rPr>
      </w:pPr>
    </w:p>
    <w:p w14:paraId="7946F517" w14:textId="77777777" w:rsidR="001E73B0" w:rsidRPr="00220827" w:rsidRDefault="001E73B0" w:rsidP="001E73B0">
      <w:pPr>
        <w:jc w:val="both"/>
        <w:rPr>
          <w:rFonts w:ascii="Palatino Linotype" w:hAnsi="Palatino Linotype"/>
          <w:sz w:val="22"/>
          <w:szCs w:val="22"/>
        </w:rPr>
      </w:pPr>
      <w:r w:rsidRPr="00220827">
        <w:rPr>
          <w:rFonts w:ascii="Palatino Linotype" w:hAnsi="Palatino Linotype"/>
          <w:b/>
          <w:sz w:val="22"/>
          <w:szCs w:val="22"/>
        </w:rPr>
        <w:t xml:space="preserve">Alcaldía del Distrito Metropolitano. - </w:t>
      </w:r>
      <w:r w:rsidRPr="00220827">
        <w:rPr>
          <w:rFonts w:ascii="Palatino Linotype" w:hAnsi="Palatino Linotype"/>
          <w:sz w:val="22"/>
          <w:szCs w:val="22"/>
        </w:rPr>
        <w:t xml:space="preserve">Distrito Metropolitano de Quito, fecha. </w:t>
      </w:r>
    </w:p>
    <w:p w14:paraId="32356A31" w14:textId="77777777" w:rsidR="001E73B0" w:rsidRPr="00220827" w:rsidRDefault="001E73B0" w:rsidP="001E73B0">
      <w:pPr>
        <w:jc w:val="both"/>
        <w:rPr>
          <w:rFonts w:ascii="Palatino Linotype" w:hAnsi="Palatino Linotype"/>
          <w:sz w:val="22"/>
          <w:szCs w:val="22"/>
        </w:rPr>
      </w:pPr>
    </w:p>
    <w:p w14:paraId="4637B6F0" w14:textId="77777777" w:rsidR="001E73B0" w:rsidRPr="00220827" w:rsidRDefault="001E73B0" w:rsidP="001E73B0">
      <w:pPr>
        <w:jc w:val="center"/>
        <w:rPr>
          <w:rFonts w:ascii="Palatino Linotype" w:hAnsi="Palatino Linotype"/>
          <w:b/>
          <w:sz w:val="22"/>
          <w:szCs w:val="22"/>
        </w:rPr>
      </w:pPr>
      <w:r w:rsidRPr="00220827">
        <w:rPr>
          <w:rFonts w:ascii="Palatino Linotype" w:hAnsi="Palatino Linotype"/>
          <w:b/>
          <w:sz w:val="22"/>
          <w:szCs w:val="22"/>
        </w:rPr>
        <w:t>EJECÚTESE:</w:t>
      </w:r>
    </w:p>
    <w:p w14:paraId="6271E68F" w14:textId="77777777" w:rsidR="001E73B0" w:rsidRPr="00220827" w:rsidRDefault="001E73B0" w:rsidP="001E73B0">
      <w:pPr>
        <w:pStyle w:val="Sinespaciado"/>
        <w:jc w:val="center"/>
        <w:rPr>
          <w:rFonts w:ascii="Palatino Linotype" w:hAnsi="Palatino Linotype"/>
          <w:sz w:val="22"/>
          <w:szCs w:val="22"/>
        </w:rPr>
      </w:pPr>
    </w:p>
    <w:p w14:paraId="46A6DFD4" w14:textId="77777777" w:rsidR="001E73B0" w:rsidRPr="00220827" w:rsidRDefault="001E73B0" w:rsidP="001E73B0">
      <w:pPr>
        <w:pStyle w:val="Sinespaciado"/>
        <w:jc w:val="center"/>
        <w:rPr>
          <w:rFonts w:ascii="Palatino Linotype" w:hAnsi="Palatino Linotype"/>
          <w:sz w:val="22"/>
          <w:szCs w:val="22"/>
        </w:rPr>
      </w:pPr>
    </w:p>
    <w:p w14:paraId="0AE5A6BB" w14:textId="77777777" w:rsidR="001E73B0" w:rsidRPr="00220827" w:rsidRDefault="001E73B0" w:rsidP="001E73B0">
      <w:pPr>
        <w:pStyle w:val="Sinespaciado"/>
        <w:jc w:val="center"/>
        <w:rPr>
          <w:rFonts w:ascii="Palatino Linotype" w:hAnsi="Palatino Linotype"/>
          <w:sz w:val="22"/>
          <w:szCs w:val="22"/>
        </w:rPr>
      </w:pPr>
    </w:p>
    <w:p w14:paraId="2739F7D3" w14:textId="77777777" w:rsidR="001E73B0" w:rsidRPr="00220827" w:rsidRDefault="001E73B0" w:rsidP="001E73B0">
      <w:pPr>
        <w:pStyle w:val="Sinespaciado"/>
        <w:jc w:val="center"/>
        <w:rPr>
          <w:rFonts w:ascii="Palatino Linotype" w:hAnsi="Palatino Linotype"/>
          <w:sz w:val="22"/>
          <w:szCs w:val="22"/>
        </w:rPr>
      </w:pPr>
      <w:r w:rsidRPr="00220827">
        <w:rPr>
          <w:rFonts w:ascii="Palatino Linotype" w:hAnsi="Palatino Linotype"/>
          <w:sz w:val="22"/>
          <w:szCs w:val="22"/>
        </w:rPr>
        <w:t>Dr. Jorge Yunda Machado</w:t>
      </w:r>
    </w:p>
    <w:p w14:paraId="75E533B7" w14:textId="77777777" w:rsidR="001E73B0" w:rsidRPr="00220827" w:rsidRDefault="001E73B0" w:rsidP="001E73B0">
      <w:pPr>
        <w:pStyle w:val="Sinespaciado"/>
        <w:jc w:val="center"/>
        <w:rPr>
          <w:rFonts w:ascii="Palatino Linotype" w:hAnsi="Palatino Linotype"/>
          <w:b/>
          <w:sz w:val="22"/>
          <w:szCs w:val="22"/>
        </w:rPr>
      </w:pPr>
      <w:r w:rsidRPr="00220827">
        <w:rPr>
          <w:rFonts w:ascii="Palatino Linotype" w:hAnsi="Palatino Linotype"/>
          <w:b/>
          <w:sz w:val="22"/>
          <w:szCs w:val="22"/>
        </w:rPr>
        <w:t>ALCALDE DEL DISTRITO METROPOLITANO DE QUITO</w:t>
      </w:r>
    </w:p>
    <w:p w14:paraId="74FDDA0E" w14:textId="77777777" w:rsidR="001E73B0" w:rsidRPr="00220827" w:rsidRDefault="001E73B0" w:rsidP="001E73B0">
      <w:pPr>
        <w:jc w:val="both"/>
        <w:rPr>
          <w:rFonts w:ascii="Palatino Linotype" w:hAnsi="Palatino Linotype"/>
          <w:b/>
          <w:sz w:val="22"/>
          <w:szCs w:val="22"/>
        </w:rPr>
      </w:pPr>
    </w:p>
    <w:p w14:paraId="49A33E8D" w14:textId="77777777" w:rsidR="001E73B0" w:rsidRPr="00220827" w:rsidRDefault="001E73B0" w:rsidP="001E73B0">
      <w:pPr>
        <w:jc w:val="both"/>
        <w:rPr>
          <w:rFonts w:ascii="Palatino Linotype" w:hAnsi="Palatino Linotype"/>
          <w:sz w:val="22"/>
          <w:szCs w:val="22"/>
        </w:rPr>
      </w:pPr>
      <w:r w:rsidRPr="00220827">
        <w:rPr>
          <w:rFonts w:ascii="Palatino Linotype" w:hAnsi="Palatino Linotype"/>
          <w:b/>
          <w:sz w:val="22"/>
          <w:szCs w:val="22"/>
        </w:rPr>
        <w:t>CERTIFICO,</w:t>
      </w:r>
      <w:r w:rsidRPr="00220827">
        <w:rPr>
          <w:rFonts w:ascii="Palatino Linotype" w:hAnsi="Palatino Linotype"/>
          <w:sz w:val="22"/>
          <w:szCs w:val="22"/>
        </w:rPr>
        <w:t xml:space="preserve"> que la presente resolución fue discutida y aprobada en sesión pública ordinaria del Concejo Metropolitano de Quito, el …; y, suscrita por el Dr. Jorge Yunda Machado, Alcalde del Distrito Metropolitano de Quito, ….</w:t>
      </w:r>
    </w:p>
    <w:p w14:paraId="16A37D9E" w14:textId="77777777" w:rsidR="001E73B0" w:rsidRPr="00220827" w:rsidRDefault="001E73B0" w:rsidP="001E73B0">
      <w:pPr>
        <w:jc w:val="both"/>
        <w:rPr>
          <w:rFonts w:ascii="Palatino Linotype" w:hAnsi="Palatino Linotype"/>
          <w:b/>
          <w:sz w:val="22"/>
          <w:szCs w:val="22"/>
        </w:rPr>
      </w:pPr>
    </w:p>
    <w:p w14:paraId="1916DA70" w14:textId="77777777" w:rsidR="001E73B0" w:rsidRPr="00220827" w:rsidRDefault="001E73B0" w:rsidP="001E73B0">
      <w:pPr>
        <w:jc w:val="both"/>
        <w:rPr>
          <w:rFonts w:ascii="Palatino Linotype" w:hAnsi="Palatino Linotype"/>
          <w:sz w:val="22"/>
          <w:szCs w:val="22"/>
        </w:rPr>
      </w:pPr>
      <w:r w:rsidRPr="00220827">
        <w:rPr>
          <w:rFonts w:ascii="Palatino Linotype" w:hAnsi="Palatino Linotype"/>
          <w:b/>
          <w:sz w:val="22"/>
          <w:szCs w:val="22"/>
        </w:rPr>
        <w:t xml:space="preserve">Lo certifico.- </w:t>
      </w:r>
      <w:r w:rsidRPr="00220827">
        <w:rPr>
          <w:rFonts w:ascii="Palatino Linotype" w:hAnsi="Palatino Linotype"/>
          <w:sz w:val="22"/>
          <w:szCs w:val="22"/>
        </w:rPr>
        <w:t>Distrito Metropolitano de Quito, …..</w:t>
      </w:r>
    </w:p>
    <w:p w14:paraId="1CC6AB78" w14:textId="77777777" w:rsidR="001E73B0" w:rsidRPr="00220827" w:rsidRDefault="001E73B0" w:rsidP="001E73B0">
      <w:pPr>
        <w:rPr>
          <w:rFonts w:ascii="Palatino Linotype" w:hAnsi="Palatino Linotype"/>
          <w:sz w:val="22"/>
          <w:szCs w:val="22"/>
        </w:rPr>
      </w:pPr>
    </w:p>
    <w:p w14:paraId="0CACD797" w14:textId="77777777" w:rsidR="001E73B0" w:rsidRPr="00220827" w:rsidRDefault="001E73B0" w:rsidP="001E73B0">
      <w:pPr>
        <w:jc w:val="both"/>
        <w:rPr>
          <w:rFonts w:ascii="Palatino Linotype" w:hAnsi="Palatino Linotype"/>
          <w:sz w:val="22"/>
          <w:szCs w:val="22"/>
        </w:rPr>
      </w:pPr>
    </w:p>
    <w:p w14:paraId="5DD769C9" w14:textId="77777777" w:rsidR="001E73B0" w:rsidRPr="00220827" w:rsidRDefault="001E73B0" w:rsidP="001E73B0">
      <w:pPr>
        <w:jc w:val="both"/>
        <w:rPr>
          <w:rFonts w:ascii="Palatino Linotype" w:hAnsi="Palatino Linotype"/>
          <w:sz w:val="22"/>
          <w:szCs w:val="22"/>
        </w:rPr>
      </w:pPr>
    </w:p>
    <w:p w14:paraId="2C022B1F" w14:textId="77777777" w:rsidR="001E73B0" w:rsidRPr="00220827" w:rsidRDefault="001E73B0" w:rsidP="001E73B0">
      <w:pPr>
        <w:jc w:val="both"/>
        <w:rPr>
          <w:rFonts w:ascii="Palatino Linotype" w:hAnsi="Palatino Linotype"/>
          <w:sz w:val="22"/>
          <w:szCs w:val="22"/>
        </w:rPr>
      </w:pPr>
    </w:p>
    <w:p w14:paraId="6A3D1BB3" w14:textId="77777777" w:rsidR="001E73B0" w:rsidRPr="00220827" w:rsidRDefault="001E73B0" w:rsidP="001E73B0">
      <w:pPr>
        <w:pStyle w:val="Sinespaciado"/>
        <w:jc w:val="center"/>
        <w:rPr>
          <w:rFonts w:ascii="Palatino Linotype" w:hAnsi="Palatino Linotype"/>
          <w:sz w:val="22"/>
          <w:szCs w:val="22"/>
        </w:rPr>
      </w:pPr>
      <w:r w:rsidRPr="00220827">
        <w:rPr>
          <w:rFonts w:ascii="Palatino Linotype" w:hAnsi="Palatino Linotype"/>
          <w:sz w:val="22"/>
          <w:szCs w:val="22"/>
        </w:rPr>
        <w:t>Abg. Damaris Ortiz Pasuy</w:t>
      </w:r>
    </w:p>
    <w:p w14:paraId="455CA141" w14:textId="77777777" w:rsidR="001E73B0" w:rsidRPr="00220827" w:rsidRDefault="001E73B0" w:rsidP="001E73B0">
      <w:pPr>
        <w:pStyle w:val="Sinespaciado"/>
        <w:jc w:val="center"/>
        <w:rPr>
          <w:rFonts w:ascii="Palatino Linotype" w:hAnsi="Palatino Linotype"/>
          <w:b/>
          <w:sz w:val="22"/>
          <w:szCs w:val="22"/>
        </w:rPr>
      </w:pPr>
      <w:r w:rsidRPr="00220827">
        <w:rPr>
          <w:rFonts w:ascii="Palatino Linotype" w:hAnsi="Palatino Linotype"/>
          <w:b/>
          <w:sz w:val="22"/>
          <w:szCs w:val="22"/>
        </w:rPr>
        <w:t>SECRETARIA GENERAL DEL CONCEJO METROPOLITANO DE QUITO (E)</w:t>
      </w:r>
    </w:p>
    <w:p w14:paraId="0DA324CA" w14:textId="77777777" w:rsidR="001E73B0" w:rsidRPr="00220827" w:rsidRDefault="001E73B0" w:rsidP="001E73B0">
      <w:pPr>
        <w:pStyle w:val="Sinespaciado"/>
        <w:rPr>
          <w:rFonts w:ascii="Palatino Linotype" w:hAnsi="Palatino Linotype"/>
          <w:sz w:val="22"/>
          <w:szCs w:val="22"/>
        </w:rPr>
      </w:pPr>
    </w:p>
    <w:p w14:paraId="46C71B9F" w14:textId="77777777" w:rsidR="001E73B0" w:rsidRDefault="001E73B0" w:rsidP="001E73B0"/>
    <w:p w14:paraId="5F7B6C1D" w14:textId="77777777" w:rsidR="001E73B0" w:rsidRDefault="001E73B0" w:rsidP="001E73B0"/>
    <w:p w14:paraId="1CEF8E12" w14:textId="77777777" w:rsidR="001E73B0" w:rsidRDefault="001E73B0" w:rsidP="001E73B0"/>
    <w:p w14:paraId="2D2A13D8" w14:textId="77777777" w:rsidR="001E73B0" w:rsidRDefault="001E73B0" w:rsidP="001E73B0"/>
    <w:p w14:paraId="42480E00" w14:textId="77777777" w:rsidR="001E73B0" w:rsidRDefault="001E73B0" w:rsidP="001E73B0"/>
    <w:p w14:paraId="6E9037FB" w14:textId="77777777" w:rsidR="00E53BE5" w:rsidRDefault="00E53BE5"/>
    <w:sectPr w:rsidR="00E53BE5" w:rsidSect="00603285">
      <w:headerReference w:type="default" r:id="rId6"/>
      <w:footerReference w:type="default" r:id="rId7"/>
      <w:pgSz w:w="12240" w:h="15840"/>
      <w:pgMar w:top="1985" w:right="1701" w:bottom="1560"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C5DF49" w14:textId="77777777" w:rsidR="00D656B4" w:rsidRDefault="00D656B4">
      <w:r>
        <w:separator/>
      </w:r>
    </w:p>
  </w:endnote>
  <w:endnote w:type="continuationSeparator" w:id="0">
    <w:p w14:paraId="1755219A" w14:textId="77777777" w:rsidR="00D656B4" w:rsidRDefault="00D65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NewNorm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Palatino Linotype" w:hAnsi="Palatino Linotype"/>
        <w:sz w:val="20"/>
        <w:szCs w:val="20"/>
      </w:rPr>
      <w:id w:val="708761303"/>
      <w:docPartObj>
        <w:docPartGallery w:val="Page Numbers (Bottom of Page)"/>
        <w:docPartUnique/>
      </w:docPartObj>
    </w:sdtPr>
    <w:sdtEndPr/>
    <w:sdtContent>
      <w:sdt>
        <w:sdtPr>
          <w:rPr>
            <w:rFonts w:ascii="Palatino Linotype" w:hAnsi="Palatino Linotype"/>
            <w:sz w:val="20"/>
            <w:szCs w:val="20"/>
          </w:rPr>
          <w:id w:val="860082579"/>
          <w:docPartObj>
            <w:docPartGallery w:val="Page Numbers (Top of Page)"/>
            <w:docPartUnique/>
          </w:docPartObj>
        </w:sdtPr>
        <w:sdtEndPr/>
        <w:sdtContent>
          <w:p w14:paraId="2DE5BE3F" w14:textId="77777777" w:rsidR="00603285" w:rsidRPr="008479FB" w:rsidRDefault="00E54E39">
            <w:pPr>
              <w:pStyle w:val="Piedepgina"/>
              <w:jc w:val="right"/>
              <w:rPr>
                <w:rFonts w:ascii="Palatino Linotype" w:hAnsi="Palatino Linotype"/>
                <w:sz w:val="20"/>
                <w:szCs w:val="20"/>
              </w:rPr>
            </w:pPr>
            <w:r w:rsidRPr="008479FB">
              <w:rPr>
                <w:rFonts w:ascii="Palatino Linotype" w:hAnsi="Palatino Linotype"/>
                <w:sz w:val="20"/>
                <w:szCs w:val="20"/>
              </w:rPr>
              <w:t xml:space="preserve">Página </w:t>
            </w:r>
            <w:r w:rsidRPr="008479FB">
              <w:rPr>
                <w:rFonts w:ascii="Palatino Linotype" w:hAnsi="Palatino Linotype"/>
                <w:b/>
                <w:bCs/>
                <w:sz w:val="20"/>
                <w:szCs w:val="20"/>
              </w:rPr>
              <w:fldChar w:fldCharType="begin"/>
            </w:r>
            <w:r w:rsidRPr="008479FB">
              <w:rPr>
                <w:rFonts w:ascii="Palatino Linotype" w:hAnsi="Palatino Linotype"/>
                <w:b/>
                <w:bCs/>
                <w:sz w:val="20"/>
                <w:szCs w:val="20"/>
              </w:rPr>
              <w:instrText>PAGE</w:instrText>
            </w:r>
            <w:r w:rsidRPr="008479FB">
              <w:rPr>
                <w:rFonts w:ascii="Palatino Linotype" w:hAnsi="Palatino Linotype"/>
                <w:b/>
                <w:bCs/>
                <w:sz w:val="20"/>
                <w:szCs w:val="20"/>
              </w:rPr>
              <w:fldChar w:fldCharType="separate"/>
            </w:r>
            <w:r>
              <w:rPr>
                <w:rFonts w:ascii="Palatino Linotype" w:hAnsi="Palatino Linotype"/>
                <w:b/>
                <w:bCs/>
                <w:noProof/>
                <w:sz w:val="20"/>
                <w:szCs w:val="20"/>
              </w:rPr>
              <w:t>6</w:t>
            </w:r>
            <w:r w:rsidRPr="008479FB">
              <w:rPr>
                <w:rFonts w:ascii="Palatino Linotype" w:hAnsi="Palatino Linotype"/>
                <w:b/>
                <w:bCs/>
                <w:sz w:val="20"/>
                <w:szCs w:val="20"/>
              </w:rPr>
              <w:fldChar w:fldCharType="end"/>
            </w:r>
            <w:r w:rsidRPr="008479FB">
              <w:rPr>
                <w:rFonts w:ascii="Palatino Linotype" w:hAnsi="Palatino Linotype"/>
                <w:sz w:val="20"/>
                <w:szCs w:val="20"/>
              </w:rPr>
              <w:t xml:space="preserve"> de </w:t>
            </w:r>
            <w:r w:rsidRPr="008479FB">
              <w:rPr>
                <w:rFonts w:ascii="Palatino Linotype" w:hAnsi="Palatino Linotype"/>
                <w:b/>
                <w:bCs/>
                <w:sz w:val="20"/>
                <w:szCs w:val="20"/>
              </w:rPr>
              <w:fldChar w:fldCharType="begin"/>
            </w:r>
            <w:r w:rsidRPr="008479FB">
              <w:rPr>
                <w:rFonts w:ascii="Palatino Linotype" w:hAnsi="Palatino Linotype"/>
                <w:b/>
                <w:bCs/>
                <w:sz w:val="20"/>
                <w:szCs w:val="20"/>
              </w:rPr>
              <w:instrText>NUMPAGES</w:instrText>
            </w:r>
            <w:r w:rsidRPr="008479FB">
              <w:rPr>
                <w:rFonts w:ascii="Palatino Linotype" w:hAnsi="Palatino Linotype"/>
                <w:b/>
                <w:bCs/>
                <w:sz w:val="20"/>
                <w:szCs w:val="20"/>
              </w:rPr>
              <w:fldChar w:fldCharType="separate"/>
            </w:r>
            <w:r>
              <w:rPr>
                <w:rFonts w:ascii="Palatino Linotype" w:hAnsi="Palatino Linotype"/>
                <w:b/>
                <w:bCs/>
                <w:noProof/>
                <w:sz w:val="20"/>
                <w:szCs w:val="20"/>
              </w:rPr>
              <w:t>6</w:t>
            </w:r>
            <w:r w:rsidRPr="008479FB">
              <w:rPr>
                <w:rFonts w:ascii="Palatino Linotype" w:hAnsi="Palatino Linotype"/>
                <w:b/>
                <w:bCs/>
                <w:sz w:val="20"/>
                <w:szCs w:val="20"/>
              </w:rPr>
              <w:fldChar w:fldCharType="end"/>
            </w:r>
          </w:p>
        </w:sdtContent>
      </w:sdt>
    </w:sdtContent>
  </w:sdt>
  <w:p w14:paraId="61C032AE" w14:textId="77777777" w:rsidR="00603285" w:rsidRPr="008479FB" w:rsidRDefault="00D656B4">
    <w:pPr>
      <w:pStyle w:val="Piedepgina"/>
      <w:rPr>
        <w:rFonts w:ascii="Palatino Linotype" w:hAnsi="Palatino Linotype"/>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BA51C9" w14:textId="77777777" w:rsidR="00D656B4" w:rsidRDefault="00D656B4">
      <w:r>
        <w:separator/>
      </w:r>
    </w:p>
  </w:footnote>
  <w:footnote w:type="continuationSeparator" w:id="0">
    <w:p w14:paraId="5E956B43" w14:textId="77777777" w:rsidR="00D656B4" w:rsidRDefault="00D656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4DE93E" w14:textId="77777777" w:rsidR="00603285" w:rsidRDefault="00D656B4" w:rsidP="00603285">
    <w:pPr>
      <w:autoSpaceDE w:val="0"/>
      <w:autoSpaceDN w:val="0"/>
      <w:adjustRightInd w:val="0"/>
      <w:jc w:val="center"/>
      <w:rPr>
        <w:rFonts w:ascii="Palatino Linotype" w:eastAsiaTheme="minorHAnsi" w:hAnsi="Palatino Linotype"/>
        <w:b/>
        <w:bCs/>
        <w:sz w:val="22"/>
        <w:szCs w:val="22"/>
        <w:lang w:val="es-EC" w:eastAsia="en-US"/>
      </w:rPr>
    </w:pPr>
  </w:p>
  <w:p w14:paraId="04F9E829" w14:textId="77777777" w:rsidR="00603285" w:rsidRDefault="00D656B4" w:rsidP="00603285">
    <w:pPr>
      <w:autoSpaceDE w:val="0"/>
      <w:autoSpaceDN w:val="0"/>
      <w:adjustRightInd w:val="0"/>
      <w:jc w:val="center"/>
      <w:rPr>
        <w:rFonts w:ascii="Palatino Linotype" w:eastAsiaTheme="minorHAnsi" w:hAnsi="Palatino Linotype"/>
        <w:b/>
        <w:bCs/>
        <w:sz w:val="22"/>
        <w:szCs w:val="22"/>
        <w:lang w:val="es-EC" w:eastAsia="en-US"/>
      </w:rPr>
    </w:pPr>
  </w:p>
  <w:p w14:paraId="024C314F" w14:textId="77777777" w:rsidR="00603285" w:rsidRDefault="00D656B4" w:rsidP="00603285">
    <w:pPr>
      <w:autoSpaceDE w:val="0"/>
      <w:autoSpaceDN w:val="0"/>
      <w:adjustRightInd w:val="0"/>
      <w:jc w:val="center"/>
      <w:rPr>
        <w:rFonts w:ascii="Palatino Linotype" w:eastAsiaTheme="minorHAnsi" w:hAnsi="Palatino Linotype"/>
        <w:b/>
        <w:bCs/>
        <w:sz w:val="22"/>
        <w:szCs w:val="22"/>
        <w:lang w:val="es-EC" w:eastAsia="en-US"/>
      </w:rPr>
    </w:pPr>
  </w:p>
  <w:p w14:paraId="400C50F5" w14:textId="77777777" w:rsidR="00603285" w:rsidRDefault="00D656B4" w:rsidP="00603285">
    <w:pPr>
      <w:autoSpaceDE w:val="0"/>
      <w:autoSpaceDN w:val="0"/>
      <w:adjustRightInd w:val="0"/>
      <w:jc w:val="center"/>
      <w:rPr>
        <w:rFonts w:ascii="Palatino Linotype" w:eastAsiaTheme="minorHAnsi" w:hAnsi="Palatino Linotype"/>
        <w:b/>
        <w:bCs/>
        <w:sz w:val="22"/>
        <w:szCs w:val="22"/>
        <w:lang w:val="es-EC" w:eastAsia="en-US"/>
      </w:rPr>
    </w:pPr>
  </w:p>
  <w:p w14:paraId="338A95C2" w14:textId="77777777" w:rsidR="00603285" w:rsidRPr="004B36BA" w:rsidRDefault="00E54E39" w:rsidP="00603285">
    <w:pPr>
      <w:autoSpaceDE w:val="0"/>
      <w:autoSpaceDN w:val="0"/>
      <w:adjustRightInd w:val="0"/>
      <w:jc w:val="center"/>
      <w:rPr>
        <w:rFonts w:ascii="Palatino Linotype" w:eastAsiaTheme="minorHAnsi" w:hAnsi="Palatino Linotype"/>
        <w:b/>
        <w:bCs/>
        <w:sz w:val="22"/>
        <w:szCs w:val="22"/>
        <w:lang w:val="es-EC" w:eastAsia="en-US"/>
      </w:rPr>
    </w:pPr>
    <w:r w:rsidRPr="004B36BA">
      <w:rPr>
        <w:rFonts w:ascii="Palatino Linotype" w:eastAsiaTheme="minorHAnsi" w:hAnsi="Palatino Linotype"/>
        <w:b/>
        <w:bCs/>
        <w:sz w:val="22"/>
        <w:szCs w:val="22"/>
        <w:lang w:val="es-EC" w:eastAsia="en-US"/>
      </w:rPr>
      <w:t>RESOLUCIÓN No. C XXX-</w:t>
    </w:r>
    <w:r>
      <w:rPr>
        <w:rFonts w:ascii="Palatino Linotype" w:eastAsiaTheme="minorHAnsi" w:hAnsi="Palatino Linotype"/>
        <w:b/>
        <w:bCs/>
        <w:sz w:val="22"/>
        <w:szCs w:val="22"/>
        <w:lang w:val="es-EC" w:eastAsia="en-US"/>
      </w:rPr>
      <w:t>2020</w:t>
    </w:r>
  </w:p>
  <w:p w14:paraId="669FFA48" w14:textId="77777777" w:rsidR="00603285" w:rsidRDefault="00D656B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3B0"/>
    <w:rsid w:val="000D3143"/>
    <w:rsid w:val="001E73B0"/>
    <w:rsid w:val="003C7722"/>
    <w:rsid w:val="00D656B4"/>
    <w:rsid w:val="00E53BE5"/>
    <w:rsid w:val="00E54E39"/>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37D33"/>
  <w15:chartTrackingRefBased/>
  <w15:docId w15:val="{41A3DB25-6DF9-4480-8C88-0B67A4B78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73B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basedOn w:val="Normal"/>
    <w:link w:val="SinespaciadoCar"/>
    <w:uiPriority w:val="1"/>
    <w:qFormat/>
    <w:rsid w:val="001E73B0"/>
    <w:pPr>
      <w:jc w:val="both"/>
    </w:pPr>
    <w:rPr>
      <w:rFonts w:asciiTheme="minorHAnsi" w:eastAsiaTheme="minorHAnsi" w:hAnsiTheme="minorHAnsi" w:cstheme="minorBidi"/>
      <w:sz w:val="20"/>
      <w:szCs w:val="20"/>
      <w:lang w:val="es-EC" w:eastAsia="en-US"/>
    </w:rPr>
  </w:style>
  <w:style w:type="character" w:customStyle="1" w:styleId="SinespaciadoCar">
    <w:name w:val="Sin espaciado Car"/>
    <w:basedOn w:val="Fuentedeprrafopredeter"/>
    <w:link w:val="Sinespaciado"/>
    <w:uiPriority w:val="1"/>
    <w:rsid w:val="001E73B0"/>
    <w:rPr>
      <w:sz w:val="20"/>
      <w:szCs w:val="20"/>
      <w:lang w:val="es-EC"/>
    </w:rPr>
  </w:style>
  <w:style w:type="paragraph" w:styleId="Piedepgina">
    <w:name w:val="footer"/>
    <w:basedOn w:val="Normal"/>
    <w:link w:val="PiedepginaCar"/>
    <w:uiPriority w:val="99"/>
    <w:unhideWhenUsed/>
    <w:rsid w:val="001E73B0"/>
    <w:pPr>
      <w:tabs>
        <w:tab w:val="center" w:pos="4252"/>
        <w:tab w:val="right" w:pos="8504"/>
      </w:tabs>
    </w:pPr>
  </w:style>
  <w:style w:type="character" w:customStyle="1" w:styleId="PiedepginaCar">
    <w:name w:val="Pie de página Car"/>
    <w:basedOn w:val="Fuentedeprrafopredeter"/>
    <w:link w:val="Piedepgina"/>
    <w:uiPriority w:val="99"/>
    <w:rsid w:val="001E73B0"/>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1E73B0"/>
    <w:pPr>
      <w:tabs>
        <w:tab w:val="center" w:pos="4419"/>
        <w:tab w:val="right" w:pos="8838"/>
      </w:tabs>
    </w:pPr>
  </w:style>
  <w:style w:type="character" w:customStyle="1" w:styleId="EncabezadoCar">
    <w:name w:val="Encabezado Car"/>
    <w:basedOn w:val="Fuentedeprrafopredeter"/>
    <w:link w:val="Encabezado"/>
    <w:uiPriority w:val="99"/>
    <w:rsid w:val="001E73B0"/>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1231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6</Pages>
  <Words>2027</Words>
  <Characters>11149</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Sol Mera</dc:creator>
  <cp:keywords/>
  <dc:description/>
  <cp:lastModifiedBy>María Sol Mera</cp:lastModifiedBy>
  <cp:revision>3</cp:revision>
  <dcterms:created xsi:type="dcterms:W3CDTF">2020-06-29T22:22:00Z</dcterms:created>
  <dcterms:modified xsi:type="dcterms:W3CDTF">2020-06-30T22:10:00Z</dcterms:modified>
</cp:coreProperties>
</file>