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A1" w:rsidRDefault="005D78A1" w:rsidP="002C2625">
      <w:pPr>
        <w:spacing w:after="0" w:line="240" w:lineRule="auto"/>
        <w:jc w:val="center"/>
        <w:rPr>
          <w:rFonts w:ascii="Palatino Linotype" w:hAnsi="Palatino Linotype"/>
          <w:b/>
          <w:sz w:val="23"/>
          <w:szCs w:val="23"/>
        </w:rPr>
      </w:pPr>
      <w:bookmarkStart w:id="0" w:name="_GoBack"/>
      <w:bookmarkEnd w:id="0"/>
    </w:p>
    <w:p w:rsidR="002C2625" w:rsidRPr="007146C5" w:rsidRDefault="002C2625" w:rsidP="007146C5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EL CONCEJO METROPOLITANO DE QUITO</w:t>
      </w:r>
    </w:p>
    <w:p w:rsidR="002C2625" w:rsidRPr="007146C5" w:rsidRDefault="002C2625" w:rsidP="007146C5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</w:p>
    <w:p w:rsidR="002C2625" w:rsidRPr="007146C5" w:rsidRDefault="002C2625" w:rsidP="007146C5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CONSIDERANDO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ind w:left="705" w:hanging="705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>Que,</w:t>
      </w:r>
      <w:r w:rsidRPr="007146C5">
        <w:rPr>
          <w:rFonts w:ascii="Palatino Linotype" w:hAnsi="Palatino Linotype"/>
          <w:sz w:val="22"/>
          <w:szCs w:val="22"/>
        </w:rPr>
        <w:tab/>
        <w:t>la Constitución de la República del Ecuador, en el Artículo 3, numeral 7 establece como deber del Estado proteger el patrimonio natural y cultural del país.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ind w:left="705" w:hanging="705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 xml:space="preserve">Que, </w:t>
      </w:r>
      <w:r w:rsidRPr="007146C5">
        <w:rPr>
          <w:rFonts w:ascii="Palatino Linotype" w:hAnsi="Palatino Linotype"/>
          <w:sz w:val="22"/>
          <w:szCs w:val="22"/>
        </w:rPr>
        <w:tab/>
        <w:t>la Constitución de la República del Ecuador en el Artículo 71 indica que el Estado incentivará a las personas naturales y jurídicas, y a los colectivos, para que protejan la naturaleza, y promoverá el respeto a todos los elementos que forman un ecosistema.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ind w:left="705" w:hanging="705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 xml:space="preserve">Que, </w:t>
      </w:r>
      <w:r w:rsidR="007146C5">
        <w:rPr>
          <w:rFonts w:ascii="Palatino Linotype" w:hAnsi="Palatino Linotype"/>
          <w:sz w:val="22"/>
          <w:szCs w:val="22"/>
        </w:rPr>
        <w:tab/>
      </w:r>
      <w:r w:rsidRPr="007146C5">
        <w:rPr>
          <w:rFonts w:ascii="Palatino Linotype" w:hAnsi="Palatino Linotype"/>
          <w:sz w:val="22"/>
          <w:szCs w:val="22"/>
        </w:rPr>
        <w:t xml:space="preserve">la Constitución de la República del Ecuador en el Artículo 389 dice que el Estado protegerá a las personas, las colectividades y la naturaleza frente a los efectos negativos de los desastres de origen natural o antrópico mediante la prevención ante el riesgo, la mitigación de desastres, la recuperación y mejoramiento de las condiciones sociales, económicas y ambientales, con el objetivo de minimizar la condición de vulnerabilidad. 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ind w:left="705" w:hanging="705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 xml:space="preserve">Que, </w:t>
      </w:r>
      <w:r w:rsidR="007146C5">
        <w:rPr>
          <w:rFonts w:ascii="Palatino Linotype" w:hAnsi="Palatino Linotype"/>
          <w:sz w:val="22"/>
          <w:szCs w:val="22"/>
        </w:rPr>
        <w:tab/>
      </w:r>
      <w:r w:rsidRPr="007146C5">
        <w:rPr>
          <w:rFonts w:ascii="Palatino Linotype" w:hAnsi="Palatino Linotype"/>
          <w:sz w:val="22"/>
          <w:szCs w:val="22"/>
        </w:rPr>
        <w:t>en el Consejo General de la UNESCO reunido en noviembre de 2015, 195 Estados Miembros, entre ellos Ecuador, ratificaron la creación del Programa de “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Geoparques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Mundiales UNESCO”. 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ind w:left="705" w:hanging="705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 xml:space="preserve">Que, </w:t>
      </w:r>
      <w:r w:rsidR="007146C5">
        <w:rPr>
          <w:rFonts w:ascii="Palatino Linotype" w:hAnsi="Palatino Linotype"/>
          <w:sz w:val="22"/>
          <w:szCs w:val="22"/>
        </w:rPr>
        <w:tab/>
      </w:r>
      <w:r w:rsidRPr="007146C5">
        <w:rPr>
          <w:rFonts w:ascii="Palatino Linotype" w:hAnsi="Palatino Linotype"/>
          <w:sz w:val="22"/>
          <w:szCs w:val="22"/>
        </w:rPr>
        <w:t xml:space="preserve">los 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Geoparques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Mundiales UNESCO son áreas geográficas únicas, donde los sitios y paisajes de importancia geológica internacional se gestionan con un concepto holístico de protección, educación y desarrollo sostenible.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ind w:left="705" w:hanging="705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 xml:space="preserve">Que, </w:t>
      </w:r>
      <w:r w:rsidR="007146C5">
        <w:rPr>
          <w:rFonts w:ascii="Palatino Linotype" w:hAnsi="Palatino Linotype"/>
          <w:sz w:val="22"/>
          <w:szCs w:val="22"/>
        </w:rPr>
        <w:tab/>
      </w:r>
      <w:r w:rsidRPr="007146C5">
        <w:rPr>
          <w:rFonts w:ascii="Palatino Linotype" w:hAnsi="Palatino Linotype"/>
          <w:sz w:val="22"/>
          <w:szCs w:val="22"/>
        </w:rPr>
        <w:t xml:space="preserve">los 147 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Geoparques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Mundiales UNESCO que actualmente existen en 41 países, cuentan la historia de 4.600 millones de años del planeta Tierra y de los acontecimientos geológicos que le dieron forma, así como la evolución de la humanidad misma. No solo muestran evidencia de los cambios climáticos en el pasado, sino que también informan a las comunidades locales de los desafíos actuales; promueven prácticas de protección, educación, turismo y ayudan a prepararse para riesgos tales como terremotos y erupciones volcánicas.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ind w:left="705" w:hanging="705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 xml:space="preserve">Que, </w:t>
      </w:r>
      <w:r w:rsidR="007146C5">
        <w:rPr>
          <w:rFonts w:ascii="Palatino Linotype" w:hAnsi="Palatino Linotype"/>
          <w:sz w:val="22"/>
          <w:szCs w:val="22"/>
        </w:rPr>
        <w:tab/>
      </w:r>
      <w:r w:rsidRPr="007146C5">
        <w:rPr>
          <w:rFonts w:ascii="Palatino Linotype" w:hAnsi="Palatino Linotype"/>
          <w:sz w:val="22"/>
          <w:szCs w:val="22"/>
        </w:rPr>
        <w:t xml:space="preserve">junto con los Sitios del Patrimonio Mundial y Reservas de la Biosfera los 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Geoparques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Mundiales de UNESCO constituyen una herramienta para el desarrollo sostenible y contribuyen a la consecución de la agenda 2030 (ODS) a través de la combinación de perspectivas globales y locales.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ind w:left="705" w:hanging="705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lastRenderedPageBreak/>
        <w:t xml:space="preserve">Que, </w:t>
      </w:r>
      <w:r w:rsidR="007146C5">
        <w:rPr>
          <w:rFonts w:ascii="Palatino Linotype" w:hAnsi="Palatino Linotype"/>
          <w:sz w:val="22"/>
          <w:szCs w:val="22"/>
        </w:rPr>
        <w:tab/>
      </w:r>
      <w:r w:rsidRPr="007146C5">
        <w:rPr>
          <w:rFonts w:ascii="Palatino Linotype" w:hAnsi="Palatino Linotype"/>
          <w:sz w:val="22"/>
          <w:szCs w:val="22"/>
        </w:rPr>
        <w:t>el Distrito Metropolitano de Quito cuenta en su territorio con espacios que han merecido sendas declaratorias en dos de las tres categorías UNESCO: el Centro Histórico, como Sitio Patrimonio Cultural Mundial declarado en 1978 y el Chocó-Andino como Reserva de la Biósfera, declarada en 2018.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ind w:left="705" w:hanging="705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 xml:space="preserve">Que, </w:t>
      </w:r>
      <w:r w:rsidR="007146C5">
        <w:rPr>
          <w:rFonts w:ascii="Palatino Linotype" w:hAnsi="Palatino Linotype"/>
          <w:sz w:val="22"/>
          <w:szCs w:val="22"/>
        </w:rPr>
        <w:tab/>
      </w:r>
      <w:r w:rsidRPr="007146C5">
        <w:rPr>
          <w:rFonts w:ascii="Palatino Linotype" w:hAnsi="Palatino Linotype"/>
          <w:sz w:val="22"/>
          <w:szCs w:val="22"/>
        </w:rPr>
        <w:t xml:space="preserve">todo el territorio del Distrito Metropolitano de Quito es una integridad geográfica única, rica en sitios y paisajes de importancia geológica destacable, que se evidencia en sus volcanes y nevados: Atacazo, Pichincha, </w:t>
      </w:r>
      <w:proofErr w:type="spellStart"/>
      <w:r w:rsidRPr="007146C5">
        <w:rPr>
          <w:rFonts w:ascii="Palatino Linotype" w:hAnsi="Palatino Linotype"/>
          <w:sz w:val="22"/>
          <w:szCs w:val="22"/>
        </w:rPr>
        <w:t>Casitagua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, Pululahua, Puntas, </w:t>
      </w:r>
      <w:proofErr w:type="spellStart"/>
      <w:r w:rsidRPr="007146C5">
        <w:rPr>
          <w:rFonts w:ascii="Palatino Linotype" w:hAnsi="Palatino Linotype"/>
          <w:sz w:val="22"/>
          <w:szCs w:val="22"/>
        </w:rPr>
        <w:t>Sincholagua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, </w:t>
      </w:r>
      <w:proofErr w:type="spellStart"/>
      <w:r w:rsidRPr="007146C5">
        <w:rPr>
          <w:rFonts w:ascii="Palatino Linotype" w:hAnsi="Palatino Linotype"/>
          <w:sz w:val="22"/>
          <w:szCs w:val="22"/>
        </w:rPr>
        <w:t>Pasochoa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e Ilaló; en el flujo de lava de </w:t>
      </w:r>
      <w:proofErr w:type="spellStart"/>
      <w:r w:rsidRPr="007146C5">
        <w:rPr>
          <w:rFonts w:ascii="Palatino Linotype" w:hAnsi="Palatino Linotype"/>
          <w:sz w:val="22"/>
          <w:szCs w:val="22"/>
        </w:rPr>
        <w:t>Antisanilla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, en formaciones de lava de perlita y obsidiana, en la falla geológica de Quito, entre otros, todos los cuales califican al Distrito Metropolitano de Quito como un lugar apto para aspirar a reconocimiento de 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de parte de la UNESCO. 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ind w:left="705" w:hanging="705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 xml:space="preserve">Que, </w:t>
      </w:r>
      <w:r w:rsidR="007146C5">
        <w:rPr>
          <w:rFonts w:ascii="Palatino Linotype" w:hAnsi="Palatino Linotype"/>
          <w:sz w:val="22"/>
          <w:szCs w:val="22"/>
        </w:rPr>
        <w:tab/>
      </w:r>
      <w:r w:rsidRPr="007146C5">
        <w:rPr>
          <w:rFonts w:ascii="Palatino Linotype" w:hAnsi="Palatino Linotype"/>
          <w:sz w:val="22"/>
          <w:szCs w:val="22"/>
        </w:rPr>
        <w:t xml:space="preserve">la declaratoria de 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UNESCO hará que el Distrito Metropolitano de Quito se convierta en el segundo lugar en el mundo, después de la isla </w:t>
      </w:r>
      <w:proofErr w:type="spellStart"/>
      <w:r w:rsidRPr="007146C5">
        <w:rPr>
          <w:rFonts w:ascii="Palatino Linotype" w:hAnsi="Palatino Linotype"/>
          <w:sz w:val="22"/>
          <w:szCs w:val="22"/>
        </w:rPr>
        <w:t>Jeju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en Corea del Sur, que ostente simultáneamente las tres categorías de reconocimiento patrimonial mundial o “Triple Corona”: Sitio Patrimonio Cultural Mundial, Reserva de la Biósfera y 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</w:t>
      </w:r>
      <w:proofErr w:type="spellEnd"/>
      <w:r w:rsidRPr="007146C5">
        <w:rPr>
          <w:rFonts w:ascii="Palatino Linotype" w:hAnsi="Palatino Linotype"/>
          <w:sz w:val="22"/>
          <w:szCs w:val="22"/>
        </w:rPr>
        <w:t>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ind w:left="705" w:hanging="705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 xml:space="preserve">Que, </w:t>
      </w:r>
      <w:r w:rsidR="007146C5">
        <w:rPr>
          <w:rFonts w:ascii="Palatino Linotype" w:hAnsi="Palatino Linotype"/>
          <w:sz w:val="22"/>
          <w:szCs w:val="22"/>
        </w:rPr>
        <w:tab/>
      </w:r>
      <w:r w:rsidRPr="007146C5">
        <w:rPr>
          <w:rFonts w:ascii="Palatino Linotype" w:hAnsi="Palatino Linotype"/>
          <w:sz w:val="22"/>
          <w:szCs w:val="22"/>
        </w:rPr>
        <w:t>en mesa de trabajo convocada por el Presidente de la Comisión de Ambiente del Distrito Metropolitano de Quito, el 13 de septiembre de 2019, 49 representantes de entidades municipales, públicas y de la sociedad civil acordaron aunar esfuerzos para impulsar la declaratoria del “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Quito”; facilitar información técnica en los ámbitos geológico, ambiental, económico, turístico, cultural y todos los que aporten a esta declaratoria; comprometer los nexos interinstitucionales que faciliten una mejor promoción de la idea ante instancias nacionales y la UNESCO y convocarse de manera periódica para conocer los avances respecto a esta propuesta.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b/>
          <w:bCs/>
          <w:sz w:val="22"/>
          <w:szCs w:val="22"/>
        </w:rPr>
      </w:pPr>
      <w:r w:rsidRPr="007146C5">
        <w:rPr>
          <w:rFonts w:ascii="Palatino Linotype" w:hAnsi="Palatino Linotype"/>
          <w:b/>
          <w:bCs/>
          <w:sz w:val="22"/>
          <w:szCs w:val="22"/>
        </w:rPr>
        <w:t>En ejercicio de sus atribuciones previstas en el artículo 240 y 266 de la Constitución de la República y artículos 87 letra a) y d); y, 323 del Código Orgánico de Organización Territorial, Autonomía y Descentralización;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RESUELVE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b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Artículo 1.-</w:t>
      </w:r>
      <w:r w:rsidRPr="007146C5">
        <w:rPr>
          <w:rFonts w:ascii="Palatino Linotype" w:hAnsi="Palatino Linotype"/>
          <w:sz w:val="22"/>
          <w:szCs w:val="22"/>
        </w:rPr>
        <w:t xml:space="preserve">  Asumir, desde el Concejo Metropolitano de Quito, el compromiso institucional por el objetivo de alcanzar la declaratoria, de parte de la UNESCO, del “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Quito”.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Artículo 2.-</w:t>
      </w:r>
      <w:r w:rsidRPr="007146C5">
        <w:rPr>
          <w:rFonts w:ascii="Palatino Linotype" w:hAnsi="Palatino Linotype"/>
          <w:sz w:val="22"/>
          <w:szCs w:val="22"/>
        </w:rPr>
        <w:t xml:space="preserve"> Solicitar al Alcalde que delegue a la Dirección de Relaciones Internacionales del Distrito Metropolitano de Quito, para que ejecute las acciones pertinentes, en articulación con otras instancias municipales, la sociedad civil y las entidades del gobierno central, a fin de elaborar el </w:t>
      </w:r>
      <w:r w:rsidRPr="007146C5">
        <w:rPr>
          <w:rFonts w:ascii="Palatino Linotype" w:hAnsi="Palatino Linotype"/>
          <w:i/>
          <w:sz w:val="22"/>
          <w:szCs w:val="22"/>
        </w:rPr>
        <w:t>Dossier</w:t>
      </w:r>
      <w:r w:rsidRPr="007146C5">
        <w:rPr>
          <w:rFonts w:ascii="Palatino Linotype" w:hAnsi="Palatino Linotype"/>
          <w:sz w:val="22"/>
          <w:szCs w:val="22"/>
        </w:rPr>
        <w:t xml:space="preserve"> que el Gobierno Nacional, por iniciativa municipal, presente ante la UNESCO, como sustento a la candidatura para la calificación del “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Quito”.</w:t>
      </w:r>
    </w:p>
    <w:p w:rsidR="007146C5" w:rsidRPr="007146C5" w:rsidRDefault="007146C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Artículo 3.-</w:t>
      </w:r>
      <w:r w:rsidRPr="007146C5">
        <w:rPr>
          <w:rFonts w:ascii="Palatino Linotype" w:hAnsi="Palatino Linotype"/>
          <w:sz w:val="22"/>
          <w:szCs w:val="22"/>
        </w:rPr>
        <w:t xml:space="preserve"> Solicitar al Alcalde, que disponga a la Dirección de Relaciones Internacionales de Distrito Metropolitano de Quito, su incorporación a organizaciones nacionales y latinoamericanas que se encuentran avanzando en este proceso y disponen de información privilegiada para la construcción, seguimiento y evaluación de las iniciativas 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</w:t>
      </w:r>
      <w:proofErr w:type="spellEnd"/>
      <w:r w:rsidRPr="007146C5">
        <w:rPr>
          <w:rFonts w:ascii="Palatino Linotype" w:hAnsi="Palatino Linotype"/>
          <w:sz w:val="22"/>
          <w:szCs w:val="22"/>
        </w:rPr>
        <w:t>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Artículo 4.-</w:t>
      </w:r>
      <w:r w:rsidRPr="007146C5">
        <w:rPr>
          <w:rFonts w:ascii="Palatino Linotype" w:hAnsi="Palatino Linotype"/>
          <w:sz w:val="22"/>
          <w:szCs w:val="22"/>
        </w:rPr>
        <w:t xml:space="preserve"> Comprometer al Alcalde, al Concejo Metropolitano y toda la institucionalidad del Cabildo, la asignación de los recursos necesarios para la gestión del 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Quito.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Artículo 5.-</w:t>
      </w:r>
      <w:r w:rsidRPr="007146C5">
        <w:rPr>
          <w:rFonts w:ascii="Palatino Linotype" w:hAnsi="Palatino Linotype"/>
          <w:sz w:val="22"/>
          <w:szCs w:val="22"/>
        </w:rPr>
        <w:t xml:space="preserve"> Conformar una Comisión Especial, cuyo objetivo será ejecutar todas las acciones necesarias para que se concrete la declaratoria del Distrito Metropolitano de Quito, como “</w:t>
      </w:r>
      <w:proofErr w:type="spellStart"/>
      <w:r w:rsidRPr="007146C5">
        <w:rPr>
          <w:rFonts w:ascii="Palatino Linotype" w:hAnsi="Palatino Linotype"/>
          <w:sz w:val="22"/>
          <w:szCs w:val="22"/>
        </w:rPr>
        <w:t>Geoparque</w:t>
      </w:r>
      <w:proofErr w:type="spellEnd"/>
      <w:r w:rsidRPr="007146C5">
        <w:rPr>
          <w:rFonts w:ascii="Palatino Linotype" w:hAnsi="Palatino Linotype"/>
          <w:sz w:val="22"/>
          <w:szCs w:val="22"/>
        </w:rPr>
        <w:t xml:space="preserve"> Mundial de la UNESCO”, esta comisión especial estará integrada por: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>Dos delegados nombrados por el Concejo Metropolitano</w:t>
      </w:r>
    </w:p>
    <w:p w:rsidR="007146C5" w:rsidRDefault="007146C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>El titular de la Secretaría de Ambiente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>El titular de la Empresa de Turismo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>El titular de la Dirección de Relaciones Internacionales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>La citada comisión deberá cada 90 días, presentar para conocimiento del Concejo Metropolitano, un informe del avance de sus acciones.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b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b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 xml:space="preserve">Alcaldía del Distrito Metropolitano. - </w:t>
      </w:r>
      <w:r w:rsidRPr="007146C5">
        <w:rPr>
          <w:rFonts w:ascii="Palatino Linotype" w:hAnsi="Palatino Linotype"/>
          <w:sz w:val="22"/>
          <w:szCs w:val="22"/>
        </w:rPr>
        <w:t xml:space="preserve">Distrito Metropolitano de Quito, ** de octubre de 2019. 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EJECÚTESE:</w:t>
      </w:r>
    </w:p>
    <w:p w:rsidR="002C2625" w:rsidRPr="007146C5" w:rsidRDefault="002C2625" w:rsidP="007146C5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jc w:val="center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jc w:val="center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>Dr. Jorge Yunda Machado</w:t>
      </w:r>
    </w:p>
    <w:p w:rsidR="002C2625" w:rsidRPr="007146C5" w:rsidRDefault="002C2625" w:rsidP="007146C5">
      <w:pPr>
        <w:pStyle w:val="Sinespaciado"/>
        <w:jc w:val="center"/>
        <w:rPr>
          <w:rFonts w:ascii="Palatino Linotype" w:hAnsi="Palatino Linotype"/>
          <w:b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ALCALDE DEL DISTRITO METROPOLITANO DE QUITO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b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CERTIFICO,</w:t>
      </w:r>
      <w:r w:rsidRPr="007146C5">
        <w:rPr>
          <w:rFonts w:ascii="Palatino Linotype" w:hAnsi="Palatino Linotype"/>
          <w:sz w:val="22"/>
          <w:szCs w:val="22"/>
        </w:rPr>
        <w:t xml:space="preserve"> que la presente resolución fue discutida y aprobada en sesión pública ordinaria del Concejo Metropolitano de Quito, el ** de octubre de 2019; y, suscrita por el Dr. Jorge Yunda Machado, Alcalde del Distrito Metropolitano de Quito, el ** de octubre de 2019.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b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 xml:space="preserve">Lo </w:t>
      </w:r>
      <w:r w:rsidR="007146C5" w:rsidRPr="007146C5">
        <w:rPr>
          <w:rFonts w:ascii="Palatino Linotype" w:hAnsi="Palatino Linotype"/>
          <w:b/>
          <w:sz w:val="22"/>
          <w:szCs w:val="22"/>
        </w:rPr>
        <w:t>certifico. -</w:t>
      </w:r>
      <w:r w:rsidRPr="007146C5">
        <w:rPr>
          <w:rFonts w:ascii="Palatino Linotype" w:hAnsi="Palatino Linotype"/>
          <w:b/>
          <w:sz w:val="22"/>
          <w:szCs w:val="22"/>
        </w:rPr>
        <w:t xml:space="preserve"> </w:t>
      </w:r>
      <w:r w:rsidRPr="007146C5">
        <w:rPr>
          <w:rFonts w:ascii="Palatino Linotype" w:hAnsi="Palatino Linotype"/>
          <w:sz w:val="22"/>
          <w:szCs w:val="22"/>
        </w:rPr>
        <w:t>Distrito Metropolitano de Quito, ** de octubre de 2019.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  <w:r w:rsidRPr="007146C5">
        <w:rPr>
          <w:rFonts w:ascii="Palatino Linotype" w:hAnsi="Palatino Linotype"/>
          <w:sz w:val="22"/>
          <w:szCs w:val="22"/>
        </w:rPr>
        <w:t>Abg. Damaris Ortiz Pasuy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b/>
          <w:sz w:val="22"/>
          <w:szCs w:val="22"/>
        </w:rPr>
      </w:pPr>
      <w:r w:rsidRPr="007146C5">
        <w:rPr>
          <w:rFonts w:ascii="Palatino Linotype" w:hAnsi="Palatino Linotype"/>
          <w:b/>
          <w:sz w:val="22"/>
          <w:szCs w:val="22"/>
        </w:rPr>
        <w:t>SECRETARIA GENERAL DEL CONCEJO METROPOLITANO DE QUITO (E)</w:t>
      </w:r>
    </w:p>
    <w:p w:rsidR="002C2625" w:rsidRPr="007146C5" w:rsidRDefault="002C2625" w:rsidP="007146C5">
      <w:pPr>
        <w:pStyle w:val="Sinespaciado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305"/>
        <w:gridCol w:w="850"/>
        <w:gridCol w:w="992"/>
        <w:gridCol w:w="851"/>
      </w:tblGrid>
      <w:tr w:rsidR="002C2625" w:rsidRPr="007146C5" w:rsidTr="00EE6422">
        <w:trPr>
          <w:trHeight w:val="88"/>
        </w:trPr>
        <w:tc>
          <w:tcPr>
            <w:tcW w:w="1384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b/>
                <w:sz w:val="16"/>
                <w:szCs w:val="16"/>
              </w:rPr>
              <w:t>Acción</w:t>
            </w:r>
          </w:p>
        </w:tc>
        <w:tc>
          <w:tcPr>
            <w:tcW w:w="1305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b/>
                <w:sz w:val="16"/>
                <w:szCs w:val="16"/>
              </w:rPr>
              <w:t xml:space="preserve">Responsable </w:t>
            </w:r>
          </w:p>
        </w:tc>
        <w:tc>
          <w:tcPr>
            <w:tcW w:w="850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b/>
                <w:sz w:val="16"/>
                <w:szCs w:val="16"/>
              </w:rPr>
              <w:t>Unidad</w:t>
            </w:r>
          </w:p>
        </w:tc>
        <w:tc>
          <w:tcPr>
            <w:tcW w:w="992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b/>
                <w:sz w:val="16"/>
                <w:szCs w:val="16"/>
              </w:rPr>
              <w:t>Fecha</w:t>
            </w:r>
          </w:p>
        </w:tc>
        <w:tc>
          <w:tcPr>
            <w:tcW w:w="851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b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b/>
                <w:sz w:val="16"/>
                <w:szCs w:val="16"/>
              </w:rPr>
              <w:t>Sumilla</w:t>
            </w:r>
          </w:p>
        </w:tc>
      </w:tr>
      <w:tr w:rsidR="002C2625" w:rsidRPr="007146C5" w:rsidTr="00EE6422">
        <w:trPr>
          <w:trHeight w:val="88"/>
        </w:trPr>
        <w:tc>
          <w:tcPr>
            <w:tcW w:w="1384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b/>
                <w:bCs/>
                <w:sz w:val="16"/>
                <w:szCs w:val="16"/>
              </w:rPr>
              <w:t>Elaborado por:</w:t>
            </w:r>
          </w:p>
        </w:tc>
        <w:tc>
          <w:tcPr>
            <w:tcW w:w="1305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sz w:val="16"/>
                <w:szCs w:val="16"/>
              </w:rPr>
              <w:t>Samuel Byun</w:t>
            </w:r>
          </w:p>
        </w:tc>
        <w:tc>
          <w:tcPr>
            <w:tcW w:w="850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sz w:val="16"/>
                <w:szCs w:val="16"/>
              </w:rPr>
              <w:t>SGC</w:t>
            </w:r>
          </w:p>
        </w:tc>
        <w:tc>
          <w:tcPr>
            <w:tcW w:w="992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sz w:val="16"/>
                <w:szCs w:val="16"/>
              </w:rPr>
              <w:t>2019-10-**</w:t>
            </w:r>
          </w:p>
        </w:tc>
        <w:tc>
          <w:tcPr>
            <w:tcW w:w="851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2C2625" w:rsidRPr="007146C5" w:rsidTr="00EE6422">
        <w:trPr>
          <w:trHeight w:val="88"/>
        </w:trPr>
        <w:tc>
          <w:tcPr>
            <w:tcW w:w="1384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b/>
                <w:bCs/>
                <w:sz w:val="16"/>
                <w:szCs w:val="16"/>
              </w:rPr>
              <w:t>Revisado por:</w:t>
            </w:r>
          </w:p>
        </w:tc>
        <w:tc>
          <w:tcPr>
            <w:tcW w:w="1305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sz w:val="16"/>
                <w:szCs w:val="16"/>
              </w:rPr>
              <w:t>Damaris Ortiz</w:t>
            </w:r>
          </w:p>
        </w:tc>
        <w:tc>
          <w:tcPr>
            <w:tcW w:w="850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sz w:val="16"/>
                <w:szCs w:val="16"/>
              </w:rPr>
              <w:t>SG (E)</w:t>
            </w:r>
          </w:p>
        </w:tc>
        <w:tc>
          <w:tcPr>
            <w:tcW w:w="992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  <w:r w:rsidRPr="007146C5">
              <w:rPr>
                <w:rFonts w:ascii="Palatino Linotype" w:hAnsi="Palatino Linotype"/>
                <w:sz w:val="16"/>
                <w:szCs w:val="16"/>
              </w:rPr>
              <w:t>2019-10-**</w:t>
            </w:r>
          </w:p>
        </w:tc>
        <w:tc>
          <w:tcPr>
            <w:tcW w:w="851" w:type="dxa"/>
          </w:tcPr>
          <w:p w:rsidR="002C2625" w:rsidRPr="007146C5" w:rsidRDefault="002C2625" w:rsidP="007146C5">
            <w:pPr>
              <w:pStyle w:val="Sinespaciado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:rsidR="00D17623" w:rsidRDefault="00D17623"/>
    <w:sectPr w:rsidR="00D1762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FB" w:rsidRDefault="00C341FB" w:rsidP="002C2625">
      <w:pPr>
        <w:spacing w:after="0" w:line="240" w:lineRule="auto"/>
      </w:pPr>
      <w:r>
        <w:separator/>
      </w:r>
    </w:p>
  </w:endnote>
  <w:endnote w:type="continuationSeparator" w:id="0">
    <w:p w:rsidR="00C341FB" w:rsidRDefault="00C341FB" w:rsidP="002C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FB" w:rsidRDefault="00C341FB" w:rsidP="002C2625">
      <w:pPr>
        <w:spacing w:after="0" w:line="240" w:lineRule="auto"/>
      </w:pPr>
      <w:r>
        <w:separator/>
      </w:r>
    </w:p>
  </w:footnote>
  <w:footnote w:type="continuationSeparator" w:id="0">
    <w:p w:rsidR="00C341FB" w:rsidRDefault="00C341FB" w:rsidP="002C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25" w:rsidRDefault="002C2625" w:rsidP="002C2625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Times New Roman"/>
      </w:rPr>
    </w:pPr>
  </w:p>
  <w:p w:rsidR="002C2625" w:rsidRDefault="002C2625" w:rsidP="002C2625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Times New Roman"/>
      </w:rPr>
    </w:pPr>
  </w:p>
  <w:p w:rsidR="002C2625" w:rsidRDefault="002C2625" w:rsidP="002C2625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Times New Roman"/>
      </w:rPr>
    </w:pPr>
  </w:p>
  <w:p w:rsidR="002C2625" w:rsidRDefault="002C2625" w:rsidP="002C2625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Times New Roman"/>
      </w:rPr>
    </w:pPr>
  </w:p>
  <w:p w:rsidR="002C2625" w:rsidRDefault="002C2625" w:rsidP="002C2625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Times New Roman"/>
      </w:rPr>
    </w:pPr>
  </w:p>
  <w:p w:rsidR="002C2625" w:rsidRPr="002C2625" w:rsidRDefault="002C2625" w:rsidP="002C2625">
    <w:pPr>
      <w:autoSpaceDE w:val="0"/>
      <w:autoSpaceDN w:val="0"/>
      <w:adjustRightInd w:val="0"/>
      <w:spacing w:after="0" w:line="240" w:lineRule="auto"/>
      <w:jc w:val="center"/>
      <w:rPr>
        <w:rFonts w:ascii="Palatino Linotype" w:hAnsi="Palatino Linotype" w:cs="Times New Roman"/>
        <w:b/>
      </w:rPr>
    </w:pPr>
    <w:r w:rsidRPr="002C2625">
      <w:rPr>
        <w:rFonts w:ascii="Palatino Linotype" w:hAnsi="Palatino Linotype" w:cs="Times New Roman"/>
        <w:b/>
      </w:rPr>
      <w:t>RESOLUCIÓN No. C xx – 2019</w:t>
    </w:r>
  </w:p>
  <w:p w:rsidR="002C2625" w:rsidRDefault="002C26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672B"/>
    <w:multiLevelType w:val="hybridMultilevel"/>
    <w:tmpl w:val="6ECC13C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F411C"/>
    <w:multiLevelType w:val="hybridMultilevel"/>
    <w:tmpl w:val="119258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25"/>
    <w:rsid w:val="000211FD"/>
    <w:rsid w:val="000F607E"/>
    <w:rsid w:val="002C2625"/>
    <w:rsid w:val="00575393"/>
    <w:rsid w:val="005D78A1"/>
    <w:rsid w:val="0063256A"/>
    <w:rsid w:val="007146C5"/>
    <w:rsid w:val="00B62124"/>
    <w:rsid w:val="00C341FB"/>
    <w:rsid w:val="00D1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2C2625"/>
    <w:pPr>
      <w:spacing w:after="0" w:line="240" w:lineRule="auto"/>
      <w:jc w:val="both"/>
    </w:pPr>
    <w:rPr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625"/>
    <w:rPr>
      <w:sz w:val="20"/>
      <w:szCs w:val="20"/>
    </w:rPr>
  </w:style>
  <w:style w:type="paragraph" w:customStyle="1" w:styleId="Default">
    <w:name w:val="Default"/>
    <w:rsid w:val="002C2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C26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625"/>
  </w:style>
  <w:style w:type="paragraph" w:styleId="Piedepgina">
    <w:name w:val="footer"/>
    <w:basedOn w:val="Normal"/>
    <w:link w:val="PiedepginaCar"/>
    <w:uiPriority w:val="99"/>
    <w:unhideWhenUsed/>
    <w:rsid w:val="002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625"/>
  </w:style>
  <w:style w:type="paragraph" w:styleId="Textodeglobo">
    <w:name w:val="Balloon Text"/>
    <w:basedOn w:val="Normal"/>
    <w:link w:val="TextodegloboCar"/>
    <w:uiPriority w:val="99"/>
    <w:semiHidden/>
    <w:unhideWhenUsed/>
    <w:rsid w:val="00B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1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2C2625"/>
    <w:pPr>
      <w:spacing w:after="0" w:line="240" w:lineRule="auto"/>
      <w:jc w:val="both"/>
    </w:pPr>
    <w:rPr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2625"/>
    <w:rPr>
      <w:sz w:val="20"/>
      <w:szCs w:val="20"/>
    </w:rPr>
  </w:style>
  <w:style w:type="paragraph" w:customStyle="1" w:styleId="Default">
    <w:name w:val="Default"/>
    <w:rsid w:val="002C2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C26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625"/>
  </w:style>
  <w:style w:type="paragraph" w:styleId="Piedepgina">
    <w:name w:val="footer"/>
    <w:basedOn w:val="Normal"/>
    <w:link w:val="PiedepginaCar"/>
    <w:uiPriority w:val="99"/>
    <w:unhideWhenUsed/>
    <w:rsid w:val="002C2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625"/>
  </w:style>
  <w:style w:type="paragraph" w:styleId="Textodeglobo">
    <w:name w:val="Balloon Text"/>
    <w:basedOn w:val="Normal"/>
    <w:link w:val="TextodegloboCar"/>
    <w:uiPriority w:val="99"/>
    <w:semiHidden/>
    <w:unhideWhenUsed/>
    <w:rsid w:val="00B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 Priscila Ortiz Pasuy</dc:creator>
  <cp:lastModifiedBy>Marisela Caleño Quinte</cp:lastModifiedBy>
  <cp:revision>2</cp:revision>
  <cp:lastPrinted>2019-10-25T19:25:00Z</cp:lastPrinted>
  <dcterms:created xsi:type="dcterms:W3CDTF">2019-10-25T21:22:00Z</dcterms:created>
  <dcterms:modified xsi:type="dcterms:W3CDTF">2019-10-25T21:22:00Z</dcterms:modified>
</cp:coreProperties>
</file>