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595FC" w14:textId="77777777" w:rsidR="00361728" w:rsidRPr="001A5DCF" w:rsidRDefault="00361728" w:rsidP="007C06DC">
      <w:pPr>
        <w:pStyle w:val="a"/>
        <w:tabs>
          <w:tab w:val="left" w:pos="7513"/>
        </w:tabs>
        <w:spacing w:after="240" w:line="276" w:lineRule="auto"/>
        <w:rPr>
          <w:rFonts w:ascii="Times New Roman" w:hAnsi="Times New Roman" w:cs="Times New Roman"/>
          <w:sz w:val="22"/>
          <w:szCs w:val="22"/>
        </w:rPr>
      </w:pPr>
      <w:r w:rsidRPr="001A5DCF">
        <w:rPr>
          <w:rFonts w:ascii="Times New Roman" w:hAnsi="Times New Roman" w:cs="Times New Roman"/>
          <w:sz w:val="22"/>
          <w:szCs w:val="22"/>
        </w:rPr>
        <w:t>EXPOSICIÓN DE MOTIVOS</w:t>
      </w:r>
    </w:p>
    <w:p w14:paraId="2FF78CEF" w14:textId="77777777" w:rsidR="00A15C64" w:rsidRPr="001A5DCF" w:rsidRDefault="00361728" w:rsidP="00A07E75">
      <w:pPr>
        <w:pStyle w:val="a"/>
        <w:spacing w:after="240" w:line="276" w:lineRule="auto"/>
        <w:jc w:val="both"/>
        <w:rPr>
          <w:rFonts w:ascii="Times New Roman" w:hAnsi="Times New Roman" w:cs="Times New Roman"/>
          <w:b w:val="0"/>
          <w:sz w:val="22"/>
          <w:szCs w:val="22"/>
        </w:rPr>
      </w:pPr>
      <w:r w:rsidRPr="001A5DCF">
        <w:rPr>
          <w:rFonts w:ascii="Times New Roman" w:hAnsi="Times New Roman" w:cs="Times New Roman"/>
          <w:b w:val="0"/>
          <w:sz w:val="22"/>
          <w:szCs w:val="22"/>
        </w:rPr>
        <w:t>La Constitución de la República del Ecuador, en su artículo 30, garantiza a las personas el “</w:t>
      </w:r>
      <w:r w:rsidRPr="001A5DCF">
        <w:rPr>
          <w:rFonts w:ascii="Times New Roman" w:hAnsi="Times New Roman" w:cs="Times New Roman"/>
          <w:b w:val="0"/>
          <w:i/>
          <w:sz w:val="22"/>
          <w:szCs w:val="22"/>
        </w:rPr>
        <w:t>derecho a un hábitat seguro y saludable, y a una vivienda adecuada y digna, con independencia de su situación social y económica</w:t>
      </w:r>
      <w:r w:rsidR="00A15C64" w:rsidRPr="001A5DCF">
        <w:rPr>
          <w:rFonts w:ascii="Times New Roman" w:hAnsi="Times New Roman" w:cs="Times New Roman"/>
          <w:b w:val="0"/>
          <w:sz w:val="22"/>
          <w:szCs w:val="22"/>
        </w:rPr>
        <w:t>”.</w:t>
      </w:r>
    </w:p>
    <w:p w14:paraId="46E682FE" w14:textId="27B2EA8D" w:rsidR="00361728" w:rsidRPr="00E425C2" w:rsidRDefault="00361728" w:rsidP="00A07E75">
      <w:pPr>
        <w:pStyle w:val="a"/>
        <w:spacing w:after="240" w:line="276" w:lineRule="auto"/>
        <w:jc w:val="both"/>
        <w:rPr>
          <w:rFonts w:ascii="Times New Roman" w:hAnsi="Times New Roman" w:cs="Times New Roman"/>
          <w:b w:val="0"/>
          <w:sz w:val="22"/>
          <w:szCs w:val="22"/>
        </w:rPr>
      </w:pPr>
      <w:r w:rsidRPr="00E425C2">
        <w:rPr>
          <w:rFonts w:ascii="Times New Roman" w:hAnsi="Times New Roman" w:cs="Times New Roman"/>
          <w:b w:val="0"/>
          <w:sz w:val="22"/>
          <w:szCs w:val="22"/>
        </w:rPr>
        <w:t xml:space="preserve">La Administración Municipal, a través de la Unidad Especial </w:t>
      </w:r>
      <w:r w:rsidR="00041BCB" w:rsidRPr="00E425C2">
        <w:rPr>
          <w:rFonts w:ascii="Times New Roman" w:hAnsi="Times New Roman" w:cs="Times New Roman"/>
          <w:b w:val="0"/>
          <w:sz w:val="22"/>
          <w:szCs w:val="22"/>
        </w:rPr>
        <w:t>“</w:t>
      </w:r>
      <w:r w:rsidRPr="00E425C2">
        <w:rPr>
          <w:rFonts w:ascii="Times New Roman" w:hAnsi="Times New Roman" w:cs="Times New Roman"/>
          <w:b w:val="0"/>
          <w:sz w:val="22"/>
          <w:szCs w:val="22"/>
        </w:rPr>
        <w:t xml:space="preserve">Regula </w:t>
      </w:r>
      <w:r w:rsidR="00041BCB" w:rsidRPr="00E425C2">
        <w:rPr>
          <w:rFonts w:ascii="Times New Roman" w:hAnsi="Times New Roman" w:cs="Times New Roman"/>
          <w:b w:val="0"/>
          <w:sz w:val="22"/>
          <w:szCs w:val="22"/>
        </w:rPr>
        <w:t>t</w:t>
      </w:r>
      <w:r w:rsidRPr="00E425C2">
        <w:rPr>
          <w:rFonts w:ascii="Times New Roman" w:hAnsi="Times New Roman" w:cs="Times New Roman"/>
          <w:b w:val="0"/>
          <w:sz w:val="22"/>
          <w:szCs w:val="22"/>
        </w:rPr>
        <w:t>u Barrio</w:t>
      </w:r>
      <w:r w:rsidR="00041BCB" w:rsidRPr="00E425C2">
        <w:rPr>
          <w:rFonts w:ascii="Times New Roman" w:hAnsi="Times New Roman" w:cs="Times New Roman"/>
          <w:b w:val="0"/>
          <w:sz w:val="22"/>
          <w:szCs w:val="22"/>
        </w:rPr>
        <w:t>”</w:t>
      </w:r>
      <w:r w:rsidRPr="00E425C2">
        <w:rPr>
          <w:rFonts w:ascii="Times New Roman" w:hAnsi="Times New Roman" w:cs="Times New Roman"/>
          <w:b w:val="0"/>
          <w:sz w:val="22"/>
          <w:szCs w:val="22"/>
        </w:rPr>
        <w:t xml:space="preserve">, </w:t>
      </w:r>
      <w:r w:rsidR="00D04ABD" w:rsidRPr="00E425C2">
        <w:rPr>
          <w:rFonts w:ascii="Times New Roman" w:hAnsi="Times New Roman" w:cs="Times New Roman"/>
          <w:b w:val="0"/>
          <w:sz w:val="22"/>
          <w:szCs w:val="22"/>
        </w:rPr>
        <w:t>gestiona</w:t>
      </w:r>
      <w:r w:rsidRPr="00E425C2">
        <w:rPr>
          <w:rFonts w:ascii="Times New Roman" w:hAnsi="Times New Roman" w:cs="Times New Roman"/>
          <w:b w:val="0"/>
          <w:sz w:val="22"/>
          <w:szCs w:val="22"/>
        </w:rPr>
        <w:t xml:space="preserve"> procesos tendientes a regularizar aquellos </w:t>
      </w:r>
      <w:r w:rsidR="00A57A06">
        <w:rPr>
          <w:rFonts w:ascii="Times New Roman" w:hAnsi="Times New Roman" w:cs="Times New Roman"/>
          <w:b w:val="0"/>
          <w:sz w:val="22"/>
          <w:szCs w:val="22"/>
        </w:rPr>
        <w:t xml:space="preserve">asentamiento </w:t>
      </w:r>
      <w:r w:rsidRPr="00E425C2">
        <w:rPr>
          <w:rFonts w:ascii="Times New Roman" w:hAnsi="Times New Roman" w:cs="Times New Roman"/>
          <w:b w:val="0"/>
          <w:sz w:val="22"/>
          <w:szCs w:val="22"/>
        </w:rPr>
        <w:t xml:space="preserve">s humanos de hecho y consolidados que se encuentran en el Distrito Metropolitano de Quito, siguiendo para el efecto un proceso socio organizativo, legal y técnico, que permita determinar </w:t>
      </w:r>
      <w:r w:rsidR="00D04ABD" w:rsidRPr="00E425C2">
        <w:rPr>
          <w:rFonts w:ascii="Times New Roman" w:hAnsi="Times New Roman" w:cs="Times New Roman"/>
          <w:b w:val="0"/>
          <w:sz w:val="22"/>
          <w:szCs w:val="22"/>
        </w:rPr>
        <w:t>el fraccionamiento</w:t>
      </w:r>
      <w:r w:rsidR="001479B2" w:rsidRPr="00E425C2">
        <w:rPr>
          <w:rFonts w:ascii="Times New Roman" w:hAnsi="Times New Roman" w:cs="Times New Roman"/>
          <w:b w:val="0"/>
          <w:sz w:val="22"/>
          <w:szCs w:val="22"/>
        </w:rPr>
        <w:t xml:space="preserve"> </w:t>
      </w:r>
      <w:r w:rsidRPr="00E425C2">
        <w:rPr>
          <w:rFonts w:ascii="Times New Roman" w:hAnsi="Times New Roman" w:cs="Times New Roman"/>
          <w:b w:val="0"/>
          <w:sz w:val="22"/>
          <w:szCs w:val="22"/>
        </w:rPr>
        <w:t xml:space="preserve">de los lotes, en cada </w:t>
      </w:r>
      <w:r w:rsidR="00A57A06">
        <w:rPr>
          <w:rFonts w:ascii="Times New Roman" w:hAnsi="Times New Roman" w:cs="Times New Roman"/>
          <w:b w:val="0"/>
          <w:sz w:val="22"/>
          <w:szCs w:val="22"/>
        </w:rPr>
        <w:t>asentamiento</w:t>
      </w:r>
      <w:r w:rsidRPr="00E425C2">
        <w:rPr>
          <w:rFonts w:ascii="Times New Roman" w:hAnsi="Times New Roman" w:cs="Times New Roman"/>
          <w:b w:val="0"/>
          <w:sz w:val="22"/>
          <w:szCs w:val="22"/>
        </w:rPr>
        <w:t xml:space="preserve">; y, por tanto, los beneficiarios del proceso de regularización. </w:t>
      </w:r>
    </w:p>
    <w:p w14:paraId="143C1FC5" w14:textId="667CB428" w:rsidR="00361728" w:rsidRPr="00E425C2" w:rsidRDefault="00361728" w:rsidP="00A07E75">
      <w:pPr>
        <w:pStyle w:val="a"/>
        <w:spacing w:after="240" w:line="276" w:lineRule="auto"/>
        <w:jc w:val="both"/>
        <w:rPr>
          <w:rFonts w:ascii="Times New Roman" w:hAnsi="Times New Roman" w:cs="Times New Roman"/>
          <w:b w:val="0"/>
          <w:sz w:val="22"/>
          <w:szCs w:val="22"/>
        </w:rPr>
      </w:pPr>
      <w:r w:rsidRPr="00E425C2">
        <w:rPr>
          <w:rFonts w:ascii="Times New Roman" w:hAnsi="Times New Roman" w:cs="Times New Roman"/>
          <w:b w:val="0"/>
          <w:sz w:val="22"/>
          <w:szCs w:val="22"/>
        </w:rPr>
        <w:t xml:space="preserve">El </w:t>
      </w:r>
      <w:r w:rsidR="00A57A06">
        <w:rPr>
          <w:rFonts w:ascii="Times New Roman" w:hAnsi="Times New Roman" w:cs="Times New Roman"/>
          <w:b w:val="0"/>
          <w:sz w:val="22"/>
          <w:szCs w:val="22"/>
        </w:rPr>
        <w:t>asentamiento</w:t>
      </w:r>
      <w:r w:rsidR="009767B8">
        <w:rPr>
          <w:rFonts w:ascii="Times New Roman" w:hAnsi="Times New Roman" w:cs="Times New Roman"/>
          <w:b w:val="0"/>
          <w:sz w:val="22"/>
          <w:szCs w:val="22"/>
        </w:rPr>
        <w:t xml:space="preserve"> humano de hecho y consolidado de interés social</w:t>
      </w:r>
      <w:r w:rsidRPr="00E425C2">
        <w:rPr>
          <w:rFonts w:ascii="Times New Roman" w:hAnsi="Times New Roman" w:cs="Times New Roman"/>
          <w:b w:val="0"/>
          <w:sz w:val="22"/>
          <w:szCs w:val="22"/>
        </w:rPr>
        <w:t xml:space="preserve"> </w:t>
      </w:r>
      <w:r w:rsidR="00AE6BF9" w:rsidRPr="00E425C2">
        <w:rPr>
          <w:rFonts w:ascii="Times New Roman" w:hAnsi="Times New Roman" w:cs="Times New Roman"/>
          <w:b w:val="0"/>
          <w:sz w:val="22"/>
          <w:szCs w:val="22"/>
        </w:rPr>
        <w:t xml:space="preserve">denominado </w:t>
      </w:r>
      <w:r w:rsidR="009767B8">
        <w:rPr>
          <w:rFonts w:ascii="Times New Roman" w:hAnsi="Times New Roman" w:cs="Times New Roman"/>
          <w:b w:val="0"/>
          <w:sz w:val="22"/>
          <w:szCs w:val="22"/>
        </w:rPr>
        <w:t>Comité Pro</w:t>
      </w:r>
      <w:r w:rsidR="00F54BE7">
        <w:rPr>
          <w:rFonts w:ascii="Times New Roman" w:hAnsi="Times New Roman" w:cs="Times New Roman"/>
          <w:b w:val="0"/>
          <w:sz w:val="22"/>
          <w:szCs w:val="22"/>
        </w:rPr>
        <w:t xml:space="preserve"> </w:t>
      </w:r>
      <w:r w:rsidR="009767B8">
        <w:rPr>
          <w:rFonts w:ascii="Times New Roman" w:hAnsi="Times New Roman" w:cs="Times New Roman"/>
          <w:b w:val="0"/>
          <w:sz w:val="22"/>
          <w:szCs w:val="22"/>
        </w:rPr>
        <w:t>mejoras del Barrio “</w:t>
      </w:r>
      <w:r w:rsidR="00403EE1" w:rsidRPr="007B6303">
        <w:rPr>
          <w:rFonts w:ascii="Times New Roman" w:hAnsi="Times New Roman" w:cs="Times New Roman"/>
          <w:b w:val="0"/>
          <w:sz w:val="22"/>
          <w:szCs w:val="22"/>
        </w:rPr>
        <w:t>San</w:t>
      </w:r>
      <w:r w:rsidR="009767B8">
        <w:rPr>
          <w:rFonts w:ascii="Times New Roman" w:hAnsi="Times New Roman" w:cs="Times New Roman"/>
          <w:b w:val="0"/>
          <w:sz w:val="22"/>
          <w:szCs w:val="22"/>
        </w:rPr>
        <w:t xml:space="preserve"> José”</w:t>
      </w:r>
      <w:r w:rsidR="00403EE1" w:rsidRPr="007B6303">
        <w:rPr>
          <w:rFonts w:ascii="Times New Roman" w:hAnsi="Times New Roman" w:cs="Times New Roman"/>
          <w:b w:val="0"/>
          <w:sz w:val="22"/>
          <w:szCs w:val="22"/>
        </w:rPr>
        <w:t>,</w:t>
      </w:r>
      <w:r w:rsidR="00403EE1" w:rsidRPr="00E425C2" w:rsidDel="00403EE1">
        <w:rPr>
          <w:rFonts w:ascii="Times New Roman" w:hAnsi="Times New Roman" w:cs="Times New Roman"/>
          <w:b w:val="0"/>
          <w:sz w:val="22"/>
          <w:szCs w:val="22"/>
        </w:rPr>
        <w:t xml:space="preserve"> </w:t>
      </w:r>
      <w:r w:rsidR="00A15C64" w:rsidRPr="00E425C2">
        <w:rPr>
          <w:rFonts w:ascii="Times New Roman" w:hAnsi="Times New Roman" w:cs="Times New Roman"/>
          <w:b w:val="0"/>
          <w:sz w:val="22"/>
          <w:szCs w:val="22"/>
        </w:rPr>
        <w:t xml:space="preserve">ubicado en la </w:t>
      </w:r>
      <w:r w:rsidR="009767B8">
        <w:rPr>
          <w:rFonts w:ascii="Times New Roman" w:hAnsi="Times New Roman" w:cs="Times New Roman"/>
          <w:b w:val="0"/>
          <w:sz w:val="22"/>
          <w:szCs w:val="22"/>
        </w:rPr>
        <w:t xml:space="preserve">parroquia </w:t>
      </w:r>
      <w:proofErr w:type="spellStart"/>
      <w:r w:rsidR="009767B8">
        <w:rPr>
          <w:rFonts w:ascii="Times New Roman" w:hAnsi="Times New Roman" w:cs="Times New Roman"/>
          <w:b w:val="0"/>
          <w:sz w:val="22"/>
          <w:szCs w:val="22"/>
        </w:rPr>
        <w:t>Pomasqui</w:t>
      </w:r>
      <w:proofErr w:type="spellEnd"/>
      <w:r w:rsidR="00A15C64" w:rsidRPr="00E425C2">
        <w:rPr>
          <w:rFonts w:ascii="Times New Roman" w:hAnsi="Times New Roman" w:cs="Times New Roman"/>
          <w:b w:val="0"/>
          <w:sz w:val="22"/>
          <w:szCs w:val="22"/>
        </w:rPr>
        <w:t xml:space="preserve">, </w:t>
      </w:r>
      <w:r w:rsidR="008B6CEF" w:rsidRPr="00E425C2">
        <w:rPr>
          <w:rFonts w:ascii="Times New Roman" w:hAnsi="Times New Roman" w:cs="Times New Roman"/>
          <w:b w:val="0"/>
          <w:sz w:val="22"/>
          <w:szCs w:val="22"/>
        </w:rPr>
        <w:t>tiene</w:t>
      </w:r>
      <w:r w:rsidR="00D04ABD" w:rsidRPr="00E425C2">
        <w:rPr>
          <w:rFonts w:ascii="Times New Roman" w:hAnsi="Times New Roman" w:cs="Times New Roman"/>
          <w:b w:val="0"/>
          <w:sz w:val="22"/>
          <w:szCs w:val="22"/>
        </w:rPr>
        <w:t xml:space="preserve"> una consolidación </w:t>
      </w:r>
      <w:r w:rsidR="00D04ABD" w:rsidRPr="00C07747">
        <w:rPr>
          <w:rFonts w:ascii="Times New Roman" w:hAnsi="Times New Roman" w:cs="Times New Roman"/>
          <w:b w:val="0"/>
          <w:color w:val="000000" w:themeColor="text1"/>
          <w:sz w:val="22"/>
          <w:szCs w:val="22"/>
        </w:rPr>
        <w:t xml:space="preserve">del </w:t>
      </w:r>
      <w:r w:rsidR="00C07747" w:rsidRPr="00C07747">
        <w:rPr>
          <w:rFonts w:ascii="Times New Roman" w:hAnsi="Times New Roman" w:cs="Times New Roman"/>
          <w:b w:val="0"/>
          <w:color w:val="000000" w:themeColor="text1"/>
          <w:sz w:val="22"/>
          <w:szCs w:val="22"/>
        </w:rPr>
        <w:t>81,25</w:t>
      </w:r>
      <w:r w:rsidR="005E62C7" w:rsidRPr="007B6303">
        <w:rPr>
          <w:rFonts w:ascii="Times New Roman" w:hAnsi="Times New Roman" w:cs="Times New Roman"/>
          <w:b w:val="0"/>
          <w:sz w:val="22"/>
          <w:szCs w:val="22"/>
        </w:rPr>
        <w:t>%;</w:t>
      </w:r>
      <w:r w:rsidR="0045417E" w:rsidRPr="00E425C2">
        <w:rPr>
          <w:rFonts w:ascii="Times New Roman" w:hAnsi="Times New Roman" w:cs="Times New Roman"/>
          <w:b w:val="0"/>
          <w:sz w:val="22"/>
          <w:szCs w:val="22"/>
        </w:rPr>
        <w:t xml:space="preserve"> </w:t>
      </w:r>
      <w:r w:rsidR="006954C8" w:rsidRPr="00E425C2">
        <w:rPr>
          <w:rFonts w:ascii="Times New Roman" w:hAnsi="Times New Roman" w:cs="Times New Roman"/>
          <w:b w:val="0"/>
          <w:sz w:val="22"/>
          <w:szCs w:val="22"/>
        </w:rPr>
        <w:t xml:space="preserve">al inicio del proceso de regularización </w:t>
      </w:r>
      <w:r w:rsidR="006954C8" w:rsidRPr="009767B8">
        <w:rPr>
          <w:rFonts w:ascii="Times New Roman" w:hAnsi="Times New Roman" w:cs="Times New Roman"/>
          <w:b w:val="0"/>
          <w:color w:val="000000" w:themeColor="text1"/>
          <w:sz w:val="22"/>
          <w:szCs w:val="22"/>
        </w:rPr>
        <w:t xml:space="preserve">contaba con </w:t>
      </w:r>
      <w:r w:rsidR="009767B8" w:rsidRPr="009767B8">
        <w:rPr>
          <w:rFonts w:ascii="Times New Roman" w:hAnsi="Times New Roman" w:cs="Times New Roman"/>
          <w:b w:val="0"/>
          <w:color w:val="000000" w:themeColor="text1"/>
          <w:sz w:val="22"/>
          <w:szCs w:val="22"/>
        </w:rPr>
        <w:t>13</w:t>
      </w:r>
      <w:r w:rsidR="00403EE1" w:rsidRPr="009767B8">
        <w:rPr>
          <w:rFonts w:ascii="Times New Roman" w:hAnsi="Times New Roman" w:cs="Times New Roman"/>
          <w:b w:val="0"/>
          <w:color w:val="000000" w:themeColor="text1"/>
          <w:sz w:val="22"/>
          <w:szCs w:val="22"/>
        </w:rPr>
        <w:t xml:space="preserve"> </w:t>
      </w:r>
      <w:r w:rsidR="006954C8" w:rsidRPr="009767B8">
        <w:rPr>
          <w:rFonts w:ascii="Times New Roman" w:hAnsi="Times New Roman" w:cs="Times New Roman"/>
          <w:b w:val="0"/>
          <w:color w:val="000000" w:themeColor="text1"/>
          <w:sz w:val="22"/>
          <w:szCs w:val="22"/>
        </w:rPr>
        <w:t xml:space="preserve">años de </w:t>
      </w:r>
      <w:r w:rsidR="006954C8" w:rsidRPr="00E425C2">
        <w:rPr>
          <w:rFonts w:ascii="Times New Roman" w:hAnsi="Times New Roman" w:cs="Times New Roman"/>
          <w:b w:val="0"/>
          <w:sz w:val="22"/>
          <w:szCs w:val="22"/>
        </w:rPr>
        <w:t>existencia</w:t>
      </w:r>
      <w:r w:rsidR="00A15C64" w:rsidRPr="00E425C2">
        <w:rPr>
          <w:rFonts w:ascii="Times New Roman" w:hAnsi="Times New Roman" w:cs="Times New Roman"/>
          <w:b w:val="0"/>
          <w:sz w:val="22"/>
          <w:szCs w:val="22"/>
        </w:rPr>
        <w:t>;</w:t>
      </w:r>
      <w:r w:rsidR="006954C8" w:rsidRPr="00E425C2">
        <w:rPr>
          <w:rFonts w:ascii="Times New Roman" w:hAnsi="Times New Roman" w:cs="Times New Roman"/>
          <w:b w:val="0"/>
          <w:sz w:val="22"/>
          <w:szCs w:val="22"/>
        </w:rPr>
        <w:t xml:space="preserve"> sin embargo al momento de la sanción de la presente ordenanza el </w:t>
      </w:r>
      <w:r w:rsidR="00A57A06">
        <w:rPr>
          <w:rFonts w:ascii="Times New Roman" w:hAnsi="Times New Roman" w:cs="Times New Roman"/>
          <w:b w:val="0"/>
          <w:sz w:val="22"/>
          <w:szCs w:val="22"/>
        </w:rPr>
        <w:t xml:space="preserve">asentamiento </w:t>
      </w:r>
      <w:r w:rsidR="006954C8" w:rsidRPr="00E425C2">
        <w:rPr>
          <w:rFonts w:ascii="Times New Roman" w:hAnsi="Times New Roman" w:cs="Times New Roman"/>
          <w:b w:val="0"/>
          <w:sz w:val="22"/>
          <w:szCs w:val="22"/>
        </w:rPr>
        <w:t xml:space="preserve">cuenta </w:t>
      </w:r>
      <w:r w:rsidR="006954C8" w:rsidRPr="009767B8">
        <w:rPr>
          <w:rFonts w:ascii="Times New Roman" w:hAnsi="Times New Roman" w:cs="Times New Roman"/>
          <w:b w:val="0"/>
          <w:sz w:val="22"/>
          <w:szCs w:val="22"/>
        </w:rPr>
        <w:t xml:space="preserve">con </w:t>
      </w:r>
      <w:r w:rsidR="009767B8" w:rsidRPr="009767B8">
        <w:rPr>
          <w:rFonts w:ascii="Times New Roman" w:hAnsi="Times New Roman" w:cs="Times New Roman"/>
          <w:b w:val="0"/>
          <w:color w:val="000000" w:themeColor="text1"/>
          <w:sz w:val="22"/>
          <w:szCs w:val="22"/>
        </w:rPr>
        <w:t>18</w:t>
      </w:r>
      <w:r w:rsidR="00466586" w:rsidRPr="009767B8">
        <w:rPr>
          <w:rFonts w:ascii="Times New Roman" w:hAnsi="Times New Roman" w:cs="Times New Roman"/>
          <w:b w:val="0"/>
          <w:color w:val="FF0000"/>
          <w:sz w:val="22"/>
          <w:szCs w:val="22"/>
        </w:rPr>
        <w:t xml:space="preserve"> </w:t>
      </w:r>
      <w:r w:rsidR="006954C8" w:rsidRPr="00E425C2">
        <w:rPr>
          <w:rFonts w:ascii="Times New Roman" w:hAnsi="Times New Roman" w:cs="Times New Roman"/>
          <w:b w:val="0"/>
          <w:sz w:val="22"/>
          <w:szCs w:val="22"/>
        </w:rPr>
        <w:t xml:space="preserve">años de </w:t>
      </w:r>
      <w:r w:rsidR="00A57A06">
        <w:rPr>
          <w:rFonts w:ascii="Times New Roman" w:hAnsi="Times New Roman" w:cs="Times New Roman"/>
          <w:b w:val="0"/>
          <w:color w:val="000000" w:themeColor="text1"/>
          <w:sz w:val="22"/>
          <w:szCs w:val="22"/>
        </w:rPr>
        <w:t>asentamiento</w:t>
      </w:r>
      <w:r w:rsidR="009616D2" w:rsidRPr="009767B8">
        <w:rPr>
          <w:rFonts w:ascii="Times New Roman" w:hAnsi="Times New Roman" w:cs="Times New Roman"/>
          <w:b w:val="0"/>
          <w:color w:val="000000" w:themeColor="text1"/>
          <w:sz w:val="22"/>
          <w:szCs w:val="22"/>
        </w:rPr>
        <w:t xml:space="preserve">, </w:t>
      </w:r>
      <w:r w:rsidR="009767B8" w:rsidRPr="009767B8">
        <w:rPr>
          <w:rFonts w:ascii="Times New Roman" w:hAnsi="Times New Roman" w:cs="Times New Roman"/>
          <w:b w:val="0"/>
          <w:color w:val="000000" w:themeColor="text1"/>
          <w:sz w:val="22"/>
          <w:szCs w:val="22"/>
        </w:rPr>
        <w:t>32</w:t>
      </w:r>
      <w:r w:rsidR="00403EE1" w:rsidRPr="009767B8">
        <w:rPr>
          <w:rFonts w:ascii="Times New Roman" w:hAnsi="Times New Roman" w:cs="Times New Roman"/>
          <w:b w:val="0"/>
          <w:color w:val="000000" w:themeColor="text1"/>
          <w:sz w:val="22"/>
          <w:szCs w:val="22"/>
        </w:rPr>
        <w:t xml:space="preserve"> </w:t>
      </w:r>
      <w:r w:rsidR="009616D2" w:rsidRPr="009767B8">
        <w:rPr>
          <w:rFonts w:ascii="Times New Roman" w:hAnsi="Times New Roman" w:cs="Times New Roman"/>
          <w:b w:val="0"/>
          <w:color w:val="000000" w:themeColor="text1"/>
          <w:sz w:val="22"/>
          <w:szCs w:val="22"/>
        </w:rPr>
        <w:t xml:space="preserve">lotes </w:t>
      </w:r>
      <w:r w:rsidR="009616D2" w:rsidRPr="00E425C2">
        <w:rPr>
          <w:rFonts w:ascii="Times New Roman" w:hAnsi="Times New Roman" w:cs="Times New Roman"/>
          <w:b w:val="0"/>
          <w:sz w:val="22"/>
          <w:szCs w:val="22"/>
        </w:rPr>
        <w:t>a fraccionar</w:t>
      </w:r>
      <w:r w:rsidR="00AF2A44">
        <w:rPr>
          <w:rFonts w:ascii="Times New Roman" w:hAnsi="Times New Roman" w:cs="Times New Roman"/>
          <w:b w:val="0"/>
          <w:sz w:val="22"/>
          <w:szCs w:val="22"/>
        </w:rPr>
        <w:t>se</w:t>
      </w:r>
      <w:r w:rsidR="006954C8" w:rsidRPr="00E425C2">
        <w:rPr>
          <w:rFonts w:ascii="Times New Roman" w:hAnsi="Times New Roman" w:cs="Times New Roman"/>
          <w:b w:val="0"/>
          <w:sz w:val="22"/>
          <w:szCs w:val="22"/>
        </w:rPr>
        <w:t xml:space="preserve"> y </w:t>
      </w:r>
      <w:r w:rsidR="00C07747" w:rsidRPr="00C07747">
        <w:rPr>
          <w:rFonts w:ascii="Times New Roman" w:hAnsi="Times New Roman" w:cs="Times New Roman"/>
          <w:b w:val="0"/>
          <w:color w:val="000000" w:themeColor="text1"/>
          <w:sz w:val="22"/>
          <w:szCs w:val="22"/>
        </w:rPr>
        <w:t>128</w:t>
      </w:r>
      <w:r w:rsidR="00AE6BF9" w:rsidRPr="00C07747">
        <w:rPr>
          <w:rFonts w:ascii="Times New Roman" w:hAnsi="Times New Roman" w:cs="Times New Roman"/>
          <w:b w:val="0"/>
          <w:color w:val="000000" w:themeColor="text1"/>
          <w:sz w:val="22"/>
          <w:szCs w:val="22"/>
        </w:rPr>
        <w:t xml:space="preserve"> </w:t>
      </w:r>
      <w:r w:rsidR="00D04ABD" w:rsidRPr="00E425C2">
        <w:rPr>
          <w:rFonts w:ascii="Times New Roman" w:hAnsi="Times New Roman" w:cs="Times New Roman"/>
          <w:b w:val="0"/>
          <w:sz w:val="22"/>
          <w:szCs w:val="22"/>
        </w:rPr>
        <w:t>beneficiarios</w:t>
      </w:r>
      <w:r w:rsidRPr="00E425C2">
        <w:rPr>
          <w:rFonts w:ascii="Times New Roman" w:hAnsi="Times New Roman" w:cs="Times New Roman"/>
          <w:b w:val="0"/>
          <w:sz w:val="22"/>
          <w:szCs w:val="22"/>
        </w:rPr>
        <w:t xml:space="preserve">. </w:t>
      </w:r>
    </w:p>
    <w:p w14:paraId="619B85B5" w14:textId="4CBE760D" w:rsidR="00361728" w:rsidRPr="00E425C2" w:rsidRDefault="00361728" w:rsidP="00A07E75">
      <w:pPr>
        <w:pStyle w:val="a"/>
        <w:spacing w:after="240" w:line="276" w:lineRule="auto"/>
        <w:jc w:val="both"/>
        <w:rPr>
          <w:rFonts w:ascii="Times New Roman" w:hAnsi="Times New Roman" w:cs="Times New Roman"/>
          <w:b w:val="0"/>
          <w:sz w:val="22"/>
          <w:szCs w:val="22"/>
        </w:rPr>
      </w:pPr>
      <w:r w:rsidRPr="00E425C2">
        <w:rPr>
          <w:rFonts w:ascii="Times New Roman" w:hAnsi="Times New Roman" w:cs="Times New Roman"/>
          <w:b w:val="0"/>
          <w:sz w:val="22"/>
          <w:szCs w:val="22"/>
        </w:rPr>
        <w:t xml:space="preserve">Dicho </w:t>
      </w:r>
      <w:r w:rsidR="00A57A06">
        <w:rPr>
          <w:rFonts w:ascii="Times New Roman" w:hAnsi="Times New Roman" w:cs="Times New Roman"/>
          <w:b w:val="0"/>
          <w:sz w:val="22"/>
          <w:szCs w:val="22"/>
        </w:rPr>
        <w:t xml:space="preserve">Asentamiento </w:t>
      </w:r>
      <w:r w:rsidR="009767B8">
        <w:rPr>
          <w:rFonts w:ascii="Times New Roman" w:hAnsi="Times New Roman" w:cs="Times New Roman"/>
          <w:b w:val="0"/>
          <w:sz w:val="22"/>
          <w:szCs w:val="22"/>
        </w:rPr>
        <w:t xml:space="preserve"> humano de hecho y consolidado de interés social</w:t>
      </w:r>
      <w:r w:rsidRPr="00E425C2">
        <w:rPr>
          <w:rFonts w:ascii="Times New Roman" w:hAnsi="Times New Roman" w:cs="Times New Roman"/>
          <w:b w:val="0"/>
          <w:sz w:val="22"/>
          <w:szCs w:val="22"/>
        </w:rPr>
        <w:t xml:space="preserve"> no cuenta con reconocimiento legal por parte de la Municipalidad, por lo que la Unidad Especial </w:t>
      </w:r>
      <w:r w:rsidR="00041BCB" w:rsidRPr="00E425C2">
        <w:rPr>
          <w:rFonts w:ascii="Times New Roman" w:hAnsi="Times New Roman" w:cs="Times New Roman"/>
          <w:b w:val="0"/>
          <w:sz w:val="22"/>
          <w:szCs w:val="22"/>
        </w:rPr>
        <w:t>“</w:t>
      </w:r>
      <w:r w:rsidRPr="00E425C2">
        <w:rPr>
          <w:rFonts w:ascii="Times New Roman" w:hAnsi="Times New Roman" w:cs="Times New Roman"/>
          <w:b w:val="0"/>
          <w:sz w:val="22"/>
          <w:szCs w:val="22"/>
        </w:rPr>
        <w:t xml:space="preserve">Regula </w:t>
      </w:r>
      <w:r w:rsidR="00041BCB" w:rsidRPr="00E425C2">
        <w:rPr>
          <w:rFonts w:ascii="Times New Roman" w:hAnsi="Times New Roman" w:cs="Times New Roman"/>
          <w:b w:val="0"/>
          <w:sz w:val="22"/>
          <w:szCs w:val="22"/>
        </w:rPr>
        <w:t>t</w:t>
      </w:r>
      <w:r w:rsidRPr="00E425C2">
        <w:rPr>
          <w:rFonts w:ascii="Times New Roman" w:hAnsi="Times New Roman" w:cs="Times New Roman"/>
          <w:b w:val="0"/>
          <w:sz w:val="22"/>
          <w:szCs w:val="22"/>
        </w:rPr>
        <w:t>u Barrio</w:t>
      </w:r>
      <w:r w:rsidR="00041BCB" w:rsidRPr="00E425C2">
        <w:rPr>
          <w:rFonts w:ascii="Times New Roman" w:hAnsi="Times New Roman" w:cs="Times New Roman"/>
          <w:b w:val="0"/>
          <w:sz w:val="22"/>
          <w:szCs w:val="22"/>
        </w:rPr>
        <w:t>”</w:t>
      </w:r>
      <w:r w:rsidR="00657F1F" w:rsidRPr="00E425C2">
        <w:rPr>
          <w:rFonts w:ascii="Times New Roman" w:hAnsi="Times New Roman" w:cs="Times New Roman"/>
          <w:b w:val="0"/>
          <w:sz w:val="22"/>
          <w:szCs w:val="22"/>
        </w:rPr>
        <w:t xml:space="preserve"> </w:t>
      </w:r>
      <w:r w:rsidR="00AD5A83" w:rsidRPr="00E425C2">
        <w:rPr>
          <w:rFonts w:ascii="Times New Roman" w:hAnsi="Times New Roman" w:cs="Times New Roman"/>
          <w:b w:val="0"/>
          <w:sz w:val="22"/>
          <w:szCs w:val="22"/>
        </w:rPr>
        <w:t>gestionó</w:t>
      </w:r>
      <w:r w:rsidRPr="00E425C2">
        <w:rPr>
          <w:rFonts w:ascii="Times New Roman" w:hAnsi="Times New Roman" w:cs="Times New Roman"/>
          <w:b w:val="0"/>
          <w:sz w:val="22"/>
          <w:szCs w:val="22"/>
        </w:rPr>
        <w:t xml:space="preserve"> el proceso tendiente a regularizar el mismo, a fin de dotar a la población beneficiaria de servicios básicos; y, a su vez, permitir que los legítimos </w:t>
      </w:r>
      <w:r w:rsidR="001479B2" w:rsidRPr="00E425C2">
        <w:rPr>
          <w:rFonts w:ascii="Times New Roman" w:hAnsi="Times New Roman" w:cs="Times New Roman"/>
          <w:b w:val="0"/>
          <w:sz w:val="22"/>
          <w:szCs w:val="22"/>
        </w:rPr>
        <w:t>propietarios</w:t>
      </w:r>
      <w:r w:rsidRPr="00E425C2">
        <w:rPr>
          <w:rFonts w:ascii="Times New Roman" w:hAnsi="Times New Roman" w:cs="Times New Roman"/>
          <w:b w:val="0"/>
          <w:sz w:val="22"/>
          <w:szCs w:val="22"/>
        </w:rPr>
        <w:t xml:space="preserve"> cuenten con </w:t>
      </w:r>
      <w:r w:rsidR="00D04ABD" w:rsidRPr="00E425C2">
        <w:rPr>
          <w:rFonts w:ascii="Times New Roman" w:hAnsi="Times New Roman" w:cs="Times New Roman"/>
          <w:b w:val="0"/>
          <w:sz w:val="22"/>
          <w:szCs w:val="22"/>
        </w:rPr>
        <w:t>títulos de dominio</w:t>
      </w:r>
      <w:r w:rsidRPr="00E425C2">
        <w:rPr>
          <w:rFonts w:ascii="Times New Roman" w:hAnsi="Times New Roman" w:cs="Times New Roman"/>
          <w:b w:val="0"/>
          <w:sz w:val="22"/>
          <w:szCs w:val="22"/>
        </w:rPr>
        <w:t xml:space="preserve"> que garanticen su propiedad y el ejercicio del derecho a la vivienda, adecuada y digna, conforme lo prevé la Constitución del Ecuador.</w:t>
      </w:r>
    </w:p>
    <w:p w14:paraId="266552FD" w14:textId="5E4A611E" w:rsidR="00361728" w:rsidRPr="00E425C2" w:rsidRDefault="00361728" w:rsidP="00A07E75">
      <w:pPr>
        <w:pStyle w:val="a"/>
        <w:spacing w:after="240" w:line="276" w:lineRule="auto"/>
        <w:jc w:val="both"/>
        <w:rPr>
          <w:rFonts w:ascii="Times New Roman" w:hAnsi="Times New Roman" w:cs="Times New Roman"/>
          <w:b w:val="0"/>
          <w:sz w:val="22"/>
          <w:szCs w:val="22"/>
        </w:rPr>
      </w:pPr>
      <w:r w:rsidRPr="00E425C2">
        <w:rPr>
          <w:rFonts w:ascii="Times New Roman" w:hAnsi="Times New Roman" w:cs="Times New Roman"/>
          <w:b w:val="0"/>
          <w:sz w:val="22"/>
          <w:szCs w:val="22"/>
        </w:rPr>
        <w:t>En este sentido, la presente ordenanza co</w:t>
      </w:r>
      <w:r w:rsidR="00C174B4" w:rsidRPr="00E425C2">
        <w:rPr>
          <w:rFonts w:ascii="Times New Roman" w:hAnsi="Times New Roman" w:cs="Times New Roman"/>
          <w:b w:val="0"/>
          <w:sz w:val="22"/>
          <w:szCs w:val="22"/>
        </w:rPr>
        <w:t>ntiene la normativa tendiente al fraccionamiento de</w:t>
      </w:r>
      <w:r w:rsidR="00E425C2">
        <w:rPr>
          <w:rFonts w:ascii="Times New Roman" w:hAnsi="Times New Roman" w:cs="Times New Roman"/>
          <w:b w:val="0"/>
          <w:sz w:val="22"/>
          <w:szCs w:val="22"/>
        </w:rPr>
        <w:t xml:space="preserve"> </w:t>
      </w:r>
      <w:r w:rsidR="00C174B4" w:rsidRPr="00E425C2">
        <w:rPr>
          <w:rFonts w:ascii="Times New Roman" w:hAnsi="Times New Roman" w:cs="Times New Roman"/>
          <w:b w:val="0"/>
          <w:sz w:val="22"/>
          <w:szCs w:val="22"/>
        </w:rPr>
        <w:t>l</w:t>
      </w:r>
      <w:r w:rsidR="00E425C2">
        <w:rPr>
          <w:rFonts w:ascii="Times New Roman" w:hAnsi="Times New Roman" w:cs="Times New Roman"/>
          <w:b w:val="0"/>
          <w:sz w:val="22"/>
          <w:szCs w:val="22"/>
        </w:rPr>
        <w:t>os</w:t>
      </w:r>
      <w:r w:rsidR="00C174B4" w:rsidRPr="00E425C2">
        <w:rPr>
          <w:rFonts w:ascii="Times New Roman" w:hAnsi="Times New Roman" w:cs="Times New Roman"/>
          <w:b w:val="0"/>
          <w:sz w:val="22"/>
          <w:szCs w:val="22"/>
        </w:rPr>
        <w:t xml:space="preserve"> predio</w:t>
      </w:r>
      <w:r w:rsidR="00E425C2">
        <w:rPr>
          <w:rFonts w:ascii="Times New Roman" w:hAnsi="Times New Roman" w:cs="Times New Roman"/>
          <w:b w:val="0"/>
          <w:sz w:val="22"/>
          <w:szCs w:val="22"/>
        </w:rPr>
        <w:t>s</w:t>
      </w:r>
      <w:r w:rsidR="00C174B4" w:rsidRPr="00E425C2">
        <w:rPr>
          <w:rFonts w:ascii="Times New Roman" w:hAnsi="Times New Roman" w:cs="Times New Roman"/>
          <w:b w:val="0"/>
          <w:sz w:val="22"/>
          <w:szCs w:val="22"/>
        </w:rPr>
        <w:t xml:space="preserve"> sobre </w:t>
      </w:r>
      <w:r w:rsidR="00E425C2">
        <w:rPr>
          <w:rFonts w:ascii="Times New Roman" w:hAnsi="Times New Roman" w:cs="Times New Roman"/>
          <w:b w:val="0"/>
          <w:sz w:val="22"/>
          <w:szCs w:val="22"/>
        </w:rPr>
        <w:t>los</w:t>
      </w:r>
      <w:r w:rsidR="00E425C2" w:rsidRPr="00E425C2">
        <w:rPr>
          <w:rFonts w:ascii="Times New Roman" w:hAnsi="Times New Roman" w:cs="Times New Roman"/>
          <w:b w:val="0"/>
          <w:sz w:val="22"/>
          <w:szCs w:val="22"/>
        </w:rPr>
        <w:t xml:space="preserve"> </w:t>
      </w:r>
      <w:r w:rsidR="00C174B4" w:rsidRPr="00E425C2">
        <w:rPr>
          <w:rFonts w:ascii="Times New Roman" w:hAnsi="Times New Roman" w:cs="Times New Roman"/>
          <w:b w:val="0"/>
          <w:sz w:val="22"/>
          <w:szCs w:val="22"/>
        </w:rPr>
        <w:t xml:space="preserve">que se encuentra </w:t>
      </w:r>
      <w:r w:rsidRPr="00E425C2">
        <w:rPr>
          <w:rFonts w:ascii="Times New Roman" w:hAnsi="Times New Roman" w:cs="Times New Roman"/>
          <w:b w:val="0"/>
          <w:sz w:val="22"/>
          <w:szCs w:val="22"/>
        </w:rPr>
        <w:t xml:space="preserve">el </w:t>
      </w:r>
      <w:r w:rsidR="0071674A">
        <w:rPr>
          <w:rFonts w:ascii="Times New Roman" w:hAnsi="Times New Roman" w:cs="Times New Roman"/>
          <w:b w:val="0"/>
          <w:sz w:val="22"/>
          <w:szCs w:val="22"/>
        </w:rPr>
        <w:t>a</w:t>
      </w:r>
      <w:r w:rsidR="00A57A06">
        <w:rPr>
          <w:rFonts w:ascii="Times New Roman" w:hAnsi="Times New Roman" w:cs="Times New Roman"/>
          <w:b w:val="0"/>
          <w:sz w:val="22"/>
          <w:szCs w:val="22"/>
        </w:rPr>
        <w:t>sentamiento</w:t>
      </w:r>
      <w:r w:rsidR="009767B8">
        <w:rPr>
          <w:rFonts w:ascii="Times New Roman" w:hAnsi="Times New Roman" w:cs="Times New Roman"/>
          <w:b w:val="0"/>
          <w:sz w:val="22"/>
          <w:szCs w:val="22"/>
        </w:rPr>
        <w:t xml:space="preserve"> humano de hecho y consolidado de interés social</w:t>
      </w:r>
      <w:r w:rsidRPr="00E425C2">
        <w:rPr>
          <w:rFonts w:ascii="Times New Roman" w:hAnsi="Times New Roman" w:cs="Times New Roman"/>
          <w:b w:val="0"/>
          <w:sz w:val="22"/>
          <w:szCs w:val="22"/>
        </w:rPr>
        <w:t xml:space="preserve"> </w:t>
      </w:r>
      <w:r w:rsidR="009767B8">
        <w:rPr>
          <w:rFonts w:ascii="Times New Roman" w:hAnsi="Times New Roman" w:cs="Times New Roman"/>
          <w:b w:val="0"/>
          <w:sz w:val="22"/>
          <w:szCs w:val="22"/>
        </w:rPr>
        <w:t>denominado Comité Pro</w:t>
      </w:r>
      <w:r w:rsidR="00F54BE7">
        <w:rPr>
          <w:rFonts w:ascii="Times New Roman" w:hAnsi="Times New Roman" w:cs="Times New Roman"/>
          <w:b w:val="0"/>
          <w:sz w:val="22"/>
          <w:szCs w:val="22"/>
        </w:rPr>
        <w:t xml:space="preserve"> </w:t>
      </w:r>
      <w:r w:rsidR="009767B8">
        <w:rPr>
          <w:rFonts w:ascii="Times New Roman" w:hAnsi="Times New Roman" w:cs="Times New Roman"/>
          <w:b w:val="0"/>
          <w:sz w:val="22"/>
          <w:szCs w:val="22"/>
        </w:rPr>
        <w:t>mejoras del Barrio “San José”</w:t>
      </w:r>
      <w:r w:rsidR="00403EE1" w:rsidRPr="007B6303">
        <w:rPr>
          <w:rFonts w:ascii="Times New Roman" w:hAnsi="Times New Roman" w:cs="Times New Roman"/>
          <w:b w:val="0"/>
          <w:sz w:val="22"/>
          <w:szCs w:val="22"/>
        </w:rPr>
        <w:t>,</w:t>
      </w:r>
      <w:r w:rsidR="00403EE1" w:rsidRPr="00E425C2" w:rsidDel="00403EE1">
        <w:rPr>
          <w:rFonts w:ascii="Times New Roman" w:hAnsi="Times New Roman" w:cs="Times New Roman"/>
          <w:b w:val="0"/>
          <w:sz w:val="22"/>
          <w:szCs w:val="22"/>
        </w:rPr>
        <w:t xml:space="preserve"> </w:t>
      </w:r>
      <w:r w:rsidRPr="00E425C2">
        <w:rPr>
          <w:rFonts w:ascii="Times New Roman" w:hAnsi="Times New Roman" w:cs="Times New Roman"/>
          <w:b w:val="0"/>
          <w:sz w:val="22"/>
          <w:szCs w:val="22"/>
        </w:rPr>
        <w:t>a fin de garantizar a los beneficiarios el ejercicio de su derecho a la vivienda y el acceso a servicios básicos de calidad.</w:t>
      </w:r>
    </w:p>
    <w:p w14:paraId="182D6C69" w14:textId="77777777" w:rsidR="00361728" w:rsidRPr="007B6303" w:rsidRDefault="00361728" w:rsidP="00361728">
      <w:pPr>
        <w:pStyle w:val="a"/>
        <w:spacing w:after="240" w:line="276" w:lineRule="auto"/>
        <w:ind w:firstLine="708"/>
        <w:jc w:val="both"/>
        <w:rPr>
          <w:rFonts w:ascii="Times New Roman" w:hAnsi="Times New Roman" w:cs="Times New Roman"/>
          <w:b w:val="0"/>
          <w:sz w:val="22"/>
          <w:szCs w:val="22"/>
        </w:rPr>
      </w:pPr>
    </w:p>
    <w:p w14:paraId="21A4A9F9" w14:textId="77777777" w:rsidR="00361728" w:rsidRPr="007B6303" w:rsidRDefault="00361728" w:rsidP="00361728">
      <w:pPr>
        <w:pStyle w:val="a"/>
        <w:spacing w:after="240" w:line="276" w:lineRule="auto"/>
        <w:rPr>
          <w:rFonts w:ascii="Times New Roman" w:hAnsi="Times New Roman" w:cs="Times New Roman"/>
          <w:b w:val="0"/>
          <w:sz w:val="22"/>
          <w:szCs w:val="22"/>
        </w:rPr>
      </w:pPr>
    </w:p>
    <w:p w14:paraId="45198747" w14:textId="77777777" w:rsidR="00361728" w:rsidRPr="001A5DCF" w:rsidRDefault="00361728" w:rsidP="00361728">
      <w:pPr>
        <w:pStyle w:val="a"/>
        <w:spacing w:after="240" w:line="276" w:lineRule="auto"/>
        <w:rPr>
          <w:rFonts w:ascii="Times New Roman" w:hAnsi="Times New Roman" w:cs="Times New Roman"/>
          <w:sz w:val="22"/>
          <w:szCs w:val="22"/>
        </w:rPr>
        <w:sectPr w:rsidR="00361728" w:rsidRPr="001A5DCF" w:rsidSect="00AD3778">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7F67961E" w14:textId="77777777" w:rsidR="00361728" w:rsidRPr="001A5DCF" w:rsidRDefault="00361728" w:rsidP="00361728">
      <w:pPr>
        <w:pStyle w:val="a"/>
        <w:spacing w:after="240" w:line="276" w:lineRule="auto"/>
        <w:rPr>
          <w:rFonts w:ascii="Times New Roman" w:hAnsi="Times New Roman" w:cs="Times New Roman"/>
          <w:sz w:val="22"/>
          <w:szCs w:val="22"/>
        </w:rPr>
      </w:pPr>
      <w:r w:rsidRPr="001A5DCF">
        <w:rPr>
          <w:rFonts w:ascii="Times New Roman" w:hAnsi="Times New Roman" w:cs="Times New Roman"/>
          <w:sz w:val="22"/>
          <w:szCs w:val="22"/>
        </w:rPr>
        <w:lastRenderedPageBreak/>
        <w:t>EL CONCEJO METROPOLITANO DE QUITO</w:t>
      </w:r>
    </w:p>
    <w:p w14:paraId="43F6E93F" w14:textId="228EB58F" w:rsidR="008524A7" w:rsidRPr="001A5DCF" w:rsidRDefault="00160142" w:rsidP="00DA35E2">
      <w:pPr>
        <w:spacing w:line="276" w:lineRule="auto"/>
        <w:jc w:val="both"/>
        <w:rPr>
          <w:sz w:val="22"/>
          <w:szCs w:val="22"/>
        </w:rPr>
      </w:pPr>
      <w:r>
        <w:rPr>
          <w:sz w:val="22"/>
          <w:szCs w:val="22"/>
        </w:rPr>
        <w:t xml:space="preserve">Visto </w:t>
      </w:r>
      <w:r w:rsidR="006D12CF" w:rsidRPr="003C1E91">
        <w:rPr>
          <w:sz w:val="22"/>
          <w:szCs w:val="22"/>
        </w:rPr>
        <w:t>l</w:t>
      </w:r>
      <w:r>
        <w:rPr>
          <w:sz w:val="22"/>
          <w:szCs w:val="22"/>
        </w:rPr>
        <w:t>os</w:t>
      </w:r>
      <w:r w:rsidR="006D12CF" w:rsidRPr="003C1E91">
        <w:rPr>
          <w:sz w:val="22"/>
          <w:szCs w:val="22"/>
        </w:rPr>
        <w:t xml:space="preserve"> Informe</w:t>
      </w:r>
      <w:r>
        <w:rPr>
          <w:sz w:val="22"/>
          <w:szCs w:val="22"/>
        </w:rPr>
        <w:t>s:</w:t>
      </w:r>
      <w:r w:rsidR="006D12CF" w:rsidRPr="003C1E91">
        <w:rPr>
          <w:sz w:val="22"/>
          <w:szCs w:val="22"/>
        </w:rPr>
        <w:t xml:space="preserve"> </w:t>
      </w:r>
      <w:r w:rsidR="00CF3146" w:rsidRPr="003C1E91">
        <w:rPr>
          <w:sz w:val="22"/>
          <w:szCs w:val="22"/>
        </w:rPr>
        <w:t>No. IC-O-</w:t>
      </w:r>
      <w:r w:rsidR="003C1E91">
        <w:rPr>
          <w:sz w:val="22"/>
          <w:szCs w:val="22"/>
        </w:rPr>
        <w:t>2016</w:t>
      </w:r>
      <w:r w:rsidR="00F36FD8" w:rsidRPr="003C1E91">
        <w:rPr>
          <w:sz w:val="22"/>
          <w:szCs w:val="22"/>
        </w:rPr>
        <w:t>-</w:t>
      </w:r>
      <w:r w:rsidR="003C1E91">
        <w:rPr>
          <w:sz w:val="22"/>
          <w:szCs w:val="22"/>
        </w:rPr>
        <w:t>2</w:t>
      </w:r>
      <w:r w:rsidR="00C07747">
        <w:rPr>
          <w:sz w:val="22"/>
          <w:szCs w:val="22"/>
        </w:rPr>
        <w:t>69</w:t>
      </w:r>
      <w:r w:rsidR="003C1E91">
        <w:rPr>
          <w:sz w:val="22"/>
          <w:szCs w:val="22"/>
        </w:rPr>
        <w:t xml:space="preserve"> </w:t>
      </w:r>
      <w:r w:rsidR="00F36FD8" w:rsidRPr="003C1E91">
        <w:rPr>
          <w:sz w:val="22"/>
          <w:szCs w:val="22"/>
        </w:rPr>
        <w:t xml:space="preserve">de fecha </w:t>
      </w:r>
      <w:r w:rsidR="003C1E91">
        <w:rPr>
          <w:sz w:val="22"/>
          <w:szCs w:val="22"/>
        </w:rPr>
        <w:t>05</w:t>
      </w:r>
      <w:r w:rsidR="00F36FD8" w:rsidRPr="003C1E91">
        <w:rPr>
          <w:sz w:val="22"/>
          <w:szCs w:val="22"/>
        </w:rPr>
        <w:t xml:space="preserve"> de </w:t>
      </w:r>
      <w:r w:rsidR="003C1E91">
        <w:rPr>
          <w:sz w:val="22"/>
          <w:szCs w:val="22"/>
        </w:rPr>
        <w:t>diciembre</w:t>
      </w:r>
      <w:r w:rsidR="00F36FD8" w:rsidRPr="003C1E91">
        <w:rPr>
          <w:sz w:val="22"/>
          <w:szCs w:val="22"/>
        </w:rPr>
        <w:t xml:space="preserve"> de </w:t>
      </w:r>
      <w:r w:rsidR="003C1E91">
        <w:rPr>
          <w:sz w:val="22"/>
          <w:szCs w:val="22"/>
        </w:rPr>
        <w:t>2016</w:t>
      </w:r>
      <w:r>
        <w:rPr>
          <w:sz w:val="22"/>
          <w:szCs w:val="22"/>
        </w:rPr>
        <w:t xml:space="preserve">; y, </w:t>
      </w:r>
      <w:r w:rsidRPr="00160142">
        <w:rPr>
          <w:sz w:val="22"/>
          <w:szCs w:val="22"/>
        </w:rPr>
        <w:t>IC-COT-2020-087</w:t>
      </w:r>
      <w:r w:rsidR="00466586" w:rsidRPr="003C1E91">
        <w:rPr>
          <w:sz w:val="22"/>
          <w:szCs w:val="22"/>
        </w:rPr>
        <w:t xml:space="preserve"> </w:t>
      </w:r>
      <w:r w:rsidR="00F36FD8" w:rsidRPr="003C1E91">
        <w:rPr>
          <w:sz w:val="22"/>
          <w:szCs w:val="22"/>
        </w:rPr>
        <w:t>de</w:t>
      </w:r>
      <w:r>
        <w:rPr>
          <w:sz w:val="22"/>
          <w:szCs w:val="22"/>
        </w:rPr>
        <w:t xml:space="preserve"> 18 de septiembre de 2020, expedidos por</w:t>
      </w:r>
      <w:r w:rsidR="00F36FD8" w:rsidRPr="003C1E91">
        <w:rPr>
          <w:sz w:val="22"/>
          <w:szCs w:val="22"/>
        </w:rPr>
        <w:t xml:space="preserve"> la Comisió</w:t>
      </w:r>
      <w:r w:rsidR="00CF3146" w:rsidRPr="003C1E91">
        <w:rPr>
          <w:sz w:val="22"/>
          <w:szCs w:val="22"/>
        </w:rPr>
        <w:t>n de Ordenamiento Territorial</w:t>
      </w:r>
      <w:r>
        <w:rPr>
          <w:sz w:val="22"/>
          <w:szCs w:val="22"/>
        </w:rPr>
        <w:t>.</w:t>
      </w:r>
      <w:bookmarkStart w:id="0" w:name="_GoBack"/>
      <w:bookmarkEnd w:id="0"/>
    </w:p>
    <w:p w14:paraId="725EE289" w14:textId="77777777" w:rsidR="00F36FD8" w:rsidRPr="001A5DCF" w:rsidRDefault="00F36FD8" w:rsidP="00F36FD8">
      <w:pPr>
        <w:jc w:val="both"/>
        <w:rPr>
          <w:sz w:val="22"/>
          <w:szCs w:val="22"/>
        </w:rPr>
      </w:pPr>
    </w:p>
    <w:p w14:paraId="3D259B01" w14:textId="77777777" w:rsidR="00AF402B" w:rsidRPr="001A5DCF" w:rsidRDefault="00AF402B" w:rsidP="00F36FD8">
      <w:pPr>
        <w:jc w:val="both"/>
        <w:rPr>
          <w:sz w:val="22"/>
          <w:szCs w:val="22"/>
        </w:rPr>
      </w:pPr>
    </w:p>
    <w:p w14:paraId="66B84B4E" w14:textId="77777777" w:rsidR="00385E8D" w:rsidRPr="001A5DCF" w:rsidRDefault="00385E8D" w:rsidP="00022E75">
      <w:pPr>
        <w:jc w:val="both"/>
        <w:rPr>
          <w:sz w:val="22"/>
          <w:szCs w:val="22"/>
        </w:rPr>
      </w:pPr>
    </w:p>
    <w:p w14:paraId="472DD64A" w14:textId="77777777" w:rsidR="00596910" w:rsidRPr="001A5DCF" w:rsidRDefault="00596910" w:rsidP="00596910">
      <w:pPr>
        <w:spacing w:after="240" w:line="276" w:lineRule="auto"/>
        <w:jc w:val="center"/>
        <w:rPr>
          <w:b/>
          <w:sz w:val="22"/>
          <w:szCs w:val="22"/>
        </w:rPr>
      </w:pPr>
      <w:r w:rsidRPr="001A5DCF">
        <w:rPr>
          <w:b/>
          <w:sz w:val="22"/>
          <w:szCs w:val="22"/>
        </w:rPr>
        <w:t>CONSIDERANDO:</w:t>
      </w:r>
    </w:p>
    <w:p w14:paraId="44829E63" w14:textId="77777777" w:rsidR="00596910" w:rsidRPr="001A5DCF" w:rsidRDefault="00596910" w:rsidP="00596910">
      <w:pPr>
        <w:pStyle w:val="Sinespaciado"/>
        <w:spacing w:after="240" w:line="276" w:lineRule="auto"/>
        <w:ind w:left="709" w:hanging="709"/>
        <w:jc w:val="both"/>
        <w:rPr>
          <w:rFonts w:ascii="Times New Roman" w:hAnsi="Times New Roman"/>
        </w:rPr>
      </w:pPr>
      <w:r w:rsidRPr="001A5DCF">
        <w:rPr>
          <w:rFonts w:ascii="Times New Roman" w:hAnsi="Times New Roman"/>
          <w:b/>
        </w:rPr>
        <w:t xml:space="preserve">Que, </w:t>
      </w:r>
      <w:r w:rsidRPr="001A5DCF">
        <w:rPr>
          <w:rFonts w:ascii="Times New Roman" w:hAnsi="Times New Roman"/>
          <w:b/>
        </w:rPr>
        <w:tab/>
      </w:r>
      <w:r w:rsidRPr="001A5DCF">
        <w:rPr>
          <w:rFonts w:ascii="Times New Roman" w:hAnsi="Times New Roman"/>
        </w:rPr>
        <w:t>el artículo 30 de la Constitución de la República del Ecuador (en adelante “Constitución”) establece que: “</w:t>
      </w:r>
      <w:r w:rsidRPr="001A5DCF">
        <w:rPr>
          <w:rFonts w:ascii="Times New Roman" w:hAnsi="Times New Roman"/>
          <w:i/>
        </w:rPr>
        <w:t>Las personas tienen derecho a un hábitat seguro y saludable, y a una vivienda adecuada y digna, con independencia de su situación social y económica.</w:t>
      </w:r>
      <w:r w:rsidRPr="001A5DCF">
        <w:rPr>
          <w:rFonts w:ascii="Times New Roman" w:hAnsi="Times New Roman"/>
        </w:rPr>
        <w:t>”;</w:t>
      </w:r>
    </w:p>
    <w:p w14:paraId="62031D12" w14:textId="77777777" w:rsidR="00596910" w:rsidRPr="001A5DCF" w:rsidRDefault="00596910" w:rsidP="00596910">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el artículo 31 de la Constitución expresa que: “</w:t>
      </w:r>
      <w:r w:rsidRPr="001A5DCF">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1A5DCF">
        <w:rPr>
          <w:rFonts w:ascii="Times New Roman" w:hAnsi="Times New Roman"/>
          <w:bCs/>
        </w:rPr>
        <w:t xml:space="preserve">”; </w:t>
      </w:r>
    </w:p>
    <w:p w14:paraId="2C7F24F7" w14:textId="77777777" w:rsidR="008C393F" w:rsidRPr="001A5DCF" w:rsidRDefault="00596910" w:rsidP="00BC33FE">
      <w:pPr>
        <w:pStyle w:val="Sinespaciado"/>
        <w:spacing w:after="240" w:line="276" w:lineRule="auto"/>
        <w:ind w:left="709" w:hanging="709"/>
        <w:jc w:val="both"/>
        <w:rPr>
          <w:rFonts w:ascii="Times New Roman" w:hAnsi="Times New Roman"/>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rPr>
        <w:t>el artículo 240 de la Constitución establece que: “</w:t>
      </w:r>
      <w:r w:rsidRPr="001A5DCF">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1A5DCF">
        <w:rPr>
          <w:rFonts w:ascii="Times New Roman" w:hAnsi="Times New Roman"/>
        </w:rPr>
        <w:t>”;</w:t>
      </w:r>
    </w:p>
    <w:p w14:paraId="24B9E103" w14:textId="77777777" w:rsidR="008C393F" w:rsidRPr="001A5DCF" w:rsidRDefault="008C393F" w:rsidP="008C393F">
      <w:pPr>
        <w:pStyle w:val="Sinespaciado"/>
        <w:spacing w:after="240" w:line="276" w:lineRule="auto"/>
        <w:ind w:left="709" w:hanging="709"/>
        <w:jc w:val="both"/>
        <w:rPr>
          <w:rFonts w:ascii="Times New Roman" w:hAnsi="Times New Roman"/>
          <w:i/>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rPr>
        <w:t>el artículo 266 de la Constitución establece que: “</w:t>
      </w:r>
      <w:r w:rsidRPr="001A5DCF">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09F9FC4C" w14:textId="77777777" w:rsidR="008C393F" w:rsidRPr="001A5DCF" w:rsidRDefault="008C393F" w:rsidP="008C393F">
      <w:pPr>
        <w:pStyle w:val="Sinespaciado"/>
        <w:spacing w:after="240" w:line="276" w:lineRule="auto"/>
        <w:ind w:left="709" w:hanging="709"/>
        <w:jc w:val="both"/>
        <w:rPr>
          <w:rFonts w:ascii="Times New Roman" w:hAnsi="Times New Roman"/>
          <w:i/>
        </w:rPr>
      </w:pPr>
      <w:r w:rsidRPr="001A5DCF">
        <w:rPr>
          <w:rFonts w:ascii="Times New Roman" w:hAnsi="Times New Roman"/>
          <w:i/>
        </w:rPr>
        <w:t xml:space="preserve">            En el ámbito de sus competencias y territorio, y en uso de sus facultades, expedirán ordenanzas distritales.”</w:t>
      </w:r>
    </w:p>
    <w:p w14:paraId="565098AB" w14:textId="77777777" w:rsidR="00644C2D" w:rsidRPr="001A5DCF" w:rsidRDefault="00D625C6" w:rsidP="00644C2D">
      <w:pPr>
        <w:pStyle w:val="Sinespaciado"/>
        <w:spacing w:after="240" w:line="276" w:lineRule="auto"/>
        <w:ind w:left="709" w:hanging="709"/>
        <w:jc w:val="both"/>
        <w:rPr>
          <w:rFonts w:ascii="Times New Roman" w:hAnsi="Times New Roman"/>
          <w:i/>
        </w:rPr>
      </w:pPr>
      <w:r w:rsidRPr="001A5DCF">
        <w:rPr>
          <w:rFonts w:ascii="Times New Roman" w:hAnsi="Times New Roman"/>
          <w:b/>
          <w:bCs/>
        </w:rPr>
        <w:t>Que,</w:t>
      </w:r>
      <w:r w:rsidRPr="001A5DCF">
        <w:rPr>
          <w:rFonts w:ascii="Times New Roman" w:hAnsi="Times New Roman"/>
        </w:rPr>
        <w:tab/>
      </w:r>
      <w:r w:rsidRPr="001A5DCF">
        <w:rPr>
          <w:rFonts w:ascii="Times New Roman" w:hAnsi="Times New Roman"/>
          <w:bCs/>
        </w:rPr>
        <w:t>el literal c)</w:t>
      </w:r>
      <w:r w:rsidR="00164A30" w:rsidRPr="001A5DCF">
        <w:rPr>
          <w:rFonts w:ascii="Times New Roman" w:hAnsi="Times New Roman"/>
          <w:bCs/>
        </w:rPr>
        <w:t xml:space="preserve"> </w:t>
      </w:r>
      <w:r w:rsidRPr="001A5DCF">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1A5DCF">
        <w:rPr>
          <w:rFonts w:ascii="Times New Roman" w:hAnsi="Times New Roman"/>
          <w:bCs/>
          <w:i/>
        </w:rPr>
        <w:t>“</w:t>
      </w:r>
      <w:r w:rsidRPr="001A5DCF">
        <w:rPr>
          <w:rFonts w:ascii="Times New Roman" w:hAnsi="Times New Roman"/>
          <w:b/>
          <w:i/>
        </w:rPr>
        <w:t>c)</w:t>
      </w:r>
      <w:r w:rsidRPr="001A5DCF">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CFDC6A3" w14:textId="77777777" w:rsidR="00D625C6" w:rsidRPr="001A5DCF" w:rsidRDefault="00D625C6" w:rsidP="00644C2D">
      <w:pPr>
        <w:pStyle w:val="Sinespaciado"/>
        <w:spacing w:after="240" w:line="276" w:lineRule="auto"/>
        <w:ind w:left="709" w:hanging="709"/>
        <w:jc w:val="both"/>
        <w:rPr>
          <w:rFonts w:ascii="Times New Roman" w:hAnsi="Times New Roman"/>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los literales a)</w:t>
      </w:r>
      <w:r w:rsidR="00721932" w:rsidRPr="001A5DCF">
        <w:rPr>
          <w:rFonts w:ascii="Times New Roman" w:hAnsi="Times New Roman"/>
          <w:bCs/>
        </w:rPr>
        <w:t>,</w:t>
      </w:r>
      <w:r w:rsidR="00AE4123" w:rsidRPr="001A5DCF">
        <w:rPr>
          <w:rFonts w:ascii="Times New Roman" w:hAnsi="Times New Roman"/>
          <w:bCs/>
        </w:rPr>
        <w:t xml:space="preserve"> y</w:t>
      </w:r>
      <w:r w:rsidR="00CD23C8" w:rsidRPr="001A5DCF">
        <w:rPr>
          <w:rFonts w:ascii="Times New Roman" w:hAnsi="Times New Roman"/>
          <w:bCs/>
        </w:rPr>
        <w:t xml:space="preserve"> </w:t>
      </w:r>
      <w:r w:rsidRPr="001A5DCF">
        <w:rPr>
          <w:rFonts w:ascii="Times New Roman" w:hAnsi="Times New Roman"/>
          <w:bCs/>
        </w:rPr>
        <w:t>x)</w:t>
      </w:r>
      <w:r w:rsidR="00742540" w:rsidRPr="001A5DCF">
        <w:rPr>
          <w:rFonts w:ascii="Times New Roman" w:hAnsi="Times New Roman"/>
          <w:bCs/>
        </w:rPr>
        <w:t xml:space="preserve"> </w:t>
      </w:r>
      <w:r w:rsidRPr="001A5DCF">
        <w:rPr>
          <w:rFonts w:ascii="Times New Roman" w:hAnsi="Times New Roman"/>
          <w:bCs/>
        </w:rPr>
        <w:t>d</w:t>
      </w:r>
      <w:r w:rsidRPr="001A5DCF">
        <w:rPr>
          <w:rFonts w:ascii="Times New Roman" w:hAnsi="Times New Roman"/>
        </w:rPr>
        <w:t xml:space="preserve">el artículo 87 del COOTAD, establece que las funciones del Concejo Metropolitano, entre otras, son: </w:t>
      </w:r>
      <w:r w:rsidRPr="001A5DCF">
        <w:rPr>
          <w:rFonts w:ascii="Times New Roman" w:hAnsi="Times New Roman"/>
          <w:i/>
          <w:iCs/>
        </w:rPr>
        <w:t>“</w:t>
      </w:r>
      <w:r w:rsidRPr="001A5DCF">
        <w:rPr>
          <w:rFonts w:ascii="Times New Roman" w:hAnsi="Times New Roman"/>
          <w:i/>
        </w:rPr>
        <w:t>a) Ejercer la facultad normativa en las materias de competencia del gobierno autónomo descentralizado metropolitano, mediante la expedición de ordenanzas metropolitanas, acuerdos y resoluciones;</w:t>
      </w:r>
      <w:r w:rsidRPr="001A5DCF">
        <w:rPr>
          <w:rFonts w:ascii="Times New Roman" w:hAnsi="Times New Roman"/>
          <w:i/>
          <w:iCs/>
        </w:rPr>
        <w:t xml:space="preserve"> (…) x) </w:t>
      </w:r>
      <w:r w:rsidRPr="001A5DCF">
        <w:rPr>
          <w:rFonts w:ascii="Times New Roman" w:hAnsi="Times New Roman"/>
          <w:i/>
        </w:rPr>
        <w:t xml:space="preserve">Regular mediante ordenanza la delimitación de los barrios y parroquias urbanas tomando en cuenta la configuración </w:t>
      </w:r>
      <w:r w:rsidRPr="001A5DCF">
        <w:rPr>
          <w:rFonts w:ascii="Times New Roman" w:hAnsi="Times New Roman"/>
          <w:i/>
        </w:rPr>
        <w:lastRenderedPageBreak/>
        <w:t xml:space="preserve">territorial, identidad, historia, necesidades urbanísticas y administrativas y la aplicación del principio de equidad </w:t>
      </w:r>
      <w:proofErr w:type="spellStart"/>
      <w:r w:rsidRPr="001A5DCF">
        <w:rPr>
          <w:rFonts w:ascii="Times New Roman" w:hAnsi="Times New Roman"/>
          <w:i/>
        </w:rPr>
        <w:t>interbarrial</w:t>
      </w:r>
      <w:proofErr w:type="spellEnd"/>
      <w:r w:rsidRPr="001A5DCF">
        <w:rPr>
          <w:rFonts w:ascii="Times New Roman" w:hAnsi="Times New Roman"/>
          <w:i/>
          <w:iCs/>
        </w:rPr>
        <w:t>;</w:t>
      </w:r>
      <w:r w:rsidR="00A063D6" w:rsidRPr="001A5DCF">
        <w:rPr>
          <w:rFonts w:ascii="Times New Roman" w:hAnsi="Times New Roman"/>
          <w:i/>
          <w:iCs/>
        </w:rPr>
        <w:t xml:space="preserve"> </w:t>
      </w:r>
      <w:r w:rsidR="00644C2D" w:rsidRPr="001A5DCF">
        <w:rPr>
          <w:rFonts w:ascii="Times New Roman" w:hAnsi="Times New Roman"/>
          <w:i/>
          <w:iCs/>
        </w:rPr>
        <w:t xml:space="preserve"> </w:t>
      </w:r>
    </w:p>
    <w:p w14:paraId="5EBA5858" w14:textId="702BC5BD" w:rsidR="00596910" w:rsidRPr="001A5DCF" w:rsidRDefault="00596910" w:rsidP="00596910">
      <w:pPr>
        <w:pStyle w:val="Sinespaciado"/>
        <w:spacing w:after="240" w:line="276" w:lineRule="auto"/>
        <w:ind w:left="709" w:hanging="709"/>
        <w:jc w:val="both"/>
        <w:rPr>
          <w:rFonts w:ascii="Times New Roman" w:hAnsi="Times New Roman"/>
        </w:rPr>
      </w:pPr>
      <w:r w:rsidRPr="001A5DCF">
        <w:rPr>
          <w:rFonts w:ascii="Times New Roman" w:hAnsi="Times New Roman"/>
          <w:b/>
          <w:bCs/>
        </w:rPr>
        <w:t xml:space="preserve">Que,  </w:t>
      </w:r>
      <w:r w:rsidR="003652D6">
        <w:rPr>
          <w:rFonts w:ascii="Times New Roman" w:hAnsi="Times New Roman"/>
          <w:b/>
          <w:bCs/>
        </w:rPr>
        <w:t xml:space="preserve">   </w:t>
      </w:r>
      <w:r w:rsidRPr="001A5DCF">
        <w:rPr>
          <w:rFonts w:ascii="Times New Roman" w:hAnsi="Times New Roman"/>
        </w:rPr>
        <w:t>el artículo 322 del COOTAD establece el procedimiento para la aprobación de las ordenanzas municipales;</w:t>
      </w:r>
    </w:p>
    <w:p w14:paraId="2DDC0EFF" w14:textId="5E965077" w:rsidR="00596910" w:rsidRPr="001A5DCF" w:rsidRDefault="00596910" w:rsidP="00596910">
      <w:pPr>
        <w:pStyle w:val="Sinespaciado"/>
        <w:spacing w:after="240" w:line="276" w:lineRule="auto"/>
        <w:ind w:left="709" w:hanging="709"/>
        <w:jc w:val="both"/>
        <w:rPr>
          <w:rFonts w:ascii="Times New Roman" w:hAnsi="Times New Roman"/>
          <w:b/>
          <w:bCs/>
        </w:rPr>
      </w:pPr>
      <w:r w:rsidRPr="001A5DCF">
        <w:rPr>
          <w:rFonts w:ascii="Times New Roman" w:hAnsi="Times New Roman"/>
          <w:b/>
          <w:bCs/>
        </w:rPr>
        <w:t xml:space="preserve">Que,    </w:t>
      </w:r>
      <w:r w:rsidRPr="001A5DCF">
        <w:rPr>
          <w:rFonts w:ascii="Times New Roman" w:hAnsi="Times New Roman"/>
          <w:bCs/>
        </w:rPr>
        <w:t>el artículo 486 del COOTAD reformado establece que: “</w:t>
      </w:r>
      <w:r w:rsidRPr="001A5DCF">
        <w:rPr>
          <w:rFonts w:ascii="Times New Roman" w:hAnsi="Times New Roman"/>
          <w:bCs/>
          <w:i/>
          <w:lang w:val="es-ES_tradnl"/>
        </w:rPr>
        <w:t xml:space="preserve">Cuando por resolución del órgano de legislación y fiscalización del Gobierno Autónomo Descentralizado municipal o metropolitano, se requiera regularizar y legalizar </w:t>
      </w:r>
      <w:r w:rsidR="00A57A06">
        <w:rPr>
          <w:rFonts w:ascii="Times New Roman" w:hAnsi="Times New Roman"/>
          <w:bCs/>
          <w:i/>
          <w:lang w:val="es-ES_tradnl"/>
        </w:rPr>
        <w:t xml:space="preserve">asentamiento </w:t>
      </w:r>
      <w:r w:rsidRPr="001A5DCF">
        <w:rPr>
          <w:rFonts w:ascii="Times New Roman" w:hAnsi="Times New Roman"/>
          <w:bCs/>
          <w:i/>
          <w:lang w:val="es-ES_tradnl"/>
        </w:rPr>
        <w:t>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1A5DCF">
        <w:rPr>
          <w:rFonts w:ascii="Times New Roman" w:hAnsi="Times New Roman"/>
          <w:bCs/>
          <w:lang w:val="es-ES_tradnl"/>
        </w:rPr>
        <w:t>”</w:t>
      </w:r>
      <w:r w:rsidRPr="001A5DCF">
        <w:rPr>
          <w:rFonts w:ascii="Times New Roman" w:hAnsi="Times New Roman"/>
          <w:bCs/>
        </w:rPr>
        <w:t>;</w:t>
      </w:r>
    </w:p>
    <w:p w14:paraId="6E381D1B" w14:textId="754E8D24" w:rsidR="00596910" w:rsidRPr="001A5DCF" w:rsidRDefault="00596910" w:rsidP="008C393F">
      <w:pPr>
        <w:pStyle w:val="Sinespaciado"/>
        <w:spacing w:before="240" w:after="240" w:line="276" w:lineRule="auto"/>
        <w:ind w:left="709" w:hanging="709"/>
        <w:jc w:val="both"/>
        <w:rPr>
          <w:rFonts w:ascii="Times New Roman" w:hAnsi="Times New Roman"/>
          <w:i/>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la Disposición Transitoria Décima Cuarta del COOTAD, señala: “</w:t>
      </w:r>
      <w:r w:rsidRPr="001A5DCF">
        <w:rPr>
          <w:rFonts w:ascii="Times New Roman" w:hAnsi="Times New Roman"/>
          <w:bCs/>
          <w:i/>
        </w:rPr>
        <w:t xml:space="preserve">(…) </w:t>
      </w:r>
      <w:r w:rsidRPr="001A5DCF">
        <w:rPr>
          <w:rFonts w:ascii="Times New Roman" w:hAnsi="Times New Roman"/>
          <w:i/>
        </w:rPr>
        <w:t xml:space="preserve">Excepcionalmente en los casos de </w:t>
      </w:r>
      <w:r w:rsidR="00A57A06">
        <w:rPr>
          <w:rFonts w:ascii="Times New Roman" w:hAnsi="Times New Roman"/>
          <w:i/>
        </w:rPr>
        <w:t xml:space="preserve">asentamiento </w:t>
      </w:r>
      <w:r w:rsidRPr="001A5DCF">
        <w:rPr>
          <w:rFonts w:ascii="Times New Roman" w:hAnsi="Times New Roman"/>
          <w:i/>
        </w:rPr>
        <w:t>s de hecho y consolidados declarados de interés social, en que no se ha previsto el porcentaje de áreas verdes y comunales establecidas en la ley, serán exoneradas de este porcentaje.”;</w:t>
      </w:r>
    </w:p>
    <w:p w14:paraId="79C19828" w14:textId="4F858739" w:rsidR="00755652" w:rsidRPr="001A5DCF" w:rsidRDefault="00755652" w:rsidP="00755652">
      <w:pPr>
        <w:pStyle w:val="Sinespaciado"/>
        <w:spacing w:after="240" w:line="276" w:lineRule="auto"/>
        <w:ind w:left="709" w:hanging="709"/>
        <w:jc w:val="both"/>
        <w:rPr>
          <w:rFonts w:ascii="Times New Roman" w:hAnsi="Times New Roman"/>
          <w:i/>
        </w:rPr>
      </w:pPr>
      <w:r w:rsidRPr="001A5DCF">
        <w:rPr>
          <w:rFonts w:ascii="Times New Roman" w:hAnsi="Times New Roman"/>
          <w:b/>
          <w:i/>
        </w:rPr>
        <w:t>Que,</w:t>
      </w:r>
      <w:r w:rsidRPr="001A5DCF">
        <w:rPr>
          <w:rFonts w:ascii="Times New Roman" w:hAnsi="Times New Roman"/>
          <w:i/>
        </w:rPr>
        <w:tab/>
      </w:r>
      <w:r w:rsidRPr="001A5DCF">
        <w:rPr>
          <w:rFonts w:ascii="Times New Roman" w:hAnsi="Times New Roman"/>
        </w:rPr>
        <w:t xml:space="preserve">de conformidad a la Ley Orgánica de Tierras Rurales y Territorios Ancestrales, </w:t>
      </w:r>
      <w:r w:rsidR="00E425C2" w:rsidRPr="001A5DCF">
        <w:rPr>
          <w:rFonts w:ascii="Times New Roman" w:hAnsi="Times New Roman"/>
        </w:rPr>
        <w:t>que,</w:t>
      </w:r>
      <w:r w:rsidRPr="001A5DCF">
        <w:rPr>
          <w:rFonts w:ascii="Times New Roman" w:hAnsi="Times New Roman"/>
        </w:rPr>
        <w:t xml:space="preserve"> dentro de las Disposiciones Reformatorias, Primera, se reforma el Art. 424 del COOTAD, sobre el porcentaje de área verde, comunal y vías, en su último párrafo manifiesta que</w:t>
      </w:r>
      <w:r w:rsidRPr="001A5DCF">
        <w:rPr>
          <w:rFonts w:ascii="Times New Roman" w:hAnsi="Times New Roman"/>
          <w:i/>
        </w:rPr>
        <w:t xml:space="preserve"> “…se exceptúan de esta entrega, las tierras rurales que se dividan con fines de partición hereditaria, donación o ventas…”; </w:t>
      </w:r>
    </w:p>
    <w:p w14:paraId="2DA30296" w14:textId="77777777" w:rsidR="00596910" w:rsidRPr="001A5DCF" w:rsidRDefault="00596910" w:rsidP="00596910">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61A6EEEF" w14:textId="77777777" w:rsidR="00596910" w:rsidRPr="001A5DCF" w:rsidRDefault="00596910" w:rsidP="00596910">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5C293ABD" w14:textId="77777777" w:rsidR="00596910" w:rsidRPr="001A5DCF" w:rsidRDefault="00596910" w:rsidP="00596910">
      <w:pPr>
        <w:pStyle w:val="Sinespaciado"/>
        <w:spacing w:after="240" w:line="276" w:lineRule="auto"/>
        <w:ind w:left="709" w:hanging="709"/>
        <w:jc w:val="both"/>
        <w:rPr>
          <w:rFonts w:ascii="Times New Roman" w:hAnsi="Times New Roman"/>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rPr>
        <w:t xml:space="preserve">la Unidad Especial “Regula </w:t>
      </w:r>
      <w:r w:rsidR="00657F1F" w:rsidRPr="001A5DCF">
        <w:rPr>
          <w:rFonts w:ascii="Times New Roman" w:hAnsi="Times New Roman"/>
        </w:rPr>
        <w:t>t</w:t>
      </w:r>
      <w:r w:rsidRPr="001A5DCF">
        <w:rPr>
          <w:rFonts w:ascii="Times New Roman" w:hAnsi="Times New Roman"/>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27CAA64E" w14:textId="57273D97" w:rsidR="009616D2" w:rsidRPr="001A5DCF" w:rsidRDefault="009616D2" w:rsidP="009616D2">
      <w:pPr>
        <w:pStyle w:val="Textoindependienteprimerasangra2"/>
        <w:ind w:left="709" w:hanging="709"/>
        <w:jc w:val="both"/>
        <w:rPr>
          <w:bCs/>
          <w:sz w:val="22"/>
          <w:szCs w:val="22"/>
        </w:rPr>
      </w:pPr>
      <w:r w:rsidRPr="001A5DCF">
        <w:rPr>
          <w:b/>
          <w:bCs/>
          <w:sz w:val="22"/>
          <w:szCs w:val="22"/>
        </w:rPr>
        <w:t>Que,</w:t>
      </w:r>
      <w:r w:rsidR="00BF7CCF">
        <w:rPr>
          <w:b/>
          <w:bCs/>
          <w:sz w:val="22"/>
          <w:szCs w:val="22"/>
        </w:rPr>
        <w:tab/>
      </w:r>
      <w:r w:rsidRPr="001A5DCF">
        <w:rPr>
          <w:bCs/>
          <w:sz w:val="22"/>
          <w:szCs w:val="22"/>
        </w:rPr>
        <w:t xml:space="preserve">el libro IV.7., título II de la Ordenanza No. 001 de 29 de marzo de 2019, establece los procesos y procedimientos para la regularización integral de los </w:t>
      </w:r>
      <w:r w:rsidR="00A57A06">
        <w:rPr>
          <w:bCs/>
          <w:sz w:val="22"/>
          <w:szCs w:val="22"/>
        </w:rPr>
        <w:t xml:space="preserve">asentamiento </w:t>
      </w:r>
      <w:r w:rsidRPr="001A5DCF">
        <w:rPr>
          <w:bCs/>
          <w:sz w:val="22"/>
          <w:szCs w:val="22"/>
        </w:rPr>
        <w:t xml:space="preserve">s humanos de hecho y consolidados, así como su declaratoria de interés social, para aquellos </w:t>
      </w:r>
      <w:r w:rsidR="00A57A06">
        <w:rPr>
          <w:bCs/>
          <w:sz w:val="22"/>
          <w:szCs w:val="22"/>
        </w:rPr>
        <w:t xml:space="preserve">asentamiento </w:t>
      </w:r>
      <w:r w:rsidRPr="001A5DCF">
        <w:rPr>
          <w:bCs/>
          <w:sz w:val="22"/>
          <w:szCs w:val="22"/>
        </w:rPr>
        <w:t>s que cumplen las condiciones socioeconómicas, legales y físicas establecidas para el efecto;</w:t>
      </w:r>
    </w:p>
    <w:p w14:paraId="245AB57C" w14:textId="77777777" w:rsidR="009616D2" w:rsidRPr="001A5DCF" w:rsidRDefault="009616D2" w:rsidP="009616D2">
      <w:pPr>
        <w:pStyle w:val="Textoindependienteprimerasangra2"/>
        <w:ind w:left="709" w:hanging="709"/>
        <w:jc w:val="both"/>
        <w:rPr>
          <w:bCs/>
          <w:sz w:val="22"/>
          <w:szCs w:val="22"/>
        </w:rPr>
      </w:pPr>
    </w:p>
    <w:p w14:paraId="46F123E6" w14:textId="591850D3" w:rsidR="009616D2" w:rsidRPr="001A5DCF" w:rsidRDefault="009616D2" w:rsidP="009616D2">
      <w:pPr>
        <w:pStyle w:val="Textoindependienteprimerasangra2"/>
        <w:ind w:left="709" w:hanging="709"/>
        <w:jc w:val="both"/>
        <w:rPr>
          <w:bCs/>
          <w:sz w:val="22"/>
          <w:szCs w:val="22"/>
        </w:rPr>
      </w:pPr>
      <w:r w:rsidRPr="001A5DCF">
        <w:rPr>
          <w:b/>
          <w:bCs/>
          <w:sz w:val="22"/>
          <w:szCs w:val="22"/>
        </w:rPr>
        <w:t>Que,</w:t>
      </w:r>
      <w:r w:rsidR="00BF7CCF">
        <w:rPr>
          <w:b/>
          <w:bCs/>
          <w:sz w:val="22"/>
          <w:szCs w:val="22"/>
        </w:rPr>
        <w:tab/>
      </w:r>
      <w:r w:rsidRPr="001A5DCF">
        <w:rPr>
          <w:bCs/>
          <w:sz w:val="22"/>
          <w:szCs w:val="22"/>
        </w:rPr>
        <w:t xml:space="preserve">el Art. IV.7.31, último párrafo de la Ordenanza No. 001 de 29 de marzo de 2019, establece que con la declaratoria de interés social del </w:t>
      </w:r>
      <w:r w:rsidR="00A57A06">
        <w:rPr>
          <w:bCs/>
          <w:sz w:val="22"/>
          <w:szCs w:val="22"/>
        </w:rPr>
        <w:t xml:space="preserve">Asentamiento </w:t>
      </w:r>
      <w:r w:rsidRPr="001A5DCF">
        <w:rPr>
          <w:bCs/>
          <w:sz w:val="22"/>
          <w:szCs w:val="22"/>
        </w:rPr>
        <w:t>Humano de Hecho y Consolidado dará lugar a la exoneración referentes a la contribución de áreas verdes;</w:t>
      </w:r>
    </w:p>
    <w:p w14:paraId="76235EB5" w14:textId="77777777" w:rsidR="00466586" w:rsidRPr="001A5DCF" w:rsidRDefault="00466586" w:rsidP="009616D2">
      <w:pPr>
        <w:pStyle w:val="Textoindependienteprimerasangra2"/>
        <w:ind w:left="709" w:hanging="709"/>
        <w:jc w:val="both"/>
        <w:rPr>
          <w:bCs/>
          <w:sz w:val="22"/>
          <w:szCs w:val="22"/>
        </w:rPr>
      </w:pPr>
    </w:p>
    <w:p w14:paraId="3A534D8D" w14:textId="2D66029E" w:rsidR="003C1E91" w:rsidRDefault="00466586" w:rsidP="003C1E91">
      <w:pPr>
        <w:spacing w:line="276" w:lineRule="auto"/>
        <w:ind w:left="705" w:hanging="705"/>
        <w:jc w:val="both"/>
        <w:rPr>
          <w:bCs/>
          <w:i/>
          <w:sz w:val="22"/>
          <w:szCs w:val="22"/>
        </w:rPr>
      </w:pPr>
      <w:r w:rsidRPr="001A5DCF">
        <w:rPr>
          <w:b/>
          <w:bCs/>
          <w:sz w:val="22"/>
          <w:szCs w:val="22"/>
        </w:rPr>
        <w:t>Que,</w:t>
      </w:r>
      <w:r w:rsidRPr="001A5DCF">
        <w:rPr>
          <w:b/>
          <w:bCs/>
          <w:sz w:val="22"/>
          <w:szCs w:val="22"/>
        </w:rPr>
        <w:tab/>
      </w:r>
      <w:r w:rsidRPr="001A5DCF">
        <w:rPr>
          <w:bCs/>
          <w:sz w:val="22"/>
          <w:szCs w:val="22"/>
        </w:rPr>
        <w:t xml:space="preserve">el </w:t>
      </w:r>
      <w:r w:rsidRPr="003652D6">
        <w:rPr>
          <w:bCs/>
          <w:sz w:val="22"/>
          <w:szCs w:val="22"/>
        </w:rPr>
        <w:t>artículo</w:t>
      </w:r>
      <w:r w:rsidRPr="001A5DCF">
        <w:rPr>
          <w:bCs/>
          <w:sz w:val="22"/>
          <w:szCs w:val="22"/>
        </w:rPr>
        <w:t xml:space="preserve"> IV.7.43 de la Ordenanza No. 001 de 29 de marzo de 2019 establece: “</w:t>
      </w:r>
      <w:r w:rsidRPr="001A5DCF">
        <w:rPr>
          <w:b/>
          <w:bCs/>
          <w:i/>
          <w:sz w:val="22"/>
          <w:szCs w:val="22"/>
        </w:rPr>
        <w:t>Ordenamiento territorial</w:t>
      </w:r>
      <w:r w:rsidRPr="001A5DCF">
        <w:rPr>
          <w:bCs/>
          <w:i/>
          <w:sz w:val="22"/>
          <w:szCs w:val="22"/>
        </w:rPr>
        <w:t xml:space="preserve">.- La zonificación, el uso y ocupación del suelo, la trama vial y las áreas de los lotes u otras características del </w:t>
      </w:r>
      <w:r w:rsidR="00A57A06">
        <w:rPr>
          <w:bCs/>
          <w:i/>
          <w:sz w:val="22"/>
          <w:szCs w:val="22"/>
        </w:rPr>
        <w:t xml:space="preserve">asentamiento </w:t>
      </w:r>
      <w:r w:rsidRPr="001A5DCF">
        <w:rPr>
          <w:bCs/>
          <w:i/>
          <w:sz w:val="22"/>
          <w:szCs w:val="22"/>
        </w:rPr>
        <w:t xml:space="preserve">humano de hecho y consolidado, serán aprobadas por el Concejo Metropolitano de acuerdo a los criterios técnicos, sin desatender a las condiciones territoriales del </w:t>
      </w:r>
      <w:r w:rsidR="00A57A06">
        <w:rPr>
          <w:bCs/>
          <w:i/>
          <w:sz w:val="22"/>
          <w:szCs w:val="22"/>
        </w:rPr>
        <w:t>asentamiento</w:t>
      </w:r>
      <w:r w:rsidRPr="001A5DCF">
        <w:rPr>
          <w:bCs/>
          <w:i/>
          <w:sz w:val="22"/>
          <w:szCs w:val="22"/>
        </w:rPr>
        <w:t xml:space="preserve">. En caso de que la realidad del </w:t>
      </w:r>
      <w:r w:rsidR="00A57A06">
        <w:rPr>
          <w:bCs/>
          <w:i/>
          <w:sz w:val="22"/>
          <w:szCs w:val="22"/>
        </w:rPr>
        <w:t>asentamiento</w:t>
      </w:r>
      <w:r w:rsidRPr="001A5DCF">
        <w:rPr>
          <w:bCs/>
          <w:i/>
          <w:sz w:val="22"/>
          <w:szCs w:val="22"/>
        </w:rPr>
        <w:t xml:space="preserve">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1F7AB2FF" w14:textId="1AD029DC" w:rsidR="003C1E91" w:rsidRPr="003C1E91" w:rsidRDefault="003C1E91" w:rsidP="003C1E91">
      <w:pPr>
        <w:spacing w:line="276" w:lineRule="auto"/>
        <w:ind w:left="705" w:hanging="705"/>
        <w:jc w:val="both"/>
        <w:rPr>
          <w:bCs/>
          <w:i/>
          <w:sz w:val="22"/>
          <w:szCs w:val="22"/>
        </w:rPr>
      </w:pPr>
    </w:p>
    <w:p w14:paraId="56E88E99" w14:textId="4AF16DEB" w:rsidR="00641882" w:rsidRPr="001A5DCF" w:rsidRDefault="00641882" w:rsidP="00641882">
      <w:pPr>
        <w:spacing w:after="240" w:line="276" w:lineRule="auto"/>
        <w:ind w:left="705" w:hanging="705"/>
        <w:jc w:val="both"/>
        <w:rPr>
          <w:bCs/>
          <w:sz w:val="22"/>
          <w:szCs w:val="22"/>
        </w:rPr>
      </w:pPr>
      <w:r w:rsidRPr="001A5DCF">
        <w:rPr>
          <w:b/>
          <w:bCs/>
          <w:sz w:val="22"/>
          <w:szCs w:val="22"/>
        </w:rPr>
        <w:t>Que,</w:t>
      </w:r>
      <w:r w:rsidRPr="001A5DCF">
        <w:rPr>
          <w:b/>
          <w:bCs/>
          <w:sz w:val="22"/>
          <w:szCs w:val="22"/>
        </w:rPr>
        <w:tab/>
      </w:r>
      <w:r w:rsidRPr="001A5DCF">
        <w:rPr>
          <w:bCs/>
          <w:sz w:val="22"/>
          <w:szCs w:val="22"/>
        </w:rPr>
        <w:t xml:space="preserve">el artículo IV.7.45 de la Ordenanza No. 001 de 29 de marzo de 2019 en su parte pertinente de la excepción de las áreas verdes dispone: “…El faltante de áreas verdes será compensado pecuniariamente con excepción de los </w:t>
      </w:r>
      <w:r w:rsidR="00A57A06">
        <w:rPr>
          <w:bCs/>
          <w:sz w:val="22"/>
          <w:szCs w:val="22"/>
        </w:rPr>
        <w:t xml:space="preserve">asentamiento </w:t>
      </w:r>
      <w:r w:rsidRPr="001A5DCF">
        <w:rPr>
          <w:bCs/>
          <w:sz w:val="22"/>
          <w:szCs w:val="22"/>
        </w:rPr>
        <w:t xml:space="preserve">s declarados de interés social...” </w:t>
      </w:r>
    </w:p>
    <w:p w14:paraId="32B36298" w14:textId="05F90CB7" w:rsidR="00E259FA" w:rsidRPr="001A5DCF" w:rsidRDefault="00E259FA" w:rsidP="00E259FA">
      <w:pPr>
        <w:spacing w:after="240" w:line="276" w:lineRule="auto"/>
        <w:ind w:left="705" w:hanging="705"/>
        <w:jc w:val="both"/>
        <w:rPr>
          <w:b/>
          <w:bCs/>
          <w:i/>
          <w:sz w:val="22"/>
          <w:szCs w:val="22"/>
        </w:rPr>
      </w:pPr>
      <w:r w:rsidRPr="001A5DCF">
        <w:rPr>
          <w:b/>
          <w:bCs/>
          <w:sz w:val="22"/>
          <w:szCs w:val="22"/>
        </w:rPr>
        <w:t>Que,</w:t>
      </w:r>
      <w:r w:rsidRPr="001A5DCF">
        <w:rPr>
          <w:b/>
          <w:bCs/>
          <w:sz w:val="22"/>
          <w:szCs w:val="22"/>
        </w:rPr>
        <w:tab/>
      </w:r>
      <w:r w:rsidRPr="001A5DCF">
        <w:rPr>
          <w:bCs/>
          <w:sz w:val="22"/>
          <w:szCs w:val="22"/>
        </w:rPr>
        <w:t>el artículo IV.7.65 de la Ordenanza No. 001 de 29 de marzo de 2019 en su parte pertinente de la regularización de barrios ubicados en parroquias rurales dispone</w:t>
      </w:r>
      <w:r w:rsidRPr="00BF7CCF">
        <w:rPr>
          <w:bCs/>
          <w:i/>
          <w:sz w:val="22"/>
          <w:szCs w:val="22"/>
        </w:rPr>
        <w:t>: “</w:t>
      </w:r>
      <w:r w:rsidR="00BF7CCF" w:rsidRPr="00BF7CCF">
        <w:rPr>
          <w:bCs/>
          <w:i/>
          <w:sz w:val="22"/>
          <w:szCs w:val="22"/>
        </w:rPr>
        <w:t>(</w:t>
      </w:r>
      <w:r w:rsidRPr="00BF7CCF">
        <w:rPr>
          <w:bCs/>
          <w:i/>
          <w:sz w:val="22"/>
          <w:szCs w:val="22"/>
        </w:rPr>
        <w:t>…</w:t>
      </w:r>
      <w:r w:rsidR="00BF7CCF" w:rsidRPr="00BF7CCF">
        <w:rPr>
          <w:bCs/>
          <w:i/>
          <w:sz w:val="22"/>
          <w:szCs w:val="22"/>
        </w:rPr>
        <w:t>)</w:t>
      </w:r>
      <w:r w:rsidRPr="001A5DCF">
        <w:rPr>
          <w:bCs/>
          <w:sz w:val="22"/>
          <w:szCs w:val="22"/>
        </w:rPr>
        <w:t xml:space="preserve"> </w:t>
      </w:r>
      <w:r w:rsidRPr="001A5DCF">
        <w:rPr>
          <w:bCs/>
          <w:i/>
          <w:sz w:val="22"/>
          <w:szCs w:val="22"/>
        </w:rPr>
        <w:t xml:space="preserve">En lo referente a la contribución de las áreas verdes y de equipamiento público de </w:t>
      </w:r>
      <w:r w:rsidR="00A57A06">
        <w:rPr>
          <w:bCs/>
          <w:i/>
          <w:sz w:val="22"/>
          <w:szCs w:val="22"/>
        </w:rPr>
        <w:t xml:space="preserve">asentamiento </w:t>
      </w:r>
      <w:r w:rsidRPr="001A5DCF">
        <w:rPr>
          <w:bCs/>
          <w:i/>
          <w:sz w:val="22"/>
          <w:szCs w:val="22"/>
        </w:rPr>
        <w:t xml:space="preserve">s ubicados en áreas rurales, se exceptúan de esta entrega las tierras rurales que se dividan con fines de partición hereditaria, </w:t>
      </w:r>
      <w:r w:rsidR="00E425C2" w:rsidRPr="001A5DCF">
        <w:rPr>
          <w:bCs/>
          <w:i/>
          <w:sz w:val="22"/>
          <w:szCs w:val="22"/>
        </w:rPr>
        <w:t>donación o</w:t>
      </w:r>
      <w:r w:rsidRPr="001A5DCF">
        <w:rPr>
          <w:bCs/>
          <w:i/>
          <w:sz w:val="22"/>
          <w:szCs w:val="22"/>
        </w:rPr>
        <w:t xml:space="preserve"> venta, siempre y cuando no se destinen para </w:t>
      </w:r>
      <w:r w:rsidR="00E425C2" w:rsidRPr="001A5DCF">
        <w:rPr>
          <w:bCs/>
          <w:i/>
          <w:sz w:val="22"/>
          <w:szCs w:val="22"/>
        </w:rPr>
        <w:t>urbanización o</w:t>
      </w:r>
      <w:r w:rsidRPr="001A5DCF">
        <w:rPr>
          <w:bCs/>
          <w:i/>
          <w:sz w:val="22"/>
          <w:szCs w:val="22"/>
        </w:rPr>
        <w:t xml:space="preserve"> lotización.”</w:t>
      </w:r>
      <w:r w:rsidRPr="001A5DCF">
        <w:rPr>
          <w:b/>
          <w:bCs/>
          <w:i/>
          <w:sz w:val="22"/>
          <w:szCs w:val="22"/>
        </w:rPr>
        <w:t xml:space="preserve"> </w:t>
      </w:r>
    </w:p>
    <w:p w14:paraId="26DA20FC" w14:textId="7C49FD68" w:rsidR="00641882" w:rsidRPr="001A5DCF" w:rsidRDefault="00641882" w:rsidP="00641882">
      <w:pPr>
        <w:pStyle w:val="Sinespaciado"/>
        <w:spacing w:after="240" w:line="276" w:lineRule="auto"/>
        <w:ind w:left="709" w:hanging="709"/>
        <w:jc w:val="both"/>
        <w:rPr>
          <w:rFonts w:ascii="Times New Roman" w:hAnsi="Times New Roman"/>
          <w:bCs/>
        </w:rPr>
      </w:pPr>
      <w:r w:rsidRPr="001A5DCF">
        <w:rPr>
          <w:rFonts w:ascii="Times New Roman" w:hAnsi="Times New Roman"/>
          <w:b/>
          <w:bCs/>
        </w:rPr>
        <w:t xml:space="preserve">Que, </w:t>
      </w:r>
      <w:r w:rsidRPr="001A5DCF">
        <w:rPr>
          <w:rFonts w:ascii="Times New Roman" w:hAnsi="Times New Roman"/>
          <w:b/>
          <w:bCs/>
        </w:rPr>
        <w:tab/>
      </w:r>
      <w:r w:rsidRPr="001A5DCF">
        <w:rPr>
          <w:rFonts w:ascii="Times New Roman" w:hAnsi="Times New Roman"/>
          <w:bCs/>
        </w:rPr>
        <w:t xml:space="preserve">la Ordenanza No. 001 de 29 de marzo de 2019, determina en su disposición derogatoria lo siguiente: </w:t>
      </w:r>
      <w:r w:rsidRPr="001A5DCF">
        <w:rPr>
          <w:rFonts w:ascii="Times New Roman" w:hAnsi="Times New Roman"/>
          <w:bCs/>
          <w:i/>
        </w:rPr>
        <w:t>“</w:t>
      </w:r>
      <w:r w:rsidR="00BF7CCF">
        <w:rPr>
          <w:rFonts w:ascii="Times New Roman" w:hAnsi="Times New Roman"/>
          <w:bCs/>
          <w:i/>
        </w:rPr>
        <w:t>(</w:t>
      </w:r>
      <w:r w:rsidRPr="001A5DCF">
        <w:rPr>
          <w:rFonts w:ascii="Times New Roman" w:hAnsi="Times New Roman"/>
          <w:bCs/>
          <w:i/>
        </w:rPr>
        <w:t>…</w:t>
      </w:r>
      <w:r w:rsidR="00BF7CCF">
        <w:rPr>
          <w:rFonts w:ascii="Times New Roman" w:hAnsi="Times New Roman"/>
          <w:bCs/>
          <w:i/>
        </w:rPr>
        <w:t xml:space="preserve">) </w:t>
      </w:r>
      <w:r w:rsidRPr="001A5DCF">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BF7CCF">
        <w:rPr>
          <w:rFonts w:ascii="Times New Roman" w:hAnsi="Times New Roman"/>
          <w:bCs/>
          <w:i/>
        </w:rPr>
        <w:t>(</w:t>
      </w:r>
      <w:r w:rsidRPr="001A5DCF">
        <w:rPr>
          <w:rFonts w:ascii="Times New Roman" w:hAnsi="Times New Roman"/>
          <w:bCs/>
          <w:i/>
        </w:rPr>
        <w:t>…</w:t>
      </w:r>
      <w:r w:rsidR="00BF7CCF">
        <w:rPr>
          <w:rFonts w:ascii="Times New Roman" w:hAnsi="Times New Roman"/>
          <w:bCs/>
          <w:i/>
        </w:rPr>
        <w:t>)</w:t>
      </w:r>
      <w:r w:rsidRPr="001A5DCF">
        <w:rPr>
          <w:rFonts w:ascii="Times New Roman" w:hAnsi="Times New Roman"/>
          <w:bCs/>
        </w:rPr>
        <w:t xml:space="preserve">” </w:t>
      </w:r>
    </w:p>
    <w:p w14:paraId="19302D21" w14:textId="3F97E678" w:rsidR="00641882" w:rsidRPr="001A5DCF" w:rsidRDefault="00641882" w:rsidP="00641882">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0010137E">
        <w:rPr>
          <w:rFonts w:ascii="Times New Roman" w:hAnsi="Times New Roman"/>
          <w:bCs/>
        </w:rPr>
        <w:tab/>
        <w:t>e</w:t>
      </w:r>
      <w:r w:rsidRPr="001A5DCF">
        <w:rPr>
          <w:rFonts w:ascii="Times New Roman" w:hAnsi="Times New Roman"/>
          <w:bCs/>
        </w:rPr>
        <w:t>n concordancia con el considerando precedente,</w:t>
      </w:r>
      <w:r w:rsidRPr="001A5DCF">
        <w:rPr>
          <w:rFonts w:ascii="Times New Roman" w:hAnsi="Times New Roman"/>
          <w:b/>
          <w:bCs/>
        </w:rPr>
        <w:t xml:space="preserve"> </w:t>
      </w:r>
      <w:r w:rsidRPr="001A5DCF">
        <w:rPr>
          <w:rFonts w:ascii="Times New Roman" w:hAnsi="Times New Roman"/>
          <w:bCs/>
        </w:rPr>
        <w:t xml:space="preserve">la Disposición Transitoria Segunda de la Ordenanza No. 0147 de 9 de diciembre de 2016, determina que en los procesos de regularización de </w:t>
      </w:r>
      <w:r w:rsidR="00A57A06">
        <w:rPr>
          <w:rFonts w:ascii="Times New Roman" w:hAnsi="Times New Roman"/>
          <w:bCs/>
        </w:rPr>
        <w:t xml:space="preserve">asentamiento </w:t>
      </w:r>
      <w:r w:rsidRPr="001A5DCF">
        <w:rPr>
          <w:rFonts w:ascii="Times New Roman" w:hAnsi="Times New Roman"/>
          <w:bCs/>
        </w:rPr>
        <w:t xml:space="preserve">s humanos de hecho y consolidados que se encuentren en trámite, se aplicará la norma más beneficiosa para la regularización del </w:t>
      </w:r>
      <w:r w:rsidR="007E7A4E">
        <w:rPr>
          <w:rFonts w:ascii="Times New Roman" w:hAnsi="Times New Roman"/>
          <w:bCs/>
        </w:rPr>
        <w:t>asentamiento</w:t>
      </w:r>
      <w:r w:rsidRPr="001A5DCF">
        <w:rPr>
          <w:rFonts w:ascii="Times New Roman" w:hAnsi="Times New Roman"/>
          <w:bCs/>
        </w:rPr>
        <w:t xml:space="preserve">; </w:t>
      </w:r>
    </w:p>
    <w:p w14:paraId="68400CB3" w14:textId="2C553F8E" w:rsidR="00641882" w:rsidRPr="001A5DCF" w:rsidRDefault="00641882" w:rsidP="00641882">
      <w:pPr>
        <w:pStyle w:val="Sinespaciado"/>
        <w:spacing w:after="240" w:line="276" w:lineRule="auto"/>
        <w:ind w:left="709" w:hanging="709"/>
        <w:jc w:val="both"/>
        <w:rPr>
          <w:rFonts w:ascii="Times New Roman" w:hAnsi="Times New Roman"/>
        </w:rPr>
      </w:pPr>
      <w:r w:rsidRPr="001A5DCF">
        <w:rPr>
          <w:rFonts w:ascii="Times New Roman" w:hAnsi="Times New Roman"/>
          <w:b/>
          <w:bCs/>
        </w:rPr>
        <w:t xml:space="preserve">Que, </w:t>
      </w:r>
      <w:r w:rsidRPr="001A5DCF">
        <w:rPr>
          <w:rFonts w:ascii="Times New Roman" w:hAnsi="Times New Roman"/>
          <w:b/>
          <w:bCs/>
        </w:rPr>
        <w:tab/>
      </w:r>
      <w:r w:rsidRPr="001A5DCF">
        <w:rPr>
          <w:rFonts w:ascii="Times New Roman" w:hAnsi="Times New Roman"/>
          <w:bCs/>
        </w:rPr>
        <w:t>mediante Resolución No.</w:t>
      </w:r>
      <w:r w:rsidR="0045417E" w:rsidRPr="001A5DCF">
        <w:rPr>
          <w:rFonts w:ascii="Times New Roman" w:hAnsi="Times New Roman"/>
          <w:bCs/>
        </w:rPr>
        <w:t xml:space="preserve"> </w:t>
      </w:r>
      <w:r w:rsidR="009616D2" w:rsidRPr="001A5DCF">
        <w:rPr>
          <w:rFonts w:ascii="Times New Roman" w:hAnsi="Times New Roman"/>
          <w:bCs/>
        </w:rPr>
        <w:t>C</w:t>
      </w:r>
      <w:r w:rsidRPr="001A5DCF">
        <w:rPr>
          <w:rFonts w:ascii="Times New Roman" w:hAnsi="Times New Roman"/>
          <w:bCs/>
        </w:rPr>
        <w:t xml:space="preserve"> 037-2019 reformada mediante Resolución No. </w:t>
      </w:r>
      <w:r w:rsidR="009616D2" w:rsidRPr="001A5DCF">
        <w:rPr>
          <w:rFonts w:ascii="Times New Roman" w:hAnsi="Times New Roman"/>
          <w:bCs/>
        </w:rPr>
        <w:t xml:space="preserve">C </w:t>
      </w:r>
      <w:r w:rsidRPr="001A5DCF">
        <w:rPr>
          <w:rFonts w:ascii="Times New Roman" w:hAnsi="Times New Roman"/>
          <w:bCs/>
        </w:rPr>
        <w:t xml:space="preserve">062-2019, se establecen los parámetros integrales para la identificación de los </w:t>
      </w:r>
      <w:r w:rsidR="00A57A06">
        <w:rPr>
          <w:rFonts w:ascii="Times New Roman" w:hAnsi="Times New Roman"/>
          <w:bCs/>
        </w:rPr>
        <w:t xml:space="preserve">asentamiento </w:t>
      </w:r>
      <w:r w:rsidRPr="001A5DCF">
        <w:rPr>
          <w:rFonts w:ascii="Times New Roman" w:hAnsi="Times New Roman"/>
          <w:bCs/>
        </w:rPr>
        <w:t>s humanos de hecho y consolidados existentes hasta la fecha de aprobación de esta Resolución, así como la priorización de su tratamiento, la metodología de su análisis y revisión, y presentación de los informes ratificatorios/</w:t>
      </w:r>
      <w:proofErr w:type="spellStart"/>
      <w:r w:rsidRPr="001A5DCF">
        <w:rPr>
          <w:rFonts w:ascii="Times New Roman" w:hAnsi="Times New Roman"/>
          <w:bCs/>
        </w:rPr>
        <w:t>rectificatorios</w:t>
      </w:r>
      <w:proofErr w:type="spellEnd"/>
      <w:r w:rsidRPr="001A5DCF">
        <w:rPr>
          <w:rFonts w:ascii="Times New Roman" w:hAnsi="Times New Roman"/>
          <w:bCs/>
        </w:rPr>
        <w:t xml:space="preserve"> de acuerdo a los plazos señalados en la norma.  </w:t>
      </w:r>
    </w:p>
    <w:p w14:paraId="2650D2A8" w14:textId="3D7F28D0" w:rsidR="00403EE1" w:rsidRDefault="00403EE1" w:rsidP="00403EE1">
      <w:pPr>
        <w:spacing w:after="240" w:line="276" w:lineRule="auto"/>
        <w:ind w:left="705" w:hanging="705"/>
        <w:jc w:val="both"/>
        <w:rPr>
          <w:bCs/>
          <w:sz w:val="22"/>
          <w:szCs w:val="22"/>
        </w:rPr>
      </w:pPr>
      <w:r w:rsidRPr="001A5DCF">
        <w:rPr>
          <w:b/>
          <w:bCs/>
          <w:sz w:val="22"/>
          <w:szCs w:val="22"/>
        </w:rPr>
        <w:t>Que,</w:t>
      </w:r>
      <w:r w:rsidRPr="001A5DCF">
        <w:rPr>
          <w:sz w:val="22"/>
          <w:szCs w:val="22"/>
        </w:rPr>
        <w:tab/>
      </w:r>
      <w:r w:rsidRPr="003C1E91">
        <w:rPr>
          <w:sz w:val="22"/>
          <w:szCs w:val="22"/>
        </w:rPr>
        <w:t xml:space="preserve">la Mesa Institucional, reunida el </w:t>
      </w:r>
      <w:r w:rsidR="00665976" w:rsidRPr="00EA418E">
        <w:rPr>
          <w:sz w:val="22"/>
          <w:szCs w:val="22"/>
        </w:rPr>
        <w:t>18 de diciembre del 2015 en la Administración Zonal La Delicia, integrada por</w:t>
      </w:r>
      <w:r w:rsidR="00665976">
        <w:rPr>
          <w:sz w:val="22"/>
          <w:szCs w:val="22"/>
        </w:rPr>
        <w:t xml:space="preserve">: </w:t>
      </w:r>
      <w:r w:rsidR="00665976" w:rsidRPr="00D07275">
        <w:rPr>
          <w:sz w:val="22"/>
          <w:szCs w:val="22"/>
        </w:rPr>
        <w:t xml:space="preserve">Abg. Catherine </w:t>
      </w:r>
      <w:proofErr w:type="spellStart"/>
      <w:r w:rsidR="00665976" w:rsidRPr="00D07275">
        <w:rPr>
          <w:sz w:val="22"/>
          <w:szCs w:val="22"/>
        </w:rPr>
        <w:t>Thur</w:t>
      </w:r>
      <w:proofErr w:type="spellEnd"/>
      <w:r w:rsidR="00665976" w:rsidRPr="00D07275">
        <w:rPr>
          <w:sz w:val="22"/>
          <w:szCs w:val="22"/>
        </w:rPr>
        <w:t xml:space="preserve"> de </w:t>
      </w:r>
      <w:proofErr w:type="spellStart"/>
      <w:r w:rsidR="00665976" w:rsidRPr="00D07275">
        <w:rPr>
          <w:sz w:val="22"/>
          <w:szCs w:val="22"/>
        </w:rPr>
        <w:t>Koos</w:t>
      </w:r>
      <w:proofErr w:type="spellEnd"/>
      <w:r w:rsidR="00665976" w:rsidRPr="00D07275">
        <w:rPr>
          <w:sz w:val="22"/>
          <w:szCs w:val="22"/>
        </w:rPr>
        <w:t xml:space="preserve">, </w:t>
      </w:r>
      <w:r w:rsidR="00665976" w:rsidRPr="00EA418E">
        <w:rPr>
          <w:sz w:val="22"/>
          <w:szCs w:val="22"/>
        </w:rPr>
        <w:t>Coordinadora Unidad Especial Regula Tu Barrio La Delicia</w:t>
      </w:r>
      <w:r w:rsidR="00665976" w:rsidRPr="00D07275">
        <w:rPr>
          <w:sz w:val="22"/>
          <w:szCs w:val="22"/>
        </w:rPr>
        <w:t xml:space="preserve">; Arq. Mónica Carrera Pérez Responsable </w:t>
      </w:r>
      <w:r w:rsidR="00665976" w:rsidRPr="00EA418E">
        <w:rPr>
          <w:sz w:val="22"/>
          <w:szCs w:val="22"/>
        </w:rPr>
        <w:t>Técnic</w:t>
      </w:r>
      <w:r w:rsidR="00665976" w:rsidRPr="00D07275">
        <w:rPr>
          <w:sz w:val="22"/>
          <w:szCs w:val="22"/>
        </w:rPr>
        <w:t>a</w:t>
      </w:r>
      <w:r w:rsidR="00665976" w:rsidRPr="00EA418E">
        <w:rPr>
          <w:sz w:val="22"/>
          <w:szCs w:val="22"/>
        </w:rPr>
        <w:t xml:space="preserve"> Unidad Especial </w:t>
      </w:r>
      <w:r w:rsidR="00665976" w:rsidRPr="00EA418E">
        <w:rPr>
          <w:sz w:val="22"/>
          <w:szCs w:val="22"/>
        </w:rPr>
        <w:lastRenderedPageBreak/>
        <w:t xml:space="preserve">Regula Tu Barrio </w:t>
      </w:r>
      <w:r w:rsidR="00665976" w:rsidRPr="00D07275">
        <w:rPr>
          <w:sz w:val="22"/>
          <w:szCs w:val="22"/>
        </w:rPr>
        <w:t>L</w:t>
      </w:r>
      <w:r w:rsidR="00665976" w:rsidRPr="00EA418E">
        <w:rPr>
          <w:sz w:val="22"/>
          <w:szCs w:val="22"/>
        </w:rPr>
        <w:t>a</w:t>
      </w:r>
      <w:r w:rsidR="00665976" w:rsidRPr="00D07275">
        <w:rPr>
          <w:sz w:val="22"/>
          <w:szCs w:val="22"/>
        </w:rPr>
        <w:t xml:space="preserve"> </w:t>
      </w:r>
      <w:r w:rsidR="00665976" w:rsidRPr="00EA418E">
        <w:rPr>
          <w:sz w:val="22"/>
          <w:szCs w:val="22"/>
        </w:rPr>
        <w:t>Delicia</w:t>
      </w:r>
      <w:r w:rsidR="00665976" w:rsidRPr="00D07275">
        <w:rPr>
          <w:sz w:val="22"/>
          <w:szCs w:val="22"/>
        </w:rPr>
        <w:t>; Abg. Sebastián Mata Navas Responsable Legal</w:t>
      </w:r>
      <w:r w:rsidR="00665976" w:rsidRPr="00EA418E">
        <w:rPr>
          <w:sz w:val="22"/>
          <w:szCs w:val="22"/>
        </w:rPr>
        <w:t xml:space="preserve"> Unidad Especial Regula Tu Barrio </w:t>
      </w:r>
      <w:r w:rsidR="00665976" w:rsidRPr="00D07275">
        <w:rPr>
          <w:sz w:val="22"/>
          <w:szCs w:val="22"/>
        </w:rPr>
        <w:t>L</w:t>
      </w:r>
      <w:r w:rsidR="00665976" w:rsidRPr="00EA418E">
        <w:rPr>
          <w:sz w:val="22"/>
          <w:szCs w:val="22"/>
        </w:rPr>
        <w:t>a</w:t>
      </w:r>
      <w:r w:rsidR="00665976" w:rsidRPr="00D07275">
        <w:rPr>
          <w:sz w:val="22"/>
          <w:szCs w:val="22"/>
        </w:rPr>
        <w:t xml:space="preserve"> </w:t>
      </w:r>
      <w:r w:rsidR="00665976" w:rsidRPr="00EA418E">
        <w:rPr>
          <w:sz w:val="22"/>
          <w:szCs w:val="22"/>
        </w:rPr>
        <w:t>Delicia</w:t>
      </w:r>
      <w:r w:rsidR="00665976" w:rsidRPr="00D07275">
        <w:rPr>
          <w:sz w:val="22"/>
          <w:szCs w:val="22"/>
        </w:rPr>
        <w:t>; Ing. Omar García Cedeño, Responsable Socio Organizativo</w:t>
      </w:r>
      <w:r w:rsidR="00665976" w:rsidRPr="00EA418E">
        <w:rPr>
          <w:sz w:val="22"/>
          <w:szCs w:val="22"/>
        </w:rPr>
        <w:t xml:space="preserve"> Unidad Especial Regula Tu Barrio </w:t>
      </w:r>
      <w:r w:rsidR="00665976" w:rsidRPr="00D07275">
        <w:rPr>
          <w:sz w:val="22"/>
          <w:szCs w:val="22"/>
        </w:rPr>
        <w:t>L</w:t>
      </w:r>
      <w:r w:rsidR="00665976" w:rsidRPr="00EA418E">
        <w:rPr>
          <w:sz w:val="22"/>
          <w:szCs w:val="22"/>
        </w:rPr>
        <w:t>a</w:t>
      </w:r>
      <w:r w:rsidR="00665976" w:rsidRPr="00D07275">
        <w:rPr>
          <w:sz w:val="22"/>
          <w:szCs w:val="22"/>
        </w:rPr>
        <w:t xml:space="preserve"> </w:t>
      </w:r>
      <w:r w:rsidR="00665976" w:rsidRPr="00EA418E">
        <w:rPr>
          <w:sz w:val="22"/>
          <w:szCs w:val="22"/>
        </w:rPr>
        <w:t>Delicia</w:t>
      </w:r>
      <w:r w:rsidR="00665976" w:rsidRPr="00D07275">
        <w:rPr>
          <w:sz w:val="22"/>
          <w:szCs w:val="22"/>
        </w:rPr>
        <w:t xml:space="preserve">; </w:t>
      </w:r>
      <w:proofErr w:type="spellStart"/>
      <w:r w:rsidR="00665976" w:rsidRPr="00D07275">
        <w:rPr>
          <w:sz w:val="22"/>
          <w:szCs w:val="22"/>
        </w:rPr>
        <w:t>Msc</w:t>
      </w:r>
      <w:proofErr w:type="spellEnd"/>
      <w:r w:rsidR="00665976" w:rsidRPr="00D07275">
        <w:rPr>
          <w:sz w:val="22"/>
          <w:szCs w:val="22"/>
        </w:rPr>
        <w:t xml:space="preserve">. Victoria </w:t>
      </w:r>
      <w:proofErr w:type="spellStart"/>
      <w:r w:rsidR="00665976" w:rsidRPr="00D07275">
        <w:rPr>
          <w:sz w:val="22"/>
          <w:szCs w:val="22"/>
        </w:rPr>
        <w:t>Prijodko</w:t>
      </w:r>
      <w:proofErr w:type="spellEnd"/>
      <w:r w:rsidR="00665976" w:rsidRPr="00D07275">
        <w:rPr>
          <w:sz w:val="22"/>
          <w:szCs w:val="22"/>
        </w:rPr>
        <w:t xml:space="preserve">, Delegada de la Dirección Metropolitana de Gestión de Riesgos; Sr. Humberto Almeida De Sucre, Administrador Municipal Zona La Delicia; Abg. María Cristina </w:t>
      </w:r>
      <w:proofErr w:type="spellStart"/>
      <w:r w:rsidR="00665976" w:rsidRPr="00D07275">
        <w:rPr>
          <w:sz w:val="22"/>
          <w:szCs w:val="22"/>
        </w:rPr>
        <w:t>Villacís</w:t>
      </w:r>
      <w:proofErr w:type="spellEnd"/>
      <w:r w:rsidR="00665976" w:rsidRPr="00D07275">
        <w:rPr>
          <w:sz w:val="22"/>
          <w:szCs w:val="22"/>
        </w:rPr>
        <w:t xml:space="preserve">, Directora Jurídica Administración Zona La Delicia; Arq. Edgar Flores, Delegado de la Secretaría de Territorio Hábitat y Vivienda; Arq. Andrea Criollo, Directora de Gestión de Territorio Administración Municipal Zona La Delicia; Sr. Miguel </w:t>
      </w:r>
      <w:proofErr w:type="spellStart"/>
      <w:r w:rsidR="00665976" w:rsidRPr="00D07275">
        <w:rPr>
          <w:sz w:val="22"/>
          <w:szCs w:val="22"/>
        </w:rPr>
        <w:t>Bosquez</w:t>
      </w:r>
      <w:proofErr w:type="spellEnd"/>
      <w:r w:rsidR="00665976" w:rsidRPr="00D07275">
        <w:rPr>
          <w:sz w:val="22"/>
          <w:szCs w:val="22"/>
        </w:rPr>
        <w:t>; Delegado de la Dirección Metropolitana de Catastros</w:t>
      </w:r>
      <w:r w:rsidR="00665976">
        <w:rPr>
          <w:sz w:val="22"/>
          <w:szCs w:val="22"/>
        </w:rPr>
        <w:t xml:space="preserve">, </w:t>
      </w:r>
      <w:r w:rsidR="000408AA">
        <w:rPr>
          <w:sz w:val="22"/>
          <w:szCs w:val="22"/>
        </w:rPr>
        <w:t>aprobaron el informe s</w:t>
      </w:r>
      <w:r w:rsidR="00665976" w:rsidRPr="00EA418E">
        <w:rPr>
          <w:sz w:val="22"/>
          <w:szCs w:val="22"/>
        </w:rPr>
        <w:t xml:space="preserve">ocio organizativo legal y técnico Nº 013-UERB-AZLD-SOLT-2015, de fecha 16 de diciembre del año 2015, </w:t>
      </w:r>
      <w:r w:rsidR="000408AA">
        <w:rPr>
          <w:sz w:val="22"/>
          <w:szCs w:val="22"/>
        </w:rPr>
        <w:t>habilitante de la o</w:t>
      </w:r>
      <w:r w:rsidRPr="003C1E91">
        <w:rPr>
          <w:sz w:val="22"/>
          <w:szCs w:val="22"/>
        </w:rPr>
        <w:t xml:space="preserve">rdenanza de </w:t>
      </w:r>
      <w:r w:rsidR="000408AA">
        <w:rPr>
          <w:sz w:val="22"/>
          <w:szCs w:val="22"/>
        </w:rPr>
        <w:t>r</w:t>
      </w:r>
      <w:r w:rsidRPr="003C1E91">
        <w:rPr>
          <w:sz w:val="22"/>
          <w:szCs w:val="22"/>
        </w:rPr>
        <w:t>econocimiento del</w:t>
      </w:r>
      <w:r w:rsidRPr="003C1E91">
        <w:rPr>
          <w:bCs/>
          <w:sz w:val="22"/>
          <w:szCs w:val="22"/>
        </w:rPr>
        <w:t xml:space="preserve"> </w:t>
      </w:r>
      <w:r w:rsidR="00A57A06">
        <w:rPr>
          <w:bCs/>
          <w:sz w:val="22"/>
          <w:szCs w:val="22"/>
        </w:rPr>
        <w:t xml:space="preserve">asentamiento </w:t>
      </w:r>
      <w:r w:rsidR="009767B8">
        <w:rPr>
          <w:bCs/>
          <w:sz w:val="22"/>
          <w:szCs w:val="22"/>
        </w:rPr>
        <w:t>humano de hecho y consolidado de interés social</w:t>
      </w:r>
      <w:r w:rsidR="000408AA">
        <w:rPr>
          <w:bCs/>
          <w:sz w:val="22"/>
          <w:szCs w:val="22"/>
        </w:rPr>
        <w:t xml:space="preserve"> denominado</w:t>
      </w:r>
      <w:r w:rsidRPr="003C1E91">
        <w:rPr>
          <w:bCs/>
          <w:sz w:val="22"/>
          <w:szCs w:val="22"/>
        </w:rPr>
        <w:t xml:space="preserve"> </w:t>
      </w:r>
      <w:r w:rsidR="000408AA" w:rsidRPr="00EA418E">
        <w:rPr>
          <w:bCs/>
          <w:color w:val="000000" w:themeColor="text1"/>
          <w:sz w:val="22"/>
          <w:szCs w:val="22"/>
        </w:rPr>
        <w:t xml:space="preserve">Comité </w:t>
      </w:r>
      <w:r w:rsidR="000408AA">
        <w:rPr>
          <w:bCs/>
          <w:color w:val="000000" w:themeColor="text1"/>
          <w:sz w:val="22"/>
          <w:szCs w:val="22"/>
        </w:rPr>
        <w:t>Pro</w:t>
      </w:r>
      <w:r w:rsidR="00F54BE7">
        <w:rPr>
          <w:bCs/>
          <w:color w:val="000000" w:themeColor="text1"/>
          <w:sz w:val="22"/>
          <w:szCs w:val="22"/>
        </w:rPr>
        <w:t xml:space="preserve"> m</w:t>
      </w:r>
      <w:r w:rsidR="000408AA">
        <w:rPr>
          <w:bCs/>
          <w:color w:val="000000" w:themeColor="text1"/>
          <w:sz w:val="22"/>
          <w:szCs w:val="22"/>
        </w:rPr>
        <w:t>ejoras del Barrio “San José”</w:t>
      </w:r>
      <w:r w:rsidRPr="003C1E91">
        <w:rPr>
          <w:bCs/>
          <w:sz w:val="22"/>
          <w:szCs w:val="22"/>
        </w:rPr>
        <w:t>,</w:t>
      </w:r>
      <w:r w:rsidRPr="003C1E91">
        <w:rPr>
          <w:b/>
          <w:bCs/>
          <w:sz w:val="22"/>
          <w:szCs w:val="22"/>
        </w:rPr>
        <w:t xml:space="preserve"> </w:t>
      </w:r>
      <w:r w:rsidRPr="003C1E91">
        <w:rPr>
          <w:bCs/>
          <w:sz w:val="22"/>
          <w:szCs w:val="22"/>
        </w:rPr>
        <w:t>a favor de</w:t>
      </w:r>
      <w:r w:rsidRPr="001A5DCF">
        <w:rPr>
          <w:bCs/>
          <w:sz w:val="22"/>
          <w:szCs w:val="22"/>
        </w:rPr>
        <w:t xml:space="preserve"> sus copropietarios.</w:t>
      </w:r>
    </w:p>
    <w:p w14:paraId="16B1B59C" w14:textId="1A3778C0" w:rsidR="00AD7B4A" w:rsidRPr="001A5DCF" w:rsidRDefault="00AD7B4A" w:rsidP="00403EE1">
      <w:pPr>
        <w:spacing w:after="240" w:line="276" w:lineRule="auto"/>
        <w:ind w:left="705" w:hanging="705"/>
        <w:jc w:val="both"/>
        <w:rPr>
          <w:bCs/>
          <w:sz w:val="22"/>
          <w:szCs w:val="22"/>
        </w:rPr>
      </w:pPr>
      <w:r>
        <w:rPr>
          <w:b/>
          <w:bCs/>
          <w:sz w:val="22"/>
          <w:szCs w:val="22"/>
        </w:rPr>
        <w:t>Que,</w:t>
      </w:r>
      <w:r>
        <w:rPr>
          <w:b/>
          <w:bCs/>
          <w:sz w:val="22"/>
          <w:szCs w:val="22"/>
        </w:rPr>
        <w:tab/>
      </w:r>
      <w:r w:rsidRPr="003652D6">
        <w:rPr>
          <w:sz w:val="22"/>
          <w:szCs w:val="22"/>
        </w:rPr>
        <w:t>el Informe de la Dirección Metropolitana de Gestión de</w:t>
      </w:r>
      <w:r>
        <w:rPr>
          <w:sz w:val="22"/>
          <w:szCs w:val="22"/>
        </w:rPr>
        <w:t xml:space="preserve"> Riesgos</w:t>
      </w:r>
      <w:r w:rsidRPr="003652D6">
        <w:rPr>
          <w:sz w:val="22"/>
          <w:szCs w:val="22"/>
        </w:rPr>
        <w:t xml:space="preserve"> No.</w:t>
      </w:r>
      <w:r>
        <w:rPr>
          <w:sz w:val="22"/>
          <w:szCs w:val="22"/>
        </w:rPr>
        <w:t xml:space="preserve"> </w:t>
      </w:r>
      <w:r w:rsidRPr="00AD7B4A">
        <w:rPr>
          <w:sz w:val="22"/>
          <w:szCs w:val="22"/>
        </w:rPr>
        <w:t>157-AT-DMGR-2015</w:t>
      </w:r>
      <w:r>
        <w:rPr>
          <w:sz w:val="22"/>
          <w:szCs w:val="22"/>
        </w:rPr>
        <w:t>,</w:t>
      </w:r>
      <w:r w:rsidRPr="00AD7B4A">
        <w:rPr>
          <w:sz w:val="22"/>
          <w:szCs w:val="22"/>
        </w:rPr>
        <w:t xml:space="preserve"> de 25 de noviembre  de 2015, manifiesta que </w:t>
      </w:r>
      <w:r>
        <w:rPr>
          <w:sz w:val="22"/>
          <w:szCs w:val="22"/>
        </w:rPr>
        <w:t>el asentamiento humano de hecho y consolidado denominado Comité Pro</w:t>
      </w:r>
      <w:r w:rsidR="00F54BE7">
        <w:rPr>
          <w:sz w:val="22"/>
          <w:szCs w:val="22"/>
        </w:rPr>
        <w:t xml:space="preserve"> </w:t>
      </w:r>
      <w:r>
        <w:rPr>
          <w:sz w:val="22"/>
          <w:szCs w:val="22"/>
        </w:rPr>
        <w:t xml:space="preserve">mejoras del Barrio “San José”, </w:t>
      </w:r>
      <w:r w:rsidRPr="00AD7B4A">
        <w:rPr>
          <w:sz w:val="22"/>
          <w:szCs w:val="22"/>
        </w:rPr>
        <w:t>presenta un Riego Moderado en su totalidad.</w:t>
      </w:r>
    </w:p>
    <w:p w14:paraId="4D51E64B" w14:textId="4168B7F3" w:rsidR="006D12CF" w:rsidRDefault="00641882" w:rsidP="003652D6">
      <w:pPr>
        <w:spacing w:after="240"/>
        <w:ind w:left="705" w:hanging="705"/>
        <w:contextualSpacing/>
        <w:jc w:val="both"/>
        <w:rPr>
          <w:sz w:val="22"/>
          <w:szCs w:val="22"/>
        </w:rPr>
      </w:pPr>
      <w:r w:rsidRPr="003652D6">
        <w:rPr>
          <w:b/>
          <w:sz w:val="22"/>
          <w:szCs w:val="22"/>
        </w:rPr>
        <w:t>Que,</w:t>
      </w:r>
      <w:r w:rsidRPr="003652D6">
        <w:rPr>
          <w:sz w:val="22"/>
          <w:szCs w:val="22"/>
        </w:rPr>
        <w:t xml:space="preserve"> </w:t>
      </w:r>
      <w:r w:rsidRPr="003652D6">
        <w:rPr>
          <w:sz w:val="22"/>
          <w:szCs w:val="22"/>
        </w:rPr>
        <w:tab/>
      </w:r>
      <w:r w:rsidR="009616D2" w:rsidRPr="003652D6">
        <w:rPr>
          <w:sz w:val="22"/>
          <w:szCs w:val="22"/>
        </w:rPr>
        <w:t>el I</w:t>
      </w:r>
      <w:r w:rsidRPr="003652D6">
        <w:rPr>
          <w:sz w:val="22"/>
          <w:szCs w:val="22"/>
        </w:rPr>
        <w:t>nforme de la Dirección Metropolitana de Gestión de</w:t>
      </w:r>
      <w:r w:rsidR="00A9195B">
        <w:rPr>
          <w:sz w:val="22"/>
          <w:szCs w:val="22"/>
        </w:rPr>
        <w:t xml:space="preserve"> Riesgos</w:t>
      </w:r>
      <w:r w:rsidRPr="003652D6">
        <w:rPr>
          <w:sz w:val="22"/>
          <w:szCs w:val="22"/>
        </w:rPr>
        <w:t xml:space="preserve"> </w:t>
      </w:r>
      <w:r w:rsidR="00403EE1" w:rsidRPr="003652D6">
        <w:rPr>
          <w:sz w:val="22"/>
          <w:szCs w:val="22"/>
        </w:rPr>
        <w:t>No.</w:t>
      </w:r>
      <w:r w:rsidR="00BF7CCF">
        <w:rPr>
          <w:sz w:val="22"/>
          <w:szCs w:val="22"/>
        </w:rPr>
        <w:t xml:space="preserve"> </w:t>
      </w:r>
      <w:r w:rsidR="00EE3391">
        <w:rPr>
          <w:sz w:val="22"/>
          <w:szCs w:val="22"/>
        </w:rPr>
        <w:t>187</w:t>
      </w:r>
      <w:r w:rsidR="00403EE1" w:rsidRPr="003652D6">
        <w:rPr>
          <w:sz w:val="22"/>
          <w:szCs w:val="22"/>
        </w:rPr>
        <w:t xml:space="preserve">-AT-DMGR-2018, </w:t>
      </w:r>
      <w:r w:rsidR="00AD7B4A">
        <w:rPr>
          <w:sz w:val="22"/>
          <w:szCs w:val="22"/>
        </w:rPr>
        <w:t xml:space="preserve">de </w:t>
      </w:r>
      <w:r w:rsidR="00403EE1" w:rsidRPr="003652D6">
        <w:rPr>
          <w:sz w:val="22"/>
          <w:szCs w:val="22"/>
        </w:rPr>
        <w:t>1</w:t>
      </w:r>
      <w:r w:rsidR="00EE3391">
        <w:rPr>
          <w:sz w:val="22"/>
          <w:szCs w:val="22"/>
        </w:rPr>
        <w:t>7</w:t>
      </w:r>
      <w:r w:rsidR="00403EE1" w:rsidRPr="003652D6">
        <w:rPr>
          <w:sz w:val="22"/>
          <w:szCs w:val="22"/>
        </w:rPr>
        <w:t xml:space="preserve"> de ju</w:t>
      </w:r>
      <w:r w:rsidR="00EE3391">
        <w:rPr>
          <w:sz w:val="22"/>
          <w:szCs w:val="22"/>
        </w:rPr>
        <w:t>l</w:t>
      </w:r>
      <w:r w:rsidR="00403EE1" w:rsidRPr="003652D6">
        <w:rPr>
          <w:sz w:val="22"/>
          <w:szCs w:val="22"/>
        </w:rPr>
        <w:t>io del 2018</w:t>
      </w:r>
      <w:r w:rsidR="00403EE1" w:rsidRPr="003652D6">
        <w:rPr>
          <w:color w:val="000000" w:themeColor="text1"/>
          <w:sz w:val="22"/>
          <w:szCs w:val="22"/>
        </w:rPr>
        <w:t xml:space="preserve">, </w:t>
      </w:r>
      <w:r w:rsidR="00D87B88" w:rsidRPr="003652D6">
        <w:rPr>
          <w:sz w:val="22"/>
          <w:szCs w:val="22"/>
        </w:rPr>
        <w:t xml:space="preserve"> </w:t>
      </w:r>
      <w:r w:rsidR="00403EE1" w:rsidRPr="003652D6">
        <w:rPr>
          <w:sz w:val="22"/>
          <w:szCs w:val="22"/>
        </w:rPr>
        <w:t xml:space="preserve">determina </w:t>
      </w:r>
      <w:r w:rsidR="00F54BE7">
        <w:rPr>
          <w:sz w:val="22"/>
          <w:szCs w:val="22"/>
        </w:rPr>
        <w:t xml:space="preserve">que </w:t>
      </w:r>
      <w:r w:rsidR="00EE3391">
        <w:rPr>
          <w:sz w:val="22"/>
          <w:szCs w:val="22"/>
        </w:rPr>
        <w:t>el</w:t>
      </w:r>
      <w:r w:rsidR="00EE3391" w:rsidRPr="003B18F3">
        <w:rPr>
          <w:sz w:val="22"/>
          <w:szCs w:val="22"/>
        </w:rPr>
        <w:t xml:space="preserve"> </w:t>
      </w:r>
      <w:r w:rsidR="00F54BE7">
        <w:rPr>
          <w:sz w:val="22"/>
          <w:szCs w:val="22"/>
        </w:rPr>
        <w:t>r</w:t>
      </w:r>
      <w:r w:rsidR="00403EE1" w:rsidRPr="003B18F3">
        <w:rPr>
          <w:sz w:val="22"/>
          <w:szCs w:val="22"/>
        </w:rPr>
        <w:t>iesgo por movimientos en masa</w:t>
      </w:r>
      <w:r w:rsidR="00F54BE7" w:rsidRPr="003B18F3">
        <w:rPr>
          <w:sz w:val="22"/>
          <w:szCs w:val="22"/>
        </w:rPr>
        <w:t xml:space="preserve"> d</w:t>
      </w:r>
      <w:r w:rsidR="00403EE1" w:rsidRPr="003652D6">
        <w:rPr>
          <w:sz w:val="22"/>
          <w:szCs w:val="22"/>
        </w:rPr>
        <w:t xml:space="preserve">el AHHYC “San </w:t>
      </w:r>
      <w:r w:rsidR="00EE3391">
        <w:rPr>
          <w:sz w:val="22"/>
          <w:szCs w:val="22"/>
        </w:rPr>
        <w:t>José</w:t>
      </w:r>
      <w:r w:rsidR="00403EE1" w:rsidRPr="003652D6">
        <w:rPr>
          <w:sz w:val="22"/>
          <w:szCs w:val="22"/>
        </w:rPr>
        <w:t xml:space="preserve">” en general presenta un </w:t>
      </w:r>
      <w:r w:rsidR="00403EE1" w:rsidRPr="003652D6">
        <w:rPr>
          <w:sz w:val="22"/>
          <w:szCs w:val="22"/>
          <w:u w:val="single"/>
        </w:rPr>
        <w:t xml:space="preserve">Riesgo </w:t>
      </w:r>
      <w:r w:rsidR="00EE3391">
        <w:rPr>
          <w:sz w:val="22"/>
          <w:szCs w:val="22"/>
          <w:u w:val="single"/>
        </w:rPr>
        <w:t>Alto por Subsidencia</w:t>
      </w:r>
      <w:r w:rsidR="00403EE1" w:rsidRPr="003652D6">
        <w:rPr>
          <w:sz w:val="22"/>
          <w:szCs w:val="22"/>
        </w:rPr>
        <w:t xml:space="preserve"> para l</w:t>
      </w:r>
      <w:r w:rsidR="00EE3391">
        <w:rPr>
          <w:sz w:val="22"/>
          <w:szCs w:val="22"/>
        </w:rPr>
        <w:t>os lotes 1, 3, 7, 14, 19, 20, 27, 29 y 31 al estar atravesados por una quebrada rellena. Mientras que para el resto de lotes se determina un nivel de riesgo moderado tanto para deslizamientos como para subsidencia.</w:t>
      </w:r>
    </w:p>
    <w:p w14:paraId="4D872041" w14:textId="77777777" w:rsidR="003652D6" w:rsidRPr="003652D6" w:rsidRDefault="003652D6" w:rsidP="003652D6">
      <w:pPr>
        <w:spacing w:after="240"/>
        <w:contextualSpacing/>
        <w:jc w:val="both"/>
        <w:rPr>
          <w:sz w:val="22"/>
          <w:szCs w:val="22"/>
        </w:rPr>
      </w:pPr>
    </w:p>
    <w:p w14:paraId="175A333A" w14:textId="1829C7FA" w:rsidR="00AF5E43" w:rsidRDefault="00641882" w:rsidP="00AF5E43">
      <w:pPr>
        <w:spacing w:after="240" w:line="276" w:lineRule="auto"/>
        <w:ind w:left="705" w:hanging="705"/>
        <w:jc w:val="both"/>
        <w:rPr>
          <w:sz w:val="22"/>
          <w:szCs w:val="22"/>
        </w:rPr>
      </w:pPr>
      <w:r w:rsidRPr="003C1E91">
        <w:rPr>
          <w:b/>
          <w:sz w:val="22"/>
          <w:szCs w:val="22"/>
        </w:rPr>
        <w:t>Que,</w:t>
      </w:r>
      <w:r w:rsidRPr="003C1E91">
        <w:rPr>
          <w:sz w:val="22"/>
          <w:szCs w:val="22"/>
        </w:rPr>
        <w:t xml:space="preserve"> </w:t>
      </w:r>
      <w:r w:rsidRPr="003C1E91">
        <w:rPr>
          <w:sz w:val="22"/>
          <w:szCs w:val="22"/>
        </w:rPr>
        <w:tab/>
        <w:t xml:space="preserve">mediante </w:t>
      </w:r>
      <w:r w:rsidR="00910612" w:rsidRPr="003C1E91">
        <w:rPr>
          <w:sz w:val="22"/>
          <w:szCs w:val="22"/>
        </w:rPr>
        <w:t>Oficio Nro. GADDMQ-SGSG-DMGR-</w:t>
      </w:r>
      <w:r w:rsidR="00404DF5" w:rsidRPr="00404DF5">
        <w:rPr>
          <w:sz w:val="22"/>
          <w:szCs w:val="22"/>
        </w:rPr>
        <w:t xml:space="preserve"> 2020-0270-OF</w:t>
      </w:r>
      <w:r w:rsidRPr="003C1E91">
        <w:rPr>
          <w:sz w:val="22"/>
          <w:szCs w:val="22"/>
        </w:rPr>
        <w:t xml:space="preserve">, de </w:t>
      </w:r>
      <w:r w:rsidR="00404DF5">
        <w:rPr>
          <w:sz w:val="22"/>
          <w:szCs w:val="22"/>
        </w:rPr>
        <w:t>27</w:t>
      </w:r>
      <w:r w:rsidR="00910612" w:rsidRPr="003C1E91">
        <w:rPr>
          <w:sz w:val="22"/>
          <w:szCs w:val="22"/>
        </w:rPr>
        <w:t xml:space="preserve"> de </w:t>
      </w:r>
      <w:r w:rsidR="00404DF5">
        <w:rPr>
          <w:sz w:val="22"/>
          <w:szCs w:val="22"/>
        </w:rPr>
        <w:t>abril</w:t>
      </w:r>
      <w:r w:rsidR="00910612" w:rsidRPr="003C1E91">
        <w:rPr>
          <w:sz w:val="22"/>
          <w:szCs w:val="22"/>
        </w:rPr>
        <w:t xml:space="preserve"> de 20</w:t>
      </w:r>
      <w:r w:rsidR="00404DF5">
        <w:rPr>
          <w:sz w:val="22"/>
          <w:szCs w:val="22"/>
        </w:rPr>
        <w:t>20</w:t>
      </w:r>
      <w:r w:rsidRPr="003C1E91">
        <w:rPr>
          <w:sz w:val="22"/>
          <w:szCs w:val="22"/>
        </w:rPr>
        <w:t xml:space="preserve">, emitido por el Director Metropolitano de Gestión de Riesgos, de la Secretaría General de Seguridad y Gobernabilidad </w:t>
      </w:r>
      <w:r w:rsidR="00AF5E43" w:rsidRPr="00AF5E43">
        <w:rPr>
          <w:sz w:val="22"/>
          <w:szCs w:val="22"/>
        </w:rPr>
        <w:t>que la calificación del riesgo frente a movimientos en masa es aquella que debe ser considerada en los procesos de legalización o regularización de la tenencia de tierra, la Dirección Metropolitana de Gestión de Riesgos rectifica la calificación del nivel del riesgo frente a movimientos en masa, indicando que el AHHYC “San José” presenta un Riesgo Moderado Mitigable frente a deslizamientos para todos los lotes y además se indica que debido a la presencia de una quebrada rellena se tiene un Riesgo Alto Mitigable para los lotes 1, 3, 7, 14, 19, 20, 27, 29 y 31 frente a procesos de hundimiento.</w:t>
      </w:r>
    </w:p>
    <w:p w14:paraId="550FCE72" w14:textId="2CD0E391" w:rsidR="002B7CE8" w:rsidRDefault="002B7CE8" w:rsidP="00AF5E43">
      <w:pPr>
        <w:spacing w:after="240" w:line="276" w:lineRule="auto"/>
        <w:ind w:left="705" w:hanging="705"/>
        <w:jc w:val="both"/>
        <w:rPr>
          <w:sz w:val="22"/>
          <w:szCs w:val="22"/>
        </w:rPr>
      </w:pPr>
      <w:r>
        <w:rPr>
          <w:b/>
          <w:sz w:val="22"/>
          <w:szCs w:val="22"/>
        </w:rPr>
        <w:t xml:space="preserve">Que, </w:t>
      </w:r>
      <w:r>
        <w:rPr>
          <w:b/>
          <w:sz w:val="22"/>
          <w:szCs w:val="22"/>
        </w:rPr>
        <w:tab/>
      </w:r>
      <w:r w:rsidRPr="00EE5CD3">
        <w:rPr>
          <w:sz w:val="22"/>
          <w:szCs w:val="22"/>
        </w:rPr>
        <w:t xml:space="preserve">mediante </w:t>
      </w:r>
      <w:r>
        <w:rPr>
          <w:sz w:val="22"/>
          <w:szCs w:val="22"/>
        </w:rPr>
        <w:t>Oficio</w:t>
      </w:r>
      <w:r w:rsidRPr="00EE5CD3">
        <w:rPr>
          <w:sz w:val="22"/>
          <w:szCs w:val="22"/>
        </w:rPr>
        <w:t xml:space="preserve"> Nro. STHV-DMPPS-2020-0</w:t>
      </w:r>
      <w:r>
        <w:rPr>
          <w:sz w:val="22"/>
          <w:szCs w:val="22"/>
        </w:rPr>
        <w:t>408</w:t>
      </w:r>
      <w:r w:rsidRPr="00EE5CD3">
        <w:rPr>
          <w:sz w:val="22"/>
          <w:szCs w:val="22"/>
        </w:rPr>
        <w:t>-</w:t>
      </w:r>
      <w:r>
        <w:rPr>
          <w:sz w:val="22"/>
          <w:szCs w:val="22"/>
        </w:rPr>
        <w:t>O</w:t>
      </w:r>
      <w:r w:rsidRPr="00EE5CD3">
        <w:rPr>
          <w:sz w:val="22"/>
          <w:szCs w:val="22"/>
        </w:rPr>
        <w:t xml:space="preserve">, de </w:t>
      </w:r>
      <w:r>
        <w:rPr>
          <w:sz w:val="22"/>
          <w:szCs w:val="22"/>
        </w:rPr>
        <w:t>31</w:t>
      </w:r>
      <w:r w:rsidRPr="00EE5CD3">
        <w:rPr>
          <w:sz w:val="22"/>
          <w:szCs w:val="22"/>
        </w:rPr>
        <w:t xml:space="preserve"> de </w:t>
      </w:r>
      <w:r>
        <w:rPr>
          <w:sz w:val="22"/>
          <w:szCs w:val="22"/>
        </w:rPr>
        <w:t>julio</w:t>
      </w:r>
      <w:r w:rsidRPr="00EE5CD3">
        <w:rPr>
          <w:sz w:val="22"/>
          <w:szCs w:val="22"/>
        </w:rPr>
        <w:t xml:space="preserve"> de 2020, el Director Metropolitano de Políticas y Planeamiento del Suelo (S), de la Dirección Metropolitana de Gestión Territorial de la Secretaría de Territorio, Hábitat y Vivienda, remite el informe de factibilidad de cambio de uso de suelo y zonificación y considera factible el cambio de forma de ocupación y edificabilidad (zonificación) del </w:t>
      </w:r>
      <w:r>
        <w:rPr>
          <w:bCs/>
          <w:sz w:val="22"/>
          <w:szCs w:val="22"/>
        </w:rPr>
        <w:t xml:space="preserve">asentamiento  humano de hecho y consolidado </w:t>
      </w:r>
      <w:r>
        <w:rPr>
          <w:bCs/>
          <w:color w:val="000000" w:themeColor="text1"/>
          <w:sz w:val="22"/>
          <w:szCs w:val="22"/>
        </w:rPr>
        <w:t>“San José MZ 25”</w:t>
      </w:r>
      <w:r w:rsidRPr="00EE5CD3">
        <w:rPr>
          <w:sz w:val="22"/>
          <w:szCs w:val="22"/>
        </w:rPr>
        <w:t>, a fin de que se continúe con el proceso de regularización correspondiente.</w:t>
      </w:r>
    </w:p>
    <w:p w14:paraId="2DA256D6" w14:textId="197994E8" w:rsidR="00EE5CD3" w:rsidRDefault="00EE5CD3" w:rsidP="00EE5CD3">
      <w:pPr>
        <w:spacing w:after="240" w:line="276" w:lineRule="auto"/>
        <w:ind w:left="705" w:hanging="705"/>
        <w:jc w:val="both"/>
        <w:rPr>
          <w:sz w:val="22"/>
          <w:szCs w:val="22"/>
        </w:rPr>
      </w:pPr>
      <w:r w:rsidRPr="00EE5CD3">
        <w:rPr>
          <w:b/>
          <w:sz w:val="22"/>
          <w:szCs w:val="22"/>
        </w:rPr>
        <w:t xml:space="preserve"> Que,</w:t>
      </w:r>
      <w:r>
        <w:rPr>
          <w:b/>
          <w:bCs/>
        </w:rPr>
        <w:t xml:space="preserve"> </w:t>
      </w:r>
      <w:r>
        <w:rPr>
          <w:b/>
          <w:bCs/>
        </w:rPr>
        <w:tab/>
      </w:r>
      <w:r w:rsidRPr="00EE5CD3">
        <w:rPr>
          <w:sz w:val="22"/>
          <w:szCs w:val="22"/>
        </w:rPr>
        <w:t>mediante Memorando Nro. STHV-DMPPS-2020-03</w:t>
      </w:r>
      <w:r>
        <w:rPr>
          <w:sz w:val="22"/>
          <w:szCs w:val="22"/>
        </w:rPr>
        <w:t>24</w:t>
      </w:r>
      <w:r w:rsidRPr="00EE5CD3">
        <w:rPr>
          <w:sz w:val="22"/>
          <w:szCs w:val="22"/>
        </w:rPr>
        <w:t xml:space="preserve">-M, de </w:t>
      </w:r>
      <w:r>
        <w:rPr>
          <w:sz w:val="22"/>
          <w:szCs w:val="22"/>
        </w:rPr>
        <w:t>1</w:t>
      </w:r>
      <w:r w:rsidRPr="00EE5CD3">
        <w:rPr>
          <w:sz w:val="22"/>
          <w:szCs w:val="22"/>
        </w:rPr>
        <w:t xml:space="preserve">2 de </w:t>
      </w:r>
      <w:r>
        <w:rPr>
          <w:sz w:val="22"/>
          <w:szCs w:val="22"/>
        </w:rPr>
        <w:t>agosto</w:t>
      </w:r>
      <w:r w:rsidRPr="00EE5CD3">
        <w:rPr>
          <w:sz w:val="22"/>
          <w:szCs w:val="22"/>
        </w:rPr>
        <w:t xml:space="preserve"> de 2020, el Director Metropolitano de Políticas y Planeamiento del Suelo (S), de la Dirección</w:t>
      </w:r>
      <w:r w:rsidR="002B7CE8">
        <w:rPr>
          <w:sz w:val="22"/>
          <w:szCs w:val="22"/>
        </w:rPr>
        <w:t xml:space="preserve"> </w:t>
      </w:r>
      <w:r w:rsidRPr="00EE5CD3">
        <w:rPr>
          <w:sz w:val="22"/>
          <w:szCs w:val="22"/>
        </w:rPr>
        <w:t xml:space="preserve">Metropolitana de Gestión Territorial de la Secretaría de Territorio, Hábitat y Vivienda, </w:t>
      </w:r>
      <w:r w:rsidR="002B7CE8">
        <w:rPr>
          <w:sz w:val="22"/>
          <w:szCs w:val="22"/>
        </w:rPr>
        <w:t xml:space="preserve">aclara </w:t>
      </w:r>
      <w:r w:rsidR="002B7CE8">
        <w:rPr>
          <w:rStyle w:val="fontstyle01"/>
        </w:rPr>
        <w:lastRenderedPageBreak/>
        <w:t xml:space="preserve">el nombre del </w:t>
      </w:r>
      <w:r w:rsidR="002B7CE8" w:rsidRPr="003B18F3">
        <w:rPr>
          <w:rStyle w:val="fontstyle01"/>
        </w:rPr>
        <w:t xml:space="preserve">barrio </w:t>
      </w:r>
      <w:r w:rsidR="002B7CE8" w:rsidRPr="003B18F3">
        <w:rPr>
          <w:rStyle w:val="fontstyle21"/>
          <w:b w:val="0"/>
        </w:rPr>
        <w:t xml:space="preserve">“San José </w:t>
      </w:r>
      <w:proofErr w:type="spellStart"/>
      <w:r w:rsidR="002B7CE8" w:rsidRPr="003B18F3">
        <w:rPr>
          <w:rStyle w:val="fontstyle21"/>
          <w:b w:val="0"/>
        </w:rPr>
        <w:t>Mz</w:t>
      </w:r>
      <w:proofErr w:type="spellEnd"/>
      <w:r w:rsidR="002B7CE8" w:rsidRPr="003B18F3">
        <w:rPr>
          <w:rStyle w:val="fontstyle21"/>
          <w:b w:val="0"/>
        </w:rPr>
        <w:t xml:space="preserve">. 25” </w:t>
      </w:r>
      <w:r w:rsidR="002B7CE8" w:rsidRPr="003B18F3">
        <w:rPr>
          <w:rStyle w:val="fontstyle01"/>
        </w:rPr>
        <w:t>por “</w:t>
      </w:r>
      <w:r w:rsidR="002B7CE8" w:rsidRPr="003B18F3">
        <w:rPr>
          <w:rStyle w:val="fontstyle21"/>
          <w:b w:val="0"/>
        </w:rPr>
        <w:t>San José”</w:t>
      </w:r>
      <w:r w:rsidR="002B7CE8" w:rsidRPr="003B18F3">
        <w:rPr>
          <w:rStyle w:val="fontstyle01"/>
        </w:rPr>
        <w:t>,</w:t>
      </w:r>
      <w:r w:rsidR="002B7CE8">
        <w:rPr>
          <w:rStyle w:val="fontstyle01"/>
        </w:rPr>
        <w:t xml:space="preserve"> debido a que este es el nombre propio del asentamiento, del cual se remitió el informe de factibilidad para el cambio de zonificación conforme el oficio No. </w:t>
      </w:r>
      <w:r w:rsidR="002B7CE8" w:rsidRPr="00EE5CD3">
        <w:rPr>
          <w:sz w:val="22"/>
          <w:szCs w:val="22"/>
        </w:rPr>
        <w:t>Nro. STHV-DMPPS-2020-0</w:t>
      </w:r>
      <w:r w:rsidR="002B7CE8">
        <w:rPr>
          <w:sz w:val="22"/>
          <w:szCs w:val="22"/>
        </w:rPr>
        <w:t>408</w:t>
      </w:r>
      <w:r w:rsidR="002B7CE8" w:rsidRPr="00EE5CD3">
        <w:rPr>
          <w:sz w:val="22"/>
          <w:szCs w:val="22"/>
        </w:rPr>
        <w:t>-</w:t>
      </w:r>
      <w:r w:rsidR="002B7CE8">
        <w:rPr>
          <w:sz w:val="22"/>
          <w:szCs w:val="22"/>
        </w:rPr>
        <w:t>O</w:t>
      </w:r>
      <w:r w:rsidR="002B7CE8" w:rsidRPr="00EE5CD3">
        <w:rPr>
          <w:sz w:val="22"/>
          <w:szCs w:val="22"/>
        </w:rPr>
        <w:t xml:space="preserve">, de </w:t>
      </w:r>
      <w:r w:rsidR="002B7CE8">
        <w:rPr>
          <w:sz w:val="22"/>
          <w:szCs w:val="22"/>
        </w:rPr>
        <w:t>31</w:t>
      </w:r>
      <w:r w:rsidR="002B7CE8" w:rsidRPr="00EE5CD3">
        <w:rPr>
          <w:sz w:val="22"/>
          <w:szCs w:val="22"/>
        </w:rPr>
        <w:t xml:space="preserve"> de </w:t>
      </w:r>
      <w:r w:rsidR="002B7CE8">
        <w:rPr>
          <w:sz w:val="22"/>
          <w:szCs w:val="22"/>
        </w:rPr>
        <w:t>julio</w:t>
      </w:r>
      <w:r w:rsidR="002B7CE8" w:rsidRPr="00EE5CD3">
        <w:rPr>
          <w:sz w:val="22"/>
          <w:szCs w:val="22"/>
        </w:rPr>
        <w:t xml:space="preserve"> de 2020</w:t>
      </w:r>
      <w:r w:rsidRPr="00EE5CD3">
        <w:rPr>
          <w:sz w:val="22"/>
          <w:szCs w:val="22"/>
        </w:rPr>
        <w:t>.</w:t>
      </w:r>
    </w:p>
    <w:p w14:paraId="11C452EB" w14:textId="782291EE" w:rsidR="001443CE" w:rsidRDefault="002B7CE8" w:rsidP="003B18F3">
      <w:pPr>
        <w:pStyle w:val="NormalWeb"/>
        <w:shd w:val="clear" w:color="auto" w:fill="FFFFFF"/>
        <w:spacing w:after="0" w:afterAutospacing="0" w:line="276" w:lineRule="auto"/>
        <w:ind w:left="700" w:hanging="700"/>
        <w:jc w:val="both"/>
        <w:rPr>
          <w:sz w:val="22"/>
          <w:szCs w:val="22"/>
        </w:rPr>
      </w:pPr>
      <w:r>
        <w:rPr>
          <w:sz w:val="22"/>
          <w:szCs w:val="22"/>
        </w:rPr>
        <w:t xml:space="preserve">Que, </w:t>
      </w:r>
      <w:r>
        <w:rPr>
          <w:sz w:val="22"/>
          <w:szCs w:val="22"/>
        </w:rPr>
        <w:tab/>
      </w:r>
      <w:r w:rsidRPr="00EE5CD3">
        <w:rPr>
          <w:sz w:val="22"/>
          <w:szCs w:val="22"/>
        </w:rPr>
        <w:t>mediante Memorando Nro. STHV-DMPPS-2020-</w:t>
      </w:r>
      <w:r>
        <w:rPr>
          <w:sz w:val="22"/>
          <w:szCs w:val="22"/>
        </w:rPr>
        <w:t>339</w:t>
      </w:r>
      <w:r w:rsidRPr="00EE5CD3">
        <w:rPr>
          <w:sz w:val="22"/>
          <w:szCs w:val="22"/>
        </w:rPr>
        <w:t>-M, de 2</w:t>
      </w:r>
      <w:r>
        <w:rPr>
          <w:sz w:val="22"/>
          <w:szCs w:val="22"/>
        </w:rPr>
        <w:t>1</w:t>
      </w:r>
      <w:r w:rsidRPr="00EE5CD3">
        <w:rPr>
          <w:sz w:val="22"/>
          <w:szCs w:val="22"/>
        </w:rPr>
        <w:t xml:space="preserve"> de </w:t>
      </w:r>
      <w:r>
        <w:rPr>
          <w:sz w:val="22"/>
          <w:szCs w:val="22"/>
        </w:rPr>
        <w:t>agosto</w:t>
      </w:r>
      <w:r w:rsidRPr="00EE5CD3">
        <w:rPr>
          <w:sz w:val="22"/>
          <w:szCs w:val="22"/>
        </w:rPr>
        <w:t xml:space="preserve"> de 2020, el Director Metropolitano de Políticas y Planeamiento del Suelo (S), de la Dirección Metropolitana de Gestión Territorial de la Secretaría de Territorio, Hábitat y Vivienda, </w:t>
      </w:r>
      <w:r>
        <w:rPr>
          <w:sz w:val="22"/>
          <w:szCs w:val="22"/>
        </w:rPr>
        <w:t xml:space="preserve">emite una </w:t>
      </w:r>
      <w:r w:rsidR="001443CE">
        <w:rPr>
          <w:sz w:val="22"/>
          <w:szCs w:val="22"/>
        </w:rPr>
        <w:t>a</w:t>
      </w:r>
      <w:r w:rsidR="001443CE">
        <w:rPr>
          <w:rStyle w:val="fontstyle01"/>
        </w:rPr>
        <w:t xml:space="preserve">claración de la información del AHHYC denominado San José en cuanto </w:t>
      </w:r>
      <w:r>
        <w:rPr>
          <w:sz w:val="22"/>
          <w:szCs w:val="22"/>
        </w:rPr>
        <w:t>a la clasificación del suelo</w:t>
      </w:r>
      <w:r w:rsidR="009136A8">
        <w:rPr>
          <w:sz w:val="22"/>
          <w:szCs w:val="22"/>
        </w:rPr>
        <w:t xml:space="preserve"> y </w:t>
      </w:r>
      <w:r w:rsidR="009136A8">
        <w:rPr>
          <w:rStyle w:val="fontstyle01"/>
        </w:rPr>
        <w:t>considera factible el cambio de uso de suelo y</w:t>
      </w:r>
      <w:r w:rsidR="009136A8">
        <w:rPr>
          <w:rFonts w:ascii="Times-Roman" w:hAnsi="Times-Roman"/>
          <w:color w:val="000000"/>
          <w:sz w:val="22"/>
          <w:szCs w:val="22"/>
        </w:rPr>
        <w:br/>
      </w:r>
      <w:r w:rsidR="009136A8">
        <w:rPr>
          <w:rStyle w:val="fontstyle01"/>
        </w:rPr>
        <w:t>edificabilidad (zonificación</w:t>
      </w:r>
      <w:r w:rsidR="009136A8" w:rsidRPr="009136A8">
        <w:rPr>
          <w:rStyle w:val="fontstyle01"/>
        </w:rPr>
        <w:t xml:space="preserve">) del Asentamiento Humano de Hecho y Consolidado </w:t>
      </w:r>
      <w:r w:rsidR="009136A8" w:rsidRPr="003B18F3">
        <w:rPr>
          <w:rStyle w:val="fontstyle21"/>
          <w:rFonts w:hint="eastAsia"/>
          <w:b w:val="0"/>
        </w:rPr>
        <w:t>“</w:t>
      </w:r>
      <w:r w:rsidR="009136A8" w:rsidRPr="003B18F3">
        <w:rPr>
          <w:rStyle w:val="fontstyle21"/>
          <w:b w:val="0"/>
        </w:rPr>
        <w:t>SAN</w:t>
      </w:r>
      <w:r w:rsidR="009136A8" w:rsidRPr="003B18F3">
        <w:rPr>
          <w:rFonts w:ascii="Times-Bold" w:hAnsi="Times-Bold"/>
          <w:bCs/>
          <w:color w:val="000000"/>
          <w:sz w:val="22"/>
          <w:szCs w:val="22"/>
        </w:rPr>
        <w:br/>
      </w:r>
      <w:r w:rsidR="009136A8" w:rsidRPr="003B18F3">
        <w:rPr>
          <w:rStyle w:val="fontstyle21"/>
          <w:b w:val="0"/>
        </w:rPr>
        <w:t>JOSE</w:t>
      </w:r>
      <w:r w:rsidR="009136A8" w:rsidRPr="003B18F3">
        <w:rPr>
          <w:rStyle w:val="fontstyle21"/>
          <w:rFonts w:hint="eastAsia"/>
          <w:b w:val="0"/>
        </w:rPr>
        <w:t>”</w:t>
      </w:r>
      <w:r w:rsidR="009136A8" w:rsidRPr="003B18F3">
        <w:rPr>
          <w:rStyle w:val="fontstyle21"/>
          <w:b w:val="0"/>
        </w:rPr>
        <w:t xml:space="preserve"> </w:t>
      </w:r>
      <w:r w:rsidR="009136A8" w:rsidRPr="009136A8">
        <w:rPr>
          <w:rStyle w:val="fontstyle01"/>
        </w:rPr>
        <w:t>a fin de que se contin</w:t>
      </w:r>
      <w:r w:rsidR="009136A8" w:rsidRPr="009136A8">
        <w:rPr>
          <w:rStyle w:val="fontstyle01"/>
          <w:rFonts w:hint="eastAsia"/>
        </w:rPr>
        <w:t>ú</w:t>
      </w:r>
      <w:r w:rsidR="009136A8" w:rsidRPr="009136A8">
        <w:rPr>
          <w:rStyle w:val="fontstyle01"/>
        </w:rPr>
        <w:t>e con</w:t>
      </w:r>
      <w:r w:rsidR="009136A8">
        <w:rPr>
          <w:rStyle w:val="fontstyle01"/>
        </w:rPr>
        <w:t xml:space="preserve"> el proceso de regularización correspondiente</w:t>
      </w:r>
      <w:r w:rsidRPr="00EE5CD3">
        <w:rPr>
          <w:sz w:val="22"/>
          <w:szCs w:val="22"/>
        </w:rPr>
        <w:t>.</w:t>
      </w:r>
    </w:p>
    <w:p w14:paraId="107D9B10" w14:textId="685236A9" w:rsidR="00466586" w:rsidRPr="001A5DCF" w:rsidRDefault="00466586" w:rsidP="00466586">
      <w:pPr>
        <w:pStyle w:val="NormalWeb"/>
        <w:shd w:val="clear" w:color="auto" w:fill="FFFFFF"/>
        <w:spacing w:line="276" w:lineRule="auto"/>
        <w:ind w:left="700" w:hanging="700"/>
        <w:jc w:val="both"/>
        <w:rPr>
          <w:bCs/>
          <w:sz w:val="22"/>
          <w:szCs w:val="22"/>
        </w:rPr>
      </w:pPr>
      <w:r w:rsidRPr="001A5DCF">
        <w:rPr>
          <w:b/>
          <w:bCs/>
          <w:sz w:val="22"/>
          <w:szCs w:val="22"/>
        </w:rPr>
        <w:t xml:space="preserve">Que, </w:t>
      </w:r>
      <w:r w:rsidRPr="001A5DCF">
        <w:rPr>
          <w:b/>
          <w:bCs/>
          <w:sz w:val="22"/>
          <w:szCs w:val="22"/>
        </w:rPr>
        <w:tab/>
      </w:r>
      <w:r w:rsidRPr="003652D6">
        <w:rPr>
          <w:bCs/>
          <w:sz w:val="22"/>
          <w:szCs w:val="22"/>
        </w:rPr>
        <w:t>mediante</w:t>
      </w:r>
      <w:r w:rsidRPr="001A5DCF">
        <w:rPr>
          <w:bCs/>
          <w:sz w:val="22"/>
          <w:szCs w:val="22"/>
        </w:rPr>
        <w:t xml:space="preserve"> decisión de la Comisión de Ordenamiento Territorial en sesión Ordinaria No. 014, de 10 de enero de 2020, se solicita la elaboración de un alcance al Informe Técnico contenido en el Informe </w:t>
      </w:r>
      <w:r w:rsidR="00AF5E43">
        <w:rPr>
          <w:sz w:val="22"/>
          <w:szCs w:val="22"/>
        </w:rPr>
        <w:t>N</w:t>
      </w:r>
      <w:r w:rsidR="00F54BE7">
        <w:rPr>
          <w:sz w:val="22"/>
          <w:szCs w:val="22"/>
        </w:rPr>
        <w:t>o.</w:t>
      </w:r>
      <w:r w:rsidR="00AF5E43">
        <w:rPr>
          <w:sz w:val="22"/>
          <w:szCs w:val="22"/>
        </w:rPr>
        <w:t xml:space="preserve"> 013</w:t>
      </w:r>
      <w:r w:rsidR="00E47B74" w:rsidRPr="001A5DCF">
        <w:rPr>
          <w:sz w:val="22"/>
          <w:szCs w:val="22"/>
        </w:rPr>
        <w:t>-UERB-</w:t>
      </w:r>
      <w:r w:rsidR="00AF5E43">
        <w:rPr>
          <w:sz w:val="22"/>
          <w:szCs w:val="22"/>
        </w:rPr>
        <w:t>AZLD-SOLT-2015, de 1</w:t>
      </w:r>
      <w:r w:rsidR="00E47B74" w:rsidRPr="001A5DCF">
        <w:rPr>
          <w:sz w:val="22"/>
          <w:szCs w:val="22"/>
        </w:rPr>
        <w:t xml:space="preserve">6 de </w:t>
      </w:r>
      <w:r w:rsidR="00AF5E43">
        <w:rPr>
          <w:sz w:val="22"/>
          <w:szCs w:val="22"/>
        </w:rPr>
        <w:t>dic</w:t>
      </w:r>
      <w:r w:rsidR="00E47B74" w:rsidRPr="001A5DCF">
        <w:rPr>
          <w:sz w:val="22"/>
          <w:szCs w:val="22"/>
        </w:rPr>
        <w:t>iembre del 2015,</w:t>
      </w:r>
      <w:r w:rsidRPr="001A5DCF">
        <w:rPr>
          <w:bCs/>
          <w:sz w:val="22"/>
          <w:szCs w:val="22"/>
        </w:rPr>
        <w:t xml:space="preserve"> para que se determinen todos los lotes inferiores a la zonificación propuesta como lotes por excepción;</w:t>
      </w:r>
    </w:p>
    <w:p w14:paraId="1999574F" w14:textId="01C0F66B" w:rsidR="00E47B74" w:rsidRPr="007B6303" w:rsidRDefault="00466586" w:rsidP="007B6303">
      <w:pPr>
        <w:pStyle w:val="NormalWeb"/>
        <w:shd w:val="clear" w:color="auto" w:fill="FFFFFF"/>
        <w:spacing w:line="276" w:lineRule="auto"/>
        <w:ind w:left="700" w:hanging="700"/>
        <w:jc w:val="both"/>
        <w:rPr>
          <w:sz w:val="22"/>
          <w:szCs w:val="22"/>
        </w:rPr>
      </w:pPr>
      <w:r w:rsidRPr="001A5DCF">
        <w:rPr>
          <w:b/>
          <w:bCs/>
          <w:sz w:val="22"/>
          <w:szCs w:val="22"/>
        </w:rPr>
        <w:t xml:space="preserve">Que, </w:t>
      </w:r>
      <w:r w:rsidRPr="001A5DCF">
        <w:rPr>
          <w:b/>
          <w:bCs/>
          <w:sz w:val="22"/>
          <w:szCs w:val="22"/>
        </w:rPr>
        <w:tab/>
      </w:r>
      <w:r w:rsidRPr="001A5DCF">
        <w:rPr>
          <w:bCs/>
          <w:sz w:val="22"/>
          <w:szCs w:val="22"/>
        </w:rPr>
        <w:t xml:space="preserve">mediante </w:t>
      </w:r>
      <w:r w:rsidRPr="003652D6">
        <w:rPr>
          <w:sz w:val="22"/>
          <w:szCs w:val="22"/>
        </w:rPr>
        <w:t>Informe</w:t>
      </w:r>
      <w:r w:rsidRPr="001A5DCF">
        <w:rPr>
          <w:sz w:val="22"/>
          <w:szCs w:val="22"/>
        </w:rPr>
        <w:t xml:space="preserve"> Técnico s/n de </w:t>
      </w:r>
      <w:r w:rsidR="00AF5E43">
        <w:rPr>
          <w:sz w:val="22"/>
          <w:szCs w:val="22"/>
        </w:rPr>
        <w:t>08</w:t>
      </w:r>
      <w:r w:rsidRPr="001A5DCF">
        <w:rPr>
          <w:sz w:val="22"/>
          <w:szCs w:val="22"/>
        </w:rPr>
        <w:t xml:space="preserve"> de </w:t>
      </w:r>
      <w:r w:rsidR="00AF5E43">
        <w:rPr>
          <w:sz w:val="22"/>
          <w:szCs w:val="22"/>
        </w:rPr>
        <w:t>junio</w:t>
      </w:r>
      <w:r w:rsidRPr="001A5DCF">
        <w:rPr>
          <w:sz w:val="22"/>
          <w:szCs w:val="22"/>
        </w:rPr>
        <w:t xml:space="preserve"> de 2020, emitido por l</w:t>
      </w:r>
      <w:r w:rsidR="00AF5E43">
        <w:rPr>
          <w:sz w:val="22"/>
          <w:szCs w:val="22"/>
        </w:rPr>
        <w:t>a Responsable Técnica</w:t>
      </w:r>
      <w:r w:rsidR="00E47B74" w:rsidRPr="001A5DCF">
        <w:rPr>
          <w:sz w:val="22"/>
          <w:szCs w:val="22"/>
        </w:rPr>
        <w:t xml:space="preserve"> </w:t>
      </w:r>
      <w:r w:rsidR="00AF5E43">
        <w:rPr>
          <w:sz w:val="22"/>
          <w:szCs w:val="22"/>
        </w:rPr>
        <w:t>de la UERB-AZLD</w:t>
      </w:r>
      <w:r w:rsidRPr="001A5DCF">
        <w:rPr>
          <w:sz w:val="22"/>
          <w:szCs w:val="22"/>
        </w:rPr>
        <w:t xml:space="preserve">, se realiza un alcance del Informe Técnico contenido en el Informe </w:t>
      </w:r>
      <w:r w:rsidR="00AF5E43">
        <w:rPr>
          <w:sz w:val="22"/>
          <w:szCs w:val="22"/>
        </w:rPr>
        <w:t>N</w:t>
      </w:r>
      <w:r w:rsidR="00F54BE7">
        <w:rPr>
          <w:sz w:val="22"/>
          <w:szCs w:val="22"/>
        </w:rPr>
        <w:t>o.</w:t>
      </w:r>
      <w:r w:rsidR="00AF5E43">
        <w:rPr>
          <w:sz w:val="22"/>
          <w:szCs w:val="22"/>
        </w:rPr>
        <w:t xml:space="preserve"> 013</w:t>
      </w:r>
      <w:r w:rsidR="00AF5E43" w:rsidRPr="001A5DCF">
        <w:rPr>
          <w:sz w:val="22"/>
          <w:szCs w:val="22"/>
        </w:rPr>
        <w:t>-UERB-</w:t>
      </w:r>
      <w:r w:rsidR="00AF5E43">
        <w:rPr>
          <w:sz w:val="22"/>
          <w:szCs w:val="22"/>
        </w:rPr>
        <w:t>AZLD-SOLT-2015, de 1</w:t>
      </w:r>
      <w:r w:rsidR="00AF5E43" w:rsidRPr="001A5DCF">
        <w:rPr>
          <w:sz w:val="22"/>
          <w:szCs w:val="22"/>
        </w:rPr>
        <w:t xml:space="preserve">6 de </w:t>
      </w:r>
      <w:r w:rsidR="00AF5E43">
        <w:rPr>
          <w:sz w:val="22"/>
          <w:szCs w:val="22"/>
        </w:rPr>
        <w:t>dic</w:t>
      </w:r>
      <w:r w:rsidR="00AF5E43" w:rsidRPr="001A5DCF">
        <w:rPr>
          <w:sz w:val="22"/>
          <w:szCs w:val="22"/>
        </w:rPr>
        <w:t>iembre del 2015</w:t>
      </w:r>
      <w:r w:rsidR="00E47B74" w:rsidRPr="001A5DCF">
        <w:rPr>
          <w:sz w:val="22"/>
          <w:szCs w:val="22"/>
        </w:rPr>
        <w:t xml:space="preserve">, </w:t>
      </w:r>
      <w:r w:rsidRPr="001A5DCF">
        <w:rPr>
          <w:sz w:val="22"/>
          <w:szCs w:val="22"/>
        </w:rPr>
        <w:t xml:space="preserve">conforme al Artículo </w:t>
      </w:r>
      <w:r w:rsidRPr="001A5DCF">
        <w:rPr>
          <w:bCs/>
          <w:sz w:val="22"/>
          <w:szCs w:val="22"/>
        </w:rPr>
        <w:t xml:space="preserve">IV.7.43 de la Ordenanza No. 001 de 29 de marzo de 2019, se </w:t>
      </w:r>
      <w:r w:rsidR="00E425C2" w:rsidRPr="001A5DCF">
        <w:rPr>
          <w:bCs/>
          <w:sz w:val="22"/>
          <w:szCs w:val="22"/>
        </w:rPr>
        <w:t>determinan los</w:t>
      </w:r>
      <w:r w:rsidRPr="001A5DCF">
        <w:rPr>
          <w:bCs/>
          <w:sz w:val="22"/>
          <w:szCs w:val="22"/>
        </w:rPr>
        <w:t xml:space="preserve"> lotes por excepción a todos aquellos lotes que tengan una superficie inferior a la zonificación propuesta.</w:t>
      </w:r>
    </w:p>
    <w:p w14:paraId="19B7A6E8" w14:textId="77777777" w:rsidR="00D625C6" w:rsidRPr="001A5DCF" w:rsidRDefault="00D625C6" w:rsidP="002B4901">
      <w:pPr>
        <w:spacing w:after="240" w:line="276" w:lineRule="auto"/>
        <w:jc w:val="both"/>
        <w:rPr>
          <w:b/>
          <w:sz w:val="22"/>
          <w:szCs w:val="22"/>
        </w:rPr>
      </w:pPr>
      <w:r w:rsidRPr="001A5DCF">
        <w:rPr>
          <w:b/>
          <w:sz w:val="22"/>
          <w:szCs w:val="22"/>
        </w:rPr>
        <w:t>En ejercicio de sus atribuciones legales constantes en los artículos 30, 31</w:t>
      </w:r>
      <w:r w:rsidR="002D7709" w:rsidRPr="001A5DCF">
        <w:rPr>
          <w:b/>
          <w:sz w:val="22"/>
          <w:szCs w:val="22"/>
        </w:rPr>
        <w:t xml:space="preserve">, </w:t>
      </w:r>
      <w:r w:rsidRPr="001A5DCF">
        <w:rPr>
          <w:b/>
          <w:sz w:val="22"/>
          <w:szCs w:val="22"/>
        </w:rPr>
        <w:t xml:space="preserve">240 numerales 1 y 2 </w:t>
      </w:r>
      <w:r w:rsidR="002D7709" w:rsidRPr="001A5DCF">
        <w:rPr>
          <w:b/>
          <w:sz w:val="22"/>
          <w:szCs w:val="22"/>
        </w:rPr>
        <w:t xml:space="preserve">y 266 </w:t>
      </w:r>
      <w:r w:rsidRPr="001A5DCF">
        <w:rPr>
          <w:b/>
          <w:sz w:val="22"/>
          <w:szCs w:val="22"/>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358ADF29" w14:textId="77777777" w:rsidR="00361728" w:rsidRPr="001A5DCF" w:rsidRDefault="00361728" w:rsidP="00361728">
      <w:pPr>
        <w:spacing w:after="240" w:line="276" w:lineRule="auto"/>
        <w:jc w:val="center"/>
        <w:rPr>
          <w:b/>
          <w:bCs/>
          <w:sz w:val="22"/>
          <w:szCs w:val="22"/>
        </w:rPr>
      </w:pPr>
      <w:r w:rsidRPr="001A5DCF">
        <w:rPr>
          <w:b/>
          <w:sz w:val="22"/>
          <w:szCs w:val="22"/>
        </w:rPr>
        <w:t>EXPIDE LA SIGUIENTE:</w:t>
      </w:r>
    </w:p>
    <w:p w14:paraId="387BF227" w14:textId="098D91A2" w:rsidR="00313BCA" w:rsidRPr="00164F14" w:rsidRDefault="00F75497" w:rsidP="00313BCA">
      <w:pPr>
        <w:pStyle w:val="Ttulo7"/>
        <w:spacing w:before="0" w:after="240" w:line="276" w:lineRule="auto"/>
        <w:jc w:val="center"/>
        <w:rPr>
          <w:rFonts w:ascii="Times New Roman" w:hAnsi="Times New Roman"/>
          <w:b/>
          <w:bCs/>
          <w:color w:val="000000" w:themeColor="text1"/>
          <w:sz w:val="22"/>
          <w:szCs w:val="22"/>
        </w:rPr>
      </w:pPr>
      <w:r w:rsidRPr="001A5DCF">
        <w:rPr>
          <w:rFonts w:ascii="Times New Roman" w:hAnsi="Times New Roman"/>
          <w:b/>
          <w:bCs/>
          <w:sz w:val="22"/>
          <w:szCs w:val="22"/>
        </w:rPr>
        <w:t>ORDENANZA QUE APRUEBA E</w:t>
      </w:r>
      <w:r w:rsidRPr="001A5DCF">
        <w:rPr>
          <w:rFonts w:ascii="Times New Roman" w:hAnsi="Times New Roman"/>
          <w:b/>
          <w:bCs/>
          <w:color w:val="000000" w:themeColor="text1"/>
          <w:sz w:val="22"/>
          <w:szCs w:val="22"/>
        </w:rPr>
        <w:t xml:space="preserve">L </w:t>
      </w:r>
      <w:r w:rsidR="00363A17" w:rsidRPr="001A5DCF">
        <w:rPr>
          <w:rFonts w:ascii="Times New Roman" w:hAnsi="Times New Roman"/>
          <w:b/>
          <w:bCs/>
          <w:color w:val="000000" w:themeColor="text1"/>
          <w:sz w:val="22"/>
          <w:szCs w:val="22"/>
        </w:rPr>
        <w:t xml:space="preserve">PROCESO </w:t>
      </w:r>
      <w:r w:rsidR="00D625C6" w:rsidRPr="001A5DCF">
        <w:rPr>
          <w:rFonts w:ascii="Times New Roman" w:hAnsi="Times New Roman"/>
          <w:b/>
          <w:bCs/>
          <w:color w:val="000000" w:themeColor="text1"/>
          <w:sz w:val="22"/>
          <w:szCs w:val="22"/>
        </w:rPr>
        <w:t xml:space="preserve">INTEGRAL </w:t>
      </w:r>
      <w:r w:rsidR="00363A17" w:rsidRPr="001A5DCF">
        <w:rPr>
          <w:rFonts w:ascii="Times New Roman" w:hAnsi="Times New Roman"/>
          <w:b/>
          <w:bCs/>
          <w:color w:val="000000" w:themeColor="text1"/>
          <w:sz w:val="22"/>
          <w:szCs w:val="22"/>
        </w:rPr>
        <w:t xml:space="preserve">DE REGULARIZACION DEL </w:t>
      </w:r>
      <w:r w:rsidR="00A57A06">
        <w:rPr>
          <w:rFonts w:ascii="Times New Roman" w:hAnsi="Times New Roman"/>
          <w:b/>
          <w:bCs/>
          <w:color w:val="000000" w:themeColor="text1"/>
          <w:sz w:val="22"/>
          <w:szCs w:val="22"/>
        </w:rPr>
        <w:t xml:space="preserve">ASENTAMIENTO </w:t>
      </w:r>
      <w:r w:rsidR="009767B8">
        <w:rPr>
          <w:rFonts w:ascii="Times New Roman" w:hAnsi="Times New Roman"/>
          <w:b/>
          <w:bCs/>
          <w:color w:val="000000" w:themeColor="text1"/>
          <w:sz w:val="22"/>
          <w:szCs w:val="22"/>
        </w:rPr>
        <w:t xml:space="preserve"> HUMANO DE HECHO Y CONSOLIDADO DE INTERÉS SOCIAL</w:t>
      </w:r>
      <w:r w:rsidRPr="001A5DCF">
        <w:rPr>
          <w:rFonts w:ascii="Times New Roman" w:hAnsi="Times New Roman"/>
          <w:b/>
          <w:bCs/>
          <w:sz w:val="22"/>
          <w:szCs w:val="22"/>
        </w:rPr>
        <w:t xml:space="preserve"> DENOMINADO </w:t>
      </w:r>
      <w:r w:rsidR="00164F14">
        <w:rPr>
          <w:rFonts w:ascii="Times New Roman" w:hAnsi="Times New Roman"/>
          <w:b/>
          <w:bCs/>
          <w:sz w:val="22"/>
          <w:szCs w:val="22"/>
        </w:rPr>
        <w:t>COMITÉ PRO</w:t>
      </w:r>
      <w:r w:rsidR="005805A7">
        <w:rPr>
          <w:rFonts w:ascii="Times New Roman" w:hAnsi="Times New Roman"/>
          <w:b/>
          <w:bCs/>
          <w:sz w:val="22"/>
          <w:szCs w:val="22"/>
        </w:rPr>
        <w:t xml:space="preserve"> </w:t>
      </w:r>
      <w:r w:rsidR="00164F14">
        <w:rPr>
          <w:rFonts w:ascii="Times New Roman" w:hAnsi="Times New Roman"/>
          <w:b/>
          <w:bCs/>
          <w:sz w:val="22"/>
          <w:szCs w:val="22"/>
        </w:rPr>
        <w:t xml:space="preserve">MEJORAS DEL BARRIO </w:t>
      </w:r>
      <w:r w:rsidR="00164F14">
        <w:rPr>
          <w:rFonts w:ascii="Times New Roman" w:hAnsi="Times New Roman"/>
          <w:b/>
          <w:sz w:val="22"/>
          <w:szCs w:val="22"/>
        </w:rPr>
        <w:t xml:space="preserve">“SAN </w:t>
      </w:r>
      <w:r w:rsidR="00164F14" w:rsidRPr="00164F14">
        <w:rPr>
          <w:rFonts w:ascii="Times New Roman" w:hAnsi="Times New Roman"/>
          <w:b/>
          <w:bCs/>
          <w:color w:val="000000" w:themeColor="text1"/>
          <w:sz w:val="22"/>
          <w:szCs w:val="22"/>
        </w:rPr>
        <w:t>JOSÉ</w:t>
      </w:r>
      <w:r w:rsidR="006D12CF" w:rsidRPr="00164F14">
        <w:rPr>
          <w:rFonts w:ascii="Times New Roman" w:hAnsi="Times New Roman"/>
          <w:b/>
          <w:bCs/>
          <w:color w:val="000000" w:themeColor="text1"/>
          <w:sz w:val="22"/>
          <w:szCs w:val="22"/>
        </w:rPr>
        <w:t>”</w:t>
      </w:r>
      <w:r w:rsidR="00164F14" w:rsidRPr="00164F14">
        <w:rPr>
          <w:rFonts w:ascii="Times New Roman" w:hAnsi="Times New Roman"/>
          <w:b/>
          <w:bCs/>
          <w:color w:val="000000" w:themeColor="text1"/>
          <w:sz w:val="22"/>
          <w:szCs w:val="22"/>
        </w:rPr>
        <w:t>, A FAVOR DE SUS COPROPIETARIOS</w:t>
      </w:r>
    </w:p>
    <w:p w14:paraId="30C64521" w14:textId="37F5DF0D" w:rsidR="00363A17" w:rsidRPr="001A5DCF" w:rsidRDefault="00363A17" w:rsidP="00AB03FD">
      <w:pPr>
        <w:pStyle w:val="Ttulo7"/>
        <w:spacing w:before="0" w:after="240" w:line="276" w:lineRule="auto"/>
        <w:jc w:val="both"/>
        <w:rPr>
          <w:rFonts w:ascii="Times New Roman" w:hAnsi="Times New Roman"/>
          <w:sz w:val="22"/>
          <w:szCs w:val="22"/>
        </w:rPr>
      </w:pPr>
      <w:r w:rsidRPr="001A5DCF">
        <w:rPr>
          <w:rFonts w:ascii="Times New Roman" w:hAnsi="Times New Roman"/>
          <w:b/>
          <w:sz w:val="22"/>
          <w:szCs w:val="22"/>
        </w:rPr>
        <w:t>Articulo 1.- Objeto.-</w:t>
      </w:r>
      <w:r w:rsidRPr="001A5DCF">
        <w:rPr>
          <w:rFonts w:ascii="Times New Roman" w:hAnsi="Times New Roman"/>
          <w:sz w:val="22"/>
          <w:szCs w:val="22"/>
        </w:rPr>
        <w:t xml:space="preserve"> </w:t>
      </w:r>
      <w:r w:rsidR="002068FD" w:rsidRPr="001A5DCF">
        <w:rPr>
          <w:rFonts w:ascii="Times New Roman" w:hAnsi="Times New Roman"/>
          <w:sz w:val="22"/>
          <w:szCs w:val="22"/>
        </w:rPr>
        <w:t>La presente ordenanza tiene por objeto r</w:t>
      </w:r>
      <w:r w:rsidR="00AB03FD" w:rsidRPr="001A5DCF">
        <w:rPr>
          <w:rFonts w:ascii="Times New Roman" w:hAnsi="Times New Roman"/>
          <w:sz w:val="22"/>
          <w:szCs w:val="22"/>
        </w:rPr>
        <w:t xml:space="preserve">econocer y aprobar el </w:t>
      </w:r>
      <w:r w:rsidRPr="001A5DCF">
        <w:rPr>
          <w:rFonts w:ascii="Times New Roman" w:hAnsi="Times New Roman"/>
          <w:sz w:val="22"/>
          <w:szCs w:val="22"/>
        </w:rPr>
        <w:t>fraccionamiento de</w:t>
      </w:r>
      <w:r w:rsidR="00EB2BCE" w:rsidRPr="001A5DCF">
        <w:rPr>
          <w:rFonts w:ascii="Times New Roman" w:hAnsi="Times New Roman"/>
          <w:sz w:val="22"/>
          <w:szCs w:val="22"/>
        </w:rPr>
        <w:t xml:space="preserve"> </w:t>
      </w:r>
      <w:r w:rsidR="00094F57" w:rsidRPr="001A5DCF">
        <w:rPr>
          <w:rFonts w:ascii="Times New Roman" w:hAnsi="Times New Roman"/>
          <w:sz w:val="22"/>
          <w:szCs w:val="22"/>
        </w:rPr>
        <w:t>l</w:t>
      </w:r>
      <w:r w:rsidR="00EB2BCE" w:rsidRPr="001A5DCF">
        <w:rPr>
          <w:rFonts w:ascii="Times New Roman" w:hAnsi="Times New Roman"/>
          <w:sz w:val="22"/>
          <w:szCs w:val="22"/>
        </w:rPr>
        <w:t>os</w:t>
      </w:r>
      <w:r w:rsidRPr="001A5DCF">
        <w:rPr>
          <w:rFonts w:ascii="Times New Roman" w:hAnsi="Times New Roman"/>
          <w:sz w:val="22"/>
          <w:szCs w:val="22"/>
        </w:rPr>
        <w:t xml:space="preserve"> predio</w:t>
      </w:r>
      <w:r w:rsidR="00EB2BCE" w:rsidRPr="001A5DCF">
        <w:rPr>
          <w:rFonts w:ascii="Times New Roman" w:hAnsi="Times New Roman"/>
          <w:sz w:val="22"/>
          <w:szCs w:val="22"/>
        </w:rPr>
        <w:t>s</w:t>
      </w:r>
      <w:r w:rsidRPr="001A5DCF">
        <w:rPr>
          <w:rFonts w:ascii="Times New Roman" w:hAnsi="Times New Roman"/>
          <w:sz w:val="22"/>
          <w:szCs w:val="22"/>
        </w:rPr>
        <w:t xml:space="preserve"> </w:t>
      </w:r>
      <w:r w:rsidR="00164F14" w:rsidRPr="00164F14">
        <w:rPr>
          <w:rFonts w:ascii="Times New Roman" w:hAnsi="Times New Roman"/>
          <w:sz w:val="22"/>
          <w:szCs w:val="22"/>
        </w:rPr>
        <w:t>5205471</w:t>
      </w:r>
      <w:r w:rsidRPr="001A5DCF">
        <w:rPr>
          <w:rFonts w:ascii="Times New Roman" w:hAnsi="Times New Roman"/>
          <w:sz w:val="22"/>
          <w:szCs w:val="22"/>
        </w:rPr>
        <w:t xml:space="preserve">, </w:t>
      </w:r>
      <w:r w:rsidR="00164F14" w:rsidRPr="00164F14">
        <w:rPr>
          <w:rFonts w:ascii="Times New Roman" w:hAnsi="Times New Roman"/>
          <w:sz w:val="22"/>
          <w:szCs w:val="22"/>
        </w:rPr>
        <w:t>5205472</w:t>
      </w:r>
      <w:r w:rsidR="00E47B74" w:rsidRPr="00164F14">
        <w:rPr>
          <w:rFonts w:ascii="Times New Roman" w:hAnsi="Times New Roman"/>
          <w:sz w:val="22"/>
          <w:szCs w:val="22"/>
        </w:rPr>
        <w:t xml:space="preserve">, </w:t>
      </w:r>
      <w:r w:rsidR="00164F14" w:rsidRPr="00164F14">
        <w:rPr>
          <w:rFonts w:ascii="Times New Roman" w:hAnsi="Times New Roman"/>
          <w:sz w:val="22"/>
          <w:szCs w:val="22"/>
        </w:rPr>
        <w:t>5205473</w:t>
      </w:r>
      <w:r w:rsidR="00E47B74" w:rsidRPr="00164F14">
        <w:rPr>
          <w:rFonts w:ascii="Times New Roman" w:hAnsi="Times New Roman"/>
          <w:sz w:val="22"/>
          <w:szCs w:val="22"/>
        </w:rPr>
        <w:t xml:space="preserve">, </w:t>
      </w:r>
      <w:r w:rsidR="00164F14" w:rsidRPr="00164F14">
        <w:rPr>
          <w:rFonts w:ascii="Times New Roman" w:hAnsi="Times New Roman"/>
          <w:sz w:val="22"/>
          <w:szCs w:val="22"/>
        </w:rPr>
        <w:t>5205474</w:t>
      </w:r>
      <w:r w:rsidR="00E47B74" w:rsidRPr="00164F14">
        <w:rPr>
          <w:rFonts w:ascii="Times New Roman" w:hAnsi="Times New Roman"/>
          <w:sz w:val="22"/>
          <w:szCs w:val="22"/>
        </w:rPr>
        <w:t>,</w:t>
      </w:r>
      <w:r w:rsidR="00164F14" w:rsidRPr="00164F14">
        <w:rPr>
          <w:rFonts w:ascii="Times New Roman" w:hAnsi="Times New Roman"/>
          <w:sz w:val="22"/>
          <w:szCs w:val="22"/>
        </w:rPr>
        <w:t xml:space="preserve"> 5205476, 5205477, 5205478</w:t>
      </w:r>
      <w:r w:rsidR="00AB70B8">
        <w:rPr>
          <w:rFonts w:ascii="Times New Roman" w:hAnsi="Times New Roman"/>
          <w:sz w:val="22"/>
          <w:szCs w:val="22"/>
        </w:rPr>
        <w:t xml:space="preserve"> y</w:t>
      </w:r>
      <w:r w:rsidR="00DE17A9">
        <w:rPr>
          <w:rFonts w:ascii="Times New Roman" w:hAnsi="Times New Roman"/>
          <w:sz w:val="22"/>
          <w:szCs w:val="22"/>
        </w:rPr>
        <w:t xml:space="preserve"> </w:t>
      </w:r>
      <w:r w:rsidR="00164F14" w:rsidRPr="00164F14">
        <w:rPr>
          <w:rFonts w:ascii="Times New Roman" w:hAnsi="Times New Roman"/>
          <w:sz w:val="22"/>
          <w:szCs w:val="22"/>
        </w:rPr>
        <w:t>5205479</w:t>
      </w:r>
      <w:r w:rsidR="00AB70B8">
        <w:rPr>
          <w:rFonts w:ascii="Times New Roman" w:hAnsi="Times New Roman"/>
          <w:sz w:val="22"/>
          <w:szCs w:val="22"/>
        </w:rPr>
        <w:t>,</w:t>
      </w:r>
      <w:r w:rsidR="00E47B74" w:rsidRPr="007B6303">
        <w:rPr>
          <w:rFonts w:ascii="Times New Roman" w:hAnsi="Times New Roman"/>
          <w:bCs/>
          <w:sz w:val="22"/>
          <w:szCs w:val="22"/>
          <w:lang w:val="es-EC" w:eastAsia="en-US"/>
        </w:rPr>
        <w:t xml:space="preserve"> </w:t>
      </w:r>
      <w:r w:rsidR="00D250E2" w:rsidRPr="001A5DCF">
        <w:rPr>
          <w:rFonts w:ascii="Times New Roman" w:hAnsi="Times New Roman"/>
          <w:sz w:val="22"/>
          <w:szCs w:val="22"/>
        </w:rPr>
        <w:t xml:space="preserve">sus </w:t>
      </w:r>
      <w:r w:rsidR="00164F14">
        <w:rPr>
          <w:rFonts w:ascii="Times New Roman" w:hAnsi="Times New Roman"/>
          <w:sz w:val="22"/>
          <w:szCs w:val="22"/>
        </w:rPr>
        <w:t>pasajes</w:t>
      </w:r>
      <w:r w:rsidR="00D250E2" w:rsidRPr="001A5DCF">
        <w:rPr>
          <w:rFonts w:ascii="Times New Roman" w:hAnsi="Times New Roman"/>
          <w:sz w:val="22"/>
          <w:szCs w:val="22"/>
        </w:rPr>
        <w:t xml:space="preserve"> y </w:t>
      </w:r>
      <w:r w:rsidR="00C47F2C" w:rsidRPr="001A5DCF">
        <w:rPr>
          <w:rFonts w:ascii="Times New Roman" w:hAnsi="Times New Roman"/>
          <w:sz w:val="22"/>
          <w:szCs w:val="22"/>
        </w:rPr>
        <w:t xml:space="preserve">modificar </w:t>
      </w:r>
      <w:r w:rsidR="00E83880">
        <w:rPr>
          <w:rFonts w:ascii="Times New Roman" w:hAnsi="Times New Roman"/>
          <w:sz w:val="22"/>
          <w:szCs w:val="22"/>
        </w:rPr>
        <w:t>la</w:t>
      </w:r>
      <w:r w:rsidR="00E83880" w:rsidRPr="001A5DCF">
        <w:rPr>
          <w:rFonts w:ascii="Times New Roman" w:hAnsi="Times New Roman"/>
          <w:sz w:val="22"/>
          <w:szCs w:val="22"/>
        </w:rPr>
        <w:t xml:space="preserve"> </w:t>
      </w:r>
      <w:r w:rsidRPr="001A5DCF">
        <w:rPr>
          <w:rFonts w:ascii="Times New Roman" w:hAnsi="Times New Roman"/>
          <w:sz w:val="22"/>
          <w:szCs w:val="22"/>
        </w:rPr>
        <w:t>zo</w:t>
      </w:r>
      <w:r w:rsidR="009856E7" w:rsidRPr="001A5DCF">
        <w:rPr>
          <w:rFonts w:ascii="Times New Roman" w:hAnsi="Times New Roman"/>
          <w:sz w:val="22"/>
          <w:szCs w:val="22"/>
        </w:rPr>
        <w:t>nificación</w:t>
      </w:r>
      <w:r w:rsidR="00D250E2" w:rsidRPr="001A5DCF">
        <w:rPr>
          <w:rFonts w:ascii="Times New Roman" w:hAnsi="Times New Roman"/>
          <w:sz w:val="22"/>
          <w:szCs w:val="22"/>
        </w:rPr>
        <w:t xml:space="preserve"> </w:t>
      </w:r>
      <w:r w:rsidRPr="001A5DCF">
        <w:rPr>
          <w:rFonts w:ascii="Times New Roman" w:hAnsi="Times New Roman"/>
          <w:sz w:val="22"/>
          <w:szCs w:val="22"/>
        </w:rPr>
        <w:t>sobre l</w:t>
      </w:r>
      <w:r w:rsidR="00AB70B8">
        <w:rPr>
          <w:rFonts w:ascii="Times New Roman" w:hAnsi="Times New Roman"/>
          <w:sz w:val="22"/>
          <w:szCs w:val="22"/>
        </w:rPr>
        <w:t>a</w:t>
      </w:r>
      <w:r w:rsidRPr="001A5DCF">
        <w:rPr>
          <w:rFonts w:ascii="Times New Roman" w:hAnsi="Times New Roman"/>
          <w:sz w:val="22"/>
          <w:szCs w:val="22"/>
        </w:rPr>
        <w:t xml:space="preserve"> que se encuentra e</w:t>
      </w:r>
      <w:r w:rsidR="001A5E4E" w:rsidRPr="001A5DCF">
        <w:rPr>
          <w:rFonts w:ascii="Times New Roman" w:hAnsi="Times New Roman"/>
          <w:sz w:val="22"/>
          <w:szCs w:val="22"/>
        </w:rPr>
        <w:t xml:space="preserve">l </w:t>
      </w:r>
      <w:r w:rsidR="00A57A06">
        <w:rPr>
          <w:rFonts w:ascii="Times New Roman" w:hAnsi="Times New Roman"/>
          <w:sz w:val="22"/>
          <w:szCs w:val="22"/>
        </w:rPr>
        <w:t xml:space="preserve">asentamiento </w:t>
      </w:r>
      <w:r w:rsidR="009767B8">
        <w:rPr>
          <w:rFonts w:ascii="Times New Roman" w:hAnsi="Times New Roman"/>
          <w:sz w:val="22"/>
          <w:szCs w:val="22"/>
        </w:rPr>
        <w:t xml:space="preserve"> humano de hecho y consolidado de interés social</w:t>
      </w:r>
      <w:r w:rsidR="00E62A62" w:rsidRPr="001A5DCF">
        <w:rPr>
          <w:rFonts w:ascii="Times New Roman" w:hAnsi="Times New Roman"/>
          <w:sz w:val="22"/>
          <w:szCs w:val="22"/>
        </w:rPr>
        <w:t xml:space="preserve"> </w:t>
      </w:r>
      <w:r w:rsidR="009767B8">
        <w:rPr>
          <w:rFonts w:ascii="Times New Roman" w:hAnsi="Times New Roman"/>
          <w:sz w:val="22"/>
          <w:szCs w:val="22"/>
        </w:rPr>
        <w:t>denominado Comité Pro</w:t>
      </w:r>
      <w:r w:rsidR="005805A7">
        <w:rPr>
          <w:rFonts w:ascii="Times New Roman" w:hAnsi="Times New Roman"/>
          <w:sz w:val="22"/>
          <w:szCs w:val="22"/>
        </w:rPr>
        <w:t xml:space="preserve"> </w:t>
      </w:r>
      <w:r w:rsidR="009767B8">
        <w:rPr>
          <w:rFonts w:ascii="Times New Roman" w:hAnsi="Times New Roman"/>
          <w:sz w:val="22"/>
          <w:szCs w:val="22"/>
        </w:rPr>
        <w:t>mejoras del Barrio “San José”</w:t>
      </w:r>
      <w:r w:rsidR="00E47B74" w:rsidRPr="007B6303">
        <w:rPr>
          <w:rFonts w:ascii="Times New Roman" w:hAnsi="Times New Roman"/>
          <w:bCs/>
          <w:sz w:val="22"/>
          <w:szCs w:val="22"/>
        </w:rPr>
        <w:t>,</w:t>
      </w:r>
      <w:r w:rsidR="00E47B74" w:rsidRPr="007B6303">
        <w:rPr>
          <w:rFonts w:ascii="Times New Roman" w:hAnsi="Times New Roman"/>
          <w:b/>
          <w:sz w:val="22"/>
          <w:szCs w:val="22"/>
        </w:rPr>
        <w:t xml:space="preserve"> </w:t>
      </w:r>
      <w:r w:rsidR="00E47B74" w:rsidRPr="007B6303">
        <w:rPr>
          <w:rFonts w:ascii="Times New Roman" w:hAnsi="Times New Roman"/>
          <w:sz w:val="22"/>
          <w:szCs w:val="22"/>
        </w:rPr>
        <w:t xml:space="preserve"> </w:t>
      </w:r>
      <w:r w:rsidR="001A5E4E" w:rsidRPr="001A5DCF">
        <w:rPr>
          <w:rFonts w:ascii="Times New Roman" w:hAnsi="Times New Roman"/>
          <w:sz w:val="22"/>
          <w:szCs w:val="22"/>
        </w:rPr>
        <w:t>a</w:t>
      </w:r>
      <w:r w:rsidRPr="001A5DCF">
        <w:rPr>
          <w:rFonts w:ascii="Times New Roman" w:hAnsi="Times New Roman"/>
          <w:sz w:val="22"/>
          <w:szCs w:val="22"/>
        </w:rPr>
        <w:t xml:space="preserve"> </w:t>
      </w:r>
      <w:r w:rsidR="00BF73D8" w:rsidRPr="001A5DCF">
        <w:rPr>
          <w:rFonts w:ascii="Times New Roman" w:hAnsi="Times New Roman"/>
          <w:sz w:val="22"/>
          <w:szCs w:val="22"/>
        </w:rPr>
        <w:t>f</w:t>
      </w:r>
      <w:r w:rsidRPr="001A5DCF">
        <w:rPr>
          <w:rFonts w:ascii="Times New Roman" w:hAnsi="Times New Roman"/>
          <w:sz w:val="22"/>
          <w:szCs w:val="22"/>
        </w:rPr>
        <w:t xml:space="preserve">avor </w:t>
      </w:r>
      <w:r w:rsidR="00BF73D8" w:rsidRPr="001A5DCF">
        <w:rPr>
          <w:rFonts w:ascii="Times New Roman" w:hAnsi="Times New Roman"/>
          <w:sz w:val="22"/>
          <w:szCs w:val="22"/>
        </w:rPr>
        <w:t>d</w:t>
      </w:r>
      <w:r w:rsidRPr="001A5DCF">
        <w:rPr>
          <w:rFonts w:ascii="Times New Roman" w:hAnsi="Times New Roman"/>
          <w:sz w:val="22"/>
          <w:szCs w:val="22"/>
        </w:rPr>
        <w:t xml:space="preserve">e </w:t>
      </w:r>
      <w:r w:rsidR="00BF73D8" w:rsidRPr="001A5DCF">
        <w:rPr>
          <w:rFonts w:ascii="Times New Roman" w:hAnsi="Times New Roman"/>
          <w:sz w:val="22"/>
          <w:szCs w:val="22"/>
        </w:rPr>
        <w:t>s</w:t>
      </w:r>
      <w:r w:rsidRPr="001A5DCF">
        <w:rPr>
          <w:rFonts w:ascii="Times New Roman" w:hAnsi="Times New Roman"/>
          <w:sz w:val="22"/>
          <w:szCs w:val="22"/>
        </w:rPr>
        <w:t xml:space="preserve">us </w:t>
      </w:r>
      <w:r w:rsidR="005805A7">
        <w:rPr>
          <w:rFonts w:ascii="Times New Roman" w:hAnsi="Times New Roman"/>
          <w:sz w:val="22"/>
          <w:szCs w:val="22"/>
        </w:rPr>
        <w:t>co</w:t>
      </w:r>
      <w:r w:rsidR="00313BCA" w:rsidRPr="001A5DCF">
        <w:rPr>
          <w:rFonts w:ascii="Times New Roman" w:hAnsi="Times New Roman"/>
          <w:sz w:val="22"/>
          <w:szCs w:val="22"/>
        </w:rPr>
        <w:t>propietarios.</w:t>
      </w:r>
    </w:p>
    <w:p w14:paraId="4156DD21" w14:textId="77EF9F30" w:rsidR="005C7A32" w:rsidRPr="001A5DCF" w:rsidRDefault="00361728" w:rsidP="00B41768">
      <w:pPr>
        <w:spacing w:after="240" w:line="276" w:lineRule="auto"/>
        <w:jc w:val="both"/>
        <w:rPr>
          <w:sz w:val="22"/>
          <w:szCs w:val="22"/>
        </w:rPr>
      </w:pPr>
      <w:r w:rsidRPr="001A5DCF">
        <w:rPr>
          <w:b/>
          <w:sz w:val="22"/>
          <w:szCs w:val="22"/>
        </w:rPr>
        <w:t xml:space="preserve">Artículo </w:t>
      </w:r>
      <w:r w:rsidR="00363A17" w:rsidRPr="001A5DCF">
        <w:rPr>
          <w:b/>
          <w:sz w:val="22"/>
          <w:szCs w:val="22"/>
        </w:rPr>
        <w:t>2</w:t>
      </w:r>
      <w:r w:rsidRPr="001A5DCF">
        <w:rPr>
          <w:b/>
          <w:sz w:val="22"/>
          <w:szCs w:val="22"/>
        </w:rPr>
        <w:t>.- De los planos y documentos presentados.-</w:t>
      </w:r>
      <w:r w:rsidRPr="001A5DCF">
        <w:rPr>
          <w:sz w:val="22"/>
          <w:szCs w:val="22"/>
        </w:rPr>
        <w:t xml:space="preserve"> </w:t>
      </w:r>
      <w:r w:rsidR="00596910" w:rsidRPr="001A5DCF">
        <w:rPr>
          <w:sz w:val="22"/>
          <w:szCs w:val="22"/>
        </w:rPr>
        <w:t>Los planos y documentos presentados</w:t>
      </w:r>
      <w:r w:rsidR="002068FD" w:rsidRPr="001A5DCF">
        <w:rPr>
          <w:sz w:val="22"/>
          <w:szCs w:val="22"/>
        </w:rPr>
        <w:t xml:space="preserve"> para la aprobación del presente acto normativo</w:t>
      </w:r>
      <w:r w:rsidR="00596910" w:rsidRPr="001A5DCF">
        <w:rPr>
          <w:sz w:val="22"/>
          <w:szCs w:val="22"/>
        </w:rPr>
        <w:t xml:space="preserve"> son de exclusiva responsabilidad del proyectista y d</w:t>
      </w:r>
      <w:r w:rsidR="00B23F85" w:rsidRPr="001A5DCF">
        <w:rPr>
          <w:sz w:val="22"/>
          <w:szCs w:val="22"/>
        </w:rPr>
        <w:t xml:space="preserve">e los </w:t>
      </w:r>
      <w:r w:rsidR="00596910" w:rsidRPr="001A5DCF">
        <w:rPr>
          <w:sz w:val="22"/>
          <w:szCs w:val="22"/>
        </w:rPr>
        <w:t xml:space="preserve">propietarios del </w:t>
      </w:r>
      <w:r w:rsidR="00A57A06">
        <w:rPr>
          <w:sz w:val="22"/>
          <w:szCs w:val="22"/>
        </w:rPr>
        <w:t xml:space="preserve">asentamiento </w:t>
      </w:r>
      <w:r w:rsidR="009767B8">
        <w:rPr>
          <w:sz w:val="22"/>
          <w:szCs w:val="22"/>
        </w:rPr>
        <w:t xml:space="preserve"> humano de hecho y consolidado de interés social</w:t>
      </w:r>
      <w:r w:rsidR="00596910" w:rsidRPr="001A5DCF">
        <w:rPr>
          <w:sz w:val="22"/>
          <w:szCs w:val="22"/>
        </w:rPr>
        <w:t xml:space="preserve"> </w:t>
      </w:r>
      <w:r w:rsidR="009767B8">
        <w:rPr>
          <w:sz w:val="22"/>
          <w:szCs w:val="22"/>
        </w:rPr>
        <w:t xml:space="preserve">denominado Comité </w:t>
      </w:r>
      <w:r w:rsidR="009767B8">
        <w:rPr>
          <w:sz w:val="22"/>
          <w:szCs w:val="22"/>
        </w:rPr>
        <w:lastRenderedPageBreak/>
        <w:t>Pro</w:t>
      </w:r>
      <w:r w:rsidR="005805A7">
        <w:rPr>
          <w:sz w:val="22"/>
          <w:szCs w:val="22"/>
        </w:rPr>
        <w:t xml:space="preserve"> </w:t>
      </w:r>
      <w:r w:rsidR="009767B8">
        <w:rPr>
          <w:sz w:val="22"/>
          <w:szCs w:val="22"/>
        </w:rPr>
        <w:t>mejoras del Barrio “San José”</w:t>
      </w:r>
      <w:r w:rsidR="00E47B74" w:rsidRPr="001A5DCF">
        <w:rPr>
          <w:bCs/>
          <w:sz w:val="22"/>
          <w:szCs w:val="22"/>
        </w:rPr>
        <w:t>,</w:t>
      </w:r>
      <w:r w:rsidR="00E47B74" w:rsidRPr="001A5DCF">
        <w:rPr>
          <w:b/>
          <w:sz w:val="22"/>
          <w:szCs w:val="22"/>
        </w:rPr>
        <w:t xml:space="preserve"> </w:t>
      </w:r>
      <w:r w:rsidR="00596910" w:rsidRPr="001A5DCF">
        <w:rPr>
          <w:sz w:val="22"/>
          <w:szCs w:val="22"/>
        </w:rPr>
        <w:t xml:space="preserve">ubicado en la </w:t>
      </w:r>
      <w:r w:rsidR="009767B8">
        <w:rPr>
          <w:sz w:val="22"/>
          <w:szCs w:val="22"/>
        </w:rPr>
        <w:t xml:space="preserve">parroquia </w:t>
      </w:r>
      <w:proofErr w:type="spellStart"/>
      <w:r w:rsidR="009767B8">
        <w:rPr>
          <w:sz w:val="22"/>
          <w:szCs w:val="22"/>
        </w:rPr>
        <w:t>Pomasqui</w:t>
      </w:r>
      <w:proofErr w:type="spellEnd"/>
      <w:r w:rsidR="00596910" w:rsidRPr="001A5DCF">
        <w:rPr>
          <w:sz w:val="22"/>
          <w:szCs w:val="22"/>
        </w:rPr>
        <w:t xml:space="preserve">, y de los funcionarios municipales que revisaron los planos y los documentos legales y/o emitieron los informes técnicos habilitantes de este procedimiento de regularización, </w:t>
      </w:r>
      <w:r w:rsidR="005C7A32" w:rsidRPr="001A5DCF">
        <w:rPr>
          <w:sz w:val="22"/>
          <w:szCs w:val="22"/>
        </w:rPr>
        <w:t>salvo que estos hayan sido inducidos a engaño o al error.</w:t>
      </w:r>
    </w:p>
    <w:p w14:paraId="3C6E022C" w14:textId="77777777" w:rsidR="00596910" w:rsidRPr="001A5DCF" w:rsidRDefault="00596910" w:rsidP="00596910">
      <w:pPr>
        <w:spacing w:after="240" w:line="276" w:lineRule="auto"/>
        <w:jc w:val="both"/>
        <w:rPr>
          <w:sz w:val="22"/>
          <w:szCs w:val="22"/>
        </w:rPr>
      </w:pPr>
      <w:r w:rsidRPr="001A5DCF">
        <w:rPr>
          <w:sz w:val="22"/>
          <w:szCs w:val="22"/>
        </w:rPr>
        <w:t>En caso de comprobarse ocultación o falsedad en planos, datos, documentos, o de existir reclamos de terceros afectados, será de exclusiva responsabilidad del técnico y de los copropietarios del predio.</w:t>
      </w:r>
    </w:p>
    <w:p w14:paraId="63561AE3" w14:textId="77777777" w:rsidR="00596910" w:rsidRPr="001A5DCF" w:rsidRDefault="00596910" w:rsidP="00596910">
      <w:pPr>
        <w:spacing w:after="240" w:line="276" w:lineRule="auto"/>
        <w:jc w:val="both"/>
        <w:rPr>
          <w:sz w:val="22"/>
          <w:szCs w:val="22"/>
        </w:rPr>
      </w:pPr>
      <w:r w:rsidRPr="001A5DCF">
        <w:rPr>
          <w:sz w:val="22"/>
          <w:szCs w:val="22"/>
        </w:rPr>
        <w:t>Las dimensiones y superficies de los lotes son las determinadas en el plano aprobatorio que forma parte integrante de esta Ordenanza.</w:t>
      </w:r>
    </w:p>
    <w:p w14:paraId="79526C8C" w14:textId="3EBAFA56" w:rsidR="00596910" w:rsidRPr="001A5DCF" w:rsidRDefault="00B23F85" w:rsidP="00596910">
      <w:pPr>
        <w:spacing w:after="240" w:line="276" w:lineRule="auto"/>
        <w:jc w:val="both"/>
        <w:rPr>
          <w:sz w:val="22"/>
          <w:szCs w:val="22"/>
        </w:rPr>
      </w:pPr>
      <w:r w:rsidRPr="001A5DCF">
        <w:rPr>
          <w:sz w:val="22"/>
          <w:szCs w:val="22"/>
        </w:rPr>
        <w:t xml:space="preserve">Los </w:t>
      </w:r>
      <w:r w:rsidR="00C74178">
        <w:rPr>
          <w:sz w:val="22"/>
          <w:szCs w:val="22"/>
        </w:rPr>
        <w:t>co</w:t>
      </w:r>
      <w:r w:rsidR="00596910" w:rsidRPr="001A5DCF">
        <w:rPr>
          <w:sz w:val="22"/>
          <w:szCs w:val="22"/>
        </w:rPr>
        <w:t xml:space="preserve">propietarios del </w:t>
      </w:r>
      <w:r w:rsidR="00A57A06">
        <w:rPr>
          <w:sz w:val="22"/>
          <w:szCs w:val="22"/>
        </w:rPr>
        <w:t xml:space="preserve">Asentamiento </w:t>
      </w:r>
      <w:r w:rsidR="009767B8">
        <w:rPr>
          <w:sz w:val="22"/>
          <w:szCs w:val="22"/>
        </w:rPr>
        <w:t xml:space="preserve"> humano de hecho y consolidado de interés social</w:t>
      </w:r>
      <w:r w:rsidR="00596910" w:rsidRPr="001A5DCF">
        <w:rPr>
          <w:sz w:val="22"/>
          <w:szCs w:val="22"/>
        </w:rPr>
        <w:t xml:space="preserve"> </w:t>
      </w:r>
      <w:r w:rsidR="009767B8">
        <w:rPr>
          <w:sz w:val="22"/>
          <w:szCs w:val="22"/>
        </w:rPr>
        <w:t>denominado Comité Pro</w:t>
      </w:r>
      <w:r w:rsidR="005805A7">
        <w:rPr>
          <w:sz w:val="22"/>
          <w:szCs w:val="22"/>
        </w:rPr>
        <w:t xml:space="preserve"> </w:t>
      </w:r>
      <w:r w:rsidR="009767B8">
        <w:rPr>
          <w:sz w:val="22"/>
          <w:szCs w:val="22"/>
        </w:rPr>
        <w:t>mejoras del Barrio “San José”</w:t>
      </w:r>
      <w:r w:rsidR="00E47B74" w:rsidRPr="001A5DCF">
        <w:rPr>
          <w:bCs/>
          <w:sz w:val="22"/>
          <w:szCs w:val="22"/>
        </w:rPr>
        <w:t>,</w:t>
      </w:r>
      <w:r w:rsidR="00E47B74" w:rsidRPr="001A5DCF">
        <w:rPr>
          <w:b/>
          <w:sz w:val="22"/>
          <w:szCs w:val="22"/>
        </w:rPr>
        <w:t xml:space="preserve"> </w:t>
      </w:r>
      <w:r w:rsidR="00E47B74" w:rsidRPr="001A5DCF">
        <w:rPr>
          <w:sz w:val="22"/>
          <w:szCs w:val="22"/>
        </w:rPr>
        <w:t xml:space="preserve"> </w:t>
      </w:r>
      <w:r w:rsidR="00596910" w:rsidRPr="001A5DCF">
        <w:rPr>
          <w:sz w:val="22"/>
          <w:szCs w:val="22"/>
        </w:rPr>
        <w:t xml:space="preserve">ubicado en la </w:t>
      </w:r>
      <w:r w:rsidR="009767B8">
        <w:rPr>
          <w:sz w:val="22"/>
          <w:szCs w:val="22"/>
        </w:rPr>
        <w:t xml:space="preserve">parroquia </w:t>
      </w:r>
      <w:proofErr w:type="spellStart"/>
      <w:r w:rsidR="009767B8">
        <w:rPr>
          <w:sz w:val="22"/>
          <w:szCs w:val="22"/>
        </w:rPr>
        <w:t>Pomasqui</w:t>
      </w:r>
      <w:proofErr w:type="spellEnd"/>
      <w:r w:rsidR="00596910" w:rsidRPr="001A5DCF">
        <w:rPr>
          <w:sz w:val="22"/>
          <w:szCs w:val="22"/>
        </w:rPr>
        <w:t xml:space="preserve">, se comprometen a respetar las características de los lotes establecidas en el </w:t>
      </w:r>
      <w:r w:rsidR="002B4901" w:rsidRPr="001A5DCF">
        <w:rPr>
          <w:sz w:val="22"/>
          <w:szCs w:val="22"/>
        </w:rPr>
        <w:t>p</w:t>
      </w:r>
      <w:r w:rsidR="00596910" w:rsidRPr="001A5DCF">
        <w:rPr>
          <w:sz w:val="22"/>
          <w:szCs w:val="22"/>
        </w:rPr>
        <w:t>lano y en este instrumento; por tanto, no podrán fraccionarlos o dividirlos.</w:t>
      </w:r>
    </w:p>
    <w:p w14:paraId="6A1B4140" w14:textId="77777777" w:rsidR="00596910" w:rsidRPr="001A5DCF" w:rsidRDefault="00596910" w:rsidP="00596910">
      <w:pPr>
        <w:spacing w:after="240" w:line="276" w:lineRule="auto"/>
        <w:jc w:val="both"/>
        <w:rPr>
          <w:sz w:val="22"/>
          <w:szCs w:val="22"/>
        </w:rPr>
      </w:pPr>
      <w:r w:rsidRPr="001A5DCF">
        <w:rPr>
          <w:sz w:val="22"/>
          <w:szCs w:val="22"/>
        </w:rPr>
        <w:t xml:space="preserve">El incumplimiento de lo dispuesto en la presente Ordenanza y en la normativa metropolitana y nacional vigente al respecto, dará lugar a la imposición de las sanciones correspondientes. </w:t>
      </w:r>
    </w:p>
    <w:p w14:paraId="32A320F9" w14:textId="77E9C1C4" w:rsidR="0024191F" w:rsidRPr="001A5DCF" w:rsidRDefault="00335B5A" w:rsidP="0024191F">
      <w:pPr>
        <w:spacing w:after="240" w:line="276" w:lineRule="auto"/>
        <w:jc w:val="both"/>
        <w:rPr>
          <w:sz w:val="22"/>
          <w:szCs w:val="22"/>
        </w:rPr>
      </w:pPr>
      <w:r w:rsidRPr="001A5DCF">
        <w:rPr>
          <w:b/>
          <w:bCs/>
          <w:sz w:val="22"/>
          <w:szCs w:val="22"/>
        </w:rPr>
        <w:t>Artículo 3.- Declaratoria de Interés S</w:t>
      </w:r>
      <w:r w:rsidR="0024191F" w:rsidRPr="001A5DCF">
        <w:rPr>
          <w:b/>
          <w:bCs/>
          <w:sz w:val="22"/>
          <w:szCs w:val="22"/>
        </w:rPr>
        <w:t xml:space="preserve">ocial.- </w:t>
      </w:r>
      <w:r w:rsidR="0024191F" w:rsidRPr="001A5DCF">
        <w:rPr>
          <w:sz w:val="22"/>
          <w:szCs w:val="22"/>
        </w:rPr>
        <w:t xml:space="preserve">Por las condiciones del </w:t>
      </w:r>
      <w:r w:rsidR="005805A7">
        <w:rPr>
          <w:sz w:val="22"/>
          <w:szCs w:val="22"/>
        </w:rPr>
        <w:t xml:space="preserve">asentamiento </w:t>
      </w:r>
      <w:r w:rsidR="005805A7" w:rsidRPr="001A5DCF">
        <w:rPr>
          <w:sz w:val="22"/>
          <w:szCs w:val="22"/>
        </w:rPr>
        <w:t>humano de hecho y consolidado, se lo aprueba considerándolo de interés social</w:t>
      </w:r>
      <w:r w:rsidR="0024191F" w:rsidRPr="001A5DCF">
        <w:rPr>
          <w:sz w:val="22"/>
          <w:szCs w:val="22"/>
        </w:rPr>
        <w:t xml:space="preserve"> de conformidad con la normativa vigente.</w:t>
      </w:r>
    </w:p>
    <w:p w14:paraId="3970DF1D" w14:textId="03736AC2" w:rsidR="00EB2BCE" w:rsidRDefault="004C50AE" w:rsidP="00C24F44">
      <w:pPr>
        <w:pStyle w:val="Sinespaciado"/>
        <w:rPr>
          <w:rFonts w:ascii="Times New Roman" w:hAnsi="Times New Roman"/>
          <w:b/>
        </w:rPr>
      </w:pPr>
      <w:r w:rsidRPr="001A5DCF">
        <w:rPr>
          <w:rFonts w:ascii="Times New Roman" w:hAnsi="Times New Roman"/>
          <w:b/>
        </w:rPr>
        <w:t xml:space="preserve">Artículo </w:t>
      </w:r>
      <w:r w:rsidR="0024191F" w:rsidRPr="001A5DCF">
        <w:rPr>
          <w:rFonts w:ascii="Times New Roman" w:hAnsi="Times New Roman"/>
          <w:b/>
        </w:rPr>
        <w:t>4</w:t>
      </w:r>
      <w:r w:rsidR="00361728" w:rsidRPr="001A5DCF">
        <w:rPr>
          <w:rFonts w:ascii="Times New Roman" w:hAnsi="Times New Roman"/>
          <w:b/>
        </w:rPr>
        <w:t>.- Especificaciones técnicas.-</w:t>
      </w:r>
    </w:p>
    <w:p w14:paraId="59419AA9" w14:textId="77777777" w:rsidR="00A57A06" w:rsidRDefault="00A57A06" w:rsidP="00C24F44">
      <w:pPr>
        <w:pStyle w:val="Sinespaciado"/>
        <w:rPr>
          <w:rFonts w:ascii="Times New Roman" w:hAnsi="Times New Roman"/>
          <w:b/>
        </w:rPr>
      </w:pPr>
    </w:p>
    <w:tbl>
      <w:tblPr>
        <w:tblStyle w:val="Tablaconcuadrcula"/>
        <w:tblW w:w="8642" w:type="dxa"/>
        <w:tblLayout w:type="fixed"/>
        <w:tblLook w:val="04A0" w:firstRow="1" w:lastRow="0" w:firstColumn="1" w:lastColumn="0" w:noHBand="0" w:noVBand="1"/>
      </w:tblPr>
      <w:tblGrid>
        <w:gridCol w:w="1980"/>
        <w:gridCol w:w="1559"/>
        <w:gridCol w:w="1701"/>
        <w:gridCol w:w="1701"/>
        <w:gridCol w:w="1701"/>
      </w:tblGrid>
      <w:tr w:rsidR="00F552DA" w:rsidRPr="00F552DA" w14:paraId="39227138" w14:textId="77777777" w:rsidTr="00F619BD">
        <w:trPr>
          <w:trHeight w:val="280"/>
        </w:trPr>
        <w:tc>
          <w:tcPr>
            <w:tcW w:w="1980" w:type="dxa"/>
            <w:vAlign w:val="center"/>
          </w:tcPr>
          <w:p w14:paraId="0DE13AEF" w14:textId="77777777" w:rsidR="00F552DA" w:rsidRPr="00F552DA" w:rsidRDefault="00F552DA" w:rsidP="00F552DA">
            <w:pPr>
              <w:spacing w:after="240" w:line="276" w:lineRule="auto"/>
              <w:jc w:val="both"/>
              <w:rPr>
                <w:b/>
                <w:bCs/>
                <w:sz w:val="22"/>
                <w:szCs w:val="22"/>
              </w:rPr>
            </w:pPr>
            <w:r w:rsidRPr="00F552DA">
              <w:rPr>
                <w:b/>
                <w:bCs/>
                <w:sz w:val="22"/>
                <w:szCs w:val="22"/>
              </w:rPr>
              <w:t>Predio:</w:t>
            </w:r>
          </w:p>
        </w:tc>
        <w:tc>
          <w:tcPr>
            <w:tcW w:w="1559" w:type="dxa"/>
            <w:vAlign w:val="center"/>
          </w:tcPr>
          <w:p w14:paraId="149EA716" w14:textId="236ADE01" w:rsidR="00F552DA" w:rsidRPr="00F552DA" w:rsidRDefault="00F552DA" w:rsidP="00E9030D">
            <w:pPr>
              <w:spacing w:after="240" w:line="276" w:lineRule="auto"/>
              <w:jc w:val="center"/>
              <w:rPr>
                <w:b/>
                <w:bCs/>
                <w:sz w:val="22"/>
                <w:szCs w:val="22"/>
              </w:rPr>
            </w:pPr>
            <w:r w:rsidRPr="00F552DA">
              <w:rPr>
                <w:b/>
                <w:bCs/>
                <w:sz w:val="22"/>
                <w:szCs w:val="22"/>
              </w:rPr>
              <w:t>5205471</w:t>
            </w:r>
          </w:p>
        </w:tc>
        <w:tc>
          <w:tcPr>
            <w:tcW w:w="1701" w:type="dxa"/>
            <w:vAlign w:val="center"/>
          </w:tcPr>
          <w:p w14:paraId="257CBCAD" w14:textId="2DF04BE0" w:rsidR="00F552DA" w:rsidRPr="00F552DA" w:rsidRDefault="00F552DA" w:rsidP="00E9030D">
            <w:pPr>
              <w:spacing w:after="240" w:line="276" w:lineRule="auto"/>
              <w:jc w:val="center"/>
              <w:rPr>
                <w:b/>
                <w:bCs/>
                <w:sz w:val="22"/>
                <w:szCs w:val="22"/>
              </w:rPr>
            </w:pPr>
            <w:r w:rsidRPr="00F552DA">
              <w:rPr>
                <w:b/>
                <w:bCs/>
                <w:sz w:val="22"/>
                <w:szCs w:val="22"/>
              </w:rPr>
              <w:t>5205472</w:t>
            </w:r>
          </w:p>
        </w:tc>
        <w:tc>
          <w:tcPr>
            <w:tcW w:w="1701" w:type="dxa"/>
            <w:vAlign w:val="center"/>
          </w:tcPr>
          <w:p w14:paraId="3D5F0FD7" w14:textId="4879E438" w:rsidR="00F552DA" w:rsidRPr="00F552DA" w:rsidRDefault="00F552DA" w:rsidP="00E9030D">
            <w:pPr>
              <w:spacing w:after="240" w:line="276" w:lineRule="auto"/>
              <w:jc w:val="center"/>
              <w:rPr>
                <w:b/>
                <w:bCs/>
                <w:sz w:val="22"/>
                <w:szCs w:val="22"/>
              </w:rPr>
            </w:pPr>
            <w:r w:rsidRPr="00F552DA">
              <w:rPr>
                <w:b/>
                <w:bCs/>
                <w:sz w:val="22"/>
                <w:szCs w:val="22"/>
              </w:rPr>
              <w:t>5205473</w:t>
            </w:r>
          </w:p>
        </w:tc>
        <w:tc>
          <w:tcPr>
            <w:tcW w:w="1701" w:type="dxa"/>
            <w:vAlign w:val="center"/>
          </w:tcPr>
          <w:p w14:paraId="02EF8087" w14:textId="19FBE744" w:rsidR="00F552DA" w:rsidRPr="00F552DA" w:rsidRDefault="00F552DA" w:rsidP="00E9030D">
            <w:pPr>
              <w:spacing w:after="240" w:line="276" w:lineRule="auto"/>
              <w:jc w:val="center"/>
              <w:rPr>
                <w:b/>
                <w:bCs/>
                <w:sz w:val="22"/>
                <w:szCs w:val="22"/>
              </w:rPr>
            </w:pPr>
            <w:r w:rsidRPr="00F552DA">
              <w:rPr>
                <w:b/>
                <w:bCs/>
                <w:sz w:val="22"/>
                <w:szCs w:val="22"/>
              </w:rPr>
              <w:t>5205474</w:t>
            </w:r>
          </w:p>
        </w:tc>
      </w:tr>
      <w:tr w:rsidR="00E9030D" w:rsidRPr="00F552DA" w14:paraId="62E22F13" w14:textId="77777777" w:rsidTr="00F619BD">
        <w:trPr>
          <w:trHeight w:val="785"/>
        </w:trPr>
        <w:tc>
          <w:tcPr>
            <w:tcW w:w="1980" w:type="dxa"/>
            <w:vAlign w:val="center"/>
          </w:tcPr>
          <w:p w14:paraId="795E3155" w14:textId="7FAA5CF9" w:rsidR="00E9030D" w:rsidRPr="00F552DA" w:rsidRDefault="00E9030D" w:rsidP="00E9030D">
            <w:pPr>
              <w:spacing w:after="240" w:line="276" w:lineRule="auto"/>
              <w:jc w:val="both"/>
              <w:rPr>
                <w:b/>
                <w:bCs/>
                <w:sz w:val="22"/>
                <w:szCs w:val="22"/>
              </w:rPr>
            </w:pPr>
            <w:r w:rsidRPr="00F552DA">
              <w:rPr>
                <w:rFonts w:eastAsia="Calibri"/>
                <w:b/>
                <w:color w:val="000000"/>
                <w:sz w:val="22"/>
                <w:szCs w:val="22"/>
                <w:lang w:val="es-EC" w:eastAsia="en-US"/>
              </w:rPr>
              <w:t>Zonificación A</w:t>
            </w:r>
            <w:r>
              <w:rPr>
                <w:rFonts w:eastAsia="Calibri"/>
                <w:b/>
                <w:color w:val="000000"/>
                <w:sz w:val="22"/>
                <w:szCs w:val="22"/>
                <w:lang w:val="es-EC" w:eastAsia="en-US"/>
              </w:rPr>
              <w:t>nterior</w:t>
            </w:r>
            <w:r w:rsidRPr="00F552DA">
              <w:rPr>
                <w:rFonts w:eastAsia="Calibri"/>
                <w:b/>
                <w:color w:val="000000"/>
                <w:sz w:val="22"/>
                <w:szCs w:val="22"/>
                <w:lang w:val="es-EC" w:eastAsia="en-US"/>
              </w:rPr>
              <w:t>:</w:t>
            </w:r>
          </w:p>
        </w:tc>
        <w:tc>
          <w:tcPr>
            <w:tcW w:w="1559" w:type="dxa"/>
            <w:vAlign w:val="center"/>
          </w:tcPr>
          <w:p w14:paraId="2D977F5E" w14:textId="45BDB40B" w:rsidR="00E9030D" w:rsidRPr="00F552DA" w:rsidRDefault="00E9030D" w:rsidP="00E9030D">
            <w:pPr>
              <w:spacing w:after="240" w:line="276" w:lineRule="auto"/>
              <w:jc w:val="center"/>
              <w:rPr>
                <w:b/>
                <w:bCs/>
                <w:sz w:val="22"/>
                <w:szCs w:val="22"/>
              </w:rPr>
            </w:pPr>
            <w:r w:rsidRPr="007409BD">
              <w:rPr>
                <w:rFonts w:eastAsia="Calibri"/>
                <w:color w:val="000000" w:themeColor="text1"/>
                <w:sz w:val="22"/>
                <w:szCs w:val="22"/>
                <w:lang w:val="es-EC" w:eastAsia="en-US"/>
              </w:rPr>
              <w:t>A37(A1002-35(VU))</w:t>
            </w:r>
          </w:p>
        </w:tc>
        <w:tc>
          <w:tcPr>
            <w:tcW w:w="1701" w:type="dxa"/>
            <w:vAlign w:val="center"/>
          </w:tcPr>
          <w:p w14:paraId="27FE0BCC" w14:textId="19B0DFF1" w:rsidR="00E9030D" w:rsidRPr="00F552DA" w:rsidRDefault="00E9030D" w:rsidP="00E9030D">
            <w:pPr>
              <w:spacing w:after="240" w:line="276" w:lineRule="auto"/>
              <w:jc w:val="center"/>
              <w:rPr>
                <w:b/>
                <w:bCs/>
                <w:sz w:val="22"/>
                <w:szCs w:val="22"/>
              </w:rPr>
            </w:pPr>
            <w:r w:rsidRPr="007409BD">
              <w:rPr>
                <w:rFonts w:eastAsia="Calibri"/>
                <w:color w:val="000000" w:themeColor="text1"/>
                <w:sz w:val="22"/>
                <w:szCs w:val="22"/>
                <w:lang w:val="es-EC" w:eastAsia="en-US"/>
              </w:rPr>
              <w:t>A37(A1002-35(VU))</w:t>
            </w:r>
          </w:p>
        </w:tc>
        <w:tc>
          <w:tcPr>
            <w:tcW w:w="1701" w:type="dxa"/>
            <w:vAlign w:val="center"/>
          </w:tcPr>
          <w:p w14:paraId="581751FF" w14:textId="318BE124" w:rsidR="00E9030D" w:rsidRPr="00F552DA" w:rsidRDefault="00E9030D" w:rsidP="00E9030D">
            <w:pPr>
              <w:spacing w:after="240" w:line="276" w:lineRule="auto"/>
              <w:jc w:val="center"/>
              <w:rPr>
                <w:b/>
                <w:bCs/>
                <w:sz w:val="22"/>
                <w:szCs w:val="22"/>
              </w:rPr>
            </w:pPr>
            <w:r w:rsidRPr="007409BD">
              <w:rPr>
                <w:rFonts w:eastAsia="Calibri"/>
                <w:color w:val="000000" w:themeColor="text1"/>
                <w:sz w:val="22"/>
                <w:szCs w:val="22"/>
                <w:lang w:val="es-EC" w:eastAsia="en-US"/>
              </w:rPr>
              <w:t>A37(A1002-35(VU))</w:t>
            </w:r>
          </w:p>
        </w:tc>
        <w:tc>
          <w:tcPr>
            <w:tcW w:w="1701" w:type="dxa"/>
            <w:vAlign w:val="center"/>
          </w:tcPr>
          <w:p w14:paraId="11B18905" w14:textId="5E48EB95" w:rsidR="00E9030D" w:rsidRPr="00F552DA" w:rsidRDefault="00E9030D" w:rsidP="00E9030D">
            <w:pPr>
              <w:spacing w:after="240" w:line="276" w:lineRule="auto"/>
              <w:jc w:val="center"/>
              <w:rPr>
                <w:b/>
                <w:bCs/>
                <w:sz w:val="22"/>
                <w:szCs w:val="22"/>
              </w:rPr>
            </w:pPr>
            <w:r w:rsidRPr="007409BD">
              <w:rPr>
                <w:rFonts w:eastAsia="Calibri"/>
                <w:color w:val="000000" w:themeColor="text1"/>
                <w:sz w:val="22"/>
                <w:szCs w:val="22"/>
                <w:lang w:val="es-EC" w:eastAsia="en-US"/>
              </w:rPr>
              <w:t>A37(A1002-35(VU))</w:t>
            </w:r>
          </w:p>
        </w:tc>
      </w:tr>
      <w:tr w:rsidR="00E9030D" w:rsidRPr="00F552DA" w14:paraId="6FEC8E76" w14:textId="77777777" w:rsidTr="00E9030D">
        <w:trPr>
          <w:trHeight w:val="483"/>
        </w:trPr>
        <w:tc>
          <w:tcPr>
            <w:tcW w:w="1980" w:type="dxa"/>
            <w:vAlign w:val="center"/>
          </w:tcPr>
          <w:p w14:paraId="1A34D6D4" w14:textId="2E82943D" w:rsidR="00E9030D" w:rsidRPr="00F552DA" w:rsidRDefault="00E9030D" w:rsidP="00E9030D">
            <w:pPr>
              <w:spacing w:after="240" w:line="276" w:lineRule="auto"/>
              <w:jc w:val="both"/>
              <w:rPr>
                <w:b/>
                <w:bCs/>
                <w:sz w:val="22"/>
                <w:szCs w:val="22"/>
              </w:rPr>
            </w:pPr>
            <w:r>
              <w:rPr>
                <w:rFonts w:eastAsia="Calibri"/>
                <w:b/>
                <w:color w:val="000000"/>
                <w:sz w:val="22"/>
                <w:szCs w:val="22"/>
                <w:lang w:val="es-EC" w:eastAsia="en-US"/>
              </w:rPr>
              <w:t>Zonificación Actual:</w:t>
            </w:r>
          </w:p>
        </w:tc>
        <w:tc>
          <w:tcPr>
            <w:tcW w:w="1559" w:type="dxa"/>
            <w:vAlign w:val="center"/>
          </w:tcPr>
          <w:p w14:paraId="78223E35" w14:textId="627DAB38" w:rsidR="00E9030D" w:rsidRPr="00F552DA" w:rsidRDefault="00E9030D" w:rsidP="00E9030D">
            <w:pPr>
              <w:spacing w:after="200" w:line="276" w:lineRule="auto"/>
              <w:jc w:val="center"/>
              <w:rPr>
                <w:b/>
                <w:bCs/>
                <w:sz w:val="22"/>
                <w:szCs w:val="22"/>
              </w:rPr>
            </w:pPr>
            <w:r>
              <w:rPr>
                <w:rFonts w:eastAsia="Calibri"/>
                <w:color w:val="000000" w:themeColor="text1"/>
                <w:sz w:val="22"/>
                <w:szCs w:val="22"/>
                <w:lang w:val="es-EC" w:eastAsia="en-US"/>
              </w:rPr>
              <w:t>A2(A1002-35)</w:t>
            </w:r>
          </w:p>
        </w:tc>
        <w:tc>
          <w:tcPr>
            <w:tcW w:w="1701" w:type="dxa"/>
            <w:vAlign w:val="center"/>
          </w:tcPr>
          <w:p w14:paraId="54B96420" w14:textId="0A1E72FE" w:rsidR="00E9030D" w:rsidRPr="00F552DA" w:rsidRDefault="00E9030D" w:rsidP="00E9030D">
            <w:pPr>
              <w:spacing w:after="200" w:line="276" w:lineRule="auto"/>
              <w:jc w:val="center"/>
              <w:rPr>
                <w:b/>
                <w:bCs/>
                <w:sz w:val="22"/>
                <w:szCs w:val="22"/>
              </w:rPr>
            </w:pPr>
            <w:r>
              <w:rPr>
                <w:rFonts w:eastAsia="Calibri"/>
                <w:color w:val="000000" w:themeColor="text1"/>
                <w:sz w:val="22"/>
                <w:szCs w:val="22"/>
                <w:lang w:val="es-EC" w:eastAsia="en-US"/>
              </w:rPr>
              <w:t>A2(A1002-35)</w:t>
            </w:r>
          </w:p>
        </w:tc>
        <w:tc>
          <w:tcPr>
            <w:tcW w:w="1701" w:type="dxa"/>
            <w:vAlign w:val="center"/>
          </w:tcPr>
          <w:p w14:paraId="6742F69D" w14:textId="4D2E201D" w:rsidR="00E9030D" w:rsidRPr="00F552DA" w:rsidRDefault="00E9030D" w:rsidP="00E9030D">
            <w:pPr>
              <w:spacing w:after="200" w:line="276" w:lineRule="auto"/>
              <w:jc w:val="center"/>
              <w:rPr>
                <w:b/>
                <w:bCs/>
                <w:sz w:val="22"/>
                <w:szCs w:val="22"/>
              </w:rPr>
            </w:pPr>
            <w:r>
              <w:rPr>
                <w:rFonts w:eastAsia="Calibri"/>
                <w:color w:val="000000" w:themeColor="text1"/>
                <w:sz w:val="22"/>
                <w:szCs w:val="22"/>
                <w:lang w:val="es-EC" w:eastAsia="en-US"/>
              </w:rPr>
              <w:t>A2(A1002-35)</w:t>
            </w:r>
          </w:p>
        </w:tc>
        <w:tc>
          <w:tcPr>
            <w:tcW w:w="1701" w:type="dxa"/>
            <w:vAlign w:val="center"/>
          </w:tcPr>
          <w:p w14:paraId="0EFBE0D2" w14:textId="7D92C7F5" w:rsidR="00E9030D" w:rsidRPr="00F552DA" w:rsidRDefault="00E9030D" w:rsidP="00E9030D">
            <w:pPr>
              <w:spacing w:after="200" w:line="276" w:lineRule="auto"/>
              <w:jc w:val="center"/>
              <w:rPr>
                <w:b/>
                <w:bCs/>
                <w:sz w:val="22"/>
                <w:szCs w:val="22"/>
              </w:rPr>
            </w:pPr>
            <w:r>
              <w:rPr>
                <w:rFonts w:eastAsia="Calibri"/>
                <w:color w:val="000000" w:themeColor="text1"/>
                <w:sz w:val="22"/>
                <w:szCs w:val="22"/>
                <w:lang w:val="es-EC" w:eastAsia="en-US"/>
              </w:rPr>
              <w:t>A2(A1002-35)</w:t>
            </w:r>
          </w:p>
        </w:tc>
      </w:tr>
      <w:tr w:rsidR="00E9030D" w:rsidRPr="00F552DA" w14:paraId="51097677" w14:textId="77777777" w:rsidTr="00E9030D">
        <w:trPr>
          <w:trHeight w:val="225"/>
        </w:trPr>
        <w:tc>
          <w:tcPr>
            <w:tcW w:w="1980" w:type="dxa"/>
            <w:vAlign w:val="center"/>
          </w:tcPr>
          <w:p w14:paraId="61222B38" w14:textId="030DF087" w:rsidR="00E9030D" w:rsidRPr="00F552DA" w:rsidRDefault="00E9030D" w:rsidP="00E9030D">
            <w:pPr>
              <w:spacing w:after="240" w:line="276" w:lineRule="auto"/>
              <w:rPr>
                <w:b/>
                <w:bCs/>
                <w:sz w:val="22"/>
                <w:szCs w:val="22"/>
              </w:rPr>
            </w:pPr>
            <w:r w:rsidRPr="00F552DA">
              <w:rPr>
                <w:rFonts w:eastAsia="Calibri"/>
                <w:b/>
                <w:color w:val="000000"/>
                <w:sz w:val="22"/>
                <w:szCs w:val="22"/>
                <w:lang w:val="es-EC" w:eastAsia="en-US"/>
              </w:rPr>
              <w:t>Lote mínimo:</w:t>
            </w:r>
          </w:p>
        </w:tc>
        <w:tc>
          <w:tcPr>
            <w:tcW w:w="1559" w:type="dxa"/>
          </w:tcPr>
          <w:p w14:paraId="76E0E1FA" w14:textId="48D11B85" w:rsidR="00E9030D" w:rsidRPr="00F552DA" w:rsidRDefault="00E9030D" w:rsidP="00E9030D">
            <w:pPr>
              <w:spacing w:after="240" w:line="276" w:lineRule="auto"/>
              <w:jc w:val="center"/>
              <w:rPr>
                <w:b/>
                <w:bCs/>
                <w:sz w:val="22"/>
                <w:szCs w:val="22"/>
              </w:rPr>
            </w:pPr>
            <w:r w:rsidRPr="00F552DA">
              <w:rPr>
                <w:rFonts w:eastAsia="Calibri"/>
                <w:sz w:val="22"/>
                <w:szCs w:val="22"/>
                <w:lang w:val="es-EC" w:eastAsia="en-US"/>
              </w:rPr>
              <w:t>1000m2</w:t>
            </w:r>
          </w:p>
        </w:tc>
        <w:tc>
          <w:tcPr>
            <w:tcW w:w="1701" w:type="dxa"/>
          </w:tcPr>
          <w:p w14:paraId="2C4A1D79" w14:textId="1919AB2B" w:rsidR="00E9030D" w:rsidRPr="00F552DA" w:rsidRDefault="00E9030D" w:rsidP="00E9030D">
            <w:pPr>
              <w:spacing w:after="240" w:line="276" w:lineRule="auto"/>
              <w:jc w:val="center"/>
              <w:rPr>
                <w:b/>
                <w:bCs/>
                <w:sz w:val="22"/>
                <w:szCs w:val="22"/>
              </w:rPr>
            </w:pPr>
            <w:r w:rsidRPr="00F552DA">
              <w:rPr>
                <w:rFonts w:eastAsia="Calibri"/>
                <w:sz w:val="22"/>
                <w:szCs w:val="22"/>
                <w:lang w:val="es-EC" w:eastAsia="en-US"/>
              </w:rPr>
              <w:t>1000m2</w:t>
            </w:r>
          </w:p>
        </w:tc>
        <w:tc>
          <w:tcPr>
            <w:tcW w:w="1701" w:type="dxa"/>
          </w:tcPr>
          <w:p w14:paraId="325962EE" w14:textId="08C83FAE" w:rsidR="00E9030D" w:rsidRPr="00F552DA" w:rsidRDefault="00E9030D" w:rsidP="00E9030D">
            <w:pPr>
              <w:spacing w:after="240" w:line="276" w:lineRule="auto"/>
              <w:jc w:val="center"/>
              <w:rPr>
                <w:b/>
                <w:bCs/>
                <w:sz w:val="22"/>
                <w:szCs w:val="22"/>
              </w:rPr>
            </w:pPr>
            <w:r w:rsidRPr="00F552DA">
              <w:rPr>
                <w:rFonts w:eastAsia="Calibri"/>
                <w:sz w:val="22"/>
                <w:szCs w:val="22"/>
                <w:lang w:val="es-EC" w:eastAsia="en-US"/>
              </w:rPr>
              <w:t>1000m2</w:t>
            </w:r>
          </w:p>
        </w:tc>
        <w:tc>
          <w:tcPr>
            <w:tcW w:w="1701" w:type="dxa"/>
          </w:tcPr>
          <w:p w14:paraId="2A35123D" w14:textId="053FAC63" w:rsidR="00E9030D" w:rsidRPr="00F552DA" w:rsidRDefault="00E9030D" w:rsidP="00E9030D">
            <w:pPr>
              <w:spacing w:after="240" w:line="276" w:lineRule="auto"/>
              <w:jc w:val="center"/>
              <w:rPr>
                <w:b/>
                <w:bCs/>
                <w:sz w:val="22"/>
                <w:szCs w:val="22"/>
              </w:rPr>
            </w:pPr>
            <w:r w:rsidRPr="00F552DA">
              <w:rPr>
                <w:rFonts w:eastAsia="Calibri"/>
                <w:sz w:val="22"/>
                <w:szCs w:val="22"/>
                <w:lang w:val="es-EC" w:eastAsia="en-US"/>
              </w:rPr>
              <w:t>1000m2</w:t>
            </w:r>
          </w:p>
        </w:tc>
      </w:tr>
      <w:tr w:rsidR="00E9030D" w:rsidRPr="00F552DA" w14:paraId="7E9BBC0B" w14:textId="77777777" w:rsidTr="00190CBA">
        <w:tc>
          <w:tcPr>
            <w:tcW w:w="1980" w:type="dxa"/>
          </w:tcPr>
          <w:p w14:paraId="731297EE" w14:textId="76C511F3" w:rsidR="00E9030D" w:rsidRPr="00F552DA" w:rsidRDefault="00E9030D" w:rsidP="00E9030D">
            <w:pPr>
              <w:spacing w:after="240" w:line="276" w:lineRule="auto"/>
              <w:rPr>
                <w:rFonts w:eastAsia="Calibri"/>
                <w:b/>
                <w:color w:val="000000"/>
                <w:sz w:val="22"/>
                <w:szCs w:val="22"/>
                <w:lang w:val="es-EC" w:eastAsia="en-US"/>
              </w:rPr>
            </w:pPr>
            <w:r w:rsidRPr="00F552DA">
              <w:rPr>
                <w:rFonts w:eastAsia="Calibri"/>
                <w:b/>
                <w:color w:val="000000"/>
                <w:sz w:val="22"/>
                <w:szCs w:val="22"/>
                <w:lang w:val="es-EC" w:eastAsia="en-US"/>
              </w:rPr>
              <w:t>Forma de Ocupación del suelo:</w:t>
            </w:r>
          </w:p>
        </w:tc>
        <w:tc>
          <w:tcPr>
            <w:tcW w:w="1559" w:type="dxa"/>
            <w:vAlign w:val="center"/>
          </w:tcPr>
          <w:p w14:paraId="2B5B8A76" w14:textId="014E9C21" w:rsidR="00E9030D" w:rsidRPr="00F552DA" w:rsidRDefault="00E9030D" w:rsidP="00E9030D">
            <w:pPr>
              <w:spacing w:after="240" w:line="276" w:lineRule="auto"/>
              <w:jc w:val="center"/>
              <w:rPr>
                <w:b/>
                <w:bCs/>
                <w:sz w:val="22"/>
                <w:szCs w:val="22"/>
              </w:rPr>
            </w:pPr>
            <w:r w:rsidRPr="00F552DA">
              <w:rPr>
                <w:rFonts w:eastAsia="Calibri"/>
                <w:sz w:val="22"/>
                <w:szCs w:val="22"/>
                <w:lang w:val="es-EC" w:eastAsia="en-US"/>
              </w:rPr>
              <w:t>(A) Aislada</w:t>
            </w:r>
          </w:p>
        </w:tc>
        <w:tc>
          <w:tcPr>
            <w:tcW w:w="1701" w:type="dxa"/>
            <w:vAlign w:val="center"/>
          </w:tcPr>
          <w:p w14:paraId="71DB943A" w14:textId="3FC8536A" w:rsidR="00E9030D" w:rsidRPr="00F552DA" w:rsidRDefault="00E9030D" w:rsidP="00E9030D">
            <w:pPr>
              <w:spacing w:after="240" w:line="276" w:lineRule="auto"/>
              <w:jc w:val="center"/>
              <w:rPr>
                <w:b/>
                <w:bCs/>
                <w:sz w:val="22"/>
                <w:szCs w:val="22"/>
              </w:rPr>
            </w:pPr>
            <w:r w:rsidRPr="00F552DA">
              <w:rPr>
                <w:rFonts w:eastAsia="Calibri"/>
                <w:sz w:val="22"/>
                <w:szCs w:val="22"/>
                <w:lang w:val="es-EC" w:eastAsia="en-US"/>
              </w:rPr>
              <w:t>(A) Aislada</w:t>
            </w:r>
          </w:p>
        </w:tc>
        <w:tc>
          <w:tcPr>
            <w:tcW w:w="1701" w:type="dxa"/>
            <w:vAlign w:val="center"/>
          </w:tcPr>
          <w:p w14:paraId="0FD25A3A" w14:textId="0334D08C" w:rsidR="00E9030D" w:rsidRPr="00F552DA" w:rsidRDefault="00E9030D" w:rsidP="00E9030D">
            <w:pPr>
              <w:spacing w:after="240" w:line="276" w:lineRule="auto"/>
              <w:jc w:val="center"/>
              <w:rPr>
                <w:b/>
                <w:bCs/>
                <w:sz w:val="22"/>
                <w:szCs w:val="22"/>
              </w:rPr>
            </w:pPr>
            <w:r w:rsidRPr="00F552DA">
              <w:rPr>
                <w:rFonts w:eastAsia="Calibri"/>
                <w:sz w:val="22"/>
                <w:szCs w:val="22"/>
                <w:lang w:val="es-EC" w:eastAsia="en-US"/>
              </w:rPr>
              <w:t>(A) Aislada</w:t>
            </w:r>
          </w:p>
        </w:tc>
        <w:tc>
          <w:tcPr>
            <w:tcW w:w="1701" w:type="dxa"/>
            <w:vAlign w:val="center"/>
          </w:tcPr>
          <w:p w14:paraId="13DC1EF1" w14:textId="1C312AEE" w:rsidR="00E9030D" w:rsidRPr="00F552DA" w:rsidRDefault="00E9030D" w:rsidP="00E9030D">
            <w:pPr>
              <w:spacing w:after="240" w:line="276" w:lineRule="auto"/>
              <w:jc w:val="center"/>
              <w:rPr>
                <w:b/>
                <w:bCs/>
                <w:sz w:val="22"/>
                <w:szCs w:val="22"/>
              </w:rPr>
            </w:pPr>
            <w:r w:rsidRPr="00F552DA">
              <w:rPr>
                <w:rFonts w:eastAsia="Calibri"/>
                <w:sz w:val="22"/>
                <w:szCs w:val="22"/>
                <w:lang w:val="es-EC" w:eastAsia="en-US"/>
              </w:rPr>
              <w:t>(A) Aislada</w:t>
            </w:r>
          </w:p>
        </w:tc>
      </w:tr>
      <w:tr w:rsidR="00E9030D" w:rsidRPr="00F552DA" w14:paraId="756FD0A6" w14:textId="77777777" w:rsidTr="00190CBA">
        <w:tc>
          <w:tcPr>
            <w:tcW w:w="1980" w:type="dxa"/>
          </w:tcPr>
          <w:p w14:paraId="3789F08D" w14:textId="2548BC6A" w:rsidR="00E9030D" w:rsidRPr="00F552DA" w:rsidRDefault="00E9030D" w:rsidP="00E9030D">
            <w:pPr>
              <w:spacing w:after="240" w:line="276" w:lineRule="auto"/>
              <w:rPr>
                <w:rFonts w:eastAsia="Calibri"/>
                <w:b/>
                <w:color w:val="000000"/>
                <w:sz w:val="22"/>
                <w:szCs w:val="22"/>
                <w:lang w:val="es-EC" w:eastAsia="en-US"/>
              </w:rPr>
            </w:pPr>
            <w:r w:rsidRPr="00F552DA">
              <w:rPr>
                <w:rFonts w:eastAsia="Calibri"/>
                <w:b/>
                <w:color w:val="000000"/>
                <w:sz w:val="22"/>
                <w:szCs w:val="22"/>
                <w:lang w:val="es-EC" w:eastAsia="en-US"/>
              </w:rPr>
              <w:t>Uso principal del suelo:</w:t>
            </w:r>
          </w:p>
        </w:tc>
        <w:tc>
          <w:tcPr>
            <w:tcW w:w="1559" w:type="dxa"/>
            <w:vAlign w:val="center"/>
          </w:tcPr>
          <w:p w14:paraId="41DE231F" w14:textId="7270F1B7" w:rsidR="00E9030D" w:rsidRPr="00F552DA" w:rsidRDefault="00E9030D" w:rsidP="00E9030D">
            <w:pPr>
              <w:spacing w:after="240" w:line="276" w:lineRule="auto"/>
              <w:jc w:val="center"/>
              <w:rPr>
                <w:b/>
                <w:bCs/>
                <w:sz w:val="22"/>
                <w:szCs w:val="22"/>
              </w:rPr>
            </w:pPr>
            <w:r w:rsidRPr="00F552DA">
              <w:rPr>
                <w:rFonts w:eastAsia="Calibri"/>
                <w:sz w:val="22"/>
                <w:szCs w:val="22"/>
                <w:lang w:val="es-EC" w:eastAsia="en-US"/>
              </w:rPr>
              <w:t>(AR</w:t>
            </w:r>
            <w:r>
              <w:rPr>
                <w:rFonts w:eastAsia="Calibri"/>
                <w:sz w:val="22"/>
                <w:szCs w:val="22"/>
                <w:lang w:val="es-EC" w:eastAsia="en-US"/>
              </w:rPr>
              <w:t>R</w:t>
            </w:r>
            <w:r w:rsidRPr="00F552DA">
              <w:rPr>
                <w:rFonts w:eastAsia="Calibri"/>
                <w:sz w:val="22"/>
                <w:szCs w:val="22"/>
                <w:lang w:val="es-EC" w:eastAsia="en-US"/>
              </w:rPr>
              <w:t>) Agrícola Residencial</w:t>
            </w:r>
            <w:r>
              <w:rPr>
                <w:rFonts w:eastAsia="Calibri"/>
                <w:sz w:val="22"/>
                <w:szCs w:val="22"/>
                <w:lang w:val="es-EC" w:eastAsia="en-US"/>
              </w:rPr>
              <w:t xml:space="preserve"> Rural</w:t>
            </w:r>
          </w:p>
        </w:tc>
        <w:tc>
          <w:tcPr>
            <w:tcW w:w="1701" w:type="dxa"/>
            <w:vAlign w:val="center"/>
          </w:tcPr>
          <w:p w14:paraId="01F62432" w14:textId="71F5F70F" w:rsidR="00E9030D" w:rsidRPr="00F552DA" w:rsidRDefault="00E9030D" w:rsidP="00E9030D">
            <w:pPr>
              <w:spacing w:after="240" w:line="276" w:lineRule="auto"/>
              <w:jc w:val="center"/>
              <w:rPr>
                <w:b/>
                <w:bCs/>
                <w:sz w:val="22"/>
                <w:szCs w:val="22"/>
              </w:rPr>
            </w:pPr>
            <w:r w:rsidRPr="00F552DA">
              <w:rPr>
                <w:rFonts w:eastAsia="Calibri"/>
                <w:sz w:val="22"/>
                <w:szCs w:val="22"/>
                <w:lang w:val="es-EC" w:eastAsia="en-US"/>
              </w:rPr>
              <w:t>(AR</w:t>
            </w:r>
            <w:r>
              <w:rPr>
                <w:rFonts w:eastAsia="Calibri"/>
                <w:sz w:val="22"/>
                <w:szCs w:val="22"/>
                <w:lang w:val="es-EC" w:eastAsia="en-US"/>
              </w:rPr>
              <w:t>R</w:t>
            </w:r>
            <w:r w:rsidRPr="00F552DA">
              <w:rPr>
                <w:rFonts w:eastAsia="Calibri"/>
                <w:sz w:val="22"/>
                <w:szCs w:val="22"/>
                <w:lang w:val="es-EC" w:eastAsia="en-US"/>
              </w:rPr>
              <w:t>) Agrícola Residencial</w:t>
            </w:r>
            <w:r>
              <w:rPr>
                <w:rFonts w:eastAsia="Calibri"/>
                <w:sz w:val="22"/>
                <w:szCs w:val="22"/>
                <w:lang w:val="es-EC" w:eastAsia="en-US"/>
              </w:rPr>
              <w:t xml:space="preserve"> Rural</w:t>
            </w:r>
          </w:p>
        </w:tc>
        <w:tc>
          <w:tcPr>
            <w:tcW w:w="1701" w:type="dxa"/>
            <w:vAlign w:val="center"/>
          </w:tcPr>
          <w:p w14:paraId="5AD75406" w14:textId="0413E4C7" w:rsidR="00E9030D" w:rsidRPr="00F552DA" w:rsidRDefault="00E9030D" w:rsidP="00E9030D">
            <w:pPr>
              <w:spacing w:after="240" w:line="276" w:lineRule="auto"/>
              <w:jc w:val="center"/>
              <w:rPr>
                <w:b/>
                <w:bCs/>
                <w:sz w:val="22"/>
                <w:szCs w:val="22"/>
              </w:rPr>
            </w:pPr>
            <w:r w:rsidRPr="00F552DA">
              <w:rPr>
                <w:rFonts w:eastAsia="Calibri"/>
                <w:sz w:val="22"/>
                <w:szCs w:val="22"/>
                <w:lang w:val="es-EC" w:eastAsia="en-US"/>
              </w:rPr>
              <w:t>(AR</w:t>
            </w:r>
            <w:r>
              <w:rPr>
                <w:rFonts w:eastAsia="Calibri"/>
                <w:sz w:val="22"/>
                <w:szCs w:val="22"/>
                <w:lang w:val="es-EC" w:eastAsia="en-US"/>
              </w:rPr>
              <w:t>R</w:t>
            </w:r>
            <w:r w:rsidRPr="00F552DA">
              <w:rPr>
                <w:rFonts w:eastAsia="Calibri"/>
                <w:sz w:val="22"/>
                <w:szCs w:val="22"/>
                <w:lang w:val="es-EC" w:eastAsia="en-US"/>
              </w:rPr>
              <w:t>) Agrícola Residencial</w:t>
            </w:r>
            <w:r>
              <w:rPr>
                <w:rFonts w:eastAsia="Calibri"/>
                <w:sz w:val="22"/>
                <w:szCs w:val="22"/>
                <w:lang w:val="es-EC" w:eastAsia="en-US"/>
              </w:rPr>
              <w:t xml:space="preserve"> Rural</w:t>
            </w:r>
          </w:p>
        </w:tc>
        <w:tc>
          <w:tcPr>
            <w:tcW w:w="1701" w:type="dxa"/>
            <w:vAlign w:val="center"/>
          </w:tcPr>
          <w:p w14:paraId="11BF5D6D" w14:textId="0A3C502E" w:rsidR="00E9030D" w:rsidRPr="00F552DA" w:rsidRDefault="00E9030D" w:rsidP="00E9030D">
            <w:pPr>
              <w:spacing w:after="240" w:line="276" w:lineRule="auto"/>
              <w:jc w:val="center"/>
              <w:rPr>
                <w:b/>
                <w:bCs/>
                <w:sz w:val="22"/>
                <w:szCs w:val="22"/>
              </w:rPr>
            </w:pPr>
            <w:r w:rsidRPr="00F552DA">
              <w:rPr>
                <w:rFonts w:eastAsia="Calibri"/>
                <w:sz w:val="22"/>
                <w:szCs w:val="22"/>
                <w:lang w:val="es-EC" w:eastAsia="en-US"/>
              </w:rPr>
              <w:t>(AR</w:t>
            </w:r>
            <w:r>
              <w:rPr>
                <w:rFonts w:eastAsia="Calibri"/>
                <w:sz w:val="22"/>
                <w:szCs w:val="22"/>
                <w:lang w:val="es-EC" w:eastAsia="en-US"/>
              </w:rPr>
              <w:t>R</w:t>
            </w:r>
            <w:r w:rsidRPr="00F552DA">
              <w:rPr>
                <w:rFonts w:eastAsia="Calibri"/>
                <w:sz w:val="22"/>
                <w:szCs w:val="22"/>
                <w:lang w:val="es-EC" w:eastAsia="en-US"/>
              </w:rPr>
              <w:t>) Agrícola Residencial</w:t>
            </w:r>
            <w:r>
              <w:rPr>
                <w:rFonts w:eastAsia="Calibri"/>
                <w:sz w:val="22"/>
                <w:szCs w:val="22"/>
                <w:lang w:val="es-EC" w:eastAsia="en-US"/>
              </w:rPr>
              <w:t xml:space="preserve"> Rural</w:t>
            </w:r>
          </w:p>
        </w:tc>
      </w:tr>
      <w:tr w:rsidR="00E9030D" w:rsidRPr="00F552DA" w14:paraId="114AFE09" w14:textId="77777777" w:rsidTr="00F619BD">
        <w:tc>
          <w:tcPr>
            <w:tcW w:w="1980" w:type="dxa"/>
            <w:vAlign w:val="center"/>
          </w:tcPr>
          <w:p w14:paraId="66D7FC8C" w14:textId="46DCBCCB" w:rsidR="00E9030D" w:rsidRPr="00F552DA" w:rsidRDefault="00E9030D" w:rsidP="00E9030D">
            <w:pPr>
              <w:spacing w:after="240" w:line="276" w:lineRule="auto"/>
              <w:rPr>
                <w:rFonts w:eastAsia="Calibri"/>
                <w:b/>
                <w:color w:val="000000"/>
                <w:sz w:val="22"/>
                <w:szCs w:val="22"/>
                <w:lang w:val="es-EC" w:eastAsia="en-US"/>
              </w:rPr>
            </w:pPr>
            <w:r w:rsidRPr="00F552DA">
              <w:rPr>
                <w:rFonts w:eastAsia="Calibri"/>
                <w:b/>
                <w:color w:val="000000"/>
                <w:sz w:val="22"/>
                <w:szCs w:val="22"/>
                <w:lang w:val="es-EC" w:eastAsia="en-US"/>
              </w:rPr>
              <w:lastRenderedPageBreak/>
              <w:t>Clasificación del Suelo:</w:t>
            </w:r>
          </w:p>
        </w:tc>
        <w:tc>
          <w:tcPr>
            <w:tcW w:w="1559" w:type="dxa"/>
            <w:vAlign w:val="center"/>
          </w:tcPr>
          <w:p w14:paraId="07007A54" w14:textId="1D43878C" w:rsidR="00E9030D" w:rsidRPr="00F552DA" w:rsidRDefault="00E9030D" w:rsidP="00E9030D">
            <w:pPr>
              <w:spacing w:after="240" w:line="276" w:lineRule="auto"/>
              <w:jc w:val="center"/>
              <w:rPr>
                <w:b/>
                <w:bCs/>
                <w:sz w:val="22"/>
                <w:szCs w:val="22"/>
              </w:rPr>
            </w:pPr>
            <w:r w:rsidRPr="00F552DA">
              <w:rPr>
                <w:rFonts w:eastAsia="Calibri"/>
                <w:color w:val="000000"/>
                <w:sz w:val="22"/>
                <w:szCs w:val="22"/>
                <w:lang w:val="es-EC" w:eastAsia="en-US"/>
              </w:rPr>
              <w:t>(SRU) Suelo Rural</w:t>
            </w:r>
          </w:p>
        </w:tc>
        <w:tc>
          <w:tcPr>
            <w:tcW w:w="1701" w:type="dxa"/>
            <w:vAlign w:val="center"/>
          </w:tcPr>
          <w:p w14:paraId="38619878" w14:textId="42B3CA7E" w:rsidR="00E9030D" w:rsidRPr="00F552DA" w:rsidRDefault="00E9030D" w:rsidP="00E9030D">
            <w:pPr>
              <w:spacing w:after="240" w:line="276" w:lineRule="auto"/>
              <w:jc w:val="center"/>
              <w:rPr>
                <w:b/>
                <w:bCs/>
                <w:sz w:val="22"/>
                <w:szCs w:val="22"/>
              </w:rPr>
            </w:pPr>
            <w:r w:rsidRPr="00F552DA">
              <w:rPr>
                <w:rFonts w:eastAsia="Calibri"/>
                <w:color w:val="000000"/>
                <w:sz w:val="22"/>
                <w:szCs w:val="22"/>
                <w:lang w:val="es-EC" w:eastAsia="en-US"/>
              </w:rPr>
              <w:t>(SRU) Suelo Rural</w:t>
            </w:r>
          </w:p>
        </w:tc>
        <w:tc>
          <w:tcPr>
            <w:tcW w:w="1701" w:type="dxa"/>
            <w:vAlign w:val="center"/>
          </w:tcPr>
          <w:p w14:paraId="13231707" w14:textId="066C2C4D" w:rsidR="00E9030D" w:rsidRPr="00F552DA" w:rsidRDefault="00E9030D" w:rsidP="00E9030D">
            <w:pPr>
              <w:spacing w:after="240" w:line="276" w:lineRule="auto"/>
              <w:jc w:val="center"/>
              <w:rPr>
                <w:b/>
                <w:bCs/>
                <w:sz w:val="22"/>
                <w:szCs w:val="22"/>
              </w:rPr>
            </w:pPr>
            <w:r w:rsidRPr="00F552DA">
              <w:rPr>
                <w:rFonts w:eastAsia="Calibri"/>
                <w:color w:val="000000"/>
                <w:sz w:val="22"/>
                <w:szCs w:val="22"/>
                <w:lang w:val="es-EC" w:eastAsia="en-US"/>
              </w:rPr>
              <w:t>(SRU) Suelo Rural</w:t>
            </w:r>
          </w:p>
        </w:tc>
        <w:tc>
          <w:tcPr>
            <w:tcW w:w="1701" w:type="dxa"/>
            <w:vAlign w:val="center"/>
          </w:tcPr>
          <w:p w14:paraId="44371C71" w14:textId="7EEC485B" w:rsidR="00E9030D" w:rsidRPr="00F552DA" w:rsidRDefault="00E9030D" w:rsidP="00E9030D">
            <w:pPr>
              <w:spacing w:after="240" w:line="276" w:lineRule="auto"/>
              <w:jc w:val="center"/>
              <w:rPr>
                <w:b/>
                <w:bCs/>
                <w:sz w:val="22"/>
                <w:szCs w:val="22"/>
              </w:rPr>
            </w:pPr>
            <w:r w:rsidRPr="00F552DA">
              <w:rPr>
                <w:rFonts w:eastAsia="Calibri"/>
                <w:color w:val="000000"/>
                <w:sz w:val="22"/>
                <w:szCs w:val="22"/>
                <w:lang w:val="es-EC" w:eastAsia="en-US"/>
              </w:rPr>
              <w:t>(SRU) Suelo Rural</w:t>
            </w:r>
          </w:p>
        </w:tc>
      </w:tr>
    </w:tbl>
    <w:p w14:paraId="28829EAD" w14:textId="77777777" w:rsidR="00BF7CCF" w:rsidRPr="00F552DA" w:rsidRDefault="00BF7CCF" w:rsidP="00C24F44">
      <w:pPr>
        <w:pStyle w:val="Sinespaciado"/>
        <w:rPr>
          <w:rFonts w:ascii="Times New Roman" w:hAnsi="Times New Roman"/>
          <w:b/>
        </w:rPr>
      </w:pPr>
    </w:p>
    <w:tbl>
      <w:tblPr>
        <w:tblStyle w:val="Tablaconcuadrcula"/>
        <w:tblW w:w="8647" w:type="dxa"/>
        <w:tblInd w:w="-5" w:type="dxa"/>
        <w:tblLayout w:type="fixed"/>
        <w:tblLook w:val="04A0" w:firstRow="1" w:lastRow="0" w:firstColumn="1" w:lastColumn="0" w:noHBand="0" w:noVBand="1"/>
      </w:tblPr>
      <w:tblGrid>
        <w:gridCol w:w="1985"/>
        <w:gridCol w:w="1559"/>
        <w:gridCol w:w="1701"/>
        <w:gridCol w:w="1701"/>
        <w:gridCol w:w="1701"/>
      </w:tblGrid>
      <w:tr w:rsidR="00F552DA" w:rsidRPr="00F552DA" w14:paraId="59010C95" w14:textId="77777777" w:rsidTr="00F619BD">
        <w:trPr>
          <w:trHeight w:val="280"/>
        </w:trPr>
        <w:tc>
          <w:tcPr>
            <w:tcW w:w="1985" w:type="dxa"/>
          </w:tcPr>
          <w:p w14:paraId="5C71821D" w14:textId="77777777" w:rsidR="00F552DA" w:rsidRPr="00F552DA" w:rsidRDefault="00F552DA" w:rsidP="00F619BD">
            <w:pPr>
              <w:spacing w:after="240" w:line="276" w:lineRule="auto"/>
              <w:jc w:val="both"/>
              <w:rPr>
                <w:b/>
                <w:bCs/>
                <w:sz w:val="22"/>
                <w:szCs w:val="22"/>
              </w:rPr>
            </w:pPr>
            <w:r w:rsidRPr="00F552DA">
              <w:rPr>
                <w:b/>
                <w:bCs/>
                <w:sz w:val="22"/>
                <w:szCs w:val="22"/>
              </w:rPr>
              <w:t>Predio:</w:t>
            </w:r>
          </w:p>
        </w:tc>
        <w:tc>
          <w:tcPr>
            <w:tcW w:w="1559" w:type="dxa"/>
            <w:vAlign w:val="center"/>
          </w:tcPr>
          <w:p w14:paraId="09997EF6" w14:textId="77777777" w:rsidR="00F552DA" w:rsidRPr="00F552DA" w:rsidRDefault="00F552DA" w:rsidP="00E9030D">
            <w:pPr>
              <w:spacing w:after="240" w:line="276" w:lineRule="auto"/>
              <w:jc w:val="center"/>
              <w:rPr>
                <w:b/>
                <w:bCs/>
                <w:sz w:val="22"/>
                <w:szCs w:val="22"/>
              </w:rPr>
            </w:pPr>
            <w:r w:rsidRPr="00F552DA">
              <w:rPr>
                <w:b/>
                <w:bCs/>
                <w:sz w:val="22"/>
                <w:szCs w:val="22"/>
              </w:rPr>
              <w:t>5205476</w:t>
            </w:r>
          </w:p>
        </w:tc>
        <w:tc>
          <w:tcPr>
            <w:tcW w:w="1701" w:type="dxa"/>
            <w:vAlign w:val="center"/>
          </w:tcPr>
          <w:p w14:paraId="60A85079" w14:textId="77777777" w:rsidR="00F552DA" w:rsidRPr="00F552DA" w:rsidRDefault="00F552DA" w:rsidP="00E9030D">
            <w:pPr>
              <w:spacing w:after="240" w:line="276" w:lineRule="auto"/>
              <w:jc w:val="center"/>
              <w:rPr>
                <w:b/>
                <w:bCs/>
                <w:sz w:val="22"/>
                <w:szCs w:val="22"/>
              </w:rPr>
            </w:pPr>
            <w:r w:rsidRPr="00F552DA">
              <w:rPr>
                <w:b/>
                <w:bCs/>
                <w:sz w:val="22"/>
                <w:szCs w:val="22"/>
              </w:rPr>
              <w:t>5205477</w:t>
            </w:r>
          </w:p>
        </w:tc>
        <w:tc>
          <w:tcPr>
            <w:tcW w:w="1701" w:type="dxa"/>
            <w:vAlign w:val="center"/>
          </w:tcPr>
          <w:p w14:paraId="34241922" w14:textId="5E7D0C1B" w:rsidR="00F552DA" w:rsidRPr="00F552DA" w:rsidRDefault="00F552DA" w:rsidP="00E9030D">
            <w:pPr>
              <w:spacing w:after="240" w:line="276" w:lineRule="auto"/>
              <w:jc w:val="center"/>
              <w:rPr>
                <w:b/>
                <w:bCs/>
                <w:sz w:val="22"/>
                <w:szCs w:val="22"/>
              </w:rPr>
            </w:pPr>
            <w:r w:rsidRPr="00F552DA">
              <w:rPr>
                <w:b/>
                <w:bCs/>
                <w:sz w:val="22"/>
                <w:szCs w:val="22"/>
              </w:rPr>
              <w:t>5205478</w:t>
            </w:r>
          </w:p>
        </w:tc>
        <w:tc>
          <w:tcPr>
            <w:tcW w:w="1701" w:type="dxa"/>
            <w:vAlign w:val="center"/>
          </w:tcPr>
          <w:p w14:paraId="67E50BC2" w14:textId="7E464E15" w:rsidR="00F552DA" w:rsidRPr="00F552DA" w:rsidRDefault="00F552DA" w:rsidP="00E9030D">
            <w:pPr>
              <w:spacing w:after="240" w:line="276" w:lineRule="auto"/>
              <w:jc w:val="center"/>
              <w:rPr>
                <w:b/>
                <w:bCs/>
                <w:sz w:val="22"/>
                <w:szCs w:val="22"/>
              </w:rPr>
            </w:pPr>
            <w:r w:rsidRPr="00F552DA">
              <w:rPr>
                <w:b/>
                <w:bCs/>
                <w:sz w:val="22"/>
                <w:szCs w:val="22"/>
              </w:rPr>
              <w:t>5205479</w:t>
            </w:r>
          </w:p>
        </w:tc>
      </w:tr>
      <w:tr w:rsidR="00F552DA" w:rsidRPr="00F552DA" w14:paraId="612E17BC" w14:textId="77777777" w:rsidTr="00E9030D">
        <w:trPr>
          <w:trHeight w:val="652"/>
        </w:trPr>
        <w:tc>
          <w:tcPr>
            <w:tcW w:w="1985" w:type="dxa"/>
            <w:vAlign w:val="center"/>
          </w:tcPr>
          <w:p w14:paraId="184C9AAE" w14:textId="74BBE755" w:rsidR="00F552DA" w:rsidRPr="00F552DA" w:rsidRDefault="00F552DA" w:rsidP="00F619BD">
            <w:pPr>
              <w:spacing w:after="240" w:line="276" w:lineRule="auto"/>
              <w:jc w:val="both"/>
              <w:rPr>
                <w:b/>
                <w:bCs/>
                <w:sz w:val="22"/>
                <w:szCs w:val="22"/>
              </w:rPr>
            </w:pPr>
            <w:r w:rsidRPr="00F552DA">
              <w:rPr>
                <w:rFonts w:eastAsia="Calibri"/>
                <w:b/>
                <w:color w:val="000000"/>
                <w:sz w:val="22"/>
                <w:szCs w:val="22"/>
                <w:lang w:val="es-EC" w:eastAsia="en-US"/>
              </w:rPr>
              <w:t>Zonificación A</w:t>
            </w:r>
            <w:r w:rsidR="004A14A2">
              <w:rPr>
                <w:rFonts w:eastAsia="Calibri"/>
                <w:b/>
                <w:color w:val="000000"/>
                <w:sz w:val="22"/>
                <w:szCs w:val="22"/>
                <w:lang w:val="es-EC" w:eastAsia="en-US"/>
              </w:rPr>
              <w:t>nterior</w:t>
            </w:r>
            <w:r w:rsidRPr="00F552DA">
              <w:rPr>
                <w:rFonts w:eastAsia="Calibri"/>
                <w:b/>
                <w:color w:val="000000"/>
                <w:sz w:val="22"/>
                <w:szCs w:val="22"/>
                <w:lang w:val="es-EC" w:eastAsia="en-US"/>
              </w:rPr>
              <w:t>:</w:t>
            </w:r>
          </w:p>
        </w:tc>
        <w:tc>
          <w:tcPr>
            <w:tcW w:w="1559" w:type="dxa"/>
            <w:vAlign w:val="center"/>
          </w:tcPr>
          <w:p w14:paraId="4DD6C3ED" w14:textId="700A8A0D" w:rsidR="00F552DA" w:rsidRPr="007409BD" w:rsidRDefault="004A14A2" w:rsidP="00E9030D">
            <w:pPr>
              <w:spacing w:after="240" w:line="276" w:lineRule="auto"/>
              <w:jc w:val="center"/>
              <w:rPr>
                <w:b/>
                <w:bCs/>
                <w:color w:val="000000" w:themeColor="text1"/>
                <w:sz w:val="22"/>
                <w:szCs w:val="22"/>
              </w:rPr>
            </w:pPr>
            <w:r w:rsidRPr="007409BD">
              <w:rPr>
                <w:rFonts w:eastAsia="Calibri"/>
                <w:color w:val="000000" w:themeColor="text1"/>
                <w:sz w:val="22"/>
                <w:szCs w:val="22"/>
                <w:lang w:val="es-EC" w:eastAsia="en-US"/>
              </w:rPr>
              <w:t>A37(A1002-35(VU))</w:t>
            </w:r>
          </w:p>
        </w:tc>
        <w:tc>
          <w:tcPr>
            <w:tcW w:w="1701" w:type="dxa"/>
            <w:vAlign w:val="center"/>
          </w:tcPr>
          <w:p w14:paraId="43273636" w14:textId="77777777" w:rsidR="00F552DA" w:rsidRPr="007409BD" w:rsidRDefault="00F552DA" w:rsidP="00E9030D">
            <w:pPr>
              <w:spacing w:after="240" w:line="276" w:lineRule="auto"/>
              <w:jc w:val="center"/>
              <w:rPr>
                <w:b/>
                <w:bCs/>
                <w:color w:val="000000" w:themeColor="text1"/>
                <w:sz w:val="22"/>
                <w:szCs w:val="22"/>
              </w:rPr>
            </w:pPr>
            <w:r w:rsidRPr="007409BD">
              <w:rPr>
                <w:rFonts w:eastAsia="Calibri"/>
                <w:color w:val="000000" w:themeColor="text1"/>
                <w:sz w:val="22"/>
                <w:szCs w:val="22"/>
                <w:lang w:val="es-EC" w:eastAsia="en-US"/>
              </w:rPr>
              <w:t>A37(A1002-35(VU))</w:t>
            </w:r>
          </w:p>
        </w:tc>
        <w:tc>
          <w:tcPr>
            <w:tcW w:w="1701" w:type="dxa"/>
            <w:vAlign w:val="center"/>
          </w:tcPr>
          <w:p w14:paraId="52578AA9" w14:textId="77777777" w:rsidR="00F552DA" w:rsidRPr="007409BD" w:rsidRDefault="00F552DA" w:rsidP="00E9030D">
            <w:pPr>
              <w:spacing w:after="240" w:line="276" w:lineRule="auto"/>
              <w:jc w:val="center"/>
              <w:rPr>
                <w:b/>
                <w:bCs/>
                <w:color w:val="000000" w:themeColor="text1"/>
                <w:sz w:val="22"/>
                <w:szCs w:val="22"/>
              </w:rPr>
            </w:pPr>
            <w:r w:rsidRPr="007409BD">
              <w:rPr>
                <w:rFonts w:eastAsia="Calibri"/>
                <w:color w:val="000000" w:themeColor="text1"/>
                <w:sz w:val="22"/>
                <w:szCs w:val="22"/>
                <w:lang w:val="es-EC" w:eastAsia="en-US"/>
              </w:rPr>
              <w:t>A37(A1002-35(VU))</w:t>
            </w:r>
          </w:p>
        </w:tc>
        <w:tc>
          <w:tcPr>
            <w:tcW w:w="1701" w:type="dxa"/>
            <w:vAlign w:val="center"/>
          </w:tcPr>
          <w:p w14:paraId="036F5575" w14:textId="77777777" w:rsidR="00F552DA" w:rsidRPr="007409BD" w:rsidRDefault="00F552DA" w:rsidP="00E9030D">
            <w:pPr>
              <w:spacing w:after="240" w:line="276" w:lineRule="auto"/>
              <w:jc w:val="center"/>
              <w:rPr>
                <w:b/>
                <w:bCs/>
                <w:color w:val="000000" w:themeColor="text1"/>
                <w:sz w:val="22"/>
                <w:szCs w:val="22"/>
              </w:rPr>
            </w:pPr>
            <w:r w:rsidRPr="007409BD">
              <w:rPr>
                <w:rFonts w:eastAsia="Calibri"/>
                <w:color w:val="000000" w:themeColor="text1"/>
                <w:sz w:val="22"/>
                <w:szCs w:val="22"/>
                <w:lang w:val="es-EC" w:eastAsia="en-US"/>
              </w:rPr>
              <w:t>A37(A1002-35(VU))</w:t>
            </w:r>
          </w:p>
        </w:tc>
      </w:tr>
      <w:tr w:rsidR="007409BD" w:rsidRPr="00F552DA" w14:paraId="3CDB037A" w14:textId="77777777" w:rsidTr="00E9030D">
        <w:trPr>
          <w:trHeight w:val="522"/>
        </w:trPr>
        <w:tc>
          <w:tcPr>
            <w:tcW w:w="1985" w:type="dxa"/>
            <w:vAlign w:val="center"/>
          </w:tcPr>
          <w:p w14:paraId="0EDBE275" w14:textId="53DCBFD1" w:rsidR="007409BD" w:rsidRPr="00F552DA" w:rsidRDefault="007409BD" w:rsidP="00F619BD">
            <w:pPr>
              <w:spacing w:after="240" w:line="276" w:lineRule="auto"/>
              <w:jc w:val="both"/>
              <w:rPr>
                <w:rFonts w:eastAsia="Calibri"/>
                <w:b/>
                <w:color w:val="000000"/>
                <w:sz w:val="22"/>
                <w:szCs w:val="22"/>
                <w:lang w:val="es-EC" w:eastAsia="en-US"/>
              </w:rPr>
            </w:pPr>
            <w:r>
              <w:rPr>
                <w:rFonts w:eastAsia="Calibri"/>
                <w:b/>
                <w:color w:val="000000"/>
                <w:sz w:val="22"/>
                <w:szCs w:val="22"/>
                <w:lang w:val="es-EC" w:eastAsia="en-US"/>
              </w:rPr>
              <w:t>Zonificación Actual:</w:t>
            </w:r>
          </w:p>
        </w:tc>
        <w:tc>
          <w:tcPr>
            <w:tcW w:w="1559" w:type="dxa"/>
            <w:vAlign w:val="center"/>
          </w:tcPr>
          <w:p w14:paraId="248B517C" w14:textId="53D28C42" w:rsidR="007409BD" w:rsidRPr="007409BD" w:rsidRDefault="007409BD" w:rsidP="00E9030D">
            <w:pPr>
              <w:spacing w:after="240" w:line="276" w:lineRule="auto"/>
              <w:jc w:val="center"/>
              <w:rPr>
                <w:rFonts w:eastAsia="Calibri"/>
                <w:color w:val="000000" w:themeColor="text1"/>
                <w:sz w:val="22"/>
                <w:szCs w:val="22"/>
                <w:lang w:val="es-EC" w:eastAsia="en-US"/>
              </w:rPr>
            </w:pPr>
            <w:r>
              <w:rPr>
                <w:rFonts w:eastAsia="Calibri"/>
                <w:color w:val="000000" w:themeColor="text1"/>
                <w:sz w:val="22"/>
                <w:szCs w:val="22"/>
                <w:lang w:val="es-EC" w:eastAsia="en-US"/>
              </w:rPr>
              <w:t>A2(A1002-35)</w:t>
            </w:r>
          </w:p>
        </w:tc>
        <w:tc>
          <w:tcPr>
            <w:tcW w:w="1701" w:type="dxa"/>
            <w:vAlign w:val="center"/>
          </w:tcPr>
          <w:p w14:paraId="0FC1D79E" w14:textId="3A80AA92" w:rsidR="007409BD" w:rsidRPr="007409BD" w:rsidRDefault="007409BD" w:rsidP="00E9030D">
            <w:pPr>
              <w:spacing w:after="240" w:line="276" w:lineRule="auto"/>
              <w:jc w:val="center"/>
              <w:rPr>
                <w:rFonts w:eastAsia="Calibri"/>
                <w:color w:val="000000" w:themeColor="text1"/>
                <w:sz w:val="22"/>
                <w:szCs w:val="22"/>
                <w:lang w:val="es-EC" w:eastAsia="en-US"/>
              </w:rPr>
            </w:pPr>
            <w:r>
              <w:rPr>
                <w:rFonts w:eastAsia="Calibri"/>
                <w:color w:val="000000" w:themeColor="text1"/>
                <w:sz w:val="22"/>
                <w:szCs w:val="22"/>
                <w:lang w:val="es-EC" w:eastAsia="en-US"/>
              </w:rPr>
              <w:t>A2(A1002-35)</w:t>
            </w:r>
          </w:p>
        </w:tc>
        <w:tc>
          <w:tcPr>
            <w:tcW w:w="1701" w:type="dxa"/>
            <w:vAlign w:val="center"/>
          </w:tcPr>
          <w:p w14:paraId="1A798C83" w14:textId="751C8318" w:rsidR="007409BD" w:rsidRPr="007409BD" w:rsidRDefault="007409BD" w:rsidP="00E9030D">
            <w:pPr>
              <w:spacing w:after="240" w:line="276" w:lineRule="auto"/>
              <w:jc w:val="center"/>
              <w:rPr>
                <w:rFonts w:eastAsia="Calibri"/>
                <w:color w:val="000000" w:themeColor="text1"/>
                <w:sz w:val="22"/>
                <w:szCs w:val="22"/>
                <w:lang w:val="es-EC" w:eastAsia="en-US"/>
              </w:rPr>
            </w:pPr>
            <w:r>
              <w:rPr>
                <w:rFonts w:eastAsia="Calibri"/>
                <w:color w:val="000000" w:themeColor="text1"/>
                <w:sz w:val="22"/>
                <w:szCs w:val="22"/>
                <w:lang w:val="es-EC" w:eastAsia="en-US"/>
              </w:rPr>
              <w:t>A2(A1002-35)</w:t>
            </w:r>
          </w:p>
        </w:tc>
        <w:tc>
          <w:tcPr>
            <w:tcW w:w="1701" w:type="dxa"/>
            <w:vAlign w:val="center"/>
          </w:tcPr>
          <w:p w14:paraId="44103556" w14:textId="61DE2AAD" w:rsidR="007409BD" w:rsidRPr="007409BD" w:rsidRDefault="007409BD" w:rsidP="00E9030D">
            <w:pPr>
              <w:spacing w:after="240" w:line="276" w:lineRule="auto"/>
              <w:jc w:val="center"/>
              <w:rPr>
                <w:rFonts w:eastAsia="Calibri"/>
                <w:color w:val="000000" w:themeColor="text1"/>
                <w:sz w:val="22"/>
                <w:szCs w:val="22"/>
                <w:lang w:val="es-EC" w:eastAsia="en-US"/>
              </w:rPr>
            </w:pPr>
            <w:r>
              <w:rPr>
                <w:rFonts w:eastAsia="Calibri"/>
                <w:color w:val="000000" w:themeColor="text1"/>
                <w:sz w:val="22"/>
                <w:szCs w:val="22"/>
                <w:lang w:val="es-EC" w:eastAsia="en-US"/>
              </w:rPr>
              <w:t>A2(A1002-35)</w:t>
            </w:r>
          </w:p>
        </w:tc>
      </w:tr>
      <w:tr w:rsidR="00F552DA" w:rsidRPr="00F552DA" w14:paraId="0B9A58F4" w14:textId="77777777" w:rsidTr="00F619BD">
        <w:trPr>
          <w:trHeight w:val="411"/>
        </w:trPr>
        <w:tc>
          <w:tcPr>
            <w:tcW w:w="1985" w:type="dxa"/>
            <w:vAlign w:val="center"/>
          </w:tcPr>
          <w:p w14:paraId="405163E9" w14:textId="77777777" w:rsidR="00F552DA" w:rsidRPr="00F552DA" w:rsidRDefault="00F552DA" w:rsidP="00F619BD">
            <w:pPr>
              <w:spacing w:after="240" w:line="276" w:lineRule="auto"/>
              <w:jc w:val="both"/>
              <w:rPr>
                <w:b/>
                <w:bCs/>
                <w:sz w:val="22"/>
                <w:szCs w:val="22"/>
              </w:rPr>
            </w:pPr>
            <w:r w:rsidRPr="00F552DA">
              <w:rPr>
                <w:rFonts w:eastAsia="Calibri"/>
                <w:b/>
                <w:color w:val="000000"/>
                <w:sz w:val="22"/>
                <w:szCs w:val="22"/>
                <w:lang w:val="es-EC" w:eastAsia="en-US"/>
              </w:rPr>
              <w:t>Lote mínimo:</w:t>
            </w:r>
          </w:p>
        </w:tc>
        <w:tc>
          <w:tcPr>
            <w:tcW w:w="1559" w:type="dxa"/>
          </w:tcPr>
          <w:p w14:paraId="0D72A89B" w14:textId="77777777" w:rsidR="00F552DA" w:rsidRPr="00F552DA" w:rsidRDefault="00F552DA" w:rsidP="00E9030D">
            <w:pPr>
              <w:spacing w:after="200" w:line="276" w:lineRule="auto"/>
              <w:jc w:val="center"/>
              <w:rPr>
                <w:b/>
                <w:bCs/>
                <w:sz w:val="22"/>
                <w:szCs w:val="22"/>
              </w:rPr>
            </w:pPr>
            <w:r w:rsidRPr="00F552DA">
              <w:rPr>
                <w:rFonts w:eastAsia="Calibri"/>
                <w:sz w:val="22"/>
                <w:szCs w:val="22"/>
                <w:lang w:val="es-EC" w:eastAsia="en-US"/>
              </w:rPr>
              <w:t>1000m2</w:t>
            </w:r>
          </w:p>
        </w:tc>
        <w:tc>
          <w:tcPr>
            <w:tcW w:w="1701" w:type="dxa"/>
          </w:tcPr>
          <w:p w14:paraId="02BAF650" w14:textId="77777777" w:rsidR="00F552DA" w:rsidRPr="00F552DA" w:rsidRDefault="00F552DA" w:rsidP="00E9030D">
            <w:pPr>
              <w:spacing w:after="200" w:line="276" w:lineRule="auto"/>
              <w:jc w:val="center"/>
              <w:rPr>
                <w:b/>
                <w:bCs/>
                <w:sz w:val="22"/>
                <w:szCs w:val="22"/>
              </w:rPr>
            </w:pPr>
            <w:r w:rsidRPr="00F552DA">
              <w:rPr>
                <w:rFonts w:eastAsia="Calibri"/>
                <w:sz w:val="22"/>
                <w:szCs w:val="22"/>
                <w:lang w:val="es-EC" w:eastAsia="en-US"/>
              </w:rPr>
              <w:t>1000m2</w:t>
            </w:r>
          </w:p>
        </w:tc>
        <w:tc>
          <w:tcPr>
            <w:tcW w:w="1701" w:type="dxa"/>
          </w:tcPr>
          <w:p w14:paraId="598810C9" w14:textId="77777777" w:rsidR="00F552DA" w:rsidRPr="00F552DA" w:rsidRDefault="00F552DA" w:rsidP="00E9030D">
            <w:pPr>
              <w:spacing w:after="200" w:line="276" w:lineRule="auto"/>
              <w:jc w:val="center"/>
              <w:rPr>
                <w:b/>
                <w:bCs/>
                <w:sz w:val="22"/>
                <w:szCs w:val="22"/>
              </w:rPr>
            </w:pPr>
            <w:r w:rsidRPr="00F552DA">
              <w:rPr>
                <w:rFonts w:eastAsia="Calibri"/>
                <w:sz w:val="22"/>
                <w:szCs w:val="22"/>
                <w:lang w:val="es-EC" w:eastAsia="en-US"/>
              </w:rPr>
              <w:t>1000m2</w:t>
            </w:r>
          </w:p>
        </w:tc>
        <w:tc>
          <w:tcPr>
            <w:tcW w:w="1701" w:type="dxa"/>
          </w:tcPr>
          <w:p w14:paraId="53F8D1ED" w14:textId="77777777" w:rsidR="00F552DA" w:rsidRPr="00F552DA" w:rsidRDefault="00F552DA" w:rsidP="00E9030D">
            <w:pPr>
              <w:spacing w:after="200" w:line="276" w:lineRule="auto"/>
              <w:jc w:val="center"/>
              <w:rPr>
                <w:b/>
                <w:bCs/>
                <w:sz w:val="22"/>
                <w:szCs w:val="22"/>
              </w:rPr>
            </w:pPr>
            <w:r w:rsidRPr="00F552DA">
              <w:rPr>
                <w:rFonts w:eastAsia="Calibri"/>
                <w:sz w:val="22"/>
                <w:szCs w:val="22"/>
                <w:lang w:val="es-EC" w:eastAsia="en-US"/>
              </w:rPr>
              <w:t>1000m2</w:t>
            </w:r>
          </w:p>
        </w:tc>
      </w:tr>
      <w:tr w:rsidR="00F552DA" w:rsidRPr="00F552DA" w14:paraId="4511D2DA" w14:textId="77777777" w:rsidTr="00F619BD">
        <w:tc>
          <w:tcPr>
            <w:tcW w:w="1985" w:type="dxa"/>
          </w:tcPr>
          <w:p w14:paraId="3B5332AD" w14:textId="77777777" w:rsidR="00F552DA" w:rsidRPr="00F552DA" w:rsidRDefault="00F552DA" w:rsidP="00E9030D">
            <w:pPr>
              <w:spacing w:after="240" w:line="276" w:lineRule="auto"/>
              <w:rPr>
                <w:rFonts w:eastAsia="Calibri"/>
                <w:sz w:val="22"/>
                <w:szCs w:val="22"/>
                <w:lang w:val="es-EC" w:eastAsia="en-US"/>
              </w:rPr>
            </w:pPr>
            <w:r w:rsidRPr="00F552DA">
              <w:rPr>
                <w:rFonts w:eastAsia="Calibri"/>
                <w:b/>
                <w:color w:val="000000"/>
                <w:sz w:val="22"/>
                <w:szCs w:val="22"/>
                <w:lang w:val="es-EC" w:eastAsia="en-US"/>
              </w:rPr>
              <w:t>Forma de Ocupación del suelo:</w:t>
            </w:r>
          </w:p>
        </w:tc>
        <w:tc>
          <w:tcPr>
            <w:tcW w:w="1559" w:type="dxa"/>
            <w:vAlign w:val="center"/>
          </w:tcPr>
          <w:p w14:paraId="01CBECDF" w14:textId="77777777" w:rsidR="00F552DA" w:rsidRPr="00F552DA" w:rsidRDefault="00F552DA" w:rsidP="00E9030D">
            <w:pPr>
              <w:spacing w:after="240" w:line="276" w:lineRule="auto"/>
              <w:jc w:val="center"/>
              <w:rPr>
                <w:b/>
                <w:bCs/>
                <w:sz w:val="22"/>
                <w:szCs w:val="22"/>
              </w:rPr>
            </w:pPr>
            <w:r w:rsidRPr="00F552DA">
              <w:rPr>
                <w:rFonts w:eastAsia="Calibri"/>
                <w:sz w:val="22"/>
                <w:szCs w:val="22"/>
                <w:lang w:val="es-EC" w:eastAsia="en-US"/>
              </w:rPr>
              <w:t>(A) Aislada</w:t>
            </w:r>
          </w:p>
        </w:tc>
        <w:tc>
          <w:tcPr>
            <w:tcW w:w="1701" w:type="dxa"/>
            <w:vAlign w:val="center"/>
          </w:tcPr>
          <w:p w14:paraId="074AC835" w14:textId="77777777" w:rsidR="00F552DA" w:rsidRPr="00F552DA" w:rsidRDefault="00F552DA" w:rsidP="00E9030D">
            <w:pPr>
              <w:spacing w:after="240" w:line="276" w:lineRule="auto"/>
              <w:jc w:val="center"/>
              <w:rPr>
                <w:b/>
                <w:bCs/>
                <w:sz w:val="22"/>
                <w:szCs w:val="22"/>
              </w:rPr>
            </w:pPr>
            <w:r w:rsidRPr="00F552DA">
              <w:rPr>
                <w:rFonts w:eastAsia="Calibri"/>
                <w:sz w:val="22"/>
                <w:szCs w:val="22"/>
                <w:lang w:val="es-EC" w:eastAsia="en-US"/>
              </w:rPr>
              <w:t>(A) Aislada</w:t>
            </w:r>
          </w:p>
        </w:tc>
        <w:tc>
          <w:tcPr>
            <w:tcW w:w="1701" w:type="dxa"/>
            <w:vAlign w:val="center"/>
          </w:tcPr>
          <w:p w14:paraId="5AEF5EA3" w14:textId="77777777" w:rsidR="00F552DA" w:rsidRPr="00F552DA" w:rsidRDefault="00F552DA" w:rsidP="00E9030D">
            <w:pPr>
              <w:spacing w:after="240" w:line="276" w:lineRule="auto"/>
              <w:jc w:val="center"/>
              <w:rPr>
                <w:b/>
                <w:bCs/>
                <w:sz w:val="22"/>
                <w:szCs w:val="22"/>
              </w:rPr>
            </w:pPr>
            <w:r w:rsidRPr="00F552DA">
              <w:rPr>
                <w:rFonts w:eastAsia="Calibri"/>
                <w:sz w:val="22"/>
                <w:szCs w:val="22"/>
                <w:lang w:val="es-EC" w:eastAsia="en-US"/>
              </w:rPr>
              <w:t>(A) Aislada</w:t>
            </w:r>
          </w:p>
        </w:tc>
        <w:tc>
          <w:tcPr>
            <w:tcW w:w="1701" w:type="dxa"/>
            <w:vAlign w:val="center"/>
          </w:tcPr>
          <w:p w14:paraId="2C0E8BB1" w14:textId="77777777" w:rsidR="00F552DA" w:rsidRPr="00F552DA" w:rsidRDefault="00F552DA" w:rsidP="00E9030D">
            <w:pPr>
              <w:spacing w:after="240" w:line="276" w:lineRule="auto"/>
              <w:jc w:val="center"/>
              <w:rPr>
                <w:b/>
                <w:bCs/>
                <w:sz w:val="22"/>
                <w:szCs w:val="22"/>
              </w:rPr>
            </w:pPr>
            <w:r w:rsidRPr="00F552DA">
              <w:rPr>
                <w:rFonts w:eastAsia="Calibri"/>
                <w:sz w:val="22"/>
                <w:szCs w:val="22"/>
                <w:lang w:val="es-EC" w:eastAsia="en-US"/>
              </w:rPr>
              <w:t>(A) Aislada</w:t>
            </w:r>
          </w:p>
        </w:tc>
      </w:tr>
      <w:tr w:rsidR="00F552DA" w:rsidRPr="00F552DA" w14:paraId="3447F96E" w14:textId="77777777" w:rsidTr="00F619BD">
        <w:tc>
          <w:tcPr>
            <w:tcW w:w="1985" w:type="dxa"/>
          </w:tcPr>
          <w:p w14:paraId="57D2CEF5" w14:textId="77777777" w:rsidR="00F552DA" w:rsidRPr="00F552DA" w:rsidRDefault="00F552DA" w:rsidP="00F619BD">
            <w:pPr>
              <w:spacing w:after="240" w:line="276" w:lineRule="auto"/>
              <w:jc w:val="both"/>
              <w:rPr>
                <w:rFonts w:eastAsia="Calibri"/>
                <w:sz w:val="22"/>
                <w:szCs w:val="22"/>
                <w:lang w:val="es-EC" w:eastAsia="en-US"/>
              </w:rPr>
            </w:pPr>
            <w:r w:rsidRPr="00F552DA">
              <w:rPr>
                <w:rFonts w:eastAsia="Calibri"/>
                <w:b/>
                <w:color w:val="000000"/>
                <w:sz w:val="22"/>
                <w:szCs w:val="22"/>
                <w:lang w:val="es-EC" w:eastAsia="en-US"/>
              </w:rPr>
              <w:t>Uso principal del suelo:</w:t>
            </w:r>
          </w:p>
        </w:tc>
        <w:tc>
          <w:tcPr>
            <w:tcW w:w="1559" w:type="dxa"/>
            <w:vAlign w:val="center"/>
          </w:tcPr>
          <w:p w14:paraId="4D5A7E12" w14:textId="3B553043" w:rsidR="00F552DA" w:rsidRPr="00F552DA" w:rsidRDefault="00F552DA" w:rsidP="00E9030D">
            <w:pPr>
              <w:spacing w:after="240" w:line="276" w:lineRule="auto"/>
              <w:jc w:val="center"/>
              <w:rPr>
                <w:b/>
                <w:bCs/>
                <w:sz w:val="22"/>
                <w:szCs w:val="22"/>
              </w:rPr>
            </w:pPr>
            <w:r w:rsidRPr="00F552DA">
              <w:rPr>
                <w:rFonts w:eastAsia="Calibri"/>
                <w:sz w:val="22"/>
                <w:szCs w:val="22"/>
                <w:lang w:val="es-EC" w:eastAsia="en-US"/>
              </w:rPr>
              <w:t>(AR</w:t>
            </w:r>
            <w:r w:rsidR="004A14A2">
              <w:rPr>
                <w:rFonts w:eastAsia="Calibri"/>
                <w:sz w:val="22"/>
                <w:szCs w:val="22"/>
                <w:lang w:val="es-EC" w:eastAsia="en-US"/>
              </w:rPr>
              <w:t>R</w:t>
            </w:r>
            <w:r w:rsidRPr="00F552DA">
              <w:rPr>
                <w:rFonts w:eastAsia="Calibri"/>
                <w:sz w:val="22"/>
                <w:szCs w:val="22"/>
                <w:lang w:val="es-EC" w:eastAsia="en-US"/>
              </w:rPr>
              <w:t>) Agrícola Residencial</w:t>
            </w:r>
            <w:r w:rsidR="004A14A2">
              <w:rPr>
                <w:rFonts w:eastAsia="Calibri"/>
                <w:sz w:val="22"/>
                <w:szCs w:val="22"/>
                <w:lang w:val="es-EC" w:eastAsia="en-US"/>
              </w:rPr>
              <w:t xml:space="preserve"> Rural</w:t>
            </w:r>
          </w:p>
        </w:tc>
        <w:tc>
          <w:tcPr>
            <w:tcW w:w="1701" w:type="dxa"/>
            <w:vAlign w:val="center"/>
          </w:tcPr>
          <w:p w14:paraId="23A3560D" w14:textId="0758FCBF" w:rsidR="00F552DA" w:rsidRPr="00F552DA" w:rsidRDefault="00F552DA" w:rsidP="00E9030D">
            <w:pPr>
              <w:spacing w:after="240" w:line="276" w:lineRule="auto"/>
              <w:jc w:val="center"/>
              <w:rPr>
                <w:b/>
                <w:bCs/>
                <w:sz w:val="22"/>
                <w:szCs w:val="22"/>
              </w:rPr>
            </w:pPr>
            <w:r w:rsidRPr="00F552DA">
              <w:rPr>
                <w:rFonts w:eastAsia="Calibri"/>
                <w:sz w:val="22"/>
                <w:szCs w:val="22"/>
                <w:lang w:val="es-EC" w:eastAsia="en-US"/>
              </w:rPr>
              <w:t>(AR</w:t>
            </w:r>
            <w:r w:rsidR="004A14A2">
              <w:rPr>
                <w:rFonts w:eastAsia="Calibri"/>
                <w:sz w:val="22"/>
                <w:szCs w:val="22"/>
                <w:lang w:val="es-EC" w:eastAsia="en-US"/>
              </w:rPr>
              <w:t>R</w:t>
            </w:r>
            <w:r w:rsidRPr="00F552DA">
              <w:rPr>
                <w:rFonts w:eastAsia="Calibri"/>
                <w:sz w:val="22"/>
                <w:szCs w:val="22"/>
                <w:lang w:val="es-EC" w:eastAsia="en-US"/>
              </w:rPr>
              <w:t>) Agrícola Residencial</w:t>
            </w:r>
            <w:r w:rsidR="004A14A2">
              <w:rPr>
                <w:rFonts w:eastAsia="Calibri"/>
                <w:sz w:val="22"/>
                <w:szCs w:val="22"/>
                <w:lang w:val="es-EC" w:eastAsia="en-US"/>
              </w:rPr>
              <w:t xml:space="preserve"> Rural</w:t>
            </w:r>
          </w:p>
        </w:tc>
        <w:tc>
          <w:tcPr>
            <w:tcW w:w="1701" w:type="dxa"/>
            <w:vAlign w:val="center"/>
          </w:tcPr>
          <w:p w14:paraId="4C28FE93" w14:textId="72507D29" w:rsidR="00F552DA" w:rsidRPr="00F552DA" w:rsidRDefault="00F552DA" w:rsidP="00E9030D">
            <w:pPr>
              <w:spacing w:after="240" w:line="276" w:lineRule="auto"/>
              <w:jc w:val="center"/>
              <w:rPr>
                <w:b/>
                <w:bCs/>
                <w:sz w:val="22"/>
                <w:szCs w:val="22"/>
              </w:rPr>
            </w:pPr>
            <w:r w:rsidRPr="00F552DA">
              <w:rPr>
                <w:rFonts w:eastAsia="Calibri"/>
                <w:sz w:val="22"/>
                <w:szCs w:val="22"/>
                <w:lang w:val="es-EC" w:eastAsia="en-US"/>
              </w:rPr>
              <w:t>(AR</w:t>
            </w:r>
            <w:r w:rsidR="004A14A2">
              <w:rPr>
                <w:rFonts w:eastAsia="Calibri"/>
                <w:sz w:val="22"/>
                <w:szCs w:val="22"/>
                <w:lang w:val="es-EC" w:eastAsia="en-US"/>
              </w:rPr>
              <w:t>R</w:t>
            </w:r>
            <w:r w:rsidRPr="00F552DA">
              <w:rPr>
                <w:rFonts w:eastAsia="Calibri"/>
                <w:sz w:val="22"/>
                <w:szCs w:val="22"/>
                <w:lang w:val="es-EC" w:eastAsia="en-US"/>
              </w:rPr>
              <w:t>) Agrícola Residencial</w:t>
            </w:r>
            <w:r w:rsidR="004A14A2">
              <w:rPr>
                <w:rFonts w:eastAsia="Calibri"/>
                <w:sz w:val="22"/>
                <w:szCs w:val="22"/>
                <w:lang w:val="es-EC" w:eastAsia="en-US"/>
              </w:rPr>
              <w:t xml:space="preserve"> Rural</w:t>
            </w:r>
          </w:p>
        </w:tc>
        <w:tc>
          <w:tcPr>
            <w:tcW w:w="1701" w:type="dxa"/>
            <w:vAlign w:val="center"/>
          </w:tcPr>
          <w:p w14:paraId="5BBB1CAD" w14:textId="48913888" w:rsidR="00F552DA" w:rsidRPr="00F552DA" w:rsidRDefault="00F552DA" w:rsidP="00E9030D">
            <w:pPr>
              <w:spacing w:after="240" w:line="276" w:lineRule="auto"/>
              <w:jc w:val="center"/>
              <w:rPr>
                <w:b/>
                <w:bCs/>
                <w:sz w:val="22"/>
                <w:szCs w:val="22"/>
              </w:rPr>
            </w:pPr>
            <w:r w:rsidRPr="00F552DA">
              <w:rPr>
                <w:rFonts w:eastAsia="Calibri"/>
                <w:sz w:val="22"/>
                <w:szCs w:val="22"/>
                <w:lang w:val="es-EC" w:eastAsia="en-US"/>
              </w:rPr>
              <w:t>(AR</w:t>
            </w:r>
            <w:r w:rsidR="004A14A2">
              <w:rPr>
                <w:rFonts w:eastAsia="Calibri"/>
                <w:sz w:val="22"/>
                <w:szCs w:val="22"/>
                <w:lang w:val="es-EC" w:eastAsia="en-US"/>
              </w:rPr>
              <w:t>R</w:t>
            </w:r>
            <w:r w:rsidRPr="00F552DA">
              <w:rPr>
                <w:rFonts w:eastAsia="Calibri"/>
                <w:sz w:val="22"/>
                <w:szCs w:val="22"/>
                <w:lang w:val="es-EC" w:eastAsia="en-US"/>
              </w:rPr>
              <w:t>) Agrícola Residencial</w:t>
            </w:r>
            <w:r w:rsidR="004A14A2">
              <w:rPr>
                <w:rFonts w:eastAsia="Calibri"/>
                <w:sz w:val="22"/>
                <w:szCs w:val="22"/>
                <w:lang w:val="es-EC" w:eastAsia="en-US"/>
              </w:rPr>
              <w:t xml:space="preserve"> Rural</w:t>
            </w:r>
          </w:p>
        </w:tc>
      </w:tr>
      <w:tr w:rsidR="00F552DA" w:rsidRPr="00F552DA" w14:paraId="56C454CC" w14:textId="77777777" w:rsidTr="00E9030D">
        <w:trPr>
          <w:trHeight w:val="439"/>
        </w:trPr>
        <w:tc>
          <w:tcPr>
            <w:tcW w:w="1985" w:type="dxa"/>
            <w:vAlign w:val="center"/>
          </w:tcPr>
          <w:p w14:paraId="4838CFF8" w14:textId="77777777" w:rsidR="00F552DA" w:rsidRPr="00F552DA" w:rsidRDefault="00F552DA" w:rsidP="00F619BD">
            <w:pPr>
              <w:spacing w:after="240" w:line="276" w:lineRule="auto"/>
              <w:jc w:val="both"/>
              <w:rPr>
                <w:rFonts w:eastAsia="Calibri"/>
                <w:b/>
                <w:color w:val="000000"/>
                <w:sz w:val="22"/>
                <w:szCs w:val="22"/>
                <w:lang w:val="es-EC" w:eastAsia="en-US"/>
              </w:rPr>
            </w:pPr>
            <w:r w:rsidRPr="00F552DA">
              <w:rPr>
                <w:rFonts w:eastAsia="Calibri"/>
                <w:b/>
                <w:color w:val="000000"/>
                <w:sz w:val="22"/>
                <w:szCs w:val="22"/>
                <w:lang w:val="es-EC" w:eastAsia="en-US"/>
              </w:rPr>
              <w:t>Clasificación del Suelo:</w:t>
            </w:r>
          </w:p>
        </w:tc>
        <w:tc>
          <w:tcPr>
            <w:tcW w:w="1559" w:type="dxa"/>
            <w:vAlign w:val="center"/>
          </w:tcPr>
          <w:p w14:paraId="468F4339" w14:textId="77777777" w:rsidR="00F552DA" w:rsidRPr="00F552DA" w:rsidRDefault="00F552DA" w:rsidP="00E9030D">
            <w:pPr>
              <w:spacing w:after="240" w:line="276" w:lineRule="auto"/>
              <w:jc w:val="center"/>
              <w:rPr>
                <w:b/>
                <w:bCs/>
                <w:sz w:val="22"/>
                <w:szCs w:val="22"/>
              </w:rPr>
            </w:pPr>
            <w:r w:rsidRPr="00F552DA">
              <w:rPr>
                <w:rFonts w:eastAsia="Calibri"/>
                <w:color w:val="000000"/>
                <w:sz w:val="22"/>
                <w:szCs w:val="22"/>
                <w:lang w:val="es-EC" w:eastAsia="en-US"/>
              </w:rPr>
              <w:t>(SRU) Suelo Rural</w:t>
            </w:r>
          </w:p>
        </w:tc>
        <w:tc>
          <w:tcPr>
            <w:tcW w:w="1701" w:type="dxa"/>
            <w:vAlign w:val="center"/>
          </w:tcPr>
          <w:p w14:paraId="0112AB4A" w14:textId="77777777" w:rsidR="00F552DA" w:rsidRPr="00F552DA" w:rsidRDefault="00F552DA" w:rsidP="00E9030D">
            <w:pPr>
              <w:spacing w:after="240" w:line="276" w:lineRule="auto"/>
              <w:jc w:val="center"/>
              <w:rPr>
                <w:b/>
                <w:bCs/>
                <w:sz w:val="22"/>
                <w:szCs w:val="22"/>
              </w:rPr>
            </w:pPr>
            <w:r w:rsidRPr="00F552DA">
              <w:rPr>
                <w:rFonts w:eastAsia="Calibri"/>
                <w:color w:val="000000"/>
                <w:sz w:val="22"/>
                <w:szCs w:val="22"/>
                <w:lang w:val="es-EC" w:eastAsia="en-US"/>
              </w:rPr>
              <w:t>(SRU) Suelo Rural</w:t>
            </w:r>
          </w:p>
        </w:tc>
        <w:tc>
          <w:tcPr>
            <w:tcW w:w="1701" w:type="dxa"/>
            <w:vAlign w:val="center"/>
          </w:tcPr>
          <w:p w14:paraId="4441F798" w14:textId="77777777" w:rsidR="00F552DA" w:rsidRPr="00F552DA" w:rsidRDefault="00F552DA" w:rsidP="00E9030D">
            <w:pPr>
              <w:spacing w:after="240" w:line="276" w:lineRule="auto"/>
              <w:jc w:val="center"/>
              <w:rPr>
                <w:b/>
                <w:bCs/>
                <w:sz w:val="22"/>
                <w:szCs w:val="22"/>
              </w:rPr>
            </w:pPr>
            <w:r w:rsidRPr="00F552DA">
              <w:rPr>
                <w:rFonts w:eastAsia="Calibri"/>
                <w:color w:val="000000"/>
                <w:sz w:val="22"/>
                <w:szCs w:val="22"/>
                <w:lang w:val="es-EC" w:eastAsia="en-US"/>
              </w:rPr>
              <w:t>(SRU) Suelo Rural</w:t>
            </w:r>
          </w:p>
        </w:tc>
        <w:tc>
          <w:tcPr>
            <w:tcW w:w="1701" w:type="dxa"/>
            <w:vAlign w:val="center"/>
          </w:tcPr>
          <w:p w14:paraId="31C46786" w14:textId="77777777" w:rsidR="00F552DA" w:rsidRPr="00F552DA" w:rsidRDefault="00F552DA" w:rsidP="00E9030D">
            <w:pPr>
              <w:spacing w:after="240" w:line="276" w:lineRule="auto"/>
              <w:jc w:val="center"/>
              <w:rPr>
                <w:b/>
                <w:bCs/>
                <w:sz w:val="22"/>
                <w:szCs w:val="22"/>
              </w:rPr>
            </w:pPr>
            <w:r w:rsidRPr="00F552DA">
              <w:rPr>
                <w:rFonts w:eastAsia="Calibri"/>
                <w:color w:val="000000"/>
                <w:sz w:val="22"/>
                <w:szCs w:val="22"/>
                <w:lang w:val="es-EC" w:eastAsia="en-US"/>
              </w:rPr>
              <w:t>(SRU) Suelo Rural</w:t>
            </w:r>
          </w:p>
        </w:tc>
      </w:tr>
    </w:tbl>
    <w:p w14:paraId="4EBD61E4" w14:textId="77777777" w:rsidR="00EB2BCE" w:rsidRDefault="00EB2BCE" w:rsidP="00C24F44">
      <w:pPr>
        <w:pStyle w:val="Sinespaciado"/>
        <w:rPr>
          <w:rFonts w:ascii="Times New Roman" w:hAnsi="Times New Roman"/>
          <w:b/>
        </w:rPr>
      </w:pPr>
    </w:p>
    <w:tbl>
      <w:tblPr>
        <w:tblStyle w:val="Tablaconcuadrcula"/>
        <w:tblW w:w="8647" w:type="dxa"/>
        <w:tblInd w:w="-5" w:type="dxa"/>
        <w:tblLayout w:type="fixed"/>
        <w:tblLook w:val="04A0" w:firstRow="1" w:lastRow="0" w:firstColumn="1" w:lastColumn="0" w:noHBand="0" w:noVBand="1"/>
      </w:tblPr>
      <w:tblGrid>
        <w:gridCol w:w="5245"/>
        <w:gridCol w:w="3402"/>
      </w:tblGrid>
      <w:tr w:rsidR="00456B66" w:rsidRPr="00F552DA" w14:paraId="34E2176F" w14:textId="77777777" w:rsidTr="004D3C06">
        <w:tc>
          <w:tcPr>
            <w:tcW w:w="5245" w:type="dxa"/>
            <w:vAlign w:val="center"/>
          </w:tcPr>
          <w:p w14:paraId="08B4436F" w14:textId="6E7BB9E6" w:rsidR="00456B66" w:rsidRPr="00F552DA" w:rsidRDefault="00456B66" w:rsidP="00CF746E">
            <w:pPr>
              <w:spacing w:after="240" w:line="276" w:lineRule="auto"/>
              <w:jc w:val="both"/>
              <w:rPr>
                <w:b/>
                <w:bCs/>
                <w:sz w:val="22"/>
                <w:szCs w:val="22"/>
              </w:rPr>
            </w:pPr>
            <w:r w:rsidRPr="00EA418E">
              <w:rPr>
                <w:rFonts w:eastAsia="Calibri"/>
                <w:b/>
                <w:color w:val="000000"/>
                <w:sz w:val="22"/>
                <w:szCs w:val="22"/>
                <w:lang w:val="es-EC" w:eastAsia="en-US"/>
              </w:rPr>
              <w:t>Número de lotes:</w:t>
            </w:r>
          </w:p>
        </w:tc>
        <w:tc>
          <w:tcPr>
            <w:tcW w:w="3402" w:type="dxa"/>
            <w:vAlign w:val="center"/>
          </w:tcPr>
          <w:p w14:paraId="39D82A78" w14:textId="1B979049" w:rsidR="00456B66" w:rsidRPr="003B18F3" w:rsidRDefault="00456B66" w:rsidP="00456B66">
            <w:pPr>
              <w:spacing w:after="240" w:line="276" w:lineRule="auto"/>
              <w:jc w:val="both"/>
              <w:rPr>
                <w:bCs/>
                <w:sz w:val="22"/>
                <w:szCs w:val="22"/>
              </w:rPr>
            </w:pPr>
            <w:r w:rsidRPr="003B18F3">
              <w:rPr>
                <w:bCs/>
                <w:sz w:val="22"/>
                <w:szCs w:val="22"/>
              </w:rPr>
              <w:t>32</w:t>
            </w:r>
          </w:p>
        </w:tc>
      </w:tr>
      <w:tr w:rsidR="00456B66" w:rsidRPr="00F552DA" w14:paraId="76A9F94B" w14:textId="77777777" w:rsidTr="004D3C06">
        <w:tc>
          <w:tcPr>
            <w:tcW w:w="5245" w:type="dxa"/>
            <w:vAlign w:val="center"/>
          </w:tcPr>
          <w:p w14:paraId="03770725" w14:textId="3C924CED" w:rsidR="00456B66" w:rsidRPr="00EA418E" w:rsidRDefault="00456B66" w:rsidP="00CF746E">
            <w:pPr>
              <w:spacing w:after="240" w:line="276" w:lineRule="auto"/>
              <w:jc w:val="both"/>
              <w:rPr>
                <w:rFonts w:eastAsia="Calibri"/>
                <w:b/>
                <w:color w:val="000000"/>
                <w:sz w:val="22"/>
                <w:szCs w:val="22"/>
                <w:lang w:val="es-EC" w:eastAsia="en-US"/>
              </w:rPr>
            </w:pPr>
            <w:r w:rsidRPr="00EA418E">
              <w:rPr>
                <w:rFonts w:eastAsia="Calibri"/>
                <w:b/>
                <w:color w:val="000000"/>
                <w:sz w:val="22"/>
                <w:szCs w:val="22"/>
                <w:lang w:val="es-EC" w:eastAsia="en-US"/>
              </w:rPr>
              <w:t>Área Útil de Lotes:</w:t>
            </w:r>
          </w:p>
        </w:tc>
        <w:tc>
          <w:tcPr>
            <w:tcW w:w="3402" w:type="dxa"/>
            <w:vAlign w:val="center"/>
          </w:tcPr>
          <w:p w14:paraId="0859C367" w14:textId="6BD04AAB" w:rsidR="00456B66" w:rsidRDefault="00456B66" w:rsidP="00456B66">
            <w:pPr>
              <w:spacing w:after="240" w:line="276" w:lineRule="auto"/>
              <w:jc w:val="both"/>
              <w:rPr>
                <w:b/>
                <w:bCs/>
                <w:sz w:val="22"/>
                <w:szCs w:val="22"/>
              </w:rPr>
            </w:pPr>
            <w:r w:rsidRPr="00EA418E">
              <w:rPr>
                <w:rFonts w:eastAsia="Calibri"/>
                <w:sz w:val="22"/>
                <w:szCs w:val="22"/>
                <w:lang w:val="es-EC" w:eastAsia="en-US"/>
              </w:rPr>
              <w:t>5.301,91m2</w:t>
            </w:r>
          </w:p>
        </w:tc>
      </w:tr>
      <w:tr w:rsidR="00456B66" w:rsidRPr="00F552DA" w14:paraId="73573EAC" w14:textId="77777777" w:rsidTr="004D3C06">
        <w:tc>
          <w:tcPr>
            <w:tcW w:w="5245" w:type="dxa"/>
            <w:vAlign w:val="center"/>
          </w:tcPr>
          <w:p w14:paraId="26E4E57A" w14:textId="750C390D" w:rsidR="00456B66" w:rsidRPr="00EA418E" w:rsidRDefault="00456B66" w:rsidP="00CF746E">
            <w:pPr>
              <w:spacing w:after="240" w:line="276" w:lineRule="auto"/>
              <w:jc w:val="both"/>
              <w:rPr>
                <w:rFonts w:eastAsia="Calibri"/>
                <w:b/>
                <w:color w:val="000000"/>
                <w:sz w:val="22"/>
                <w:szCs w:val="22"/>
                <w:lang w:val="es-EC" w:eastAsia="en-US"/>
              </w:rPr>
            </w:pPr>
            <w:r w:rsidRPr="00EA418E">
              <w:rPr>
                <w:rFonts w:eastAsia="Calibri"/>
                <w:b/>
                <w:color w:val="000000"/>
                <w:sz w:val="22"/>
                <w:szCs w:val="22"/>
                <w:lang w:val="es-EC" w:eastAsia="en-US"/>
              </w:rPr>
              <w:t>Área de Vías y Pasajes:</w:t>
            </w:r>
          </w:p>
        </w:tc>
        <w:tc>
          <w:tcPr>
            <w:tcW w:w="3402" w:type="dxa"/>
            <w:vAlign w:val="center"/>
          </w:tcPr>
          <w:p w14:paraId="36443FFB" w14:textId="713B4BEA" w:rsidR="00456B66" w:rsidRPr="00EA418E" w:rsidRDefault="00456B66" w:rsidP="00456B66">
            <w:pPr>
              <w:spacing w:after="240" w:line="276" w:lineRule="auto"/>
              <w:jc w:val="both"/>
              <w:rPr>
                <w:rFonts w:eastAsia="Calibri"/>
                <w:sz w:val="22"/>
                <w:szCs w:val="22"/>
                <w:lang w:val="es-EC" w:eastAsia="en-US"/>
              </w:rPr>
            </w:pPr>
            <w:r w:rsidRPr="00EA418E">
              <w:rPr>
                <w:rFonts w:eastAsia="Calibri"/>
                <w:sz w:val="22"/>
                <w:szCs w:val="22"/>
                <w:lang w:val="es-EC" w:eastAsia="en-US"/>
              </w:rPr>
              <w:t>573,27</w:t>
            </w:r>
            <w:r w:rsidRPr="00EA418E">
              <w:rPr>
                <w:rFonts w:eastAsia="Calibri"/>
                <w:color w:val="000000"/>
                <w:sz w:val="22"/>
                <w:szCs w:val="22"/>
                <w:lang w:val="es-EC" w:eastAsia="en-US"/>
              </w:rPr>
              <w:t>m2</w:t>
            </w:r>
          </w:p>
        </w:tc>
      </w:tr>
      <w:tr w:rsidR="00456B66" w:rsidRPr="00F552DA" w14:paraId="534DB704" w14:textId="77777777" w:rsidTr="004D3C06">
        <w:tc>
          <w:tcPr>
            <w:tcW w:w="5245" w:type="dxa"/>
            <w:vAlign w:val="center"/>
          </w:tcPr>
          <w:p w14:paraId="0428BFCF" w14:textId="3968E704" w:rsidR="00456B66" w:rsidRPr="00EA418E" w:rsidRDefault="00456B66" w:rsidP="00CF746E">
            <w:pPr>
              <w:spacing w:after="240" w:line="276" w:lineRule="auto"/>
              <w:jc w:val="both"/>
              <w:rPr>
                <w:rFonts w:eastAsia="Calibri"/>
                <w:b/>
                <w:color w:val="000000"/>
                <w:sz w:val="22"/>
                <w:szCs w:val="22"/>
                <w:lang w:val="es-EC" w:eastAsia="en-US"/>
              </w:rPr>
            </w:pPr>
            <w:r w:rsidRPr="00EA418E">
              <w:rPr>
                <w:rFonts w:eastAsia="Calibri"/>
                <w:b/>
                <w:color w:val="000000"/>
                <w:sz w:val="22"/>
                <w:szCs w:val="22"/>
                <w:lang w:val="es-EC" w:eastAsia="en-US"/>
              </w:rPr>
              <w:t>Área de Protección Quebrada en Lotes:</w:t>
            </w:r>
          </w:p>
        </w:tc>
        <w:tc>
          <w:tcPr>
            <w:tcW w:w="3402" w:type="dxa"/>
            <w:vAlign w:val="center"/>
          </w:tcPr>
          <w:p w14:paraId="2A5328B7" w14:textId="61B39F8F" w:rsidR="00456B66" w:rsidRPr="00EA418E" w:rsidRDefault="00456B66" w:rsidP="00456B66">
            <w:pPr>
              <w:spacing w:after="240" w:line="276" w:lineRule="auto"/>
              <w:jc w:val="both"/>
              <w:rPr>
                <w:rFonts w:eastAsia="Calibri"/>
                <w:sz w:val="22"/>
                <w:szCs w:val="22"/>
                <w:lang w:val="es-EC" w:eastAsia="en-US"/>
              </w:rPr>
            </w:pPr>
            <w:r w:rsidRPr="00EA418E">
              <w:rPr>
                <w:rFonts w:eastAsia="Calibri"/>
                <w:sz w:val="22"/>
                <w:szCs w:val="22"/>
                <w:lang w:val="es-EC" w:eastAsia="en-US"/>
              </w:rPr>
              <w:t>433,77</w:t>
            </w:r>
            <w:r w:rsidRPr="00EA418E">
              <w:rPr>
                <w:rFonts w:eastAsia="Calibri"/>
                <w:color w:val="000000"/>
                <w:sz w:val="22"/>
                <w:szCs w:val="22"/>
                <w:lang w:val="es-EC" w:eastAsia="en-US"/>
              </w:rPr>
              <w:t>m2</w:t>
            </w:r>
          </w:p>
        </w:tc>
      </w:tr>
      <w:tr w:rsidR="00456B66" w:rsidRPr="00F552DA" w14:paraId="230D2653" w14:textId="77777777" w:rsidTr="004D3C06">
        <w:tc>
          <w:tcPr>
            <w:tcW w:w="5245" w:type="dxa"/>
            <w:vAlign w:val="center"/>
          </w:tcPr>
          <w:p w14:paraId="02F061A4" w14:textId="7174CF97" w:rsidR="00456B66" w:rsidRPr="00EA418E" w:rsidRDefault="00F61FD8" w:rsidP="00CF746E">
            <w:pPr>
              <w:spacing w:after="240" w:line="276" w:lineRule="auto"/>
              <w:jc w:val="both"/>
              <w:rPr>
                <w:rFonts w:eastAsia="Calibri"/>
                <w:b/>
                <w:color w:val="000000"/>
                <w:sz w:val="22"/>
                <w:szCs w:val="22"/>
                <w:lang w:val="es-EC" w:eastAsia="en-US"/>
              </w:rPr>
            </w:pPr>
            <w:r w:rsidRPr="00EA418E">
              <w:rPr>
                <w:rFonts w:eastAsia="Calibri"/>
                <w:b/>
                <w:color w:val="000000"/>
                <w:sz w:val="22"/>
                <w:szCs w:val="22"/>
                <w:lang w:val="es-EC" w:eastAsia="en-US"/>
              </w:rPr>
              <w:t>Área de Afectación Vial:</w:t>
            </w:r>
          </w:p>
        </w:tc>
        <w:tc>
          <w:tcPr>
            <w:tcW w:w="3402" w:type="dxa"/>
            <w:vAlign w:val="center"/>
          </w:tcPr>
          <w:p w14:paraId="5ADE73CB" w14:textId="28F60663" w:rsidR="00456B66" w:rsidRPr="00EA418E" w:rsidRDefault="00F61FD8" w:rsidP="00456B66">
            <w:pPr>
              <w:spacing w:after="240" w:line="276" w:lineRule="auto"/>
              <w:jc w:val="both"/>
              <w:rPr>
                <w:rFonts w:eastAsia="Calibri"/>
                <w:sz w:val="22"/>
                <w:szCs w:val="22"/>
                <w:lang w:val="es-EC" w:eastAsia="en-US"/>
              </w:rPr>
            </w:pPr>
            <w:r w:rsidRPr="00EA418E">
              <w:rPr>
                <w:rFonts w:eastAsia="Calibri"/>
                <w:sz w:val="22"/>
                <w:szCs w:val="22"/>
                <w:lang w:val="es-EC" w:eastAsia="en-US"/>
              </w:rPr>
              <w:t>67,68m2</w:t>
            </w:r>
          </w:p>
        </w:tc>
      </w:tr>
      <w:tr w:rsidR="00456B66" w:rsidRPr="00F552DA" w14:paraId="3F47AFA3" w14:textId="77777777" w:rsidTr="004D3C06">
        <w:tc>
          <w:tcPr>
            <w:tcW w:w="5245" w:type="dxa"/>
            <w:vAlign w:val="center"/>
          </w:tcPr>
          <w:p w14:paraId="447D80B1" w14:textId="026E00BD" w:rsidR="00456B66" w:rsidRPr="00EA418E" w:rsidRDefault="00F61FD8" w:rsidP="00CF746E">
            <w:pPr>
              <w:spacing w:after="240" w:line="276" w:lineRule="auto"/>
              <w:jc w:val="both"/>
              <w:rPr>
                <w:rFonts w:eastAsia="Calibri"/>
                <w:b/>
                <w:color w:val="000000"/>
                <w:sz w:val="22"/>
                <w:szCs w:val="22"/>
                <w:lang w:val="es-EC" w:eastAsia="en-US"/>
              </w:rPr>
            </w:pPr>
            <w:r w:rsidRPr="00EA418E">
              <w:rPr>
                <w:rFonts w:eastAsia="Calibri"/>
                <w:b/>
                <w:sz w:val="22"/>
                <w:szCs w:val="22"/>
                <w:lang w:val="es-EC" w:eastAsia="en-US"/>
              </w:rPr>
              <w:t>Área de Relleno de Quebrada en Lotes:</w:t>
            </w:r>
          </w:p>
        </w:tc>
        <w:tc>
          <w:tcPr>
            <w:tcW w:w="3402" w:type="dxa"/>
            <w:vAlign w:val="center"/>
          </w:tcPr>
          <w:p w14:paraId="1DBEE443" w14:textId="1F245F77" w:rsidR="00456B66" w:rsidRPr="00EA418E" w:rsidRDefault="00F61FD8" w:rsidP="00456B66">
            <w:pPr>
              <w:spacing w:after="240" w:line="276" w:lineRule="auto"/>
              <w:jc w:val="both"/>
              <w:rPr>
                <w:rFonts w:eastAsia="Calibri"/>
                <w:sz w:val="22"/>
                <w:szCs w:val="22"/>
                <w:lang w:val="es-EC" w:eastAsia="en-US"/>
              </w:rPr>
            </w:pPr>
            <w:r w:rsidRPr="00EA418E">
              <w:rPr>
                <w:rFonts w:eastAsia="Calibri"/>
                <w:sz w:val="22"/>
                <w:szCs w:val="22"/>
                <w:lang w:val="es-EC" w:eastAsia="en-US"/>
              </w:rPr>
              <w:t>1.284,01m2</w:t>
            </w:r>
          </w:p>
        </w:tc>
      </w:tr>
      <w:tr w:rsidR="00456B66" w:rsidRPr="00F552DA" w14:paraId="3DBD7442" w14:textId="77777777" w:rsidTr="004D3C06">
        <w:tc>
          <w:tcPr>
            <w:tcW w:w="5245" w:type="dxa"/>
            <w:vAlign w:val="center"/>
          </w:tcPr>
          <w:p w14:paraId="18660D63" w14:textId="14820534" w:rsidR="00456B66" w:rsidRPr="00EA418E" w:rsidRDefault="00F61FD8" w:rsidP="003B18F3">
            <w:pPr>
              <w:spacing w:after="240" w:line="276" w:lineRule="auto"/>
              <w:jc w:val="both"/>
              <w:rPr>
                <w:rFonts w:eastAsia="Calibri"/>
                <w:b/>
                <w:color w:val="000000"/>
                <w:sz w:val="22"/>
                <w:szCs w:val="22"/>
                <w:lang w:val="es-EC" w:eastAsia="en-US"/>
              </w:rPr>
            </w:pPr>
            <w:r w:rsidRPr="00EA418E">
              <w:rPr>
                <w:rFonts w:eastAsia="Calibri"/>
                <w:b/>
                <w:sz w:val="22"/>
                <w:szCs w:val="22"/>
                <w:lang w:val="es-EC" w:eastAsia="en-US"/>
              </w:rPr>
              <w:t>Área total de</w:t>
            </w:r>
            <w:r w:rsidR="008B26D8">
              <w:rPr>
                <w:rFonts w:eastAsia="Calibri"/>
                <w:b/>
                <w:sz w:val="22"/>
                <w:szCs w:val="22"/>
                <w:lang w:val="es-EC" w:eastAsia="en-US"/>
              </w:rPr>
              <w:t>l Terreno</w:t>
            </w:r>
            <w:r w:rsidRPr="00EA418E">
              <w:rPr>
                <w:rFonts w:eastAsia="Calibri"/>
                <w:b/>
                <w:sz w:val="22"/>
                <w:szCs w:val="22"/>
                <w:lang w:val="es-EC" w:eastAsia="en-US"/>
              </w:rPr>
              <w:t>:</w:t>
            </w:r>
          </w:p>
        </w:tc>
        <w:tc>
          <w:tcPr>
            <w:tcW w:w="3402" w:type="dxa"/>
            <w:vAlign w:val="center"/>
          </w:tcPr>
          <w:p w14:paraId="1E1C4630" w14:textId="2B6EC2AC" w:rsidR="00456B66" w:rsidRPr="00EA418E" w:rsidRDefault="00F61FD8" w:rsidP="00456B66">
            <w:pPr>
              <w:spacing w:after="240" w:line="276" w:lineRule="auto"/>
              <w:jc w:val="both"/>
              <w:rPr>
                <w:rFonts w:eastAsia="Calibri"/>
                <w:sz w:val="22"/>
                <w:szCs w:val="22"/>
                <w:lang w:val="es-EC" w:eastAsia="en-US"/>
              </w:rPr>
            </w:pPr>
            <w:r w:rsidRPr="00EA418E">
              <w:rPr>
                <w:rFonts w:eastAsia="Calibri"/>
                <w:sz w:val="22"/>
                <w:szCs w:val="22"/>
                <w:lang w:val="es-EC" w:eastAsia="en-US"/>
              </w:rPr>
              <w:t>7.660,64m2</w:t>
            </w:r>
          </w:p>
        </w:tc>
      </w:tr>
    </w:tbl>
    <w:p w14:paraId="46F51766" w14:textId="77777777" w:rsidR="00CC0F04" w:rsidRPr="001A5DCF" w:rsidRDefault="00CC0F04" w:rsidP="00C24F44">
      <w:pPr>
        <w:pStyle w:val="Sinespaciado"/>
        <w:rPr>
          <w:rFonts w:ascii="Times New Roman" w:hAnsi="Times New Roman"/>
          <w:b/>
        </w:rPr>
      </w:pPr>
    </w:p>
    <w:p w14:paraId="5F683B34" w14:textId="334C5985" w:rsidR="0057335B" w:rsidRPr="001A5DCF" w:rsidRDefault="00361728" w:rsidP="003B18F3">
      <w:pPr>
        <w:spacing w:after="200" w:line="276" w:lineRule="auto"/>
        <w:jc w:val="both"/>
        <w:rPr>
          <w:sz w:val="22"/>
          <w:szCs w:val="22"/>
        </w:rPr>
      </w:pPr>
      <w:r w:rsidRPr="001A5DCF">
        <w:rPr>
          <w:sz w:val="22"/>
          <w:szCs w:val="22"/>
        </w:rPr>
        <w:t>El número total de lotes</w:t>
      </w:r>
      <w:r w:rsidR="0024191F" w:rsidRPr="001A5DCF">
        <w:rPr>
          <w:sz w:val="22"/>
          <w:szCs w:val="22"/>
        </w:rPr>
        <w:t>,</w:t>
      </w:r>
      <w:r w:rsidR="00F14104" w:rsidRPr="001A5DCF">
        <w:rPr>
          <w:color w:val="FF0000"/>
          <w:sz w:val="22"/>
          <w:szCs w:val="22"/>
        </w:rPr>
        <w:t xml:space="preserve"> </w:t>
      </w:r>
      <w:r w:rsidR="00F14104" w:rsidRPr="001A5DCF">
        <w:rPr>
          <w:color w:val="000000" w:themeColor="text1"/>
          <w:sz w:val="22"/>
          <w:szCs w:val="22"/>
        </w:rPr>
        <w:t>producto del fraccionamiento</w:t>
      </w:r>
      <w:r w:rsidR="0024191F" w:rsidRPr="001A5DCF">
        <w:rPr>
          <w:color w:val="000000" w:themeColor="text1"/>
          <w:sz w:val="22"/>
          <w:szCs w:val="22"/>
        </w:rPr>
        <w:t>,</w:t>
      </w:r>
      <w:r w:rsidRPr="001A5DCF">
        <w:rPr>
          <w:sz w:val="22"/>
          <w:szCs w:val="22"/>
        </w:rPr>
        <w:t xml:space="preserve"> es de </w:t>
      </w:r>
      <w:r w:rsidR="00F552DA">
        <w:rPr>
          <w:sz w:val="22"/>
          <w:szCs w:val="22"/>
        </w:rPr>
        <w:t>32</w:t>
      </w:r>
      <w:r w:rsidRPr="001A5DCF">
        <w:rPr>
          <w:sz w:val="22"/>
          <w:szCs w:val="22"/>
        </w:rPr>
        <w:t xml:space="preserve">, </w:t>
      </w:r>
      <w:r w:rsidR="000B7E01" w:rsidRPr="001A5DCF">
        <w:rPr>
          <w:sz w:val="22"/>
          <w:szCs w:val="22"/>
        </w:rPr>
        <w:t xml:space="preserve">signados del uno (1) </w:t>
      </w:r>
      <w:r w:rsidR="002B4901" w:rsidRPr="001A5DCF">
        <w:rPr>
          <w:sz w:val="22"/>
          <w:szCs w:val="22"/>
        </w:rPr>
        <w:t xml:space="preserve">al </w:t>
      </w:r>
      <w:r w:rsidR="00F552DA">
        <w:rPr>
          <w:sz w:val="22"/>
          <w:szCs w:val="22"/>
        </w:rPr>
        <w:t xml:space="preserve">treinta </w:t>
      </w:r>
      <w:r w:rsidR="00C22924" w:rsidRPr="001A5DCF">
        <w:rPr>
          <w:sz w:val="22"/>
          <w:szCs w:val="22"/>
        </w:rPr>
        <w:t xml:space="preserve">y </w:t>
      </w:r>
      <w:r w:rsidR="00F552DA">
        <w:rPr>
          <w:sz w:val="22"/>
          <w:szCs w:val="22"/>
        </w:rPr>
        <w:t>d</w:t>
      </w:r>
      <w:r w:rsidR="00C22924" w:rsidRPr="001A5DCF">
        <w:rPr>
          <w:sz w:val="22"/>
          <w:szCs w:val="22"/>
        </w:rPr>
        <w:t>o</w:t>
      </w:r>
      <w:r w:rsidR="00F552DA">
        <w:rPr>
          <w:sz w:val="22"/>
          <w:szCs w:val="22"/>
        </w:rPr>
        <w:t>s</w:t>
      </w:r>
      <w:r w:rsidR="00C22924" w:rsidRPr="001A5DCF">
        <w:rPr>
          <w:sz w:val="22"/>
          <w:szCs w:val="22"/>
        </w:rPr>
        <w:t xml:space="preserve"> </w:t>
      </w:r>
      <w:r w:rsidR="00CE5A3F" w:rsidRPr="001A5DCF">
        <w:rPr>
          <w:sz w:val="22"/>
          <w:szCs w:val="22"/>
        </w:rPr>
        <w:t>(</w:t>
      </w:r>
      <w:r w:rsidR="00F552DA">
        <w:rPr>
          <w:sz w:val="22"/>
          <w:szCs w:val="22"/>
        </w:rPr>
        <w:t>32</w:t>
      </w:r>
      <w:r w:rsidR="00CE5A3F" w:rsidRPr="001A5DCF">
        <w:rPr>
          <w:sz w:val="22"/>
          <w:szCs w:val="22"/>
        </w:rPr>
        <w:t xml:space="preserve">) </w:t>
      </w:r>
      <w:r w:rsidRPr="001A5DCF">
        <w:rPr>
          <w:sz w:val="22"/>
          <w:szCs w:val="22"/>
        </w:rPr>
        <w:t>cuyo detalle es el que consta en los planos aprobatorios que forman parte de la presente Ordenanza.</w:t>
      </w:r>
      <w:r w:rsidR="000B7E01" w:rsidRPr="001A5DCF">
        <w:rPr>
          <w:sz w:val="22"/>
          <w:szCs w:val="22"/>
        </w:rPr>
        <w:t xml:space="preserve"> </w:t>
      </w:r>
    </w:p>
    <w:p w14:paraId="4A249307" w14:textId="62BA07B0" w:rsidR="00F37ACA" w:rsidRPr="009D2CB4" w:rsidRDefault="00F37ACA" w:rsidP="007B6303">
      <w:pPr>
        <w:jc w:val="both"/>
        <w:rPr>
          <w:sz w:val="22"/>
          <w:szCs w:val="22"/>
        </w:rPr>
      </w:pPr>
      <w:r w:rsidRPr="009D2CB4">
        <w:rPr>
          <w:sz w:val="22"/>
          <w:szCs w:val="22"/>
        </w:rPr>
        <w:lastRenderedPageBreak/>
        <w:t xml:space="preserve">El área total del predio No. </w:t>
      </w:r>
      <w:r w:rsidR="00F552DA" w:rsidRPr="00F552DA">
        <w:rPr>
          <w:b/>
          <w:bCs/>
          <w:sz w:val="22"/>
          <w:szCs w:val="22"/>
        </w:rPr>
        <w:t>5205471</w:t>
      </w:r>
      <w:r w:rsidRPr="009D2CB4">
        <w:rPr>
          <w:sz w:val="22"/>
          <w:szCs w:val="22"/>
        </w:rPr>
        <w:t>, es la que consta en la</w:t>
      </w:r>
      <w:r w:rsidR="009F36A5" w:rsidRPr="009D2CB4">
        <w:rPr>
          <w:sz w:val="22"/>
          <w:szCs w:val="22"/>
        </w:rPr>
        <w:t xml:space="preserve"> </w:t>
      </w:r>
      <w:r w:rsidR="001A5DCF" w:rsidRPr="009D2CB4">
        <w:rPr>
          <w:sz w:val="22"/>
          <w:szCs w:val="22"/>
        </w:rPr>
        <w:t>Cédula Catastral</w:t>
      </w:r>
      <w:r w:rsidRPr="009D2CB4">
        <w:rPr>
          <w:sz w:val="22"/>
          <w:szCs w:val="22"/>
        </w:rPr>
        <w:t xml:space="preserve"> No. </w:t>
      </w:r>
      <w:r w:rsidR="00F552DA">
        <w:rPr>
          <w:sz w:val="22"/>
          <w:szCs w:val="22"/>
        </w:rPr>
        <w:t>700</w:t>
      </w:r>
      <w:r w:rsidRPr="009D2CB4">
        <w:rPr>
          <w:sz w:val="22"/>
          <w:szCs w:val="22"/>
        </w:rPr>
        <w:t xml:space="preserve">, del </w:t>
      </w:r>
      <w:r w:rsidR="00F552DA">
        <w:rPr>
          <w:sz w:val="22"/>
          <w:szCs w:val="22"/>
        </w:rPr>
        <w:t>12</w:t>
      </w:r>
      <w:r w:rsidR="001A5DCF" w:rsidRPr="009D2CB4">
        <w:rPr>
          <w:sz w:val="22"/>
          <w:szCs w:val="22"/>
        </w:rPr>
        <w:t xml:space="preserve"> </w:t>
      </w:r>
      <w:r w:rsidRPr="009D2CB4">
        <w:rPr>
          <w:sz w:val="22"/>
          <w:szCs w:val="22"/>
        </w:rPr>
        <w:t xml:space="preserve">de </w:t>
      </w:r>
      <w:r w:rsidR="00F552DA">
        <w:rPr>
          <w:sz w:val="22"/>
          <w:szCs w:val="22"/>
        </w:rPr>
        <w:t>mayo</w:t>
      </w:r>
      <w:r w:rsidRPr="009D2CB4">
        <w:rPr>
          <w:sz w:val="22"/>
          <w:szCs w:val="22"/>
        </w:rPr>
        <w:t xml:space="preserve"> de 2017, emitida por la Dirección Metropolitana de Catastro y se encuentra rectificada y regularizada de conformidad al Art</w:t>
      </w:r>
      <w:r w:rsidR="00F552DA">
        <w:rPr>
          <w:sz w:val="22"/>
          <w:szCs w:val="22"/>
        </w:rPr>
        <w:t>. IV.1.164 del Código Municipal, inscrita en el Registro de la Propiedad el 25 de mayo de 2017.</w:t>
      </w:r>
    </w:p>
    <w:p w14:paraId="38FF058E" w14:textId="77777777" w:rsidR="00F37ACA" w:rsidRPr="006D08B6" w:rsidRDefault="00F37ACA" w:rsidP="007B6303">
      <w:pPr>
        <w:jc w:val="both"/>
        <w:rPr>
          <w:sz w:val="22"/>
          <w:szCs w:val="22"/>
          <w:highlight w:val="yellow"/>
        </w:rPr>
      </w:pPr>
    </w:p>
    <w:p w14:paraId="765C332F" w14:textId="625109FB" w:rsidR="00F37ACA" w:rsidRPr="009D2CB4" w:rsidRDefault="00F37ACA" w:rsidP="009D2CB4">
      <w:pPr>
        <w:jc w:val="both"/>
        <w:rPr>
          <w:sz w:val="22"/>
          <w:szCs w:val="22"/>
        </w:rPr>
      </w:pPr>
      <w:r w:rsidRPr="009D2CB4">
        <w:rPr>
          <w:sz w:val="22"/>
          <w:szCs w:val="22"/>
        </w:rPr>
        <w:t xml:space="preserve">El área total del predio No. </w:t>
      </w:r>
      <w:r w:rsidR="00F552DA" w:rsidRPr="00F552DA">
        <w:rPr>
          <w:b/>
          <w:bCs/>
          <w:sz w:val="22"/>
          <w:szCs w:val="22"/>
        </w:rPr>
        <w:t>5205472</w:t>
      </w:r>
      <w:r w:rsidRPr="009D2CB4">
        <w:rPr>
          <w:sz w:val="22"/>
          <w:szCs w:val="22"/>
        </w:rPr>
        <w:t xml:space="preserve">, </w:t>
      </w:r>
      <w:r w:rsidR="009D2CB4" w:rsidRPr="009D2CB4">
        <w:rPr>
          <w:sz w:val="22"/>
          <w:szCs w:val="22"/>
        </w:rPr>
        <w:t xml:space="preserve">es la que consta en la </w:t>
      </w:r>
      <w:r w:rsidR="00F552DA">
        <w:rPr>
          <w:sz w:val="22"/>
          <w:szCs w:val="22"/>
        </w:rPr>
        <w:t>Resolución</w:t>
      </w:r>
      <w:r w:rsidR="009D2CB4" w:rsidRPr="009D2CB4">
        <w:rPr>
          <w:sz w:val="22"/>
          <w:szCs w:val="22"/>
        </w:rPr>
        <w:t xml:space="preserve"> No. 1</w:t>
      </w:r>
      <w:r w:rsidR="00F552DA">
        <w:rPr>
          <w:sz w:val="22"/>
          <w:szCs w:val="22"/>
        </w:rPr>
        <w:t>90</w:t>
      </w:r>
      <w:r w:rsidR="009D2CB4" w:rsidRPr="009D2CB4">
        <w:rPr>
          <w:sz w:val="22"/>
          <w:szCs w:val="22"/>
        </w:rPr>
        <w:t>-2017</w:t>
      </w:r>
      <w:r w:rsidR="001A5DCF" w:rsidRPr="009D2CB4">
        <w:rPr>
          <w:sz w:val="22"/>
          <w:szCs w:val="22"/>
        </w:rPr>
        <w:t>, del 1</w:t>
      </w:r>
      <w:r w:rsidR="00F552DA">
        <w:rPr>
          <w:sz w:val="22"/>
          <w:szCs w:val="22"/>
        </w:rPr>
        <w:t>9</w:t>
      </w:r>
      <w:r w:rsidR="001A5DCF" w:rsidRPr="009D2CB4">
        <w:rPr>
          <w:sz w:val="22"/>
          <w:szCs w:val="22"/>
        </w:rPr>
        <w:t xml:space="preserve"> de </w:t>
      </w:r>
      <w:r w:rsidR="00F552DA">
        <w:rPr>
          <w:sz w:val="22"/>
          <w:szCs w:val="22"/>
        </w:rPr>
        <w:t>mayo</w:t>
      </w:r>
      <w:r w:rsidR="001A5DCF" w:rsidRPr="009D2CB4">
        <w:rPr>
          <w:sz w:val="22"/>
          <w:szCs w:val="22"/>
        </w:rPr>
        <w:t xml:space="preserve"> de 2017</w:t>
      </w:r>
      <w:r w:rsidRPr="009D2CB4">
        <w:rPr>
          <w:sz w:val="22"/>
          <w:szCs w:val="22"/>
        </w:rPr>
        <w:t>, emitida por la Dirección Metropolitana de Catastro y se encuentra rectificada y regularizada de conformidad al Art</w:t>
      </w:r>
      <w:r w:rsidR="00F552DA">
        <w:rPr>
          <w:sz w:val="22"/>
          <w:szCs w:val="22"/>
        </w:rPr>
        <w:t>. IV.1.164 del Código Municipal, inscrita en el Registro de la Propiedad el 14 de junio de 2017.</w:t>
      </w:r>
    </w:p>
    <w:p w14:paraId="237AA1A4" w14:textId="77777777" w:rsidR="009D2CB4" w:rsidRPr="006D08B6" w:rsidRDefault="009D2CB4" w:rsidP="009D2CB4">
      <w:pPr>
        <w:jc w:val="both"/>
        <w:rPr>
          <w:sz w:val="22"/>
          <w:szCs w:val="22"/>
          <w:highlight w:val="yellow"/>
        </w:rPr>
      </w:pPr>
    </w:p>
    <w:p w14:paraId="1191BFF2" w14:textId="367D21EA" w:rsidR="00F552DA" w:rsidRPr="009D2CB4" w:rsidRDefault="00C22924" w:rsidP="00F552DA">
      <w:pPr>
        <w:jc w:val="both"/>
        <w:rPr>
          <w:sz w:val="22"/>
          <w:szCs w:val="22"/>
        </w:rPr>
      </w:pPr>
      <w:r w:rsidRPr="009D2CB4">
        <w:rPr>
          <w:sz w:val="22"/>
          <w:szCs w:val="22"/>
        </w:rPr>
        <w:t xml:space="preserve">El área total del predio No. </w:t>
      </w:r>
      <w:r w:rsidR="00F552DA" w:rsidRPr="00F552DA">
        <w:rPr>
          <w:b/>
          <w:bCs/>
          <w:sz w:val="22"/>
          <w:szCs w:val="22"/>
        </w:rPr>
        <w:t>5205473</w:t>
      </w:r>
      <w:r w:rsidRPr="009D2CB4">
        <w:rPr>
          <w:sz w:val="22"/>
          <w:szCs w:val="22"/>
        </w:rPr>
        <w:t xml:space="preserve">, </w:t>
      </w:r>
      <w:r w:rsidR="00F552DA" w:rsidRPr="009D2CB4">
        <w:rPr>
          <w:sz w:val="22"/>
          <w:szCs w:val="22"/>
        </w:rPr>
        <w:t xml:space="preserve">es la que consta en la </w:t>
      </w:r>
      <w:r w:rsidR="00F552DA">
        <w:rPr>
          <w:sz w:val="22"/>
          <w:szCs w:val="22"/>
        </w:rPr>
        <w:t>Resolución</w:t>
      </w:r>
      <w:r w:rsidR="00F552DA" w:rsidRPr="009D2CB4">
        <w:rPr>
          <w:sz w:val="22"/>
          <w:szCs w:val="22"/>
        </w:rPr>
        <w:t xml:space="preserve"> No. </w:t>
      </w:r>
      <w:r w:rsidR="00F552DA">
        <w:rPr>
          <w:sz w:val="22"/>
          <w:szCs w:val="22"/>
        </w:rPr>
        <w:t>187</w:t>
      </w:r>
      <w:r w:rsidR="00F552DA" w:rsidRPr="009D2CB4">
        <w:rPr>
          <w:sz w:val="22"/>
          <w:szCs w:val="22"/>
        </w:rPr>
        <w:t>-2017, del 1</w:t>
      </w:r>
      <w:r w:rsidR="00F552DA">
        <w:rPr>
          <w:sz w:val="22"/>
          <w:szCs w:val="22"/>
        </w:rPr>
        <w:t>9</w:t>
      </w:r>
      <w:r w:rsidR="00F552DA" w:rsidRPr="009D2CB4">
        <w:rPr>
          <w:sz w:val="22"/>
          <w:szCs w:val="22"/>
        </w:rPr>
        <w:t xml:space="preserve"> de </w:t>
      </w:r>
      <w:r w:rsidR="00F552DA">
        <w:rPr>
          <w:sz w:val="22"/>
          <w:szCs w:val="22"/>
        </w:rPr>
        <w:t>mayo</w:t>
      </w:r>
      <w:r w:rsidR="00F552DA" w:rsidRPr="009D2CB4">
        <w:rPr>
          <w:sz w:val="22"/>
          <w:szCs w:val="22"/>
        </w:rPr>
        <w:t xml:space="preserve"> de 2017, emitida por la Dirección Metropolitana de Catastro y se encuentra rectificada y regularizada de conformidad al Art</w:t>
      </w:r>
      <w:r w:rsidR="00F552DA">
        <w:rPr>
          <w:sz w:val="22"/>
          <w:szCs w:val="22"/>
        </w:rPr>
        <w:t>. IV.1.164 del Código Municipal, inscrita en el Registro de la Propiedad el 20 de julio de 2017.</w:t>
      </w:r>
    </w:p>
    <w:p w14:paraId="1B56C36F" w14:textId="6D131ECE" w:rsidR="00C22924" w:rsidRPr="006D08B6" w:rsidRDefault="00C22924" w:rsidP="007B6303">
      <w:pPr>
        <w:jc w:val="both"/>
        <w:rPr>
          <w:sz w:val="22"/>
          <w:szCs w:val="22"/>
          <w:highlight w:val="yellow"/>
        </w:rPr>
      </w:pPr>
    </w:p>
    <w:p w14:paraId="701E0C25" w14:textId="5D584AC2" w:rsidR="00F552DA" w:rsidRDefault="00F552DA" w:rsidP="00F552DA">
      <w:pPr>
        <w:jc w:val="both"/>
        <w:rPr>
          <w:sz w:val="22"/>
          <w:szCs w:val="22"/>
        </w:rPr>
      </w:pPr>
      <w:r w:rsidRPr="009D2CB4">
        <w:rPr>
          <w:sz w:val="22"/>
          <w:szCs w:val="22"/>
        </w:rPr>
        <w:t xml:space="preserve">El área total del predio No. </w:t>
      </w:r>
      <w:r w:rsidRPr="00F552DA">
        <w:rPr>
          <w:b/>
          <w:bCs/>
          <w:sz w:val="22"/>
          <w:szCs w:val="22"/>
        </w:rPr>
        <w:t>520547</w:t>
      </w:r>
      <w:r>
        <w:rPr>
          <w:b/>
          <w:bCs/>
          <w:sz w:val="22"/>
          <w:szCs w:val="22"/>
        </w:rPr>
        <w:t>4</w:t>
      </w:r>
      <w:r w:rsidRPr="009D2CB4">
        <w:rPr>
          <w:sz w:val="22"/>
          <w:szCs w:val="22"/>
        </w:rPr>
        <w:t xml:space="preserve">, es la que consta en la </w:t>
      </w:r>
      <w:r>
        <w:rPr>
          <w:sz w:val="22"/>
          <w:szCs w:val="22"/>
        </w:rPr>
        <w:t>Resolución</w:t>
      </w:r>
      <w:r w:rsidRPr="009D2CB4">
        <w:rPr>
          <w:sz w:val="22"/>
          <w:szCs w:val="22"/>
        </w:rPr>
        <w:t xml:space="preserve"> No. </w:t>
      </w:r>
      <w:r>
        <w:rPr>
          <w:sz w:val="22"/>
          <w:szCs w:val="22"/>
        </w:rPr>
        <w:t>188</w:t>
      </w:r>
      <w:r w:rsidRPr="009D2CB4">
        <w:rPr>
          <w:sz w:val="22"/>
          <w:szCs w:val="22"/>
        </w:rPr>
        <w:t>-2017, del 1</w:t>
      </w:r>
      <w:r>
        <w:rPr>
          <w:sz w:val="22"/>
          <w:szCs w:val="22"/>
        </w:rPr>
        <w:t>9</w:t>
      </w:r>
      <w:r w:rsidRPr="009D2CB4">
        <w:rPr>
          <w:sz w:val="22"/>
          <w:szCs w:val="22"/>
        </w:rPr>
        <w:t xml:space="preserve"> de </w:t>
      </w:r>
      <w:r>
        <w:rPr>
          <w:sz w:val="22"/>
          <w:szCs w:val="22"/>
        </w:rPr>
        <w:t>mayo</w:t>
      </w:r>
      <w:r w:rsidRPr="009D2CB4">
        <w:rPr>
          <w:sz w:val="22"/>
          <w:szCs w:val="22"/>
        </w:rPr>
        <w:t xml:space="preserve"> de 2017, emitida por la Dirección Metropolitana de Catastro y se encuentra rectificada y regularizada de conformidad al Art</w:t>
      </w:r>
      <w:r>
        <w:rPr>
          <w:sz w:val="22"/>
          <w:szCs w:val="22"/>
        </w:rPr>
        <w:t>. IV.1.164 del Código Municipal, inscrita en el Registro de la Propiedad el 20 de julio de 2017.</w:t>
      </w:r>
    </w:p>
    <w:p w14:paraId="516B56F6" w14:textId="77777777" w:rsidR="00F552DA" w:rsidRDefault="00F552DA" w:rsidP="00F552DA">
      <w:pPr>
        <w:jc w:val="both"/>
        <w:rPr>
          <w:sz w:val="22"/>
          <w:szCs w:val="22"/>
        </w:rPr>
      </w:pPr>
    </w:p>
    <w:p w14:paraId="339CBDB8" w14:textId="62CB3A06" w:rsidR="00F552DA" w:rsidRDefault="00F552DA" w:rsidP="00F552DA">
      <w:pPr>
        <w:jc w:val="both"/>
        <w:rPr>
          <w:sz w:val="22"/>
          <w:szCs w:val="22"/>
        </w:rPr>
      </w:pPr>
      <w:r w:rsidRPr="009D2CB4">
        <w:rPr>
          <w:sz w:val="22"/>
          <w:szCs w:val="22"/>
        </w:rPr>
        <w:t xml:space="preserve">El área total del predio No. </w:t>
      </w:r>
      <w:r w:rsidRPr="00F552DA">
        <w:rPr>
          <w:b/>
          <w:bCs/>
          <w:sz w:val="22"/>
          <w:szCs w:val="22"/>
        </w:rPr>
        <w:t>520547</w:t>
      </w:r>
      <w:r>
        <w:rPr>
          <w:b/>
          <w:bCs/>
          <w:sz w:val="22"/>
          <w:szCs w:val="22"/>
        </w:rPr>
        <w:t>6</w:t>
      </w:r>
      <w:r w:rsidRPr="009D2CB4">
        <w:rPr>
          <w:sz w:val="22"/>
          <w:szCs w:val="22"/>
        </w:rPr>
        <w:t xml:space="preserve">, es la que consta en la </w:t>
      </w:r>
      <w:r>
        <w:rPr>
          <w:sz w:val="22"/>
          <w:szCs w:val="22"/>
        </w:rPr>
        <w:t>Resolución</w:t>
      </w:r>
      <w:r w:rsidRPr="009D2CB4">
        <w:rPr>
          <w:sz w:val="22"/>
          <w:szCs w:val="22"/>
        </w:rPr>
        <w:t xml:space="preserve"> No. </w:t>
      </w:r>
      <w:r w:rsidR="00617C1D">
        <w:rPr>
          <w:sz w:val="22"/>
          <w:szCs w:val="22"/>
        </w:rPr>
        <w:t>412</w:t>
      </w:r>
      <w:r w:rsidRPr="009D2CB4">
        <w:rPr>
          <w:sz w:val="22"/>
          <w:szCs w:val="22"/>
        </w:rPr>
        <w:t>-2017, del 1</w:t>
      </w:r>
      <w:r w:rsidR="00617C1D">
        <w:rPr>
          <w:sz w:val="22"/>
          <w:szCs w:val="22"/>
        </w:rPr>
        <w:t>8</w:t>
      </w:r>
      <w:r w:rsidRPr="009D2CB4">
        <w:rPr>
          <w:sz w:val="22"/>
          <w:szCs w:val="22"/>
        </w:rPr>
        <w:t xml:space="preserve"> de </w:t>
      </w:r>
      <w:r w:rsidR="00617C1D">
        <w:rPr>
          <w:sz w:val="22"/>
          <w:szCs w:val="22"/>
        </w:rPr>
        <w:t>octubre</w:t>
      </w:r>
      <w:r w:rsidRPr="009D2CB4">
        <w:rPr>
          <w:sz w:val="22"/>
          <w:szCs w:val="22"/>
        </w:rPr>
        <w:t xml:space="preserve"> de 2017, emitida por la Dirección Metropolitana de Catastro y se encuentra rectificada y regularizada de conformidad al Art</w:t>
      </w:r>
      <w:r>
        <w:rPr>
          <w:sz w:val="22"/>
          <w:szCs w:val="22"/>
        </w:rPr>
        <w:t xml:space="preserve">. IV.1.164 del Código Municipal, inscrita en el Registro de la Propiedad el </w:t>
      </w:r>
      <w:r w:rsidR="00617C1D">
        <w:rPr>
          <w:sz w:val="22"/>
          <w:szCs w:val="22"/>
        </w:rPr>
        <w:t>04</w:t>
      </w:r>
      <w:r>
        <w:rPr>
          <w:sz w:val="22"/>
          <w:szCs w:val="22"/>
        </w:rPr>
        <w:t xml:space="preserve"> de o</w:t>
      </w:r>
      <w:r w:rsidR="00617C1D">
        <w:rPr>
          <w:sz w:val="22"/>
          <w:szCs w:val="22"/>
        </w:rPr>
        <w:t>ctubre</w:t>
      </w:r>
      <w:r>
        <w:rPr>
          <w:sz w:val="22"/>
          <w:szCs w:val="22"/>
        </w:rPr>
        <w:t xml:space="preserve"> de 2017.</w:t>
      </w:r>
    </w:p>
    <w:p w14:paraId="6751D52D" w14:textId="77777777" w:rsidR="00617C1D" w:rsidRDefault="00617C1D" w:rsidP="00F552DA">
      <w:pPr>
        <w:jc w:val="both"/>
        <w:rPr>
          <w:sz w:val="22"/>
          <w:szCs w:val="22"/>
        </w:rPr>
      </w:pPr>
    </w:p>
    <w:p w14:paraId="506E3F26" w14:textId="5F94E5F2" w:rsidR="00617C1D" w:rsidRDefault="00617C1D" w:rsidP="00617C1D">
      <w:pPr>
        <w:jc w:val="both"/>
        <w:rPr>
          <w:sz w:val="22"/>
          <w:szCs w:val="22"/>
        </w:rPr>
      </w:pPr>
      <w:r w:rsidRPr="009D2CB4">
        <w:rPr>
          <w:sz w:val="22"/>
          <w:szCs w:val="22"/>
        </w:rPr>
        <w:t xml:space="preserve">El área total del predio No. </w:t>
      </w:r>
      <w:r w:rsidRPr="00F552DA">
        <w:rPr>
          <w:b/>
          <w:bCs/>
          <w:sz w:val="22"/>
          <w:szCs w:val="22"/>
        </w:rPr>
        <w:t>520547</w:t>
      </w:r>
      <w:r>
        <w:rPr>
          <w:b/>
          <w:bCs/>
          <w:sz w:val="22"/>
          <w:szCs w:val="22"/>
        </w:rPr>
        <w:t>7</w:t>
      </w:r>
      <w:r w:rsidRPr="009D2CB4">
        <w:rPr>
          <w:sz w:val="22"/>
          <w:szCs w:val="22"/>
        </w:rPr>
        <w:t xml:space="preserve">, es la que consta en la </w:t>
      </w:r>
      <w:r>
        <w:rPr>
          <w:sz w:val="22"/>
          <w:szCs w:val="22"/>
        </w:rPr>
        <w:t>Resolución</w:t>
      </w:r>
      <w:r w:rsidRPr="009D2CB4">
        <w:rPr>
          <w:sz w:val="22"/>
          <w:szCs w:val="22"/>
        </w:rPr>
        <w:t xml:space="preserve"> No. </w:t>
      </w:r>
      <w:r>
        <w:rPr>
          <w:sz w:val="22"/>
          <w:szCs w:val="22"/>
        </w:rPr>
        <w:t>411</w:t>
      </w:r>
      <w:r w:rsidRPr="009D2CB4">
        <w:rPr>
          <w:sz w:val="22"/>
          <w:szCs w:val="22"/>
        </w:rPr>
        <w:t>-2017, del 1</w:t>
      </w:r>
      <w:r>
        <w:rPr>
          <w:sz w:val="22"/>
          <w:szCs w:val="22"/>
        </w:rPr>
        <w:t>8</w:t>
      </w:r>
      <w:r w:rsidRPr="009D2CB4">
        <w:rPr>
          <w:sz w:val="22"/>
          <w:szCs w:val="22"/>
        </w:rPr>
        <w:t xml:space="preserve"> de </w:t>
      </w:r>
      <w:r>
        <w:rPr>
          <w:sz w:val="22"/>
          <w:szCs w:val="22"/>
        </w:rPr>
        <w:t>octubre</w:t>
      </w:r>
      <w:r w:rsidRPr="009D2CB4">
        <w:rPr>
          <w:sz w:val="22"/>
          <w:szCs w:val="22"/>
        </w:rPr>
        <w:t xml:space="preserve"> de 2017, emitida por la Dirección Metropolitana de Catastro y se encuentra rectificada y regularizada de conformidad al Art</w:t>
      </w:r>
      <w:r>
        <w:rPr>
          <w:sz w:val="22"/>
          <w:szCs w:val="22"/>
        </w:rPr>
        <w:t>. IV.1.164 del Código Municipal.</w:t>
      </w:r>
    </w:p>
    <w:p w14:paraId="36BC970F" w14:textId="77777777" w:rsidR="00617C1D" w:rsidRDefault="00617C1D" w:rsidP="00617C1D">
      <w:pPr>
        <w:jc w:val="both"/>
        <w:rPr>
          <w:sz w:val="22"/>
          <w:szCs w:val="22"/>
        </w:rPr>
      </w:pPr>
    </w:p>
    <w:p w14:paraId="450926E8" w14:textId="1D3EF1A5" w:rsidR="00617C1D" w:rsidRDefault="00617C1D" w:rsidP="00617C1D">
      <w:pPr>
        <w:jc w:val="both"/>
        <w:rPr>
          <w:sz w:val="22"/>
          <w:szCs w:val="22"/>
        </w:rPr>
      </w:pPr>
      <w:r w:rsidRPr="009D2CB4">
        <w:rPr>
          <w:sz w:val="22"/>
          <w:szCs w:val="22"/>
        </w:rPr>
        <w:t xml:space="preserve">El área total del predio No. </w:t>
      </w:r>
      <w:r w:rsidRPr="00F552DA">
        <w:rPr>
          <w:b/>
          <w:bCs/>
          <w:sz w:val="22"/>
          <w:szCs w:val="22"/>
        </w:rPr>
        <w:t>520547</w:t>
      </w:r>
      <w:r>
        <w:rPr>
          <w:b/>
          <w:bCs/>
          <w:sz w:val="22"/>
          <w:szCs w:val="22"/>
        </w:rPr>
        <w:t>8</w:t>
      </w:r>
      <w:r w:rsidRPr="009D2CB4">
        <w:rPr>
          <w:sz w:val="22"/>
          <w:szCs w:val="22"/>
        </w:rPr>
        <w:t xml:space="preserve">, es la que consta en la </w:t>
      </w:r>
      <w:r>
        <w:rPr>
          <w:sz w:val="22"/>
          <w:szCs w:val="22"/>
        </w:rPr>
        <w:t>Resolución</w:t>
      </w:r>
      <w:r w:rsidRPr="009D2CB4">
        <w:rPr>
          <w:sz w:val="22"/>
          <w:szCs w:val="22"/>
        </w:rPr>
        <w:t xml:space="preserve"> No. </w:t>
      </w:r>
      <w:r>
        <w:rPr>
          <w:sz w:val="22"/>
          <w:szCs w:val="22"/>
        </w:rPr>
        <w:t>413</w:t>
      </w:r>
      <w:r w:rsidRPr="009D2CB4">
        <w:rPr>
          <w:sz w:val="22"/>
          <w:szCs w:val="22"/>
        </w:rPr>
        <w:t>-2017, del 1</w:t>
      </w:r>
      <w:r>
        <w:rPr>
          <w:sz w:val="22"/>
          <w:szCs w:val="22"/>
        </w:rPr>
        <w:t>8</w:t>
      </w:r>
      <w:r w:rsidRPr="009D2CB4">
        <w:rPr>
          <w:sz w:val="22"/>
          <w:szCs w:val="22"/>
        </w:rPr>
        <w:t xml:space="preserve"> de </w:t>
      </w:r>
      <w:r>
        <w:rPr>
          <w:sz w:val="22"/>
          <w:szCs w:val="22"/>
        </w:rPr>
        <w:t>octubre</w:t>
      </w:r>
      <w:r w:rsidRPr="009D2CB4">
        <w:rPr>
          <w:sz w:val="22"/>
          <w:szCs w:val="22"/>
        </w:rPr>
        <w:t xml:space="preserve"> de 2017, emitida por la Dirección Metropolitana de Catastro y se encuentra rectificada y regularizada de conformidad al Art</w:t>
      </w:r>
      <w:r>
        <w:rPr>
          <w:sz w:val="22"/>
          <w:szCs w:val="22"/>
        </w:rPr>
        <w:t>. IV.1.164 del Código Municipal, inscrita en el Registro de la Propiedad el 14 de septiembre de 2018.</w:t>
      </w:r>
    </w:p>
    <w:p w14:paraId="57853178" w14:textId="77777777" w:rsidR="00617C1D" w:rsidRDefault="00617C1D" w:rsidP="00617C1D">
      <w:pPr>
        <w:jc w:val="both"/>
        <w:rPr>
          <w:sz w:val="22"/>
          <w:szCs w:val="22"/>
        </w:rPr>
      </w:pPr>
    </w:p>
    <w:p w14:paraId="240A0566" w14:textId="46DF02A4" w:rsidR="00617C1D" w:rsidRDefault="00617C1D" w:rsidP="00617C1D">
      <w:pPr>
        <w:jc w:val="both"/>
        <w:rPr>
          <w:sz w:val="22"/>
          <w:szCs w:val="22"/>
        </w:rPr>
      </w:pPr>
      <w:r w:rsidRPr="009D2CB4">
        <w:rPr>
          <w:sz w:val="22"/>
          <w:szCs w:val="22"/>
        </w:rPr>
        <w:t xml:space="preserve">El área total del predio No. </w:t>
      </w:r>
      <w:r w:rsidRPr="00F552DA">
        <w:rPr>
          <w:b/>
          <w:bCs/>
          <w:sz w:val="22"/>
          <w:szCs w:val="22"/>
        </w:rPr>
        <w:t>520547</w:t>
      </w:r>
      <w:r>
        <w:rPr>
          <w:b/>
          <w:bCs/>
          <w:sz w:val="22"/>
          <w:szCs w:val="22"/>
        </w:rPr>
        <w:t>9</w:t>
      </w:r>
      <w:r w:rsidRPr="009D2CB4">
        <w:rPr>
          <w:sz w:val="22"/>
          <w:szCs w:val="22"/>
        </w:rPr>
        <w:t xml:space="preserve">, es la que consta en la </w:t>
      </w:r>
      <w:r>
        <w:rPr>
          <w:sz w:val="22"/>
          <w:szCs w:val="22"/>
        </w:rPr>
        <w:t>Resolución</w:t>
      </w:r>
      <w:r w:rsidRPr="009D2CB4">
        <w:rPr>
          <w:sz w:val="22"/>
          <w:szCs w:val="22"/>
        </w:rPr>
        <w:t xml:space="preserve"> No. </w:t>
      </w:r>
      <w:r>
        <w:rPr>
          <w:sz w:val="22"/>
          <w:szCs w:val="22"/>
        </w:rPr>
        <w:t>189</w:t>
      </w:r>
      <w:r w:rsidRPr="009D2CB4">
        <w:rPr>
          <w:sz w:val="22"/>
          <w:szCs w:val="22"/>
        </w:rPr>
        <w:t>-2017, del 1</w:t>
      </w:r>
      <w:r>
        <w:rPr>
          <w:sz w:val="22"/>
          <w:szCs w:val="22"/>
        </w:rPr>
        <w:t>9</w:t>
      </w:r>
      <w:r w:rsidRPr="009D2CB4">
        <w:rPr>
          <w:sz w:val="22"/>
          <w:szCs w:val="22"/>
        </w:rPr>
        <w:t xml:space="preserve"> de </w:t>
      </w:r>
      <w:r>
        <w:rPr>
          <w:sz w:val="22"/>
          <w:szCs w:val="22"/>
        </w:rPr>
        <w:t>mayo</w:t>
      </w:r>
      <w:r w:rsidRPr="009D2CB4">
        <w:rPr>
          <w:sz w:val="22"/>
          <w:szCs w:val="22"/>
        </w:rPr>
        <w:t xml:space="preserve"> de 2017, emitida por la Dirección Metropolitana de Catastro y se encuentra rectificada y regularizada de conformidad al Art</w:t>
      </w:r>
      <w:r>
        <w:rPr>
          <w:sz w:val="22"/>
          <w:szCs w:val="22"/>
        </w:rPr>
        <w:t>. IV.1.164 del Código Municipal, inscrita en el Registro de la Propiedad el 16 de junio de 2017.</w:t>
      </w:r>
    </w:p>
    <w:p w14:paraId="2BC79E20" w14:textId="77777777" w:rsidR="00617C1D" w:rsidRDefault="00617C1D" w:rsidP="00617C1D">
      <w:pPr>
        <w:jc w:val="both"/>
        <w:rPr>
          <w:sz w:val="22"/>
          <w:szCs w:val="22"/>
        </w:rPr>
      </w:pPr>
    </w:p>
    <w:p w14:paraId="3CB41B73" w14:textId="74752E75" w:rsidR="005E60A1" w:rsidRPr="001A5DCF" w:rsidRDefault="00361728" w:rsidP="007512B1">
      <w:pPr>
        <w:spacing w:after="240" w:line="276" w:lineRule="auto"/>
        <w:jc w:val="both"/>
        <w:rPr>
          <w:sz w:val="22"/>
          <w:szCs w:val="22"/>
        </w:rPr>
      </w:pPr>
      <w:r w:rsidRPr="001A5DCF">
        <w:rPr>
          <w:b/>
          <w:sz w:val="22"/>
          <w:szCs w:val="22"/>
        </w:rPr>
        <w:t xml:space="preserve">Artículo </w:t>
      </w:r>
      <w:r w:rsidR="000438BC" w:rsidRPr="001A5DCF">
        <w:rPr>
          <w:b/>
          <w:sz w:val="22"/>
          <w:szCs w:val="22"/>
        </w:rPr>
        <w:t>5</w:t>
      </w:r>
      <w:r w:rsidRPr="001A5DCF">
        <w:rPr>
          <w:b/>
          <w:sz w:val="22"/>
          <w:szCs w:val="22"/>
        </w:rPr>
        <w:t>.- Zonificación de los lotes.-</w:t>
      </w:r>
      <w:r w:rsidRPr="001A5DCF">
        <w:rPr>
          <w:sz w:val="22"/>
          <w:szCs w:val="22"/>
        </w:rPr>
        <w:t xml:space="preserve"> </w:t>
      </w:r>
      <w:r w:rsidR="00094F57" w:rsidRPr="001A5DCF">
        <w:rPr>
          <w:sz w:val="22"/>
          <w:szCs w:val="22"/>
        </w:rPr>
        <w:t xml:space="preserve">Los lotes fraccionados modificarán la zonificación vigente conforme se detalla a continuación: </w:t>
      </w:r>
      <w:r w:rsidR="007512B1">
        <w:rPr>
          <w:rFonts w:cs="Calibri"/>
          <w:sz w:val="23"/>
          <w:szCs w:val="23"/>
        </w:rPr>
        <w:t xml:space="preserve">D3 (D203-80), </w:t>
      </w:r>
      <w:r w:rsidR="007512B1" w:rsidRPr="00AC35F6">
        <w:rPr>
          <w:rFonts w:cs="Calibri"/>
          <w:sz w:val="23"/>
          <w:szCs w:val="23"/>
        </w:rPr>
        <w:t xml:space="preserve">forma de ocupación: (D) Sobre Línea de Fabrica, Lote mínimo: 200 m2, Número de pisos 3, COS planta baja: 80%, COS total: 240%, </w:t>
      </w:r>
      <w:r w:rsidR="007512B1" w:rsidRPr="005A33EC">
        <w:rPr>
          <w:rFonts w:cs="Calibri"/>
          <w:sz w:val="23"/>
          <w:szCs w:val="23"/>
        </w:rPr>
        <w:t>Uso principal: (RR</w:t>
      </w:r>
      <w:r w:rsidR="00347981" w:rsidRPr="003B18F3">
        <w:rPr>
          <w:rFonts w:cs="Calibri"/>
          <w:sz w:val="23"/>
          <w:szCs w:val="23"/>
        </w:rPr>
        <w:t>2</w:t>
      </w:r>
      <w:r w:rsidR="007512B1" w:rsidRPr="005A33EC">
        <w:rPr>
          <w:rFonts w:cs="Calibri"/>
          <w:sz w:val="23"/>
          <w:szCs w:val="23"/>
        </w:rPr>
        <w:t xml:space="preserve">) Residencial Rural </w:t>
      </w:r>
      <w:r w:rsidR="00347981" w:rsidRPr="00D67A44">
        <w:rPr>
          <w:rFonts w:cs="Calibri"/>
          <w:sz w:val="23"/>
          <w:szCs w:val="23"/>
        </w:rPr>
        <w:t>2</w:t>
      </w:r>
      <w:r w:rsidR="007512B1" w:rsidRPr="00025390">
        <w:rPr>
          <w:rFonts w:cs="Calibri"/>
          <w:sz w:val="23"/>
          <w:szCs w:val="23"/>
        </w:rPr>
        <w:t>.</w:t>
      </w:r>
    </w:p>
    <w:p w14:paraId="648DD148" w14:textId="1ABE5F39" w:rsidR="00094F57" w:rsidRPr="001A5DCF" w:rsidRDefault="00361728" w:rsidP="00BC648A">
      <w:pPr>
        <w:spacing w:before="240" w:line="276" w:lineRule="auto"/>
        <w:jc w:val="both"/>
        <w:rPr>
          <w:color w:val="000000" w:themeColor="text1"/>
          <w:sz w:val="22"/>
          <w:szCs w:val="22"/>
        </w:rPr>
      </w:pPr>
      <w:r w:rsidRPr="001A5DCF">
        <w:rPr>
          <w:b/>
          <w:sz w:val="22"/>
          <w:szCs w:val="22"/>
        </w:rPr>
        <w:t xml:space="preserve">Artículo </w:t>
      </w:r>
      <w:r w:rsidR="000438BC" w:rsidRPr="001A5DCF">
        <w:rPr>
          <w:b/>
          <w:sz w:val="22"/>
          <w:szCs w:val="22"/>
        </w:rPr>
        <w:t>6</w:t>
      </w:r>
      <w:r w:rsidRPr="001A5DCF">
        <w:rPr>
          <w:b/>
          <w:sz w:val="22"/>
          <w:szCs w:val="22"/>
        </w:rPr>
        <w:t xml:space="preserve">.- Clasificación del Suelo.- </w:t>
      </w:r>
      <w:r w:rsidR="00094F57" w:rsidRPr="001A5DCF">
        <w:rPr>
          <w:sz w:val="22"/>
          <w:szCs w:val="22"/>
        </w:rPr>
        <w:t xml:space="preserve">Los lotes fraccionados mantendrán la clasificación vigente esto es </w:t>
      </w:r>
      <w:r w:rsidR="00BC648A" w:rsidRPr="001A5DCF">
        <w:rPr>
          <w:sz w:val="22"/>
          <w:szCs w:val="22"/>
        </w:rPr>
        <w:t>(</w:t>
      </w:r>
      <w:r w:rsidR="006A3FBD" w:rsidRPr="001A5DCF">
        <w:rPr>
          <w:sz w:val="22"/>
          <w:szCs w:val="22"/>
        </w:rPr>
        <w:t>S</w:t>
      </w:r>
      <w:r w:rsidR="00BC648A" w:rsidRPr="001A5DCF">
        <w:rPr>
          <w:sz w:val="22"/>
          <w:szCs w:val="22"/>
        </w:rPr>
        <w:t>R</w:t>
      </w:r>
      <w:r w:rsidR="006A3FBD" w:rsidRPr="001A5DCF">
        <w:rPr>
          <w:sz w:val="22"/>
          <w:szCs w:val="22"/>
        </w:rPr>
        <w:t>U</w:t>
      </w:r>
      <w:r w:rsidR="00BC648A" w:rsidRPr="001A5DCF">
        <w:rPr>
          <w:sz w:val="22"/>
          <w:szCs w:val="22"/>
        </w:rPr>
        <w:t xml:space="preserve">) </w:t>
      </w:r>
      <w:r w:rsidR="006A3FBD" w:rsidRPr="001A5DCF">
        <w:rPr>
          <w:sz w:val="22"/>
          <w:szCs w:val="22"/>
        </w:rPr>
        <w:t>Suelo Rural</w:t>
      </w:r>
      <w:r w:rsidR="00094F57" w:rsidRPr="001A5DCF">
        <w:rPr>
          <w:sz w:val="22"/>
          <w:szCs w:val="22"/>
        </w:rPr>
        <w:t>.</w:t>
      </w:r>
    </w:p>
    <w:p w14:paraId="2FA2B470" w14:textId="77777777" w:rsidR="00387489" w:rsidRPr="001A5DCF" w:rsidRDefault="00387489" w:rsidP="00094F57">
      <w:pPr>
        <w:jc w:val="both"/>
        <w:rPr>
          <w:sz w:val="22"/>
          <w:szCs w:val="22"/>
        </w:rPr>
      </w:pPr>
    </w:p>
    <w:p w14:paraId="2ADF4E60" w14:textId="25313CEC" w:rsidR="00170D59" w:rsidRDefault="00387489" w:rsidP="00170D59">
      <w:pPr>
        <w:jc w:val="both"/>
        <w:rPr>
          <w:sz w:val="22"/>
          <w:szCs w:val="22"/>
        </w:rPr>
      </w:pPr>
      <w:r w:rsidRPr="001A5DCF">
        <w:rPr>
          <w:b/>
          <w:color w:val="000000" w:themeColor="text1"/>
          <w:sz w:val="22"/>
          <w:szCs w:val="22"/>
        </w:rPr>
        <w:t xml:space="preserve">Artículo </w:t>
      </w:r>
      <w:r w:rsidR="000438BC" w:rsidRPr="001A5DCF">
        <w:rPr>
          <w:b/>
          <w:color w:val="000000" w:themeColor="text1"/>
          <w:sz w:val="22"/>
          <w:szCs w:val="22"/>
        </w:rPr>
        <w:t>7</w:t>
      </w:r>
      <w:r w:rsidRPr="001A5DCF">
        <w:rPr>
          <w:b/>
          <w:color w:val="000000" w:themeColor="text1"/>
          <w:sz w:val="22"/>
          <w:szCs w:val="22"/>
        </w:rPr>
        <w:t>.-</w:t>
      </w:r>
      <w:r w:rsidR="0024191F" w:rsidRPr="001A5DCF">
        <w:rPr>
          <w:b/>
          <w:color w:val="000000" w:themeColor="text1"/>
          <w:sz w:val="22"/>
          <w:szCs w:val="22"/>
        </w:rPr>
        <w:t xml:space="preserve"> </w:t>
      </w:r>
      <w:r w:rsidRPr="006D08B6">
        <w:rPr>
          <w:b/>
          <w:color w:val="000000" w:themeColor="text1"/>
          <w:sz w:val="22"/>
          <w:szCs w:val="22"/>
        </w:rPr>
        <w:t>Lotes</w:t>
      </w:r>
      <w:r w:rsidRPr="001A5DCF">
        <w:rPr>
          <w:b/>
          <w:color w:val="000000" w:themeColor="text1"/>
          <w:sz w:val="22"/>
          <w:szCs w:val="22"/>
        </w:rPr>
        <w:t xml:space="preserve"> por excepción.- </w:t>
      </w:r>
      <w:r w:rsidR="00742540" w:rsidRPr="001A5DCF">
        <w:rPr>
          <w:bCs/>
          <w:color w:val="000000" w:themeColor="text1"/>
          <w:sz w:val="22"/>
          <w:szCs w:val="22"/>
        </w:rPr>
        <w:t xml:space="preserve">Por tratarse de un </w:t>
      </w:r>
      <w:r w:rsidR="00A57A06">
        <w:rPr>
          <w:bCs/>
          <w:color w:val="000000" w:themeColor="text1"/>
          <w:sz w:val="22"/>
          <w:szCs w:val="22"/>
        </w:rPr>
        <w:t xml:space="preserve">asentamiento </w:t>
      </w:r>
      <w:r w:rsidR="00742540" w:rsidRPr="001A5DCF">
        <w:rPr>
          <w:bCs/>
          <w:color w:val="000000" w:themeColor="text1"/>
          <w:sz w:val="22"/>
          <w:szCs w:val="22"/>
        </w:rPr>
        <w:t xml:space="preserve">de hecho y consolidado de interés social, se aprueban por excepción, esto es, con </w:t>
      </w:r>
      <w:r w:rsidR="001437C2" w:rsidRPr="001A5DCF">
        <w:rPr>
          <w:bCs/>
          <w:color w:val="000000" w:themeColor="text1"/>
          <w:sz w:val="22"/>
          <w:szCs w:val="22"/>
        </w:rPr>
        <w:t>áreas</w:t>
      </w:r>
      <w:r w:rsidR="00742540" w:rsidRPr="001A5DCF">
        <w:rPr>
          <w:bCs/>
          <w:color w:val="000000" w:themeColor="text1"/>
          <w:sz w:val="22"/>
          <w:szCs w:val="22"/>
        </w:rPr>
        <w:t xml:space="preserve"> inferiores a</w:t>
      </w:r>
      <w:r w:rsidR="00553CDA" w:rsidRPr="001A5DCF">
        <w:rPr>
          <w:bCs/>
          <w:color w:val="000000" w:themeColor="text1"/>
          <w:sz w:val="22"/>
          <w:szCs w:val="22"/>
        </w:rPr>
        <w:t xml:space="preserve"> </w:t>
      </w:r>
      <w:r w:rsidR="00742540" w:rsidRPr="001A5DCF">
        <w:rPr>
          <w:bCs/>
          <w:color w:val="000000" w:themeColor="text1"/>
          <w:sz w:val="22"/>
          <w:szCs w:val="22"/>
        </w:rPr>
        <w:t xml:space="preserve">las mínimas establecidas en la </w:t>
      </w:r>
      <w:r w:rsidR="00742540" w:rsidRPr="001A5DCF">
        <w:rPr>
          <w:bCs/>
          <w:color w:val="000000" w:themeColor="text1"/>
          <w:sz w:val="22"/>
          <w:szCs w:val="22"/>
        </w:rPr>
        <w:lastRenderedPageBreak/>
        <w:t xml:space="preserve">zonificación </w:t>
      </w:r>
      <w:r w:rsidR="00E30A90" w:rsidRPr="001A5DCF">
        <w:rPr>
          <w:bCs/>
          <w:color w:val="000000" w:themeColor="text1"/>
          <w:sz w:val="22"/>
          <w:szCs w:val="22"/>
        </w:rPr>
        <w:t>propuesta</w:t>
      </w:r>
      <w:r w:rsidR="00742540" w:rsidRPr="001A5DCF">
        <w:rPr>
          <w:bCs/>
          <w:color w:val="000000" w:themeColor="text1"/>
          <w:sz w:val="22"/>
          <w:szCs w:val="22"/>
        </w:rPr>
        <w:t xml:space="preserve">, </w:t>
      </w:r>
      <w:r w:rsidR="00FE0391" w:rsidRPr="001A5DCF">
        <w:rPr>
          <w:bCs/>
          <w:sz w:val="22"/>
          <w:szCs w:val="22"/>
        </w:rPr>
        <w:t>el lote</w:t>
      </w:r>
      <w:r w:rsidR="001A5E4E" w:rsidRPr="001A5DCF">
        <w:rPr>
          <w:sz w:val="22"/>
          <w:szCs w:val="22"/>
        </w:rPr>
        <w:t xml:space="preserve"> </w:t>
      </w:r>
      <w:r w:rsidR="00BB5679">
        <w:rPr>
          <w:sz w:val="22"/>
          <w:szCs w:val="22"/>
        </w:rPr>
        <w:t>4, 5, 6, 8, 9,10, 11, 12, 13, 15, 16, 17, 18, 19, 20, 21, 22, 23, 24, 25 y 26</w:t>
      </w:r>
      <w:r w:rsidR="00FE0391" w:rsidRPr="001A5DCF">
        <w:rPr>
          <w:sz w:val="22"/>
          <w:szCs w:val="22"/>
        </w:rPr>
        <w:t>.</w:t>
      </w:r>
    </w:p>
    <w:p w14:paraId="3AB3A5F3" w14:textId="77777777" w:rsidR="00EB1ADB" w:rsidRDefault="00EB1ADB" w:rsidP="00170D59">
      <w:pPr>
        <w:jc w:val="both"/>
        <w:rPr>
          <w:sz w:val="22"/>
          <w:szCs w:val="22"/>
        </w:rPr>
      </w:pPr>
    </w:p>
    <w:p w14:paraId="18F223F6" w14:textId="13476AAA" w:rsidR="00EB1ADB" w:rsidRPr="001A5DCF" w:rsidRDefault="00F61FD8" w:rsidP="00170D59">
      <w:pPr>
        <w:jc w:val="both"/>
        <w:rPr>
          <w:sz w:val="22"/>
          <w:szCs w:val="22"/>
        </w:rPr>
      </w:pPr>
      <w:r w:rsidRPr="009136A8">
        <w:rPr>
          <w:b/>
          <w:color w:val="000000" w:themeColor="text1"/>
          <w:sz w:val="22"/>
          <w:szCs w:val="22"/>
        </w:rPr>
        <w:t xml:space="preserve">Artículo </w:t>
      </w:r>
      <w:r w:rsidRPr="003B18F3">
        <w:rPr>
          <w:b/>
          <w:color w:val="000000" w:themeColor="text1"/>
          <w:sz w:val="22"/>
          <w:szCs w:val="22"/>
        </w:rPr>
        <w:t>8.-</w:t>
      </w:r>
      <w:r w:rsidR="00EB1ADB" w:rsidRPr="003B18F3">
        <w:rPr>
          <w:b/>
          <w:sz w:val="22"/>
          <w:szCs w:val="22"/>
        </w:rPr>
        <w:t>Lotes con afectación de quebrada rellena</w:t>
      </w:r>
      <w:r w:rsidR="00EB1ADB" w:rsidRPr="009136A8">
        <w:rPr>
          <w:sz w:val="22"/>
          <w:szCs w:val="22"/>
        </w:rPr>
        <w:t xml:space="preserve">.- </w:t>
      </w:r>
      <w:r w:rsidRPr="009136A8">
        <w:rPr>
          <w:sz w:val="22"/>
          <w:szCs w:val="22"/>
        </w:rPr>
        <w:t>Los l</w:t>
      </w:r>
      <w:r w:rsidR="00EB1ADB" w:rsidRPr="009136A8">
        <w:rPr>
          <w:sz w:val="22"/>
          <w:szCs w:val="22"/>
        </w:rPr>
        <w:t xml:space="preserve">otes números </w:t>
      </w:r>
      <w:r w:rsidR="00192498" w:rsidRPr="009136A8">
        <w:rPr>
          <w:sz w:val="22"/>
          <w:szCs w:val="22"/>
        </w:rPr>
        <w:t xml:space="preserve">1, </w:t>
      </w:r>
      <w:r w:rsidR="00AB70B8" w:rsidRPr="009136A8">
        <w:rPr>
          <w:sz w:val="22"/>
          <w:szCs w:val="22"/>
        </w:rPr>
        <w:t>3, 7, 14, 19, 20, 27, 29 y 31</w:t>
      </w:r>
      <w:r w:rsidR="00EB1ADB" w:rsidRPr="009136A8">
        <w:rPr>
          <w:sz w:val="22"/>
          <w:szCs w:val="22"/>
        </w:rPr>
        <w:t>, se encuentran afectados por un relleno de quebrada, por lo tanto, deberán sujetarse estrictamente a lo dispuesto en el artículo IV. 1.117 del Código Municipal para el Distrito Metropolitano de Quito, para efecto de ser adjudicados.</w:t>
      </w:r>
    </w:p>
    <w:p w14:paraId="68623710" w14:textId="77777777" w:rsidR="00FE0391" w:rsidRPr="001A5DCF" w:rsidRDefault="00FE0391" w:rsidP="00170D59">
      <w:pPr>
        <w:jc w:val="both"/>
        <w:rPr>
          <w:sz w:val="22"/>
          <w:szCs w:val="22"/>
        </w:rPr>
      </w:pPr>
    </w:p>
    <w:p w14:paraId="1CB78E7E" w14:textId="0F5F65CA" w:rsidR="00E5448F" w:rsidRPr="00BB5679" w:rsidRDefault="00BB5679" w:rsidP="00BB5679">
      <w:pPr>
        <w:pStyle w:val="Sinespaciado"/>
        <w:jc w:val="both"/>
        <w:rPr>
          <w:rFonts w:ascii="Times New Roman" w:hAnsi="Times New Roman"/>
        </w:rPr>
      </w:pPr>
      <w:r w:rsidRPr="00BB5679">
        <w:rPr>
          <w:rFonts w:ascii="Times New Roman" w:eastAsia="Times New Roman" w:hAnsi="Times New Roman"/>
          <w:b/>
          <w:color w:val="000000" w:themeColor="text1"/>
          <w:lang w:val="es-ES" w:eastAsia="es-ES"/>
        </w:rPr>
        <w:t xml:space="preserve">Artículo </w:t>
      </w:r>
      <w:r w:rsidR="00C74178">
        <w:rPr>
          <w:rFonts w:ascii="Times New Roman" w:eastAsia="Times New Roman" w:hAnsi="Times New Roman"/>
          <w:b/>
          <w:color w:val="000000" w:themeColor="text1"/>
          <w:lang w:val="es-ES" w:eastAsia="es-ES"/>
        </w:rPr>
        <w:t>9</w:t>
      </w:r>
      <w:r w:rsidRPr="00BB5679">
        <w:rPr>
          <w:rFonts w:ascii="Times New Roman" w:eastAsia="Times New Roman" w:hAnsi="Times New Roman"/>
          <w:b/>
          <w:color w:val="000000" w:themeColor="text1"/>
          <w:lang w:val="es-ES" w:eastAsia="es-ES"/>
        </w:rPr>
        <w:t>.- Exoneración del porcentaje de área verde.-</w:t>
      </w:r>
      <w:r w:rsidRPr="004D5922">
        <w:rPr>
          <w:sz w:val="24"/>
          <w:szCs w:val="24"/>
        </w:rPr>
        <w:t xml:space="preserve"> </w:t>
      </w:r>
      <w:r w:rsidR="00E35D42" w:rsidRPr="0071674A">
        <w:rPr>
          <w:rFonts w:ascii="Times New Roman" w:hAnsi="Times New Roman"/>
        </w:rPr>
        <w:t>Al</w:t>
      </w:r>
      <w:r w:rsidR="00E35D42" w:rsidRPr="0071674A">
        <w:rPr>
          <w:rFonts w:ascii="Times New Roman" w:hAnsi="Times New Roman"/>
          <w:sz w:val="24"/>
          <w:szCs w:val="24"/>
        </w:rPr>
        <w:t xml:space="preserve"> </w:t>
      </w:r>
      <w:r w:rsidRPr="0071674A">
        <w:rPr>
          <w:rFonts w:ascii="Times New Roman" w:hAnsi="Times New Roman"/>
        </w:rPr>
        <w:t>asentamiento</w:t>
      </w:r>
      <w:r w:rsidRPr="00BB5679">
        <w:rPr>
          <w:rFonts w:ascii="Times New Roman" w:hAnsi="Times New Roman"/>
        </w:rPr>
        <w:t xml:space="preserve"> </w:t>
      </w:r>
      <w:r>
        <w:rPr>
          <w:rFonts w:ascii="Times New Roman" w:hAnsi="Times New Roman"/>
        </w:rPr>
        <w:t>h</w:t>
      </w:r>
      <w:r w:rsidRPr="00BB5679">
        <w:rPr>
          <w:rFonts w:ascii="Times New Roman" w:hAnsi="Times New Roman"/>
        </w:rPr>
        <w:t xml:space="preserve">umano de </w:t>
      </w:r>
      <w:r>
        <w:rPr>
          <w:rFonts w:ascii="Times New Roman" w:hAnsi="Times New Roman"/>
        </w:rPr>
        <w:t>h</w:t>
      </w:r>
      <w:r w:rsidRPr="00BB5679">
        <w:rPr>
          <w:rFonts w:ascii="Times New Roman" w:hAnsi="Times New Roman"/>
        </w:rPr>
        <w:t xml:space="preserve">echo y </w:t>
      </w:r>
      <w:r>
        <w:rPr>
          <w:rFonts w:ascii="Times New Roman" w:hAnsi="Times New Roman"/>
        </w:rPr>
        <w:t>c</w:t>
      </w:r>
      <w:r w:rsidRPr="00BB5679">
        <w:rPr>
          <w:rFonts w:ascii="Times New Roman" w:hAnsi="Times New Roman"/>
        </w:rPr>
        <w:t xml:space="preserve">onsolidado de </w:t>
      </w:r>
      <w:r>
        <w:rPr>
          <w:rFonts w:ascii="Times New Roman" w:hAnsi="Times New Roman"/>
        </w:rPr>
        <w:t>i</w:t>
      </w:r>
      <w:r w:rsidRPr="00BB5679">
        <w:rPr>
          <w:rFonts w:ascii="Times New Roman" w:hAnsi="Times New Roman"/>
        </w:rPr>
        <w:t xml:space="preserve">nterés </w:t>
      </w:r>
      <w:r>
        <w:rPr>
          <w:rFonts w:ascii="Times New Roman" w:hAnsi="Times New Roman"/>
        </w:rPr>
        <w:t>s</w:t>
      </w:r>
      <w:r w:rsidRPr="00BB5679">
        <w:rPr>
          <w:rFonts w:ascii="Times New Roman" w:hAnsi="Times New Roman"/>
        </w:rPr>
        <w:t>ocial denominado</w:t>
      </w:r>
      <w:r>
        <w:rPr>
          <w:rFonts w:ascii="Times New Roman" w:hAnsi="Times New Roman"/>
        </w:rPr>
        <w:t xml:space="preserve"> Comité Pro-mejoras del Barrio</w:t>
      </w:r>
      <w:r w:rsidRPr="00BB5679">
        <w:rPr>
          <w:rFonts w:ascii="Times New Roman" w:hAnsi="Times New Roman"/>
        </w:rPr>
        <w:t xml:space="preserve"> “San </w:t>
      </w:r>
      <w:r>
        <w:rPr>
          <w:rFonts w:ascii="Times New Roman" w:hAnsi="Times New Roman"/>
        </w:rPr>
        <w:t>José</w:t>
      </w:r>
      <w:r w:rsidRPr="00BB5679">
        <w:rPr>
          <w:rFonts w:ascii="Times New Roman" w:hAnsi="Times New Roman"/>
        </w:rPr>
        <w:t>”</w:t>
      </w:r>
      <w:r w:rsidRPr="00BB5679">
        <w:rPr>
          <w:rFonts w:ascii="Times New Roman" w:hAnsi="Times New Roman"/>
          <w:bCs/>
        </w:rPr>
        <w:t xml:space="preserve">, </w:t>
      </w:r>
      <w:r w:rsidRPr="00BB5679">
        <w:rPr>
          <w:rFonts w:ascii="Times New Roman" w:hAnsi="Times New Roman"/>
        </w:rPr>
        <w:t xml:space="preserve">conforme a la normativa vigente se le exonera </w:t>
      </w:r>
      <w:r w:rsidR="00E35D42">
        <w:rPr>
          <w:rFonts w:ascii="Times New Roman" w:hAnsi="Times New Roman"/>
        </w:rPr>
        <w:t>d</w:t>
      </w:r>
      <w:r w:rsidRPr="00BB5679">
        <w:rPr>
          <w:rFonts w:ascii="Times New Roman" w:hAnsi="Times New Roman"/>
        </w:rPr>
        <w:t>el 15% como contribución del área verde, por ser considerado como un Asentamiento declarado de Interés Social</w:t>
      </w:r>
      <w:r w:rsidR="00347981">
        <w:rPr>
          <w:rFonts w:ascii="Times New Roman" w:hAnsi="Times New Roman"/>
          <w:i/>
        </w:rPr>
        <w:t>.</w:t>
      </w:r>
    </w:p>
    <w:p w14:paraId="12235FAC" w14:textId="77777777" w:rsidR="002B4901" w:rsidRPr="00BB5679" w:rsidRDefault="002B4901" w:rsidP="002B4901">
      <w:pPr>
        <w:spacing w:after="240"/>
        <w:contextualSpacing/>
        <w:jc w:val="both"/>
        <w:rPr>
          <w:b/>
          <w:sz w:val="22"/>
          <w:szCs w:val="22"/>
          <w:lang w:val="es-EC"/>
        </w:rPr>
      </w:pPr>
    </w:p>
    <w:p w14:paraId="74E63CFC" w14:textId="45A64EF4" w:rsidR="00403EE1" w:rsidRPr="001A5DCF" w:rsidRDefault="00361728" w:rsidP="00403EE1">
      <w:pPr>
        <w:spacing w:after="240"/>
        <w:contextualSpacing/>
        <w:jc w:val="both"/>
        <w:rPr>
          <w:i/>
          <w:sz w:val="22"/>
          <w:szCs w:val="22"/>
        </w:rPr>
      </w:pPr>
      <w:r w:rsidRPr="007B6303">
        <w:rPr>
          <w:b/>
          <w:sz w:val="22"/>
          <w:szCs w:val="22"/>
        </w:rPr>
        <w:t>Artí</w:t>
      </w:r>
      <w:r w:rsidR="007317A4" w:rsidRPr="007B6303">
        <w:rPr>
          <w:b/>
          <w:sz w:val="22"/>
          <w:szCs w:val="22"/>
        </w:rPr>
        <w:t>cu</w:t>
      </w:r>
      <w:r w:rsidRPr="007B6303">
        <w:rPr>
          <w:b/>
          <w:sz w:val="22"/>
          <w:szCs w:val="22"/>
        </w:rPr>
        <w:t xml:space="preserve">lo </w:t>
      </w:r>
      <w:r w:rsidR="00E75CDF">
        <w:rPr>
          <w:b/>
          <w:sz w:val="22"/>
          <w:szCs w:val="22"/>
        </w:rPr>
        <w:t>10</w:t>
      </w:r>
      <w:r w:rsidRPr="007B6303">
        <w:rPr>
          <w:b/>
          <w:bCs/>
          <w:sz w:val="22"/>
          <w:szCs w:val="22"/>
        </w:rPr>
        <w:t xml:space="preserve">.- </w:t>
      </w:r>
      <w:r w:rsidR="0024191F" w:rsidRPr="007B6303">
        <w:rPr>
          <w:b/>
          <w:bCs/>
          <w:sz w:val="22"/>
          <w:szCs w:val="22"/>
        </w:rPr>
        <w:t xml:space="preserve">Calificación de </w:t>
      </w:r>
      <w:r w:rsidR="000F4B42" w:rsidRPr="007B6303">
        <w:rPr>
          <w:b/>
          <w:bCs/>
          <w:sz w:val="22"/>
          <w:szCs w:val="22"/>
        </w:rPr>
        <w:t>Riesgos.</w:t>
      </w:r>
      <w:r w:rsidR="007456E3" w:rsidRPr="007B6303">
        <w:rPr>
          <w:b/>
          <w:bCs/>
          <w:sz w:val="22"/>
          <w:szCs w:val="22"/>
        </w:rPr>
        <w:t>-</w:t>
      </w:r>
      <w:r w:rsidR="00596910" w:rsidRPr="007B6303">
        <w:rPr>
          <w:b/>
          <w:bCs/>
          <w:sz w:val="22"/>
          <w:szCs w:val="22"/>
        </w:rPr>
        <w:t xml:space="preserve"> </w:t>
      </w:r>
      <w:r w:rsidR="007E6037" w:rsidRPr="007B6303">
        <w:rPr>
          <w:sz w:val="22"/>
          <w:szCs w:val="22"/>
        </w:rPr>
        <w:t xml:space="preserve">El </w:t>
      </w:r>
      <w:r w:rsidR="00BB5679">
        <w:rPr>
          <w:sz w:val="22"/>
          <w:szCs w:val="22"/>
        </w:rPr>
        <w:t>a</w:t>
      </w:r>
      <w:r w:rsidR="00A57A06">
        <w:rPr>
          <w:sz w:val="22"/>
          <w:szCs w:val="22"/>
        </w:rPr>
        <w:t xml:space="preserve">sentamiento </w:t>
      </w:r>
      <w:r w:rsidR="009767B8">
        <w:rPr>
          <w:sz w:val="22"/>
          <w:szCs w:val="22"/>
        </w:rPr>
        <w:t xml:space="preserve"> humano de hecho y consolidado de interés social</w:t>
      </w:r>
      <w:r w:rsidR="007E6037" w:rsidRPr="007B6303">
        <w:rPr>
          <w:bCs/>
          <w:color w:val="000000"/>
          <w:sz w:val="22"/>
          <w:szCs w:val="22"/>
        </w:rPr>
        <w:t xml:space="preserve"> </w:t>
      </w:r>
      <w:r w:rsidR="009767B8">
        <w:rPr>
          <w:bCs/>
          <w:color w:val="000000"/>
          <w:sz w:val="22"/>
          <w:szCs w:val="22"/>
        </w:rPr>
        <w:t>denominado Comité Pro</w:t>
      </w:r>
      <w:r w:rsidR="00951C04">
        <w:rPr>
          <w:bCs/>
          <w:color w:val="000000"/>
          <w:sz w:val="22"/>
          <w:szCs w:val="22"/>
        </w:rPr>
        <w:t xml:space="preserve"> </w:t>
      </w:r>
      <w:r w:rsidR="009767B8">
        <w:rPr>
          <w:bCs/>
          <w:color w:val="000000"/>
          <w:sz w:val="22"/>
          <w:szCs w:val="22"/>
        </w:rPr>
        <w:t>mejoras del Barrio “San José”</w:t>
      </w:r>
      <w:r w:rsidR="00E425C2" w:rsidRPr="00FA380E">
        <w:rPr>
          <w:bCs/>
          <w:sz w:val="22"/>
          <w:szCs w:val="22"/>
        </w:rPr>
        <w:t>,</w:t>
      </w:r>
      <w:r w:rsidR="00E425C2" w:rsidRPr="00FA380E" w:rsidDel="00403EE1">
        <w:rPr>
          <w:bCs/>
          <w:sz w:val="22"/>
          <w:szCs w:val="22"/>
        </w:rPr>
        <w:t xml:space="preserve"> </w:t>
      </w:r>
      <w:r w:rsidR="007E6037" w:rsidRPr="007B6303">
        <w:rPr>
          <w:sz w:val="22"/>
          <w:szCs w:val="22"/>
        </w:rPr>
        <w:t>deberá cumplir y acatar las recomendaciones que se encuentran determinadas en el informe de la Dirección Metropolitana de Gestión de Riesgos</w:t>
      </w:r>
      <w:r w:rsidR="00D87B88" w:rsidRPr="007B6303">
        <w:rPr>
          <w:sz w:val="22"/>
          <w:szCs w:val="22"/>
        </w:rPr>
        <w:t xml:space="preserve"> </w:t>
      </w:r>
      <w:r w:rsidR="00951C04" w:rsidRPr="003652D6">
        <w:rPr>
          <w:sz w:val="22"/>
          <w:szCs w:val="22"/>
        </w:rPr>
        <w:t>No.</w:t>
      </w:r>
      <w:r w:rsidR="00951C04">
        <w:rPr>
          <w:sz w:val="22"/>
          <w:szCs w:val="22"/>
        </w:rPr>
        <w:t xml:space="preserve"> </w:t>
      </w:r>
      <w:r w:rsidR="00951C04" w:rsidRPr="00AD7B4A">
        <w:rPr>
          <w:sz w:val="22"/>
          <w:szCs w:val="22"/>
        </w:rPr>
        <w:t>157-AT-DMGR-2015</w:t>
      </w:r>
      <w:r w:rsidR="00951C04">
        <w:rPr>
          <w:sz w:val="22"/>
          <w:szCs w:val="22"/>
        </w:rPr>
        <w:t>,</w:t>
      </w:r>
      <w:r w:rsidR="00951C04" w:rsidRPr="00AD7B4A">
        <w:rPr>
          <w:sz w:val="22"/>
          <w:szCs w:val="22"/>
        </w:rPr>
        <w:t xml:space="preserve"> de 25 de noviembre  de 2015, </w:t>
      </w:r>
      <w:r w:rsidR="00951C04">
        <w:rPr>
          <w:sz w:val="22"/>
          <w:szCs w:val="22"/>
        </w:rPr>
        <w:t xml:space="preserve">que </w:t>
      </w:r>
      <w:r w:rsidR="00951C04" w:rsidRPr="00AD7B4A">
        <w:rPr>
          <w:sz w:val="22"/>
          <w:szCs w:val="22"/>
        </w:rPr>
        <w:t xml:space="preserve">manifiesta que </w:t>
      </w:r>
      <w:r w:rsidR="00951C04">
        <w:rPr>
          <w:sz w:val="22"/>
          <w:szCs w:val="22"/>
        </w:rPr>
        <w:t xml:space="preserve">el asentamiento humano de hecho y consolidado denominado Comité Pro mejoras del Barrio “San José”, </w:t>
      </w:r>
      <w:r w:rsidR="00951C04" w:rsidRPr="00AD7B4A">
        <w:rPr>
          <w:sz w:val="22"/>
          <w:szCs w:val="22"/>
        </w:rPr>
        <w:t>presenta un Riego Moderado en su totalidad</w:t>
      </w:r>
      <w:r w:rsidR="00951C04">
        <w:rPr>
          <w:sz w:val="22"/>
          <w:szCs w:val="22"/>
        </w:rPr>
        <w:t xml:space="preserve">; Informe </w:t>
      </w:r>
      <w:r w:rsidR="00403EE1" w:rsidRPr="007B6303">
        <w:rPr>
          <w:sz w:val="22"/>
          <w:szCs w:val="22"/>
        </w:rPr>
        <w:t>No.</w:t>
      </w:r>
      <w:r w:rsidR="006D7574" w:rsidRPr="006D7574">
        <w:rPr>
          <w:sz w:val="22"/>
          <w:szCs w:val="22"/>
        </w:rPr>
        <w:t xml:space="preserve"> </w:t>
      </w:r>
      <w:r w:rsidR="006D7574">
        <w:rPr>
          <w:sz w:val="22"/>
          <w:szCs w:val="22"/>
        </w:rPr>
        <w:t>187</w:t>
      </w:r>
      <w:r w:rsidR="006D7574" w:rsidRPr="003652D6">
        <w:rPr>
          <w:sz w:val="22"/>
          <w:szCs w:val="22"/>
        </w:rPr>
        <w:t xml:space="preserve">-AT-DMGR-2018, </w:t>
      </w:r>
      <w:r w:rsidR="00561FC1">
        <w:rPr>
          <w:sz w:val="22"/>
          <w:szCs w:val="22"/>
        </w:rPr>
        <w:t>de</w:t>
      </w:r>
      <w:r w:rsidR="00561FC1" w:rsidRPr="003652D6">
        <w:rPr>
          <w:sz w:val="22"/>
          <w:szCs w:val="22"/>
        </w:rPr>
        <w:t xml:space="preserve"> </w:t>
      </w:r>
      <w:r w:rsidR="006D7574" w:rsidRPr="003652D6">
        <w:rPr>
          <w:sz w:val="22"/>
          <w:szCs w:val="22"/>
        </w:rPr>
        <w:t>1</w:t>
      </w:r>
      <w:r w:rsidR="006D7574">
        <w:rPr>
          <w:sz w:val="22"/>
          <w:szCs w:val="22"/>
        </w:rPr>
        <w:t>7</w:t>
      </w:r>
      <w:r w:rsidR="006D7574" w:rsidRPr="003652D6">
        <w:rPr>
          <w:sz w:val="22"/>
          <w:szCs w:val="22"/>
        </w:rPr>
        <w:t xml:space="preserve"> </w:t>
      </w:r>
      <w:r w:rsidR="006D7574">
        <w:rPr>
          <w:sz w:val="22"/>
          <w:szCs w:val="22"/>
        </w:rPr>
        <w:t xml:space="preserve"> </w:t>
      </w:r>
      <w:r w:rsidR="006D7574" w:rsidRPr="003652D6">
        <w:rPr>
          <w:sz w:val="22"/>
          <w:szCs w:val="22"/>
        </w:rPr>
        <w:t>de ju</w:t>
      </w:r>
      <w:r w:rsidR="006D7574">
        <w:rPr>
          <w:sz w:val="22"/>
          <w:szCs w:val="22"/>
        </w:rPr>
        <w:t>l</w:t>
      </w:r>
      <w:r w:rsidR="006D7574" w:rsidRPr="003652D6">
        <w:rPr>
          <w:sz w:val="22"/>
          <w:szCs w:val="22"/>
        </w:rPr>
        <w:t>io del 2018</w:t>
      </w:r>
      <w:r w:rsidR="006D7574" w:rsidRPr="003652D6">
        <w:rPr>
          <w:color w:val="000000" w:themeColor="text1"/>
          <w:sz w:val="22"/>
          <w:szCs w:val="22"/>
        </w:rPr>
        <w:t xml:space="preserve">, </w:t>
      </w:r>
      <w:r w:rsidR="006D7574">
        <w:rPr>
          <w:color w:val="000000" w:themeColor="text1"/>
          <w:sz w:val="22"/>
          <w:szCs w:val="22"/>
        </w:rPr>
        <w:t>que</w:t>
      </w:r>
      <w:r w:rsidR="006D7574" w:rsidRPr="003652D6">
        <w:rPr>
          <w:sz w:val="22"/>
          <w:szCs w:val="22"/>
        </w:rPr>
        <w:t xml:space="preserve"> determina </w:t>
      </w:r>
      <w:r w:rsidR="00561FC1">
        <w:rPr>
          <w:sz w:val="22"/>
          <w:szCs w:val="22"/>
        </w:rPr>
        <w:t xml:space="preserve">que </w:t>
      </w:r>
      <w:r w:rsidR="006D7574">
        <w:rPr>
          <w:sz w:val="22"/>
          <w:szCs w:val="22"/>
        </w:rPr>
        <w:t xml:space="preserve">el </w:t>
      </w:r>
      <w:r w:rsidR="006D7574" w:rsidRPr="003B18F3">
        <w:rPr>
          <w:sz w:val="22"/>
          <w:szCs w:val="22"/>
        </w:rPr>
        <w:t>Riesgo por movimientos en masa</w:t>
      </w:r>
      <w:r w:rsidR="00561FC1">
        <w:rPr>
          <w:sz w:val="22"/>
          <w:szCs w:val="22"/>
        </w:rPr>
        <w:t xml:space="preserve"> </w:t>
      </w:r>
      <w:r w:rsidR="00561FC1" w:rsidRPr="003B18F3">
        <w:rPr>
          <w:sz w:val="22"/>
          <w:szCs w:val="22"/>
        </w:rPr>
        <w:t>d</w:t>
      </w:r>
      <w:r w:rsidR="006D7574" w:rsidRPr="003652D6">
        <w:rPr>
          <w:sz w:val="22"/>
          <w:szCs w:val="22"/>
        </w:rPr>
        <w:t xml:space="preserve">el AHHYC “San </w:t>
      </w:r>
      <w:r w:rsidR="006D7574">
        <w:rPr>
          <w:sz w:val="22"/>
          <w:szCs w:val="22"/>
        </w:rPr>
        <w:t>José</w:t>
      </w:r>
      <w:r w:rsidR="006D7574" w:rsidRPr="003652D6">
        <w:rPr>
          <w:sz w:val="22"/>
          <w:szCs w:val="22"/>
        </w:rPr>
        <w:t xml:space="preserve">” en general presenta un </w:t>
      </w:r>
      <w:r w:rsidR="006D7574" w:rsidRPr="003652D6">
        <w:rPr>
          <w:sz w:val="22"/>
          <w:szCs w:val="22"/>
          <w:u w:val="single"/>
        </w:rPr>
        <w:t xml:space="preserve">Riesgo </w:t>
      </w:r>
      <w:r w:rsidR="006D7574">
        <w:rPr>
          <w:sz w:val="22"/>
          <w:szCs w:val="22"/>
          <w:u w:val="single"/>
        </w:rPr>
        <w:t>Alto por Subsidencia</w:t>
      </w:r>
      <w:r w:rsidR="006D7574" w:rsidRPr="003652D6">
        <w:rPr>
          <w:sz w:val="22"/>
          <w:szCs w:val="22"/>
        </w:rPr>
        <w:t xml:space="preserve"> para l</w:t>
      </w:r>
      <w:r w:rsidR="006D7574">
        <w:rPr>
          <w:sz w:val="22"/>
          <w:szCs w:val="22"/>
        </w:rPr>
        <w:t>os lotes 1, 3, 7, 14, 19, 20, 27, 29 y 31 al estar atravesados por una quebrada rellena. Mientras que para el resto de lotes se determina un nivel de riesgos moderado tanto para deslizamientos como para subsidencia.</w:t>
      </w:r>
    </w:p>
    <w:p w14:paraId="2138F039" w14:textId="77777777" w:rsidR="00403EE1" w:rsidRPr="007B6303" w:rsidRDefault="00403EE1" w:rsidP="007B6303">
      <w:pPr>
        <w:spacing w:after="240"/>
        <w:contextualSpacing/>
        <w:jc w:val="both"/>
        <w:rPr>
          <w:i/>
          <w:sz w:val="22"/>
          <w:szCs w:val="22"/>
        </w:rPr>
      </w:pPr>
    </w:p>
    <w:p w14:paraId="57973337" w14:textId="783DD93B" w:rsidR="002B4077" w:rsidRDefault="00D250E2" w:rsidP="002B4077">
      <w:pPr>
        <w:spacing w:after="240" w:line="276" w:lineRule="auto"/>
        <w:jc w:val="both"/>
        <w:rPr>
          <w:i/>
          <w:iCs/>
          <w:sz w:val="22"/>
          <w:szCs w:val="22"/>
        </w:rPr>
      </w:pPr>
      <w:r w:rsidRPr="002B4077">
        <w:rPr>
          <w:sz w:val="22"/>
          <w:szCs w:val="22"/>
        </w:rPr>
        <w:t>Así como las constantes en el</w:t>
      </w:r>
      <w:r w:rsidRPr="002B4077">
        <w:rPr>
          <w:i/>
          <w:sz w:val="22"/>
          <w:szCs w:val="22"/>
        </w:rPr>
        <w:t xml:space="preserve"> </w:t>
      </w:r>
      <w:r w:rsidRPr="002B4077">
        <w:rPr>
          <w:sz w:val="22"/>
          <w:szCs w:val="22"/>
        </w:rPr>
        <w:t xml:space="preserve">Oficio </w:t>
      </w:r>
      <w:r w:rsidR="0085620D" w:rsidRPr="002B4077">
        <w:rPr>
          <w:sz w:val="22"/>
          <w:szCs w:val="22"/>
        </w:rPr>
        <w:t>Nro</w:t>
      </w:r>
      <w:r w:rsidR="002B4077">
        <w:rPr>
          <w:sz w:val="22"/>
          <w:szCs w:val="22"/>
        </w:rPr>
        <w:t xml:space="preserve">. </w:t>
      </w:r>
      <w:r w:rsidR="006D7574" w:rsidRPr="003C1E91">
        <w:rPr>
          <w:sz w:val="22"/>
          <w:szCs w:val="22"/>
        </w:rPr>
        <w:t>Oficio Nro. GADDMQ-SGSG-DMGR-</w:t>
      </w:r>
      <w:r w:rsidR="006D7574" w:rsidRPr="00404DF5">
        <w:rPr>
          <w:sz w:val="22"/>
          <w:szCs w:val="22"/>
        </w:rPr>
        <w:t xml:space="preserve"> 2020-0270-OF</w:t>
      </w:r>
      <w:r w:rsidR="006D7574" w:rsidRPr="003C1E91">
        <w:rPr>
          <w:sz w:val="22"/>
          <w:szCs w:val="22"/>
        </w:rPr>
        <w:t xml:space="preserve">, de </w:t>
      </w:r>
      <w:r w:rsidR="006D7574">
        <w:rPr>
          <w:sz w:val="22"/>
          <w:szCs w:val="22"/>
        </w:rPr>
        <w:t>27</w:t>
      </w:r>
      <w:r w:rsidR="006D7574" w:rsidRPr="003C1E91">
        <w:rPr>
          <w:sz w:val="22"/>
          <w:szCs w:val="22"/>
        </w:rPr>
        <w:t xml:space="preserve"> de </w:t>
      </w:r>
      <w:r w:rsidR="006D7574">
        <w:rPr>
          <w:sz w:val="22"/>
          <w:szCs w:val="22"/>
        </w:rPr>
        <w:t>abril</w:t>
      </w:r>
      <w:r w:rsidR="006D7574" w:rsidRPr="003C1E91">
        <w:rPr>
          <w:sz w:val="22"/>
          <w:szCs w:val="22"/>
        </w:rPr>
        <w:t xml:space="preserve"> de 20</w:t>
      </w:r>
      <w:r w:rsidR="006D7574">
        <w:rPr>
          <w:sz w:val="22"/>
          <w:szCs w:val="22"/>
        </w:rPr>
        <w:t>20</w:t>
      </w:r>
      <w:r w:rsidR="006D7574" w:rsidRPr="003C1E91">
        <w:rPr>
          <w:sz w:val="22"/>
          <w:szCs w:val="22"/>
        </w:rPr>
        <w:t xml:space="preserve">, emitido por el Director Metropolitano de Gestión de Riesgos, de la Secretaría General de Seguridad y Gobernabilidad </w:t>
      </w:r>
      <w:r w:rsidR="006D7574" w:rsidRPr="00AF5E43">
        <w:rPr>
          <w:sz w:val="22"/>
          <w:szCs w:val="22"/>
        </w:rPr>
        <w:t>que la calificación del riesgo frente a movimientos en masa es aquella que debe ser considerada en los procesos de legalización o regularización de la tenencia de tierra, la Dirección Metropolitana de Gestión de Riesgos rectifica la calificación del nivel del riesgo frente a movimientos en masa, indicando que el AHHYC “San José” presenta un Riesgo Moderado Mitigable frente a deslizamientos para todos los lotes y además se indica que debido a la presencia de una quebrada rellena se tiene un Riesgo Alto Mitigable para los lotes 1, 3, 7, 14, 19, 20, 27, 29 y 31 frente a procesos de hundimiento.</w:t>
      </w:r>
    </w:p>
    <w:p w14:paraId="57C81E22" w14:textId="72C21731" w:rsidR="00D67A44" w:rsidRPr="00D67A44" w:rsidRDefault="00D67A44" w:rsidP="00D67A44">
      <w:pPr>
        <w:spacing w:after="240" w:line="276" w:lineRule="auto"/>
        <w:jc w:val="both"/>
        <w:rPr>
          <w:sz w:val="22"/>
          <w:szCs w:val="22"/>
        </w:rPr>
      </w:pPr>
      <w:r w:rsidRPr="00D67A44">
        <w:rPr>
          <w:sz w:val="22"/>
          <w:szCs w:val="22"/>
        </w:rPr>
        <w:t xml:space="preserve">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w:t>
      </w:r>
      <w:r>
        <w:rPr>
          <w:sz w:val="22"/>
          <w:szCs w:val="22"/>
        </w:rPr>
        <w:t>La Delicia</w:t>
      </w:r>
      <w:r w:rsidRPr="00D67A44">
        <w:rPr>
          <w:sz w:val="22"/>
          <w:szCs w:val="22"/>
        </w:rPr>
        <w:t>, para su seguimiento y control respectivo. En el caso de no haberse presentado el cronograma de obras referido, el Concejo Metropolitano podrá revocar la presente ordenanza, notificándose del particular a la Agencia Metropolitana de Control, para que se inicie las acciones pertinentes.</w:t>
      </w:r>
    </w:p>
    <w:p w14:paraId="3338D233" w14:textId="77777777" w:rsidR="00D67A44" w:rsidRPr="00D67A44" w:rsidRDefault="00D67A44" w:rsidP="00D67A44">
      <w:pPr>
        <w:spacing w:after="240" w:line="276" w:lineRule="auto"/>
        <w:jc w:val="both"/>
        <w:rPr>
          <w:sz w:val="22"/>
          <w:szCs w:val="22"/>
        </w:rPr>
      </w:pPr>
      <w:r w:rsidRPr="00D67A44">
        <w:rPr>
          <w:sz w:val="22"/>
          <w:szCs w:val="22"/>
        </w:rPr>
        <w:t>La Agencia Metropolitana de Control será notificada con el cronograma de obras de mitigación y realizará el seguimiento en la ejecución y avance de las obras de mitigación hasta la terminación de las mismas.</w:t>
      </w:r>
    </w:p>
    <w:p w14:paraId="2770EC58" w14:textId="3227B6AC" w:rsidR="00D67A44" w:rsidRDefault="00D67A44" w:rsidP="007B6303">
      <w:pPr>
        <w:spacing w:after="240" w:line="276" w:lineRule="auto"/>
        <w:jc w:val="both"/>
        <w:rPr>
          <w:sz w:val="22"/>
          <w:szCs w:val="22"/>
        </w:rPr>
      </w:pPr>
      <w:r w:rsidRPr="00D67A44">
        <w:rPr>
          <w:sz w:val="22"/>
          <w:szCs w:val="22"/>
        </w:rPr>
        <w:lastRenderedPageBreak/>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2C270288" w14:textId="782F73EA" w:rsidR="00546EB8" w:rsidRPr="001A5DCF" w:rsidRDefault="00DF28BE" w:rsidP="007B6303">
      <w:pPr>
        <w:spacing w:after="240" w:line="276" w:lineRule="auto"/>
        <w:jc w:val="both"/>
        <w:rPr>
          <w:b/>
          <w:color w:val="000000" w:themeColor="text1"/>
          <w:sz w:val="22"/>
          <w:szCs w:val="22"/>
        </w:rPr>
      </w:pPr>
      <w:r w:rsidRPr="001A5DCF">
        <w:rPr>
          <w:sz w:val="22"/>
          <w:szCs w:val="22"/>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14:paraId="5E730D1D" w14:textId="2B806037" w:rsidR="00596910" w:rsidRPr="001A5DCF" w:rsidRDefault="00361728" w:rsidP="00596910">
      <w:pPr>
        <w:spacing w:after="120" w:line="276" w:lineRule="auto"/>
        <w:jc w:val="both"/>
        <w:rPr>
          <w:sz w:val="22"/>
          <w:szCs w:val="22"/>
        </w:rPr>
      </w:pPr>
      <w:r w:rsidRPr="001A5DCF">
        <w:rPr>
          <w:b/>
          <w:color w:val="000000" w:themeColor="text1"/>
          <w:sz w:val="22"/>
          <w:szCs w:val="22"/>
        </w:rPr>
        <w:t xml:space="preserve">Articulo </w:t>
      </w:r>
      <w:r w:rsidR="00C64A6F" w:rsidRPr="001A5DCF">
        <w:rPr>
          <w:b/>
          <w:color w:val="000000" w:themeColor="text1"/>
          <w:sz w:val="22"/>
          <w:szCs w:val="22"/>
        </w:rPr>
        <w:t>1</w:t>
      </w:r>
      <w:r w:rsidR="00E75CDF">
        <w:rPr>
          <w:b/>
          <w:color w:val="000000" w:themeColor="text1"/>
          <w:sz w:val="22"/>
          <w:szCs w:val="22"/>
        </w:rPr>
        <w:t>1</w:t>
      </w:r>
      <w:r w:rsidRPr="001A5DCF">
        <w:rPr>
          <w:b/>
          <w:color w:val="000000" w:themeColor="text1"/>
          <w:sz w:val="22"/>
          <w:szCs w:val="22"/>
        </w:rPr>
        <w:t>.-</w:t>
      </w:r>
      <w:r w:rsidRPr="001A5DCF">
        <w:rPr>
          <w:color w:val="000000" w:themeColor="text1"/>
          <w:sz w:val="22"/>
          <w:szCs w:val="22"/>
        </w:rPr>
        <w:t xml:space="preserve"> </w:t>
      </w:r>
      <w:r w:rsidRPr="001A5DCF">
        <w:rPr>
          <w:b/>
          <w:bCs/>
          <w:color w:val="000000" w:themeColor="text1"/>
          <w:sz w:val="22"/>
          <w:szCs w:val="22"/>
        </w:rPr>
        <w:t xml:space="preserve">De </w:t>
      </w:r>
      <w:r w:rsidR="00BC648A" w:rsidRPr="001A5DCF">
        <w:rPr>
          <w:b/>
          <w:bCs/>
          <w:color w:val="000000" w:themeColor="text1"/>
          <w:sz w:val="22"/>
          <w:szCs w:val="22"/>
        </w:rPr>
        <w:t>l</w:t>
      </w:r>
      <w:r w:rsidR="006D7574">
        <w:rPr>
          <w:b/>
          <w:bCs/>
          <w:color w:val="000000" w:themeColor="text1"/>
          <w:sz w:val="22"/>
          <w:szCs w:val="22"/>
        </w:rPr>
        <w:t>os</w:t>
      </w:r>
      <w:r w:rsidR="0053116D" w:rsidRPr="001A5DCF">
        <w:rPr>
          <w:b/>
          <w:bCs/>
          <w:color w:val="000000" w:themeColor="text1"/>
          <w:sz w:val="22"/>
          <w:szCs w:val="22"/>
        </w:rPr>
        <w:t xml:space="preserve"> </w:t>
      </w:r>
      <w:r w:rsidR="00E47C43" w:rsidRPr="001A5DCF">
        <w:rPr>
          <w:b/>
          <w:bCs/>
          <w:color w:val="000000" w:themeColor="text1"/>
          <w:sz w:val="22"/>
          <w:szCs w:val="22"/>
        </w:rPr>
        <w:t>P</w:t>
      </w:r>
      <w:r w:rsidR="007E6037" w:rsidRPr="001A5DCF">
        <w:rPr>
          <w:b/>
          <w:bCs/>
          <w:color w:val="000000" w:themeColor="text1"/>
          <w:sz w:val="22"/>
          <w:szCs w:val="22"/>
        </w:rPr>
        <w:t>asajes</w:t>
      </w:r>
      <w:r w:rsidR="0081387B" w:rsidRPr="001A5DCF">
        <w:rPr>
          <w:b/>
          <w:bCs/>
          <w:color w:val="000000" w:themeColor="text1"/>
          <w:sz w:val="22"/>
          <w:szCs w:val="22"/>
        </w:rPr>
        <w:t>. -</w:t>
      </w:r>
      <w:r w:rsidRPr="001A5DCF">
        <w:rPr>
          <w:b/>
          <w:bCs/>
          <w:color w:val="000000" w:themeColor="text1"/>
          <w:sz w:val="22"/>
          <w:szCs w:val="22"/>
        </w:rPr>
        <w:t xml:space="preserve"> </w:t>
      </w:r>
      <w:r w:rsidRPr="001A5DCF">
        <w:rPr>
          <w:color w:val="000000" w:themeColor="text1"/>
          <w:sz w:val="22"/>
          <w:szCs w:val="22"/>
        </w:rPr>
        <w:t xml:space="preserve">El </w:t>
      </w:r>
      <w:r w:rsidR="0071674A">
        <w:rPr>
          <w:color w:val="000000" w:themeColor="text1"/>
          <w:sz w:val="22"/>
          <w:szCs w:val="22"/>
        </w:rPr>
        <w:t>a</w:t>
      </w:r>
      <w:r w:rsidR="00A57A06">
        <w:rPr>
          <w:color w:val="000000" w:themeColor="text1"/>
          <w:sz w:val="22"/>
          <w:szCs w:val="22"/>
        </w:rPr>
        <w:t xml:space="preserve">sentamiento </w:t>
      </w:r>
      <w:r w:rsidR="009767B8">
        <w:rPr>
          <w:color w:val="000000" w:themeColor="text1"/>
          <w:sz w:val="22"/>
          <w:szCs w:val="22"/>
        </w:rPr>
        <w:t>humano de hecho y consolidado de interés social</w:t>
      </w:r>
      <w:r w:rsidRPr="001A5DCF">
        <w:rPr>
          <w:bCs/>
          <w:iCs/>
          <w:color w:val="000000" w:themeColor="text1"/>
          <w:sz w:val="22"/>
          <w:szCs w:val="22"/>
        </w:rPr>
        <w:t xml:space="preserve"> </w:t>
      </w:r>
      <w:r w:rsidR="009767B8">
        <w:rPr>
          <w:bCs/>
          <w:iCs/>
          <w:color w:val="000000" w:themeColor="text1"/>
          <w:sz w:val="22"/>
          <w:szCs w:val="22"/>
        </w:rPr>
        <w:t>denominado Comité Pro</w:t>
      </w:r>
      <w:r w:rsidR="00951C04">
        <w:rPr>
          <w:bCs/>
          <w:iCs/>
          <w:color w:val="000000" w:themeColor="text1"/>
          <w:sz w:val="22"/>
          <w:szCs w:val="22"/>
        </w:rPr>
        <w:t xml:space="preserve"> </w:t>
      </w:r>
      <w:r w:rsidR="009767B8">
        <w:rPr>
          <w:bCs/>
          <w:iCs/>
          <w:color w:val="000000" w:themeColor="text1"/>
          <w:sz w:val="22"/>
          <w:szCs w:val="22"/>
        </w:rPr>
        <w:t>mejoras del Barrio “San José”</w:t>
      </w:r>
      <w:r w:rsidR="003223A7" w:rsidRPr="001A5DCF">
        <w:rPr>
          <w:bCs/>
          <w:sz w:val="22"/>
          <w:szCs w:val="22"/>
        </w:rPr>
        <w:t>,</w:t>
      </w:r>
      <w:r w:rsidR="003223A7" w:rsidRPr="001A5DCF">
        <w:rPr>
          <w:b/>
          <w:bCs/>
          <w:sz w:val="22"/>
          <w:szCs w:val="22"/>
        </w:rPr>
        <w:t xml:space="preserve"> </w:t>
      </w:r>
      <w:r w:rsidRPr="001A5DCF">
        <w:rPr>
          <w:color w:val="000000" w:themeColor="text1"/>
          <w:sz w:val="22"/>
          <w:szCs w:val="22"/>
        </w:rPr>
        <w:t>contempla un</w:t>
      </w:r>
      <w:r w:rsidR="005737E4" w:rsidRPr="001A5DCF">
        <w:rPr>
          <w:color w:val="000000" w:themeColor="text1"/>
          <w:sz w:val="22"/>
          <w:szCs w:val="22"/>
        </w:rPr>
        <w:t xml:space="preserve"> </w:t>
      </w:r>
      <w:r w:rsidRPr="001A5DCF">
        <w:rPr>
          <w:color w:val="000000" w:themeColor="text1"/>
          <w:sz w:val="22"/>
          <w:szCs w:val="22"/>
        </w:rPr>
        <w:t xml:space="preserve">sistema vial de uso público, debido a que éste es un </w:t>
      </w:r>
      <w:r w:rsidR="00A57A06">
        <w:rPr>
          <w:color w:val="000000" w:themeColor="text1"/>
          <w:sz w:val="22"/>
          <w:szCs w:val="22"/>
        </w:rPr>
        <w:t xml:space="preserve">asentamiento </w:t>
      </w:r>
      <w:r w:rsidR="009767B8">
        <w:rPr>
          <w:color w:val="000000" w:themeColor="text1"/>
          <w:sz w:val="22"/>
          <w:szCs w:val="22"/>
        </w:rPr>
        <w:t>humano de hecho y consolidado de interés social</w:t>
      </w:r>
      <w:r w:rsidRPr="001A5DCF">
        <w:rPr>
          <w:color w:val="000000" w:themeColor="text1"/>
          <w:sz w:val="22"/>
          <w:szCs w:val="22"/>
        </w:rPr>
        <w:t xml:space="preserve"> de </w:t>
      </w:r>
      <w:r w:rsidR="004D3932">
        <w:rPr>
          <w:color w:val="000000" w:themeColor="text1"/>
          <w:sz w:val="22"/>
          <w:szCs w:val="22"/>
        </w:rPr>
        <w:t>18</w:t>
      </w:r>
      <w:r w:rsidR="00466586" w:rsidRPr="001A5DCF">
        <w:rPr>
          <w:color w:val="000000" w:themeColor="text1"/>
          <w:sz w:val="22"/>
          <w:szCs w:val="22"/>
        </w:rPr>
        <w:t xml:space="preserve"> </w:t>
      </w:r>
      <w:r w:rsidRPr="001A5DCF">
        <w:rPr>
          <w:color w:val="000000" w:themeColor="text1"/>
          <w:sz w:val="22"/>
          <w:szCs w:val="22"/>
        </w:rPr>
        <w:t xml:space="preserve">años de existencia, con </w:t>
      </w:r>
      <w:r w:rsidR="003223A7" w:rsidRPr="001A5DCF">
        <w:rPr>
          <w:sz w:val="22"/>
          <w:szCs w:val="22"/>
        </w:rPr>
        <w:t>8</w:t>
      </w:r>
      <w:r w:rsidR="004D3932">
        <w:rPr>
          <w:sz w:val="22"/>
          <w:szCs w:val="22"/>
        </w:rPr>
        <w:t>1</w:t>
      </w:r>
      <w:r w:rsidR="003223A7" w:rsidRPr="001A5DCF">
        <w:rPr>
          <w:sz w:val="22"/>
          <w:szCs w:val="22"/>
        </w:rPr>
        <w:t>.</w:t>
      </w:r>
      <w:r w:rsidR="004D3932">
        <w:rPr>
          <w:sz w:val="22"/>
          <w:szCs w:val="22"/>
        </w:rPr>
        <w:t>25</w:t>
      </w:r>
      <w:r w:rsidR="00BC648A" w:rsidRPr="001A5DCF">
        <w:rPr>
          <w:sz w:val="22"/>
          <w:szCs w:val="22"/>
        </w:rPr>
        <w:t xml:space="preserve">% </w:t>
      </w:r>
      <w:r w:rsidRPr="001A5DCF">
        <w:rPr>
          <w:color w:val="000000" w:themeColor="text1"/>
          <w:sz w:val="22"/>
          <w:szCs w:val="22"/>
        </w:rPr>
        <w:t xml:space="preserve">de consolidación de viviendas y se encuentra ejecutando obras de infraestructura, </w:t>
      </w:r>
      <w:r w:rsidR="00596910" w:rsidRPr="001A5DCF">
        <w:rPr>
          <w:sz w:val="22"/>
          <w:szCs w:val="22"/>
        </w:rPr>
        <w:t xml:space="preserve">razón por la cual los anchos viales se sujetarán al plano adjunto a la presente ordenanza. </w:t>
      </w:r>
    </w:p>
    <w:p w14:paraId="7ECAEB25" w14:textId="5DEA0C22" w:rsidR="00316263" w:rsidRDefault="00596910" w:rsidP="00C24F44">
      <w:pPr>
        <w:pStyle w:val="Sinespaciado"/>
        <w:rPr>
          <w:rFonts w:ascii="Times New Roman" w:hAnsi="Times New Roman"/>
        </w:rPr>
      </w:pPr>
      <w:r w:rsidRPr="007B6303">
        <w:rPr>
          <w:rFonts w:ascii="Times New Roman" w:hAnsi="Times New Roman"/>
        </w:rPr>
        <w:t xml:space="preserve">Se </w:t>
      </w:r>
      <w:r w:rsidR="00F14104" w:rsidRPr="007B6303">
        <w:rPr>
          <w:rFonts w:ascii="Times New Roman" w:hAnsi="Times New Roman"/>
        </w:rPr>
        <w:t>regularizan</w:t>
      </w:r>
      <w:r w:rsidRPr="007B6303">
        <w:rPr>
          <w:rFonts w:ascii="Times New Roman" w:hAnsi="Times New Roman"/>
        </w:rPr>
        <w:t xml:space="preserve"> </w:t>
      </w:r>
      <w:r w:rsidR="006C17B4">
        <w:rPr>
          <w:rFonts w:ascii="Times New Roman" w:hAnsi="Times New Roman"/>
        </w:rPr>
        <w:t>l</w:t>
      </w:r>
      <w:r w:rsidR="00951C04">
        <w:rPr>
          <w:rFonts w:ascii="Times New Roman" w:hAnsi="Times New Roman"/>
        </w:rPr>
        <w:t>os</w:t>
      </w:r>
      <w:r w:rsidR="006C17B4">
        <w:rPr>
          <w:rFonts w:ascii="Times New Roman" w:hAnsi="Times New Roman"/>
        </w:rPr>
        <w:t xml:space="preserve"> </w:t>
      </w:r>
      <w:r w:rsidR="00951C04">
        <w:rPr>
          <w:rFonts w:ascii="Times New Roman" w:hAnsi="Times New Roman"/>
        </w:rPr>
        <w:t>pasajes</w:t>
      </w:r>
      <w:r w:rsidR="00951C04" w:rsidRPr="007B6303">
        <w:rPr>
          <w:rFonts w:ascii="Times New Roman" w:hAnsi="Times New Roman"/>
        </w:rPr>
        <w:t xml:space="preserve"> </w:t>
      </w:r>
      <w:r w:rsidRPr="007B6303">
        <w:rPr>
          <w:rFonts w:ascii="Times New Roman" w:hAnsi="Times New Roman"/>
        </w:rPr>
        <w:t>con l</w:t>
      </w:r>
      <w:r w:rsidR="00951C04">
        <w:rPr>
          <w:rFonts w:ascii="Times New Roman" w:hAnsi="Times New Roman"/>
        </w:rPr>
        <w:t>os</w:t>
      </w:r>
      <w:r w:rsidRPr="007B6303">
        <w:rPr>
          <w:rFonts w:ascii="Times New Roman" w:hAnsi="Times New Roman"/>
        </w:rPr>
        <w:t xml:space="preserve"> siguiente</w:t>
      </w:r>
      <w:r w:rsidR="00951C04">
        <w:rPr>
          <w:rFonts w:ascii="Times New Roman" w:hAnsi="Times New Roman"/>
        </w:rPr>
        <w:t>s</w:t>
      </w:r>
      <w:r w:rsidRPr="007B6303">
        <w:rPr>
          <w:rFonts w:ascii="Times New Roman" w:hAnsi="Times New Roman"/>
        </w:rPr>
        <w:t xml:space="preserve"> ancho</w:t>
      </w:r>
      <w:r w:rsidR="00951C04">
        <w:rPr>
          <w:rFonts w:ascii="Times New Roman" w:hAnsi="Times New Roman"/>
        </w:rPr>
        <w:t>s</w:t>
      </w:r>
      <w:r w:rsidRPr="007B6303">
        <w:rPr>
          <w:rFonts w:ascii="Times New Roman" w:hAnsi="Times New Roman"/>
        </w:rPr>
        <w:t>:</w:t>
      </w:r>
    </w:p>
    <w:p w14:paraId="56757C2B" w14:textId="77777777" w:rsidR="00BE5D1F" w:rsidRPr="007B6303" w:rsidRDefault="00BE5D1F" w:rsidP="00C24F44">
      <w:pPr>
        <w:pStyle w:val="Sinespaciado"/>
        <w:rPr>
          <w:rFonts w:ascii="Times New Roman" w:hAnsi="Times New Roman"/>
        </w:rPr>
      </w:pPr>
    </w:p>
    <w:tbl>
      <w:tblPr>
        <w:tblStyle w:val="Tablaconcuadrcula"/>
        <w:tblW w:w="0" w:type="auto"/>
        <w:tblInd w:w="108" w:type="dxa"/>
        <w:tblLook w:val="04A0" w:firstRow="1" w:lastRow="0" w:firstColumn="1" w:lastColumn="0" w:noHBand="0" w:noVBand="1"/>
      </w:tblPr>
      <w:tblGrid>
        <w:gridCol w:w="4476"/>
        <w:gridCol w:w="4195"/>
      </w:tblGrid>
      <w:tr w:rsidR="00B4091A" w:rsidRPr="001A5DCF" w14:paraId="3F15FBDB" w14:textId="77777777" w:rsidTr="004D3932">
        <w:trPr>
          <w:trHeight w:val="176"/>
        </w:trPr>
        <w:tc>
          <w:tcPr>
            <w:tcW w:w="4476" w:type="dxa"/>
          </w:tcPr>
          <w:p w14:paraId="64B9FDA6" w14:textId="6B6CCFA9" w:rsidR="003223A7" w:rsidRPr="003B18F3" w:rsidRDefault="004D3932" w:rsidP="00C24F44">
            <w:pPr>
              <w:pStyle w:val="Sinespaciado"/>
              <w:rPr>
                <w:rFonts w:ascii="Times New Roman" w:eastAsia="Times New Roman" w:hAnsi="Times New Roman"/>
                <w:lang w:val="es-ES" w:eastAsia="es-ES"/>
              </w:rPr>
            </w:pPr>
            <w:r w:rsidRPr="003B18F3">
              <w:rPr>
                <w:rFonts w:ascii="Times New Roman" w:hAnsi="Times New Roman"/>
              </w:rPr>
              <w:t>Pasaje 1</w:t>
            </w:r>
          </w:p>
        </w:tc>
        <w:tc>
          <w:tcPr>
            <w:tcW w:w="4195" w:type="dxa"/>
          </w:tcPr>
          <w:p w14:paraId="4E44C3BD" w14:textId="39AE1BF1" w:rsidR="00B4091A" w:rsidRPr="001A5DCF" w:rsidRDefault="004D3932" w:rsidP="00025390">
            <w:pPr>
              <w:spacing w:line="276" w:lineRule="auto"/>
            </w:pPr>
            <w:r w:rsidRPr="004D3932">
              <w:rPr>
                <w:sz w:val="22"/>
                <w:szCs w:val="22"/>
              </w:rPr>
              <w:t>3,00-3,05m (Variable)</w:t>
            </w:r>
          </w:p>
        </w:tc>
      </w:tr>
      <w:tr w:rsidR="004D3932" w:rsidRPr="001A5DCF" w14:paraId="53631BBF" w14:textId="77777777" w:rsidTr="004D3932">
        <w:trPr>
          <w:trHeight w:val="176"/>
        </w:trPr>
        <w:tc>
          <w:tcPr>
            <w:tcW w:w="4476" w:type="dxa"/>
          </w:tcPr>
          <w:p w14:paraId="6E0FBD3F" w14:textId="3807E436" w:rsidR="004D3932" w:rsidRPr="003B18F3" w:rsidDel="003223A7" w:rsidRDefault="004D3932" w:rsidP="004D3932">
            <w:pPr>
              <w:pStyle w:val="Sinespaciado"/>
              <w:rPr>
                <w:rFonts w:ascii="Times New Roman" w:eastAsia="Times New Roman" w:hAnsi="Times New Roman"/>
                <w:lang w:val="es-ES" w:eastAsia="es-ES"/>
              </w:rPr>
            </w:pPr>
            <w:r w:rsidRPr="003B18F3">
              <w:rPr>
                <w:rFonts w:ascii="Times New Roman" w:hAnsi="Times New Roman"/>
              </w:rPr>
              <w:t>Pasaje 2</w:t>
            </w:r>
          </w:p>
        </w:tc>
        <w:tc>
          <w:tcPr>
            <w:tcW w:w="4195" w:type="dxa"/>
          </w:tcPr>
          <w:p w14:paraId="6CDC1D76" w14:textId="7D9AE0C7" w:rsidR="004D3932" w:rsidRPr="004D3932" w:rsidDel="003223A7" w:rsidRDefault="004D3932" w:rsidP="00025390">
            <w:pPr>
              <w:spacing w:line="276" w:lineRule="auto"/>
              <w:rPr>
                <w:sz w:val="22"/>
                <w:szCs w:val="22"/>
              </w:rPr>
            </w:pPr>
            <w:r w:rsidRPr="004D3932">
              <w:rPr>
                <w:sz w:val="22"/>
                <w:szCs w:val="22"/>
              </w:rPr>
              <w:t>3,00-3,04m (Variable)</w:t>
            </w:r>
            <w:r w:rsidRPr="007B6303">
              <w:rPr>
                <w:sz w:val="22"/>
                <w:szCs w:val="22"/>
              </w:rPr>
              <w:t>.</w:t>
            </w:r>
          </w:p>
        </w:tc>
      </w:tr>
      <w:tr w:rsidR="004D3932" w:rsidRPr="001A5DCF" w14:paraId="6050C01A" w14:textId="77777777" w:rsidTr="004D3932">
        <w:trPr>
          <w:trHeight w:val="221"/>
        </w:trPr>
        <w:tc>
          <w:tcPr>
            <w:tcW w:w="4476" w:type="dxa"/>
          </w:tcPr>
          <w:p w14:paraId="3B422267" w14:textId="797EFCC3" w:rsidR="004D3932" w:rsidRPr="003B18F3" w:rsidDel="003223A7" w:rsidRDefault="004D3932" w:rsidP="004D3932">
            <w:pPr>
              <w:pStyle w:val="Sinespaciado"/>
              <w:rPr>
                <w:rFonts w:ascii="Times New Roman" w:eastAsia="Times New Roman" w:hAnsi="Times New Roman"/>
                <w:lang w:val="es-ES" w:eastAsia="es-ES"/>
              </w:rPr>
            </w:pPr>
            <w:r w:rsidRPr="003B18F3">
              <w:rPr>
                <w:rFonts w:ascii="Times New Roman" w:hAnsi="Times New Roman"/>
              </w:rPr>
              <w:t>Pasaje 3</w:t>
            </w:r>
          </w:p>
        </w:tc>
        <w:tc>
          <w:tcPr>
            <w:tcW w:w="4195" w:type="dxa"/>
          </w:tcPr>
          <w:p w14:paraId="732EAA86" w14:textId="3E604367" w:rsidR="004D3932" w:rsidRPr="004D3932" w:rsidDel="003223A7" w:rsidRDefault="004D3932" w:rsidP="00025390">
            <w:pPr>
              <w:spacing w:line="276" w:lineRule="auto"/>
              <w:rPr>
                <w:sz w:val="22"/>
                <w:szCs w:val="22"/>
              </w:rPr>
            </w:pPr>
            <w:r w:rsidRPr="004D3932">
              <w:rPr>
                <w:sz w:val="22"/>
                <w:szCs w:val="22"/>
              </w:rPr>
              <w:t>3m</w:t>
            </w:r>
          </w:p>
        </w:tc>
      </w:tr>
    </w:tbl>
    <w:p w14:paraId="63221329" w14:textId="77777777" w:rsidR="0094723F" w:rsidRPr="001A5DCF" w:rsidRDefault="002578F2" w:rsidP="001E1CA2">
      <w:pPr>
        <w:tabs>
          <w:tab w:val="left" w:pos="4935"/>
        </w:tabs>
        <w:jc w:val="both"/>
        <w:rPr>
          <w:b/>
          <w:color w:val="000000" w:themeColor="text1"/>
          <w:sz w:val="22"/>
          <w:szCs w:val="22"/>
        </w:rPr>
      </w:pPr>
      <w:r w:rsidRPr="001A5DCF">
        <w:rPr>
          <w:b/>
          <w:color w:val="000000" w:themeColor="text1"/>
          <w:sz w:val="22"/>
          <w:szCs w:val="22"/>
        </w:rPr>
        <w:tab/>
      </w:r>
    </w:p>
    <w:p w14:paraId="2D46091A" w14:textId="76F7ECF4" w:rsidR="00DA36A8" w:rsidRPr="001A5DCF" w:rsidRDefault="00DA36A8" w:rsidP="00C24F44">
      <w:pPr>
        <w:pStyle w:val="Sinespaciado"/>
        <w:rPr>
          <w:rFonts w:ascii="Times New Roman" w:hAnsi="Times New Roman"/>
        </w:rPr>
      </w:pPr>
      <w:r w:rsidRPr="001A5DCF">
        <w:rPr>
          <w:rFonts w:ascii="Times New Roman" w:hAnsi="Times New Roman"/>
          <w:b/>
          <w:bCs/>
        </w:rPr>
        <w:t xml:space="preserve">Artículo </w:t>
      </w:r>
      <w:r w:rsidR="00C174B4" w:rsidRPr="001A5DCF">
        <w:rPr>
          <w:rFonts w:ascii="Times New Roman" w:hAnsi="Times New Roman"/>
          <w:b/>
          <w:bCs/>
        </w:rPr>
        <w:t>1</w:t>
      </w:r>
      <w:r w:rsidR="00E75CDF">
        <w:rPr>
          <w:rFonts w:ascii="Times New Roman" w:hAnsi="Times New Roman"/>
          <w:b/>
          <w:bCs/>
        </w:rPr>
        <w:t>2</w:t>
      </w:r>
      <w:r w:rsidRPr="001A5DCF">
        <w:rPr>
          <w:rFonts w:ascii="Times New Roman" w:hAnsi="Times New Roman"/>
          <w:b/>
          <w:bCs/>
        </w:rPr>
        <w:t xml:space="preserve">.- De las obras a </w:t>
      </w:r>
      <w:r w:rsidR="0088568C" w:rsidRPr="001A5DCF">
        <w:rPr>
          <w:rFonts w:ascii="Times New Roman" w:hAnsi="Times New Roman"/>
          <w:b/>
          <w:bCs/>
        </w:rPr>
        <w:t>ejecutarse. -</w:t>
      </w:r>
      <w:r w:rsidRPr="001A5DCF">
        <w:rPr>
          <w:rFonts w:ascii="Times New Roman" w:hAnsi="Times New Roman"/>
          <w:b/>
          <w:bCs/>
        </w:rPr>
        <w:t xml:space="preserve"> </w:t>
      </w:r>
      <w:r w:rsidR="004D3932">
        <w:rPr>
          <w:rFonts w:ascii="Times New Roman" w:hAnsi="Times New Roman"/>
        </w:rPr>
        <w:t>La obra</w:t>
      </w:r>
      <w:r w:rsidR="00F14104" w:rsidRPr="001A5DCF">
        <w:rPr>
          <w:rFonts w:ascii="Times New Roman" w:hAnsi="Times New Roman"/>
        </w:rPr>
        <w:t xml:space="preserve"> </w:t>
      </w:r>
      <w:r w:rsidR="00F14104" w:rsidRPr="001A5DCF">
        <w:rPr>
          <w:rFonts w:ascii="Times New Roman" w:hAnsi="Times New Roman"/>
          <w:color w:val="000000" w:themeColor="text1"/>
        </w:rPr>
        <w:t xml:space="preserve">civil </w:t>
      </w:r>
      <w:r w:rsidRPr="001A5DCF">
        <w:rPr>
          <w:rFonts w:ascii="Times New Roman" w:hAnsi="Times New Roman"/>
        </w:rPr>
        <w:t xml:space="preserve">a ejecutarse en el </w:t>
      </w:r>
      <w:r w:rsidR="00A57A06">
        <w:rPr>
          <w:rFonts w:ascii="Times New Roman" w:hAnsi="Times New Roman"/>
        </w:rPr>
        <w:t xml:space="preserve">asentamiento </w:t>
      </w:r>
      <w:r w:rsidR="009767B8">
        <w:rPr>
          <w:rFonts w:ascii="Times New Roman" w:hAnsi="Times New Roman"/>
        </w:rPr>
        <w:t>humano de hecho y consolidado de interés social</w:t>
      </w:r>
      <w:r w:rsidRPr="001A5DCF">
        <w:rPr>
          <w:rFonts w:ascii="Times New Roman" w:hAnsi="Times New Roman"/>
        </w:rPr>
        <w:t xml:space="preserve">, </w:t>
      </w:r>
      <w:r w:rsidR="004D3932">
        <w:rPr>
          <w:rFonts w:ascii="Times New Roman" w:hAnsi="Times New Roman"/>
        </w:rPr>
        <w:t>es</w:t>
      </w:r>
      <w:r w:rsidRPr="001A5DCF">
        <w:rPr>
          <w:rFonts w:ascii="Times New Roman" w:hAnsi="Times New Roman"/>
        </w:rPr>
        <w:t xml:space="preserve"> la siguiente: </w:t>
      </w:r>
    </w:p>
    <w:p w14:paraId="22010942" w14:textId="77777777" w:rsidR="003278A2" w:rsidRPr="001A5DCF" w:rsidRDefault="003278A2" w:rsidP="00C24F44">
      <w:pPr>
        <w:pStyle w:val="Sinespaciado"/>
        <w:rPr>
          <w:rFonts w:ascii="Times New Roman" w:hAnsi="Times New Roman"/>
        </w:rPr>
      </w:pPr>
    </w:p>
    <w:tbl>
      <w:tblPr>
        <w:tblStyle w:val="Tablaconcuadrcula"/>
        <w:tblW w:w="0" w:type="auto"/>
        <w:tblInd w:w="108" w:type="dxa"/>
        <w:tblLook w:val="04A0" w:firstRow="1" w:lastRow="0" w:firstColumn="1" w:lastColumn="0" w:noHBand="0" w:noVBand="1"/>
      </w:tblPr>
      <w:tblGrid>
        <w:gridCol w:w="4482"/>
        <w:gridCol w:w="4189"/>
      </w:tblGrid>
      <w:tr w:rsidR="00B4091A" w:rsidRPr="001A5DCF" w14:paraId="12AD780E" w14:textId="77777777" w:rsidTr="004D3932">
        <w:trPr>
          <w:trHeight w:val="239"/>
        </w:trPr>
        <w:tc>
          <w:tcPr>
            <w:tcW w:w="4482" w:type="dxa"/>
          </w:tcPr>
          <w:p w14:paraId="72D7F1ED" w14:textId="77777777" w:rsidR="00B4091A" w:rsidRPr="003B18F3" w:rsidRDefault="00B4091A">
            <w:pPr>
              <w:pStyle w:val="Sinespaciado"/>
              <w:rPr>
                <w:rFonts w:ascii="Times New Roman" w:hAnsi="Times New Roman"/>
                <w:bCs/>
              </w:rPr>
            </w:pPr>
            <w:r w:rsidRPr="003B18F3">
              <w:rPr>
                <w:rFonts w:ascii="Times New Roman" w:hAnsi="Times New Roman"/>
                <w:bCs/>
              </w:rPr>
              <w:t>Calzadas</w:t>
            </w:r>
          </w:p>
        </w:tc>
        <w:tc>
          <w:tcPr>
            <w:tcW w:w="4189" w:type="dxa"/>
          </w:tcPr>
          <w:p w14:paraId="6168F5E0" w14:textId="77777777" w:rsidR="007D1909" w:rsidRPr="001A5DCF" w:rsidRDefault="00B4091A" w:rsidP="00025390">
            <w:pPr>
              <w:pStyle w:val="Sinespaciado"/>
              <w:rPr>
                <w:rFonts w:ascii="Times New Roman" w:hAnsi="Times New Roman"/>
                <w:bCs/>
              </w:rPr>
            </w:pPr>
            <w:r w:rsidRPr="001A5DCF">
              <w:rPr>
                <w:rFonts w:ascii="Times New Roman" w:hAnsi="Times New Roman"/>
                <w:bCs/>
              </w:rPr>
              <w:t>100%</w:t>
            </w:r>
          </w:p>
        </w:tc>
      </w:tr>
    </w:tbl>
    <w:p w14:paraId="4EC7264C" w14:textId="77777777" w:rsidR="00DA36A8" w:rsidRPr="001A5DCF" w:rsidRDefault="00DA36A8" w:rsidP="00DA36A8">
      <w:pPr>
        <w:shd w:val="clear" w:color="auto" w:fill="FFFFFF"/>
        <w:rPr>
          <w:bCs/>
          <w:sz w:val="22"/>
          <w:szCs w:val="22"/>
        </w:rPr>
      </w:pPr>
    </w:p>
    <w:p w14:paraId="49150395" w14:textId="204A37B7" w:rsidR="00596910" w:rsidRPr="001A5DCF" w:rsidRDefault="00DA36A8" w:rsidP="00596910">
      <w:pPr>
        <w:spacing w:line="276" w:lineRule="auto"/>
        <w:jc w:val="both"/>
        <w:rPr>
          <w:iCs/>
          <w:sz w:val="22"/>
          <w:szCs w:val="22"/>
        </w:rPr>
      </w:pPr>
      <w:r w:rsidRPr="001A5DCF">
        <w:rPr>
          <w:b/>
          <w:bCs/>
          <w:sz w:val="22"/>
          <w:szCs w:val="22"/>
        </w:rPr>
        <w:t xml:space="preserve">Artículo </w:t>
      </w:r>
      <w:r w:rsidR="00C174B4" w:rsidRPr="001A5DCF">
        <w:rPr>
          <w:b/>
          <w:bCs/>
          <w:sz w:val="22"/>
          <w:szCs w:val="22"/>
        </w:rPr>
        <w:t>1</w:t>
      </w:r>
      <w:r w:rsidR="00E75CDF">
        <w:rPr>
          <w:b/>
          <w:bCs/>
          <w:sz w:val="22"/>
          <w:szCs w:val="22"/>
        </w:rPr>
        <w:t>3</w:t>
      </w:r>
      <w:r w:rsidRPr="001A5DCF">
        <w:rPr>
          <w:b/>
          <w:bCs/>
          <w:sz w:val="22"/>
          <w:szCs w:val="22"/>
        </w:rPr>
        <w:t>.- Del plazo de ejecución de las obras.-</w:t>
      </w:r>
      <w:r w:rsidRPr="001A5DCF">
        <w:rPr>
          <w:sz w:val="22"/>
          <w:szCs w:val="22"/>
        </w:rPr>
        <w:t xml:space="preserve"> </w:t>
      </w:r>
      <w:r w:rsidR="00596910" w:rsidRPr="001A5DCF">
        <w:rPr>
          <w:sz w:val="22"/>
          <w:szCs w:val="22"/>
          <w:lang w:val="es-EC"/>
        </w:rPr>
        <w:t>El plazo de ejecución de la totalidad de la obra civil, será de</w:t>
      </w:r>
      <w:r w:rsidR="00F610F9" w:rsidRPr="001A5DCF">
        <w:rPr>
          <w:sz w:val="22"/>
          <w:szCs w:val="22"/>
          <w:lang w:val="es-EC"/>
        </w:rPr>
        <w:t xml:space="preserve"> hasta </w:t>
      </w:r>
      <w:r w:rsidR="004D3932">
        <w:rPr>
          <w:sz w:val="22"/>
          <w:szCs w:val="22"/>
          <w:lang w:val="es-EC"/>
        </w:rPr>
        <w:t>cinco</w:t>
      </w:r>
      <w:r w:rsidR="003223A7" w:rsidRPr="001A5DCF">
        <w:rPr>
          <w:sz w:val="22"/>
          <w:szCs w:val="22"/>
          <w:lang w:val="es-EC"/>
        </w:rPr>
        <w:t xml:space="preserve"> </w:t>
      </w:r>
      <w:r w:rsidR="00596910" w:rsidRPr="001A5DCF">
        <w:rPr>
          <w:sz w:val="22"/>
          <w:szCs w:val="22"/>
          <w:lang w:val="es-EC"/>
        </w:rPr>
        <w:t>(</w:t>
      </w:r>
      <w:r w:rsidR="004D3932">
        <w:rPr>
          <w:sz w:val="22"/>
          <w:szCs w:val="22"/>
          <w:lang w:val="es-EC"/>
        </w:rPr>
        <w:t>5</w:t>
      </w:r>
      <w:r w:rsidR="00596910" w:rsidRPr="001A5DCF">
        <w:rPr>
          <w:sz w:val="22"/>
          <w:szCs w:val="22"/>
          <w:lang w:val="es-EC"/>
        </w:rPr>
        <w:t xml:space="preserve">) años, </w:t>
      </w:r>
      <w:r w:rsidR="00596910" w:rsidRPr="001A5DCF">
        <w:rPr>
          <w:iCs/>
          <w:sz w:val="22"/>
          <w:szCs w:val="22"/>
        </w:rPr>
        <w:t xml:space="preserve">de conformidad al cronograma de obras presentado por </w:t>
      </w:r>
      <w:r w:rsidR="00596910" w:rsidRPr="001A5DCF">
        <w:rPr>
          <w:color w:val="0D0D0D"/>
          <w:sz w:val="22"/>
          <w:szCs w:val="22"/>
        </w:rPr>
        <w:t>los cop</w:t>
      </w:r>
      <w:r w:rsidR="00F14104" w:rsidRPr="001A5DCF">
        <w:rPr>
          <w:color w:val="0D0D0D"/>
          <w:sz w:val="22"/>
          <w:szCs w:val="22"/>
        </w:rPr>
        <w:t>ropietarios</w:t>
      </w:r>
      <w:r w:rsidR="00596910" w:rsidRPr="001A5DCF">
        <w:rPr>
          <w:color w:val="0D0D0D"/>
          <w:sz w:val="22"/>
          <w:szCs w:val="22"/>
        </w:rPr>
        <w:t xml:space="preserve"> del inmueble donde se ubica </w:t>
      </w:r>
      <w:r w:rsidR="00596910" w:rsidRPr="001A5DCF">
        <w:rPr>
          <w:sz w:val="22"/>
          <w:szCs w:val="22"/>
        </w:rPr>
        <w:t xml:space="preserve">el </w:t>
      </w:r>
      <w:r w:rsidR="00A57A06">
        <w:rPr>
          <w:sz w:val="22"/>
          <w:szCs w:val="22"/>
        </w:rPr>
        <w:t xml:space="preserve">asentamiento </w:t>
      </w:r>
      <w:r w:rsidR="009767B8">
        <w:rPr>
          <w:sz w:val="22"/>
          <w:szCs w:val="22"/>
        </w:rPr>
        <w:t>humano de hecho y consolidado de interés social</w:t>
      </w:r>
      <w:r w:rsidR="00596910" w:rsidRPr="001A5DCF">
        <w:rPr>
          <w:b/>
          <w:sz w:val="22"/>
          <w:szCs w:val="22"/>
        </w:rPr>
        <w:t>,</w:t>
      </w:r>
      <w:r w:rsidR="00F14104" w:rsidRPr="001A5DCF">
        <w:rPr>
          <w:b/>
          <w:color w:val="FF0000"/>
          <w:sz w:val="22"/>
          <w:szCs w:val="22"/>
        </w:rPr>
        <w:t xml:space="preserve"> </w:t>
      </w:r>
      <w:r w:rsidR="00F14104" w:rsidRPr="001A5DCF">
        <w:rPr>
          <w:color w:val="000000" w:themeColor="text1"/>
          <w:sz w:val="22"/>
          <w:szCs w:val="22"/>
        </w:rPr>
        <w:t>y aprobado por la mesa institucional</w:t>
      </w:r>
      <w:r w:rsidR="00F14104" w:rsidRPr="001A5DCF">
        <w:rPr>
          <w:b/>
          <w:color w:val="000000" w:themeColor="text1"/>
          <w:sz w:val="22"/>
          <w:szCs w:val="22"/>
        </w:rPr>
        <w:t>,</w:t>
      </w:r>
      <w:r w:rsidR="00596910" w:rsidRPr="001A5DCF">
        <w:rPr>
          <w:b/>
          <w:sz w:val="22"/>
          <w:szCs w:val="22"/>
        </w:rPr>
        <w:t xml:space="preserve"> </w:t>
      </w:r>
      <w:r w:rsidR="00596910" w:rsidRPr="001A5DCF">
        <w:rPr>
          <w:iCs/>
          <w:sz w:val="22"/>
          <w:szCs w:val="22"/>
        </w:rPr>
        <w:t>plazo que se contará a partir de la fecha de inscripción de la presente Ordenanza en el Registro de la Propiedad del Distrito Metropolitano de Quito.</w:t>
      </w:r>
    </w:p>
    <w:p w14:paraId="46373A07" w14:textId="77777777" w:rsidR="00596910" w:rsidRPr="001A5DCF" w:rsidRDefault="00596910" w:rsidP="00596910">
      <w:pPr>
        <w:spacing w:line="276" w:lineRule="auto"/>
        <w:jc w:val="both"/>
        <w:rPr>
          <w:iCs/>
          <w:sz w:val="22"/>
          <w:szCs w:val="22"/>
        </w:rPr>
      </w:pPr>
    </w:p>
    <w:p w14:paraId="4FBA02A6" w14:textId="1B024722" w:rsidR="00230751" w:rsidRPr="001A5DCF" w:rsidRDefault="00B4091A" w:rsidP="00B4091A">
      <w:pPr>
        <w:spacing w:after="240" w:line="276" w:lineRule="auto"/>
        <w:jc w:val="both"/>
        <w:rPr>
          <w:iCs/>
          <w:sz w:val="22"/>
          <w:szCs w:val="22"/>
        </w:rPr>
      </w:pPr>
      <w:r w:rsidRPr="001A5DCF">
        <w:rPr>
          <w:iCs/>
          <w:sz w:val="22"/>
          <w:szCs w:val="22"/>
        </w:rPr>
        <w:t xml:space="preserve">La obra </w:t>
      </w:r>
      <w:r w:rsidR="009608E4" w:rsidRPr="001A5DCF">
        <w:rPr>
          <w:iCs/>
          <w:sz w:val="22"/>
          <w:szCs w:val="22"/>
        </w:rPr>
        <w:t xml:space="preserve">civil </w:t>
      </w:r>
      <w:r w:rsidRPr="001A5DCF">
        <w:rPr>
          <w:iCs/>
          <w:sz w:val="22"/>
          <w:szCs w:val="22"/>
        </w:rPr>
        <w:t xml:space="preserve">podrá ser ejecutada, mediante gestión individual o concurrente bajo las siguientes modalidades: gestión municipal o pública, gestión directa o cogestión de conformidad a lo establecido en el artículo </w:t>
      </w:r>
      <w:r w:rsidR="000800F7" w:rsidRPr="001A5DCF">
        <w:rPr>
          <w:iCs/>
          <w:sz w:val="22"/>
          <w:szCs w:val="22"/>
        </w:rPr>
        <w:t xml:space="preserve">IV.7.72 </w:t>
      </w:r>
      <w:r w:rsidRPr="001A5DCF">
        <w:rPr>
          <w:iCs/>
          <w:sz w:val="22"/>
          <w:szCs w:val="22"/>
        </w:rPr>
        <w:t>de la Ordenanza No.001 de 29 de marzo de 2019, que contiene el Código Municipal</w:t>
      </w:r>
      <w:r w:rsidRPr="001A5DCF">
        <w:rPr>
          <w:bCs/>
          <w:sz w:val="22"/>
          <w:szCs w:val="22"/>
        </w:rPr>
        <w:t>. E</w:t>
      </w:r>
      <w:r w:rsidRPr="001A5DCF">
        <w:rPr>
          <w:iCs/>
          <w:sz w:val="22"/>
          <w:szCs w:val="22"/>
        </w:rPr>
        <w:t>l valor por contribución especial a mejoras se aplicará conforme la modalidad ejecutada.</w:t>
      </w:r>
    </w:p>
    <w:p w14:paraId="3EE2CF3A" w14:textId="010B1522" w:rsidR="00004E4D" w:rsidRPr="001A5DCF" w:rsidRDefault="00DA36A8" w:rsidP="00004E4D">
      <w:pPr>
        <w:spacing w:after="240" w:line="276" w:lineRule="auto"/>
        <w:jc w:val="both"/>
        <w:rPr>
          <w:color w:val="2A2A2A"/>
          <w:sz w:val="22"/>
          <w:szCs w:val="22"/>
        </w:rPr>
      </w:pPr>
      <w:r w:rsidRPr="001A5DCF">
        <w:rPr>
          <w:b/>
          <w:bCs/>
          <w:sz w:val="22"/>
          <w:szCs w:val="22"/>
        </w:rPr>
        <w:lastRenderedPageBreak/>
        <w:t xml:space="preserve">Artículo </w:t>
      </w:r>
      <w:r w:rsidR="00C174B4" w:rsidRPr="001A5DCF">
        <w:rPr>
          <w:b/>
          <w:bCs/>
          <w:sz w:val="22"/>
          <w:szCs w:val="22"/>
        </w:rPr>
        <w:t>1</w:t>
      </w:r>
      <w:r w:rsidR="00E75CDF">
        <w:rPr>
          <w:b/>
          <w:bCs/>
          <w:sz w:val="22"/>
          <w:szCs w:val="22"/>
        </w:rPr>
        <w:t>4</w:t>
      </w:r>
      <w:r w:rsidRPr="001A5DCF">
        <w:rPr>
          <w:b/>
          <w:bCs/>
          <w:sz w:val="22"/>
          <w:szCs w:val="22"/>
          <w:lang w:val="es-ES_tradnl"/>
        </w:rPr>
        <w:t xml:space="preserve">.- Del control de ejecución de las </w:t>
      </w:r>
      <w:r w:rsidR="00224B21" w:rsidRPr="001A5DCF">
        <w:rPr>
          <w:b/>
          <w:bCs/>
          <w:sz w:val="22"/>
          <w:szCs w:val="22"/>
          <w:lang w:val="es-ES_tradnl"/>
        </w:rPr>
        <w:t>obras. -</w:t>
      </w:r>
      <w:r w:rsidRPr="001A5DCF">
        <w:rPr>
          <w:b/>
          <w:bCs/>
          <w:sz w:val="22"/>
          <w:szCs w:val="22"/>
          <w:lang w:val="es-ES_tradnl"/>
        </w:rPr>
        <w:t xml:space="preserve"> </w:t>
      </w:r>
      <w:r w:rsidR="008040E8" w:rsidRPr="004D3932">
        <w:rPr>
          <w:sz w:val="22"/>
          <w:szCs w:val="22"/>
        </w:rPr>
        <w:t xml:space="preserve">La Administración Zonal </w:t>
      </w:r>
      <w:r w:rsidR="004D3932" w:rsidRPr="004D3932">
        <w:rPr>
          <w:sz w:val="22"/>
          <w:szCs w:val="22"/>
        </w:rPr>
        <w:t>La Delicia</w:t>
      </w:r>
      <w:r w:rsidR="008040E8" w:rsidRPr="004D3932">
        <w:rPr>
          <w:sz w:val="22"/>
          <w:szCs w:val="22"/>
        </w:rPr>
        <w:t xml:space="preserve"> </w:t>
      </w:r>
      <w:r w:rsidR="00004E4D" w:rsidRPr="004D3932">
        <w:rPr>
          <w:sz w:val="22"/>
          <w:szCs w:val="22"/>
        </w:rPr>
        <w:t xml:space="preserve">realizará de oficio, el seguimiento en la ejecución y avance de la obra civil hasta la terminación de la misma, </w:t>
      </w:r>
      <w:r w:rsidR="00004E4D" w:rsidRPr="001A5DCF">
        <w:rPr>
          <w:sz w:val="22"/>
          <w:szCs w:val="22"/>
        </w:rPr>
        <w:t>para lo cual se emitirá un informe técnico tanto del departamento de fiscalización como del departamento de obras públicas cada semestre. Su informe favorable</w:t>
      </w:r>
      <w:r w:rsidR="00951C04">
        <w:rPr>
          <w:sz w:val="22"/>
          <w:szCs w:val="22"/>
        </w:rPr>
        <w:t>,</w:t>
      </w:r>
      <w:r w:rsidR="00004E4D" w:rsidRPr="001A5DCF">
        <w:rPr>
          <w:sz w:val="22"/>
          <w:szCs w:val="22"/>
        </w:rPr>
        <w:t xml:space="preserve"> conforme a la normativa vigente</w:t>
      </w:r>
      <w:r w:rsidR="00004E4D" w:rsidRPr="001A5DCF">
        <w:rPr>
          <w:color w:val="000000" w:themeColor="text1"/>
          <w:sz w:val="22"/>
          <w:szCs w:val="22"/>
        </w:rPr>
        <w:t xml:space="preserve">, expedido por la Administración Zonal </w:t>
      </w:r>
      <w:r w:rsidR="004D3932">
        <w:rPr>
          <w:color w:val="000000" w:themeColor="text1"/>
          <w:sz w:val="22"/>
          <w:szCs w:val="22"/>
        </w:rPr>
        <w:t>La Delicia</w:t>
      </w:r>
      <w:r w:rsidR="00004E4D" w:rsidRPr="001A5DCF">
        <w:rPr>
          <w:color w:val="000000" w:themeColor="text1"/>
          <w:sz w:val="22"/>
          <w:szCs w:val="22"/>
        </w:rPr>
        <w:t>, será indispensable para cancelar la hipoteca</w:t>
      </w:r>
      <w:r w:rsidR="00004E4D" w:rsidRPr="001A5DCF">
        <w:rPr>
          <w:color w:val="2A2A2A"/>
          <w:sz w:val="22"/>
          <w:szCs w:val="22"/>
        </w:rPr>
        <w:t>.</w:t>
      </w:r>
    </w:p>
    <w:p w14:paraId="7A0596D6" w14:textId="41D9DD17" w:rsidR="00DA36A8" w:rsidRPr="001A5DCF" w:rsidRDefault="00DA36A8" w:rsidP="008040E8">
      <w:pPr>
        <w:spacing w:after="240" w:line="276" w:lineRule="auto"/>
        <w:jc w:val="both"/>
        <w:rPr>
          <w:sz w:val="22"/>
          <w:szCs w:val="22"/>
        </w:rPr>
      </w:pPr>
      <w:r w:rsidRPr="001A5DCF">
        <w:rPr>
          <w:b/>
          <w:bCs/>
          <w:sz w:val="22"/>
          <w:szCs w:val="22"/>
        </w:rPr>
        <w:t>Artículo</w:t>
      </w:r>
      <w:r w:rsidRPr="001A5DCF">
        <w:rPr>
          <w:b/>
          <w:bCs/>
          <w:sz w:val="22"/>
          <w:szCs w:val="22"/>
          <w:lang w:val="es-ES_tradnl"/>
        </w:rPr>
        <w:t xml:space="preserve"> 1</w:t>
      </w:r>
      <w:r w:rsidR="00E75CDF">
        <w:rPr>
          <w:b/>
          <w:bCs/>
          <w:sz w:val="22"/>
          <w:szCs w:val="22"/>
          <w:lang w:val="es-ES_tradnl"/>
        </w:rPr>
        <w:t>5</w:t>
      </w:r>
      <w:r w:rsidRPr="001A5DCF">
        <w:rPr>
          <w:b/>
          <w:bCs/>
          <w:sz w:val="22"/>
          <w:szCs w:val="22"/>
          <w:lang w:val="es-ES_tradnl"/>
        </w:rPr>
        <w:t xml:space="preserve">.- De la multa por retraso en ejecución de </w:t>
      </w:r>
      <w:r w:rsidR="00224B21" w:rsidRPr="001A5DCF">
        <w:rPr>
          <w:b/>
          <w:bCs/>
          <w:sz w:val="22"/>
          <w:szCs w:val="22"/>
          <w:lang w:val="es-ES_tradnl"/>
        </w:rPr>
        <w:t>obras. -</w:t>
      </w:r>
      <w:r w:rsidRPr="001A5DCF">
        <w:rPr>
          <w:b/>
          <w:bCs/>
          <w:sz w:val="22"/>
          <w:szCs w:val="22"/>
          <w:lang w:val="es-ES_tradnl"/>
        </w:rPr>
        <w:t xml:space="preserve"> </w:t>
      </w:r>
      <w:r w:rsidRPr="001A5DCF">
        <w:rPr>
          <w:sz w:val="22"/>
          <w:szCs w:val="22"/>
          <w:lang w:val="es-ES_tradnl"/>
        </w:rPr>
        <w:t xml:space="preserve">En caso de retraso en la ejecución de la obra </w:t>
      </w:r>
      <w:r w:rsidR="004D3932">
        <w:rPr>
          <w:sz w:val="22"/>
          <w:szCs w:val="22"/>
          <w:lang w:val="es-EC"/>
        </w:rPr>
        <w:t>civil</w:t>
      </w:r>
      <w:r w:rsidRPr="001A5DCF">
        <w:rPr>
          <w:sz w:val="22"/>
          <w:szCs w:val="22"/>
          <w:lang w:val="es-ES_tradnl"/>
        </w:rPr>
        <w:t>,</w:t>
      </w:r>
      <w:r w:rsidRPr="001A5DCF">
        <w:rPr>
          <w:color w:val="0D0D0D"/>
          <w:sz w:val="22"/>
          <w:szCs w:val="22"/>
        </w:rPr>
        <w:t xml:space="preserve"> los copropietarios del inmueble sobre el cual se ubica </w:t>
      </w:r>
      <w:r w:rsidRPr="001A5DCF">
        <w:rPr>
          <w:sz w:val="22"/>
          <w:szCs w:val="22"/>
        </w:rPr>
        <w:t xml:space="preserve">el </w:t>
      </w:r>
      <w:r w:rsidR="004D3932">
        <w:rPr>
          <w:sz w:val="22"/>
          <w:szCs w:val="22"/>
        </w:rPr>
        <w:t>a</w:t>
      </w:r>
      <w:r w:rsidR="00A57A06">
        <w:rPr>
          <w:sz w:val="22"/>
          <w:szCs w:val="22"/>
        </w:rPr>
        <w:t xml:space="preserve">sentamiento </w:t>
      </w:r>
      <w:r w:rsidR="009767B8">
        <w:rPr>
          <w:sz w:val="22"/>
          <w:szCs w:val="22"/>
        </w:rPr>
        <w:t xml:space="preserve"> humano de hecho y consolidado de interés social</w:t>
      </w:r>
      <w:r w:rsidRPr="001A5DCF">
        <w:rPr>
          <w:b/>
          <w:sz w:val="22"/>
          <w:szCs w:val="22"/>
        </w:rPr>
        <w:t xml:space="preserve"> </w:t>
      </w:r>
      <w:r w:rsidR="009767B8">
        <w:rPr>
          <w:sz w:val="22"/>
          <w:szCs w:val="22"/>
        </w:rPr>
        <w:t>denominado Comité Pro</w:t>
      </w:r>
      <w:r w:rsidR="00951C04">
        <w:rPr>
          <w:sz w:val="22"/>
          <w:szCs w:val="22"/>
        </w:rPr>
        <w:t xml:space="preserve"> </w:t>
      </w:r>
      <w:r w:rsidR="009767B8">
        <w:rPr>
          <w:sz w:val="22"/>
          <w:szCs w:val="22"/>
        </w:rPr>
        <w:t>mejoras del Barrio “San José”</w:t>
      </w:r>
      <w:r w:rsidR="00E425C2" w:rsidRPr="00FA380E">
        <w:rPr>
          <w:bCs/>
          <w:sz w:val="22"/>
          <w:szCs w:val="22"/>
        </w:rPr>
        <w:t>,</w:t>
      </w:r>
      <w:r w:rsidR="00E425C2" w:rsidRPr="00FA380E" w:rsidDel="00403EE1">
        <w:rPr>
          <w:bCs/>
          <w:sz w:val="22"/>
          <w:szCs w:val="22"/>
        </w:rPr>
        <w:t xml:space="preserve"> </w:t>
      </w:r>
      <w:r w:rsidR="00AF5567" w:rsidRPr="001A5DCF">
        <w:rPr>
          <w:bCs/>
          <w:sz w:val="22"/>
          <w:szCs w:val="22"/>
        </w:rPr>
        <w:t xml:space="preserve"> </w:t>
      </w:r>
      <w:r w:rsidRPr="001A5DCF">
        <w:rPr>
          <w:bCs/>
          <w:color w:val="000000"/>
          <w:sz w:val="22"/>
          <w:szCs w:val="22"/>
        </w:rPr>
        <w:t>se sujetará a las sanciones contempladas en el Ordenamiento Jurídico Nacional y Metropolitano.</w:t>
      </w:r>
    </w:p>
    <w:p w14:paraId="22EAB8A4" w14:textId="1A370769" w:rsidR="002F3FAC" w:rsidRPr="001A5DCF" w:rsidRDefault="00DA36A8" w:rsidP="002F3FAC">
      <w:pPr>
        <w:pStyle w:val="Textoindependiente"/>
        <w:tabs>
          <w:tab w:val="left" w:pos="1306"/>
        </w:tabs>
        <w:spacing w:after="240" w:line="276" w:lineRule="auto"/>
        <w:jc w:val="both"/>
        <w:rPr>
          <w:bCs/>
          <w:iCs/>
          <w:sz w:val="22"/>
          <w:szCs w:val="22"/>
        </w:rPr>
      </w:pPr>
      <w:r w:rsidRPr="001A5DCF">
        <w:rPr>
          <w:b/>
          <w:bCs/>
          <w:iCs/>
          <w:sz w:val="22"/>
          <w:szCs w:val="22"/>
        </w:rPr>
        <w:t>Artículo 1</w:t>
      </w:r>
      <w:r w:rsidR="00E75CDF">
        <w:rPr>
          <w:b/>
          <w:bCs/>
          <w:iCs/>
          <w:sz w:val="22"/>
          <w:szCs w:val="22"/>
        </w:rPr>
        <w:t>6</w:t>
      </w:r>
      <w:r w:rsidRPr="001A5DCF">
        <w:rPr>
          <w:b/>
          <w:bCs/>
          <w:iCs/>
          <w:sz w:val="22"/>
          <w:szCs w:val="22"/>
        </w:rPr>
        <w:t xml:space="preserve">.- De la garantía de ejecución de las obras.- </w:t>
      </w:r>
      <w:r w:rsidRPr="001A5DCF">
        <w:rPr>
          <w:sz w:val="22"/>
          <w:szCs w:val="22"/>
        </w:rPr>
        <w:t>Los lotes producto del fraccionamiento</w:t>
      </w:r>
      <w:r w:rsidR="004615C3" w:rsidRPr="001A5DCF">
        <w:rPr>
          <w:sz w:val="22"/>
          <w:szCs w:val="22"/>
        </w:rPr>
        <w:t xml:space="preserve"> donde se encuentra ubicado el </w:t>
      </w:r>
      <w:r w:rsidR="00F918C8">
        <w:rPr>
          <w:sz w:val="22"/>
          <w:szCs w:val="22"/>
        </w:rPr>
        <w:t>a</w:t>
      </w:r>
      <w:r w:rsidR="00A57A06">
        <w:rPr>
          <w:sz w:val="22"/>
          <w:szCs w:val="22"/>
        </w:rPr>
        <w:t xml:space="preserve">sentamiento </w:t>
      </w:r>
      <w:r w:rsidR="009767B8">
        <w:rPr>
          <w:sz w:val="22"/>
          <w:szCs w:val="22"/>
        </w:rPr>
        <w:t xml:space="preserve"> humano de hecho y consolidado de interés social</w:t>
      </w:r>
      <w:r w:rsidRPr="001A5DCF">
        <w:rPr>
          <w:sz w:val="22"/>
          <w:szCs w:val="22"/>
        </w:rPr>
        <w:t xml:space="preserve"> </w:t>
      </w:r>
      <w:r w:rsidR="009767B8">
        <w:rPr>
          <w:sz w:val="22"/>
          <w:szCs w:val="22"/>
        </w:rPr>
        <w:t>denominado Comité Pro</w:t>
      </w:r>
      <w:r w:rsidR="00951C04">
        <w:rPr>
          <w:sz w:val="22"/>
          <w:szCs w:val="22"/>
        </w:rPr>
        <w:t xml:space="preserve"> </w:t>
      </w:r>
      <w:r w:rsidR="009767B8">
        <w:rPr>
          <w:sz w:val="22"/>
          <w:szCs w:val="22"/>
        </w:rPr>
        <w:t>mejoras del Barrio “San José”</w:t>
      </w:r>
      <w:r w:rsidR="003223A7" w:rsidRPr="001A5DCF">
        <w:rPr>
          <w:bCs/>
          <w:sz w:val="22"/>
          <w:szCs w:val="22"/>
        </w:rPr>
        <w:t>,</w:t>
      </w:r>
      <w:r w:rsidR="003223A7" w:rsidRPr="001A5DCF" w:rsidDel="003223A7">
        <w:rPr>
          <w:sz w:val="22"/>
          <w:szCs w:val="22"/>
        </w:rPr>
        <w:t xml:space="preserve"> </w:t>
      </w:r>
      <w:r w:rsidR="002F3FAC" w:rsidRPr="001A5DCF">
        <w:rPr>
          <w:bCs/>
          <w:iCs/>
          <w:sz w:val="22"/>
          <w:szCs w:val="22"/>
        </w:rPr>
        <w:t>quedan gravados con primera, especial y preferente hipoteca a favor del Municipio del Distrito Metropolitano de Quito, gravamen que regirá una vez que se adjudiquen los lotes a sus respectivos beneficiarios y que se podrán levantar con el cumplimiento de l</w:t>
      </w:r>
      <w:r w:rsidR="00951C04">
        <w:rPr>
          <w:bCs/>
          <w:iCs/>
          <w:sz w:val="22"/>
          <w:szCs w:val="22"/>
        </w:rPr>
        <w:t xml:space="preserve">a </w:t>
      </w:r>
      <w:r w:rsidR="002F3FAC" w:rsidRPr="001A5DCF">
        <w:rPr>
          <w:bCs/>
          <w:iCs/>
          <w:sz w:val="22"/>
          <w:szCs w:val="22"/>
        </w:rPr>
        <w:t>normativa vigente.</w:t>
      </w:r>
      <w:r w:rsidR="0092542C" w:rsidRPr="001A5DCF">
        <w:rPr>
          <w:bCs/>
          <w:iCs/>
          <w:sz w:val="22"/>
          <w:szCs w:val="22"/>
        </w:rPr>
        <w:t xml:space="preserve"> El gravamen constituido a favor de la Municipalidad deberá constar en cada escritura individualizada.</w:t>
      </w:r>
    </w:p>
    <w:p w14:paraId="036AC656" w14:textId="17CE2D53" w:rsidR="00361728" w:rsidRPr="001A5DCF" w:rsidRDefault="00361728" w:rsidP="002F3FAC">
      <w:pPr>
        <w:pStyle w:val="Textoindependiente"/>
        <w:tabs>
          <w:tab w:val="left" w:pos="1306"/>
        </w:tabs>
        <w:spacing w:after="240" w:line="276" w:lineRule="auto"/>
        <w:jc w:val="both"/>
        <w:rPr>
          <w:sz w:val="22"/>
          <w:szCs w:val="22"/>
          <w:lang w:val="es-ES_tradnl"/>
        </w:rPr>
      </w:pPr>
      <w:r w:rsidRPr="001A5DCF">
        <w:rPr>
          <w:b/>
          <w:bCs/>
          <w:sz w:val="22"/>
          <w:szCs w:val="22"/>
        </w:rPr>
        <w:t>Artículo</w:t>
      </w:r>
      <w:r w:rsidRPr="001A5DCF">
        <w:rPr>
          <w:b/>
          <w:bCs/>
          <w:sz w:val="22"/>
          <w:szCs w:val="22"/>
          <w:lang w:val="es-ES_tradnl"/>
        </w:rPr>
        <w:t xml:space="preserve"> 1</w:t>
      </w:r>
      <w:r w:rsidR="00E75CDF">
        <w:rPr>
          <w:b/>
          <w:bCs/>
          <w:sz w:val="22"/>
          <w:szCs w:val="22"/>
          <w:lang w:val="es-ES_tradnl"/>
        </w:rPr>
        <w:t>7</w:t>
      </w:r>
      <w:r w:rsidRPr="001A5DCF">
        <w:rPr>
          <w:b/>
          <w:bCs/>
          <w:sz w:val="22"/>
          <w:szCs w:val="22"/>
          <w:lang w:val="es-ES_tradnl"/>
        </w:rPr>
        <w:t xml:space="preserve">.- De la Protocolización e inscripción de la </w:t>
      </w:r>
      <w:r w:rsidR="003A2B74" w:rsidRPr="001A5DCF">
        <w:rPr>
          <w:b/>
          <w:bCs/>
          <w:sz w:val="22"/>
          <w:szCs w:val="22"/>
          <w:lang w:val="es-ES_tradnl"/>
        </w:rPr>
        <w:t>Ordenanza. -</w:t>
      </w:r>
      <w:r w:rsidRPr="001A5DCF">
        <w:rPr>
          <w:b/>
          <w:bCs/>
          <w:sz w:val="22"/>
          <w:szCs w:val="22"/>
          <w:lang w:val="es-ES_tradnl"/>
        </w:rPr>
        <w:t xml:space="preserve">  </w:t>
      </w:r>
      <w:r w:rsidRPr="001A5DCF">
        <w:rPr>
          <w:sz w:val="22"/>
          <w:szCs w:val="22"/>
          <w:lang w:val="es-EC"/>
        </w:rPr>
        <w:t xml:space="preserve">Los copropietarios del predio del </w:t>
      </w:r>
      <w:r w:rsidR="00951C04">
        <w:rPr>
          <w:sz w:val="22"/>
          <w:szCs w:val="22"/>
        </w:rPr>
        <w:t>a</w:t>
      </w:r>
      <w:r w:rsidR="00A57A06">
        <w:rPr>
          <w:sz w:val="22"/>
          <w:szCs w:val="22"/>
        </w:rPr>
        <w:t xml:space="preserve">sentamiento </w:t>
      </w:r>
      <w:r w:rsidR="009767B8">
        <w:rPr>
          <w:sz w:val="22"/>
          <w:szCs w:val="22"/>
        </w:rPr>
        <w:t xml:space="preserve"> humano de hecho y consolidado de interés social</w:t>
      </w:r>
      <w:r w:rsidR="007E6037" w:rsidRPr="001A5DCF">
        <w:rPr>
          <w:bCs/>
          <w:color w:val="000000"/>
          <w:sz w:val="22"/>
          <w:szCs w:val="22"/>
        </w:rPr>
        <w:t xml:space="preserve"> </w:t>
      </w:r>
      <w:r w:rsidR="009767B8">
        <w:rPr>
          <w:bCs/>
          <w:color w:val="000000"/>
          <w:sz w:val="22"/>
          <w:szCs w:val="22"/>
        </w:rPr>
        <w:t>denominado Comité Pro</w:t>
      </w:r>
      <w:r w:rsidR="00951C04">
        <w:rPr>
          <w:bCs/>
          <w:color w:val="000000"/>
          <w:sz w:val="22"/>
          <w:szCs w:val="22"/>
        </w:rPr>
        <w:t xml:space="preserve"> </w:t>
      </w:r>
      <w:r w:rsidR="009767B8">
        <w:rPr>
          <w:bCs/>
          <w:color w:val="000000"/>
          <w:sz w:val="22"/>
          <w:szCs w:val="22"/>
        </w:rPr>
        <w:t>mejoras del Barrio “San José”</w:t>
      </w:r>
      <w:r w:rsidR="003223A7" w:rsidRPr="001A5DCF">
        <w:rPr>
          <w:bCs/>
          <w:sz w:val="22"/>
          <w:szCs w:val="22"/>
        </w:rPr>
        <w:t>,</w:t>
      </w:r>
      <w:r w:rsidR="003223A7" w:rsidRPr="001A5DCF" w:rsidDel="003223A7">
        <w:rPr>
          <w:sz w:val="22"/>
          <w:szCs w:val="22"/>
        </w:rPr>
        <w:t xml:space="preserve"> </w:t>
      </w:r>
      <w:r w:rsidR="00C94AA7" w:rsidRPr="001A5DCF">
        <w:rPr>
          <w:sz w:val="22"/>
          <w:szCs w:val="22"/>
          <w:lang w:val="es-ES_tradnl"/>
        </w:rPr>
        <w:t>deberán</w:t>
      </w:r>
      <w:r w:rsidRPr="001A5DCF">
        <w:rPr>
          <w:sz w:val="22"/>
          <w:szCs w:val="22"/>
          <w:lang w:val="es-ES_tradnl"/>
        </w:rPr>
        <w:t xml:space="preserve"> </w:t>
      </w:r>
      <w:r w:rsidRPr="001A5DCF">
        <w:rPr>
          <w:sz w:val="22"/>
          <w:szCs w:val="22"/>
          <w:lang w:val="es-EC"/>
        </w:rPr>
        <w:t xml:space="preserve">protocolizar la presente Ordenanza ante Notario Público e inscribirla en el Registro de la Propiedad del Distrito Metropolitano de Quito, </w:t>
      </w:r>
      <w:r w:rsidRPr="001A5DCF">
        <w:rPr>
          <w:sz w:val="22"/>
          <w:szCs w:val="22"/>
          <w:lang w:val="es-ES_tradnl"/>
        </w:rPr>
        <w:t xml:space="preserve">con todos sus documentos </w:t>
      </w:r>
      <w:r w:rsidR="003A2B74" w:rsidRPr="001A5DCF">
        <w:rPr>
          <w:sz w:val="22"/>
          <w:szCs w:val="22"/>
          <w:lang w:val="es-ES_tradnl"/>
        </w:rPr>
        <w:t>habilitantes</w:t>
      </w:r>
      <w:r w:rsidR="003A2B74" w:rsidRPr="001A5DCF">
        <w:rPr>
          <w:sz w:val="22"/>
          <w:szCs w:val="22"/>
          <w:lang w:val="es-EC"/>
        </w:rPr>
        <w:t>;</w:t>
      </w:r>
      <w:r w:rsidR="00BE22D3" w:rsidRPr="001A5DCF">
        <w:rPr>
          <w:sz w:val="22"/>
          <w:szCs w:val="22"/>
          <w:lang w:val="es-ES_tradnl"/>
        </w:rPr>
        <w:t xml:space="preserve"> </w:t>
      </w:r>
    </w:p>
    <w:p w14:paraId="2426023D" w14:textId="29C99BB4" w:rsidR="00F35647" w:rsidRPr="001A5DCF" w:rsidRDefault="00952C2C" w:rsidP="003B18F3">
      <w:pPr>
        <w:spacing w:after="240"/>
        <w:ind w:left="1"/>
        <w:jc w:val="both"/>
        <w:rPr>
          <w:bCs/>
          <w:sz w:val="22"/>
          <w:szCs w:val="22"/>
          <w:lang w:val="es-ES_tradnl"/>
        </w:rPr>
      </w:pPr>
      <w:r w:rsidRPr="001A5DCF">
        <w:rPr>
          <w:bCs/>
          <w:sz w:val="22"/>
          <w:szCs w:val="22"/>
          <w:lang w:val="es-ES_tradnl"/>
        </w:rPr>
        <w:t xml:space="preserve">En caso de no </w:t>
      </w:r>
      <w:r w:rsidR="003F0C12" w:rsidRPr="001A5DCF">
        <w:rPr>
          <w:bCs/>
          <w:sz w:val="22"/>
          <w:szCs w:val="22"/>
          <w:lang w:val="es-ES_tradnl"/>
        </w:rPr>
        <w:t>inscribir</w:t>
      </w:r>
      <w:r w:rsidRPr="001A5DCF">
        <w:rPr>
          <w:bCs/>
          <w:sz w:val="22"/>
          <w:szCs w:val="22"/>
          <w:lang w:val="es-ES_tradnl"/>
        </w:rPr>
        <w:t xml:space="preserve"> la presente ordenanza, ésta caducará en el plazo de tres (03) años de conformidad con lo dispuesto en el artículo </w:t>
      </w:r>
      <w:r w:rsidRPr="001A5DCF">
        <w:rPr>
          <w:rFonts w:eastAsiaTheme="minorHAnsi"/>
          <w:sz w:val="22"/>
          <w:szCs w:val="22"/>
          <w:lang w:val="es-EC" w:eastAsia="en-US"/>
        </w:rPr>
        <w:t>IV.7.64 de la Ordenanza No. 001 de 29 de marzo de 2019</w:t>
      </w:r>
      <w:r w:rsidRPr="001A5DCF">
        <w:rPr>
          <w:bCs/>
          <w:sz w:val="22"/>
          <w:szCs w:val="22"/>
          <w:lang w:val="es-ES_tradnl"/>
        </w:rPr>
        <w:t>.</w:t>
      </w:r>
    </w:p>
    <w:p w14:paraId="4E299E56" w14:textId="36672035" w:rsidR="00BD74D1" w:rsidRPr="001A5DCF" w:rsidRDefault="00BD74D1" w:rsidP="007B6303">
      <w:pPr>
        <w:pStyle w:val="Textoindependiente"/>
        <w:spacing w:line="276" w:lineRule="auto"/>
        <w:jc w:val="both"/>
        <w:rPr>
          <w:sz w:val="22"/>
          <w:szCs w:val="22"/>
          <w:lang w:val="es-ES_tradnl"/>
        </w:rPr>
      </w:pPr>
      <w:r w:rsidRPr="001A5DCF">
        <w:rPr>
          <w:b/>
          <w:sz w:val="22"/>
          <w:szCs w:val="22"/>
          <w:lang w:val="es-ES_tradnl"/>
        </w:rPr>
        <w:t>Artículo 1</w:t>
      </w:r>
      <w:r w:rsidR="00E75CDF">
        <w:rPr>
          <w:b/>
          <w:sz w:val="22"/>
          <w:szCs w:val="22"/>
          <w:lang w:val="es-ES_tradnl"/>
        </w:rPr>
        <w:t>8</w:t>
      </w:r>
      <w:r w:rsidRPr="001A5DCF">
        <w:rPr>
          <w:b/>
          <w:sz w:val="22"/>
          <w:szCs w:val="22"/>
          <w:lang w:val="es-ES_tradnl"/>
        </w:rPr>
        <w:t>.- De la partición y adjudicación. -</w:t>
      </w:r>
      <w:r w:rsidRPr="001A5DCF">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0AC742AA" w14:textId="40ABD127" w:rsidR="00951C04" w:rsidRDefault="00C64A6F" w:rsidP="00F33280">
      <w:pPr>
        <w:pStyle w:val="Textoindependiente"/>
        <w:spacing w:line="276" w:lineRule="auto"/>
        <w:jc w:val="both"/>
        <w:rPr>
          <w:sz w:val="22"/>
          <w:szCs w:val="22"/>
          <w:lang w:val="es-ES_tradnl"/>
        </w:rPr>
      </w:pPr>
      <w:r w:rsidRPr="001A5DCF">
        <w:rPr>
          <w:b/>
          <w:bCs/>
          <w:sz w:val="22"/>
          <w:szCs w:val="22"/>
          <w:lang w:val="es-ES_tradnl"/>
        </w:rPr>
        <w:t>Artículo 1</w:t>
      </w:r>
      <w:r w:rsidR="00E75CDF">
        <w:rPr>
          <w:b/>
          <w:bCs/>
          <w:sz w:val="22"/>
          <w:szCs w:val="22"/>
          <w:lang w:val="es-ES_tradnl"/>
        </w:rPr>
        <w:t>9</w:t>
      </w:r>
      <w:r w:rsidR="009E010D" w:rsidRPr="001A5DCF">
        <w:rPr>
          <w:b/>
          <w:bCs/>
          <w:sz w:val="22"/>
          <w:szCs w:val="22"/>
          <w:lang w:val="es-ES_tradnl"/>
        </w:rPr>
        <w:t xml:space="preserve">.- Solicitudes de ampliación de plazo.- </w:t>
      </w:r>
      <w:r w:rsidR="00951C04" w:rsidRPr="003B18F3">
        <w:rPr>
          <w:bCs/>
          <w:sz w:val="22"/>
          <w:szCs w:val="22"/>
          <w:lang w:val="es-ES_tradnl"/>
        </w:rPr>
        <w:t xml:space="preserve">Las solicitudes </w:t>
      </w:r>
      <w:r w:rsidR="00951C04">
        <w:rPr>
          <w:sz w:val="22"/>
          <w:szCs w:val="22"/>
          <w:lang w:val="es-ES_tradnl"/>
        </w:rPr>
        <w:t xml:space="preserve">de ampliación de plazo para ejecución de obras civiles, presentación del cronograma de mitigación de riesgos; y, la ejecución de obras de mitigación de riesgos serán resueltas por la </w:t>
      </w:r>
      <w:r w:rsidR="00F33280" w:rsidRPr="001A5DCF">
        <w:rPr>
          <w:sz w:val="22"/>
          <w:szCs w:val="22"/>
          <w:lang w:val="es-ES_tradnl"/>
        </w:rPr>
        <w:t>Administración Zonal</w:t>
      </w:r>
      <w:r w:rsidR="00951C04">
        <w:rPr>
          <w:sz w:val="22"/>
          <w:szCs w:val="22"/>
          <w:lang w:val="es-ES_tradnl"/>
        </w:rPr>
        <w:t xml:space="preserve"> correspondiente.</w:t>
      </w:r>
    </w:p>
    <w:p w14:paraId="70FB66CE" w14:textId="5A4830AF" w:rsidR="001E2E3A" w:rsidRPr="001A5DCF" w:rsidRDefault="001E2E3A" w:rsidP="003B18F3">
      <w:pPr>
        <w:pStyle w:val="Textoindependiente"/>
        <w:spacing w:line="276" w:lineRule="auto"/>
        <w:jc w:val="both"/>
        <w:rPr>
          <w:bCs/>
          <w:color w:val="000000" w:themeColor="text1"/>
          <w:sz w:val="22"/>
          <w:szCs w:val="22"/>
          <w:lang w:val="es-ES_tradnl"/>
        </w:rPr>
      </w:pPr>
      <w:r w:rsidRPr="001A5DCF">
        <w:rPr>
          <w:bCs/>
          <w:color w:val="000000" w:themeColor="text1"/>
          <w:sz w:val="22"/>
          <w:szCs w:val="22"/>
          <w:lang w:val="es-ES_tradnl"/>
        </w:rPr>
        <w:t xml:space="preserve">La Administración Zonal </w:t>
      </w:r>
      <w:r w:rsidR="00F918C8">
        <w:rPr>
          <w:bCs/>
          <w:color w:val="000000" w:themeColor="text1"/>
          <w:sz w:val="22"/>
          <w:szCs w:val="22"/>
          <w:lang w:val="es-ES_tradnl"/>
        </w:rPr>
        <w:t>La Delicia</w:t>
      </w:r>
      <w:r w:rsidR="00110677">
        <w:rPr>
          <w:bCs/>
          <w:color w:val="000000" w:themeColor="text1"/>
          <w:sz w:val="22"/>
          <w:szCs w:val="22"/>
          <w:lang w:val="es-ES_tradnl"/>
        </w:rPr>
        <w:t>,</w:t>
      </w:r>
      <w:r w:rsidR="005F405A" w:rsidRPr="001A5DCF">
        <w:rPr>
          <w:bCs/>
          <w:color w:val="000000" w:themeColor="text1"/>
          <w:sz w:val="22"/>
          <w:szCs w:val="22"/>
          <w:lang w:val="es-ES_tradnl"/>
        </w:rPr>
        <w:t xml:space="preserve"> </w:t>
      </w:r>
      <w:r w:rsidRPr="001A5DCF">
        <w:rPr>
          <w:bCs/>
          <w:color w:val="000000" w:themeColor="text1"/>
          <w:sz w:val="22"/>
          <w:szCs w:val="22"/>
          <w:lang w:val="es-ES_tradnl"/>
        </w:rPr>
        <w:t xml:space="preserve">deberá notificar a los copropietarios del </w:t>
      </w:r>
      <w:r w:rsidR="00A57A06">
        <w:rPr>
          <w:bCs/>
          <w:color w:val="000000" w:themeColor="text1"/>
          <w:sz w:val="22"/>
          <w:szCs w:val="22"/>
          <w:lang w:val="es-ES_tradnl"/>
        </w:rPr>
        <w:t>asentamiento</w:t>
      </w:r>
      <w:r w:rsidRPr="001A5DCF">
        <w:rPr>
          <w:bCs/>
          <w:color w:val="000000" w:themeColor="text1"/>
          <w:sz w:val="22"/>
          <w:szCs w:val="22"/>
          <w:lang w:val="es-ES_tradnl"/>
        </w:rPr>
        <w:t xml:space="preserve"> 6 meses antes </w:t>
      </w:r>
      <w:r w:rsidR="00110677">
        <w:rPr>
          <w:bCs/>
          <w:color w:val="000000" w:themeColor="text1"/>
          <w:sz w:val="22"/>
          <w:szCs w:val="22"/>
          <w:lang w:val="es-ES_tradnl"/>
        </w:rPr>
        <w:t>de</w:t>
      </w:r>
      <w:r w:rsidRPr="001A5DCF">
        <w:rPr>
          <w:bCs/>
          <w:color w:val="000000" w:themeColor="text1"/>
          <w:sz w:val="22"/>
          <w:szCs w:val="22"/>
          <w:lang w:val="es-ES_tradnl"/>
        </w:rPr>
        <w:t xml:space="preserve"> la conclusión del plazo establecido.</w:t>
      </w:r>
    </w:p>
    <w:p w14:paraId="77A3F14E" w14:textId="53324B09" w:rsidR="00F87EDD" w:rsidRPr="001A5DCF" w:rsidRDefault="00F87EDD" w:rsidP="00F87EDD">
      <w:pPr>
        <w:spacing w:after="360" w:line="276" w:lineRule="auto"/>
        <w:jc w:val="both"/>
        <w:rPr>
          <w:bCs/>
          <w:sz w:val="22"/>
          <w:szCs w:val="22"/>
          <w:lang w:val="es-ES_tradnl"/>
        </w:rPr>
      </w:pPr>
      <w:r w:rsidRPr="001A5DCF">
        <w:rPr>
          <w:bCs/>
          <w:sz w:val="22"/>
          <w:szCs w:val="22"/>
          <w:lang w:val="es-ES_tradnl"/>
        </w:rPr>
        <w:lastRenderedPageBreak/>
        <w:t xml:space="preserve">La Administración Zonal </w:t>
      </w:r>
      <w:r w:rsidR="00F918C8">
        <w:rPr>
          <w:bCs/>
          <w:sz w:val="22"/>
          <w:szCs w:val="22"/>
          <w:lang w:val="es-ES_tradnl"/>
        </w:rPr>
        <w:t>La Delicia</w:t>
      </w:r>
      <w:r w:rsidR="00110677">
        <w:rPr>
          <w:bCs/>
          <w:sz w:val="22"/>
          <w:szCs w:val="22"/>
          <w:lang w:val="es-ES_tradnl"/>
        </w:rPr>
        <w:t>,</w:t>
      </w:r>
      <w:r w:rsidR="00F918C8">
        <w:rPr>
          <w:bCs/>
          <w:sz w:val="22"/>
          <w:szCs w:val="22"/>
          <w:lang w:val="es-ES_tradnl"/>
        </w:rPr>
        <w:t xml:space="preserve"> </w:t>
      </w:r>
      <w:r w:rsidRPr="001A5DCF">
        <w:rPr>
          <w:bCs/>
          <w:sz w:val="22"/>
          <w:szCs w:val="22"/>
          <w:lang w:val="es-ES_tradnl"/>
        </w:rPr>
        <w:t>realizará el seguimiento en la ejecución y avance del cronograma de obras de mitigación hasta la terminación de las mismas.</w:t>
      </w:r>
    </w:p>
    <w:p w14:paraId="676D42EE" w14:textId="77777777" w:rsidR="00230751" w:rsidRPr="001A5DCF" w:rsidRDefault="001E2E3A" w:rsidP="009E010D">
      <w:pPr>
        <w:spacing w:after="360" w:line="276" w:lineRule="auto"/>
        <w:jc w:val="both"/>
        <w:rPr>
          <w:bCs/>
          <w:color w:val="000000" w:themeColor="text1"/>
          <w:sz w:val="22"/>
          <w:szCs w:val="22"/>
          <w:lang w:val="es-ES_tradnl"/>
        </w:rPr>
      </w:pPr>
      <w:r w:rsidRPr="001A5DCF">
        <w:rPr>
          <w:bCs/>
          <w:color w:val="000000" w:themeColor="text1"/>
          <w:sz w:val="22"/>
          <w:szCs w:val="22"/>
          <w:lang w:val="es-ES_tradnl"/>
        </w:rPr>
        <w:t>Dichas solicitudes para ser evaluadas, deberán ser presentadas con al menos tres meses de anticipación a la conclusión del plazo establecido para la ejecución de las obras referidas y debidamente justificadas.</w:t>
      </w:r>
    </w:p>
    <w:p w14:paraId="65AD9F91" w14:textId="237FD6FE" w:rsidR="0015234A" w:rsidRPr="001A5DCF" w:rsidRDefault="005F405A" w:rsidP="0015234A">
      <w:pPr>
        <w:spacing w:after="360" w:line="276" w:lineRule="auto"/>
        <w:jc w:val="both"/>
        <w:rPr>
          <w:b/>
          <w:sz w:val="22"/>
          <w:szCs w:val="22"/>
          <w:lang w:val="es-ES_tradnl"/>
        </w:rPr>
      </w:pPr>
      <w:r w:rsidRPr="001A5DCF">
        <w:rPr>
          <w:b/>
          <w:bCs/>
          <w:sz w:val="22"/>
          <w:szCs w:val="22"/>
          <w:lang w:val="es-ES_tradnl"/>
        </w:rPr>
        <w:t xml:space="preserve">Artículo </w:t>
      </w:r>
      <w:r w:rsidR="00E75CDF">
        <w:rPr>
          <w:b/>
          <w:bCs/>
          <w:sz w:val="22"/>
          <w:szCs w:val="22"/>
          <w:lang w:val="es-ES_tradnl"/>
        </w:rPr>
        <w:t>20</w:t>
      </w:r>
      <w:r w:rsidR="00361728" w:rsidRPr="001A5DCF">
        <w:rPr>
          <w:b/>
          <w:bCs/>
          <w:sz w:val="22"/>
          <w:szCs w:val="22"/>
          <w:lang w:val="es-ES_tradnl"/>
        </w:rPr>
        <w:t>.- Potestad de ejecución.-</w:t>
      </w:r>
      <w:r w:rsidR="00361728" w:rsidRPr="001A5DCF">
        <w:rPr>
          <w:bCs/>
          <w:sz w:val="22"/>
          <w:szCs w:val="22"/>
          <w:lang w:val="es-ES_tradnl"/>
        </w:rPr>
        <w:t xml:space="preserve"> </w:t>
      </w:r>
      <w:r w:rsidRPr="001A5DCF">
        <w:rPr>
          <w:bCs/>
          <w:sz w:val="22"/>
          <w:szCs w:val="22"/>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1A5DCF">
        <w:rPr>
          <w:b/>
          <w:sz w:val="22"/>
          <w:szCs w:val="22"/>
          <w:lang w:val="es-ES_tradnl"/>
        </w:rPr>
        <w:t xml:space="preserve"> </w:t>
      </w:r>
    </w:p>
    <w:p w14:paraId="50CF6839" w14:textId="77777777" w:rsidR="005F405A" w:rsidRPr="001A5DCF" w:rsidRDefault="005F405A" w:rsidP="0015234A">
      <w:pPr>
        <w:spacing w:after="360" w:line="276" w:lineRule="auto"/>
        <w:jc w:val="center"/>
        <w:rPr>
          <w:b/>
          <w:sz w:val="22"/>
          <w:szCs w:val="22"/>
          <w:lang w:val="es-ES_tradnl"/>
        </w:rPr>
      </w:pPr>
      <w:r w:rsidRPr="001A5DCF">
        <w:rPr>
          <w:b/>
          <w:sz w:val="22"/>
          <w:szCs w:val="22"/>
          <w:lang w:val="es-ES_tradnl"/>
        </w:rPr>
        <w:t>Disposiciones Generales</w:t>
      </w:r>
    </w:p>
    <w:p w14:paraId="3FDE37C9" w14:textId="77777777" w:rsidR="005F405A" w:rsidRPr="001A5DCF" w:rsidRDefault="005F405A" w:rsidP="005F405A">
      <w:pPr>
        <w:spacing w:after="240" w:line="276" w:lineRule="auto"/>
        <w:jc w:val="both"/>
        <w:rPr>
          <w:b/>
          <w:sz w:val="22"/>
          <w:szCs w:val="22"/>
          <w:lang w:val="es-ES_tradnl"/>
        </w:rPr>
      </w:pPr>
      <w:r w:rsidRPr="001A5DCF">
        <w:rPr>
          <w:b/>
          <w:sz w:val="22"/>
          <w:szCs w:val="22"/>
          <w:lang w:val="es-ES_tradnl"/>
        </w:rPr>
        <w:t xml:space="preserve">Primera.- </w:t>
      </w:r>
      <w:r w:rsidRPr="001A5DCF">
        <w:rPr>
          <w:sz w:val="22"/>
          <w:szCs w:val="22"/>
          <w:lang w:val="es-ES_tradnl"/>
        </w:rPr>
        <w:t>Todos los anexos adjuntos al proyecto de regularización son documentos habilitantes de esta Ordenanza</w:t>
      </w:r>
      <w:r w:rsidRPr="001A5DCF">
        <w:rPr>
          <w:b/>
          <w:sz w:val="22"/>
          <w:szCs w:val="22"/>
          <w:lang w:val="es-ES_tradnl"/>
        </w:rPr>
        <w:t>.</w:t>
      </w:r>
    </w:p>
    <w:p w14:paraId="27D88927" w14:textId="5F070530" w:rsidR="00E73D43" w:rsidRPr="006C17B4" w:rsidRDefault="005F405A" w:rsidP="00BE50FC">
      <w:pPr>
        <w:spacing w:after="240" w:line="276" w:lineRule="auto"/>
        <w:jc w:val="both"/>
        <w:rPr>
          <w:sz w:val="22"/>
          <w:szCs w:val="22"/>
        </w:rPr>
      </w:pPr>
      <w:r w:rsidRPr="006C17B4">
        <w:rPr>
          <w:b/>
          <w:sz w:val="22"/>
          <w:szCs w:val="22"/>
          <w:lang w:val="es-ES_tradnl"/>
        </w:rPr>
        <w:t xml:space="preserve">Segunda.- </w:t>
      </w:r>
      <w:r w:rsidRPr="006C17B4">
        <w:rPr>
          <w:sz w:val="22"/>
          <w:szCs w:val="22"/>
          <w:lang w:val="es-ES_tradnl"/>
        </w:rPr>
        <w:t>De acuerdo al Oficio No</w:t>
      </w:r>
      <w:r w:rsidR="00335B5A" w:rsidRPr="006C17B4">
        <w:rPr>
          <w:sz w:val="22"/>
          <w:szCs w:val="22"/>
          <w:lang w:val="es-ES_tradnl"/>
        </w:rPr>
        <w:t xml:space="preserve"> </w:t>
      </w:r>
      <w:r w:rsidR="00C5601A" w:rsidRPr="006C17B4">
        <w:rPr>
          <w:sz w:val="22"/>
          <w:szCs w:val="22"/>
        </w:rPr>
        <w:t>GADDMQ-SGSG-DMGR-</w:t>
      </w:r>
      <w:r w:rsidR="006C17B4">
        <w:rPr>
          <w:sz w:val="22"/>
          <w:szCs w:val="22"/>
        </w:rPr>
        <w:t>2020</w:t>
      </w:r>
      <w:r w:rsidR="00C5601A" w:rsidRPr="006C17B4">
        <w:rPr>
          <w:sz w:val="22"/>
          <w:szCs w:val="22"/>
        </w:rPr>
        <w:t>-</w:t>
      </w:r>
      <w:r w:rsidR="00F918C8">
        <w:rPr>
          <w:sz w:val="22"/>
          <w:szCs w:val="22"/>
        </w:rPr>
        <w:t>0270</w:t>
      </w:r>
      <w:r w:rsidR="00C5601A" w:rsidRPr="006C17B4">
        <w:rPr>
          <w:sz w:val="22"/>
          <w:szCs w:val="22"/>
        </w:rPr>
        <w:t xml:space="preserve">-OF, de fecha </w:t>
      </w:r>
      <w:r w:rsidR="00F918C8">
        <w:rPr>
          <w:sz w:val="22"/>
          <w:szCs w:val="22"/>
        </w:rPr>
        <w:t>27</w:t>
      </w:r>
      <w:r w:rsidR="00C5601A" w:rsidRPr="006C17B4">
        <w:rPr>
          <w:sz w:val="22"/>
          <w:szCs w:val="22"/>
        </w:rPr>
        <w:t xml:space="preserve"> de </w:t>
      </w:r>
      <w:r w:rsidR="00F918C8">
        <w:rPr>
          <w:sz w:val="22"/>
          <w:szCs w:val="22"/>
        </w:rPr>
        <w:t>abril</w:t>
      </w:r>
      <w:r w:rsidR="00E73D43" w:rsidRPr="006C17B4">
        <w:rPr>
          <w:sz w:val="22"/>
          <w:szCs w:val="22"/>
        </w:rPr>
        <w:t xml:space="preserve"> </w:t>
      </w:r>
      <w:r w:rsidR="00C5601A" w:rsidRPr="006C17B4">
        <w:rPr>
          <w:sz w:val="22"/>
          <w:szCs w:val="22"/>
        </w:rPr>
        <w:t xml:space="preserve">de </w:t>
      </w:r>
      <w:r w:rsidR="006C17B4">
        <w:rPr>
          <w:sz w:val="22"/>
          <w:szCs w:val="22"/>
        </w:rPr>
        <w:t>2020</w:t>
      </w:r>
      <w:r w:rsidR="00C5601A" w:rsidRPr="006C17B4">
        <w:rPr>
          <w:sz w:val="22"/>
          <w:szCs w:val="22"/>
        </w:rPr>
        <w:t xml:space="preserve">, </w:t>
      </w:r>
      <w:r w:rsidR="00032D16" w:rsidRPr="006C17B4">
        <w:rPr>
          <w:sz w:val="22"/>
          <w:szCs w:val="22"/>
          <w:lang w:val="es-ES_tradnl"/>
        </w:rPr>
        <w:t xml:space="preserve">los copropietarios del </w:t>
      </w:r>
      <w:r w:rsidR="00F918C8">
        <w:rPr>
          <w:sz w:val="22"/>
          <w:szCs w:val="22"/>
          <w:lang w:val="es-ES_tradnl"/>
        </w:rPr>
        <w:t>a</w:t>
      </w:r>
      <w:r w:rsidR="00A57A06">
        <w:rPr>
          <w:sz w:val="22"/>
          <w:szCs w:val="22"/>
          <w:lang w:val="es-ES_tradnl"/>
        </w:rPr>
        <w:t>sentamiento</w:t>
      </w:r>
      <w:r w:rsidRPr="006C17B4">
        <w:rPr>
          <w:sz w:val="22"/>
          <w:szCs w:val="22"/>
          <w:lang w:val="es-ES_tradnl"/>
        </w:rPr>
        <w:t xml:space="preserve"> deberán cumpl</w:t>
      </w:r>
      <w:r w:rsidR="0015234A" w:rsidRPr="006C17B4">
        <w:rPr>
          <w:sz w:val="22"/>
          <w:szCs w:val="22"/>
          <w:lang w:val="es-ES_tradnl"/>
        </w:rPr>
        <w:t>ir las siguientes disposiciones, además de las recomendaciones generales y normativa legal vigente contenida en este mismo oficio y en l</w:t>
      </w:r>
      <w:r w:rsidR="00561FC1">
        <w:rPr>
          <w:sz w:val="22"/>
          <w:szCs w:val="22"/>
          <w:lang w:val="es-ES_tradnl"/>
        </w:rPr>
        <w:t>os</w:t>
      </w:r>
      <w:r w:rsidR="0015234A" w:rsidRPr="006C17B4">
        <w:rPr>
          <w:sz w:val="22"/>
          <w:szCs w:val="22"/>
          <w:lang w:val="es-ES_tradnl"/>
        </w:rPr>
        <w:t xml:space="preserve"> informe</w:t>
      </w:r>
      <w:r w:rsidR="00561FC1">
        <w:rPr>
          <w:sz w:val="22"/>
          <w:szCs w:val="22"/>
          <w:lang w:val="es-ES_tradnl"/>
        </w:rPr>
        <w:t xml:space="preserve">s No. </w:t>
      </w:r>
      <w:r w:rsidR="00561FC1" w:rsidRPr="00561FC1">
        <w:rPr>
          <w:sz w:val="22"/>
          <w:szCs w:val="22"/>
          <w:lang w:val="es-ES_tradnl"/>
        </w:rPr>
        <w:t>157-AT-DMGR-2015</w:t>
      </w:r>
      <w:r w:rsidR="00561FC1">
        <w:rPr>
          <w:sz w:val="22"/>
          <w:szCs w:val="22"/>
          <w:lang w:val="es-ES_tradnl"/>
        </w:rPr>
        <w:t xml:space="preserve">, </w:t>
      </w:r>
      <w:r w:rsidR="00561FC1" w:rsidRPr="00561FC1">
        <w:rPr>
          <w:sz w:val="22"/>
          <w:szCs w:val="22"/>
          <w:lang w:val="es-ES_tradnl"/>
        </w:rPr>
        <w:t>de 25 de noviembre de 2015</w:t>
      </w:r>
      <w:r w:rsidR="00561FC1">
        <w:rPr>
          <w:sz w:val="22"/>
          <w:szCs w:val="22"/>
          <w:lang w:val="es-ES_tradnl"/>
        </w:rPr>
        <w:t xml:space="preserve">, y </w:t>
      </w:r>
      <w:r w:rsidR="00E47B74" w:rsidRPr="006C17B4">
        <w:rPr>
          <w:sz w:val="22"/>
          <w:szCs w:val="22"/>
        </w:rPr>
        <w:t>No.</w:t>
      </w:r>
      <w:r w:rsidR="00F918C8" w:rsidRPr="00F918C8">
        <w:rPr>
          <w:sz w:val="22"/>
          <w:szCs w:val="22"/>
        </w:rPr>
        <w:t xml:space="preserve"> </w:t>
      </w:r>
      <w:r w:rsidR="00F918C8">
        <w:rPr>
          <w:sz w:val="22"/>
          <w:szCs w:val="22"/>
        </w:rPr>
        <w:t>187</w:t>
      </w:r>
      <w:r w:rsidR="00F918C8" w:rsidRPr="003652D6">
        <w:rPr>
          <w:sz w:val="22"/>
          <w:szCs w:val="22"/>
        </w:rPr>
        <w:t xml:space="preserve">-AT-DMGR-2018, </w:t>
      </w:r>
      <w:r w:rsidR="00561FC1">
        <w:rPr>
          <w:sz w:val="22"/>
          <w:szCs w:val="22"/>
        </w:rPr>
        <w:t xml:space="preserve">de </w:t>
      </w:r>
      <w:r w:rsidR="00F918C8" w:rsidRPr="003652D6">
        <w:rPr>
          <w:sz w:val="22"/>
          <w:szCs w:val="22"/>
        </w:rPr>
        <w:t>1</w:t>
      </w:r>
      <w:r w:rsidR="00561FC1">
        <w:rPr>
          <w:sz w:val="22"/>
          <w:szCs w:val="22"/>
        </w:rPr>
        <w:t>7</w:t>
      </w:r>
      <w:r w:rsidR="00F918C8" w:rsidRPr="003652D6">
        <w:rPr>
          <w:sz w:val="22"/>
          <w:szCs w:val="22"/>
        </w:rPr>
        <w:t xml:space="preserve"> de ju</w:t>
      </w:r>
      <w:r w:rsidR="00F918C8">
        <w:rPr>
          <w:sz w:val="22"/>
          <w:szCs w:val="22"/>
        </w:rPr>
        <w:t>l</w:t>
      </w:r>
      <w:r w:rsidR="00F918C8" w:rsidRPr="003652D6">
        <w:rPr>
          <w:sz w:val="22"/>
          <w:szCs w:val="22"/>
        </w:rPr>
        <w:t>io del 2018</w:t>
      </w:r>
      <w:r w:rsidR="00E47B74" w:rsidRPr="006C17B4">
        <w:rPr>
          <w:color w:val="000000" w:themeColor="text1"/>
          <w:sz w:val="22"/>
          <w:szCs w:val="22"/>
        </w:rPr>
        <w:t>.</w:t>
      </w:r>
    </w:p>
    <w:p w14:paraId="0CF9CF1E" w14:textId="11A46A5D" w:rsidR="009226CE" w:rsidRPr="009226CE" w:rsidRDefault="00F37F06" w:rsidP="00772A52">
      <w:pPr>
        <w:pStyle w:val="Prrafodelista"/>
        <w:numPr>
          <w:ilvl w:val="0"/>
          <w:numId w:val="26"/>
        </w:numPr>
        <w:shd w:val="clear" w:color="auto" w:fill="FFFFFF"/>
        <w:autoSpaceDE w:val="0"/>
        <w:autoSpaceDN w:val="0"/>
        <w:adjustRightInd w:val="0"/>
        <w:spacing w:after="240"/>
        <w:jc w:val="both"/>
        <w:rPr>
          <w:sz w:val="22"/>
          <w:szCs w:val="22"/>
          <w:lang w:eastAsia="es-ES_tradnl"/>
        </w:rPr>
      </w:pPr>
      <w:r w:rsidRPr="009226CE">
        <w:rPr>
          <w:sz w:val="22"/>
          <w:szCs w:val="22"/>
          <w:lang w:val="es-EC" w:eastAsia="es-ES_tradnl"/>
        </w:rPr>
        <w:t>Se dispone que</w:t>
      </w:r>
      <w:r w:rsidR="009226CE" w:rsidRPr="009226CE">
        <w:rPr>
          <w:sz w:val="22"/>
          <w:szCs w:val="22"/>
          <w:lang w:val="es-EC" w:eastAsia="es-ES_tradnl"/>
        </w:rPr>
        <w:t>, los propietarios/posesionarios de</w:t>
      </w:r>
      <w:r w:rsidR="00561FC1">
        <w:rPr>
          <w:sz w:val="22"/>
          <w:szCs w:val="22"/>
          <w:lang w:val="es-EC" w:eastAsia="es-ES_tradnl"/>
        </w:rPr>
        <w:t>l asentamiento humano de hecho denominado Barrio</w:t>
      </w:r>
      <w:r w:rsidR="009226CE" w:rsidRPr="009226CE">
        <w:rPr>
          <w:sz w:val="22"/>
          <w:szCs w:val="22"/>
          <w:lang w:val="es-EC" w:eastAsia="es-ES_tradnl"/>
        </w:rPr>
        <w:t xml:space="preserve"> “San José” no reali</w:t>
      </w:r>
      <w:r w:rsidR="00CC0F04">
        <w:rPr>
          <w:sz w:val="22"/>
          <w:szCs w:val="22"/>
          <w:lang w:val="es-EC" w:eastAsia="es-ES_tradnl"/>
        </w:rPr>
        <w:t xml:space="preserve">cen </w:t>
      </w:r>
      <w:r w:rsidR="009226CE" w:rsidRPr="009226CE">
        <w:rPr>
          <w:sz w:val="22"/>
          <w:szCs w:val="22"/>
          <w:lang w:val="es-EC" w:eastAsia="es-ES_tradnl"/>
        </w:rPr>
        <w:t>excavaciones en el terreno (desbanques de tierra) hasta que culmine el proceso de regularización y se establezca su normativa de edificabilidad específica.</w:t>
      </w:r>
    </w:p>
    <w:p w14:paraId="6ABB9BE4" w14:textId="3C09F919" w:rsidR="00F37F06" w:rsidRPr="009226CE" w:rsidRDefault="00F37F06" w:rsidP="000C144E">
      <w:pPr>
        <w:pStyle w:val="Prrafodelista"/>
        <w:numPr>
          <w:ilvl w:val="0"/>
          <w:numId w:val="26"/>
        </w:numPr>
        <w:shd w:val="clear" w:color="auto" w:fill="FFFFFF"/>
        <w:autoSpaceDE w:val="0"/>
        <w:autoSpaceDN w:val="0"/>
        <w:adjustRightInd w:val="0"/>
        <w:spacing w:after="240"/>
        <w:jc w:val="both"/>
        <w:rPr>
          <w:sz w:val="22"/>
          <w:szCs w:val="22"/>
        </w:rPr>
      </w:pPr>
      <w:r w:rsidRPr="009226CE">
        <w:rPr>
          <w:sz w:val="22"/>
          <w:szCs w:val="22"/>
        </w:rPr>
        <w:t>Se dispone que</w:t>
      </w:r>
      <w:r w:rsidR="009226CE">
        <w:rPr>
          <w:sz w:val="22"/>
          <w:szCs w:val="22"/>
        </w:rPr>
        <w:t>,</w:t>
      </w:r>
      <w:r w:rsidRPr="009226CE">
        <w:rPr>
          <w:sz w:val="22"/>
          <w:szCs w:val="22"/>
        </w:rPr>
        <w:t xml:space="preserve"> los</w:t>
      </w:r>
      <w:r w:rsidR="009226CE" w:rsidRPr="009226CE">
        <w:rPr>
          <w:sz w:val="22"/>
          <w:szCs w:val="22"/>
        </w:rPr>
        <w:t xml:space="preserve"> </w:t>
      </w:r>
      <w:r w:rsidR="009226CE" w:rsidRPr="009226CE">
        <w:rPr>
          <w:rFonts w:eastAsiaTheme="minorHAnsi"/>
          <w:iCs/>
          <w:sz w:val="22"/>
          <w:szCs w:val="22"/>
          <w:lang w:val="es-EC" w:eastAsia="en-US"/>
        </w:rPr>
        <w:t>propietarios de los lotes 1, 3, 7, 14, 19, 20, 27, 29 y 31 no edifi</w:t>
      </w:r>
      <w:r w:rsidR="00855291">
        <w:rPr>
          <w:rFonts w:eastAsiaTheme="minorHAnsi"/>
          <w:iCs/>
          <w:sz w:val="22"/>
          <w:szCs w:val="22"/>
          <w:lang w:val="es-EC" w:eastAsia="en-US"/>
        </w:rPr>
        <w:t xml:space="preserve">quen  </w:t>
      </w:r>
      <w:r w:rsidR="009226CE" w:rsidRPr="009226CE">
        <w:rPr>
          <w:rFonts w:eastAsiaTheme="minorHAnsi"/>
          <w:iCs/>
          <w:sz w:val="22"/>
          <w:szCs w:val="22"/>
          <w:lang w:val="es-EC" w:eastAsia="en-US"/>
        </w:rPr>
        <w:t xml:space="preserve">sobre </w:t>
      </w:r>
      <w:r w:rsidR="009226CE" w:rsidRPr="009226CE">
        <w:rPr>
          <w:rFonts w:eastAsiaTheme="minorHAnsi"/>
          <w:iCs/>
          <w:sz w:val="22"/>
          <w:szCs w:val="22"/>
          <w:lang w:eastAsia="en-US"/>
        </w:rPr>
        <w:t>l</w:t>
      </w:r>
      <w:r w:rsidR="009226CE" w:rsidRPr="009226CE">
        <w:rPr>
          <w:rFonts w:eastAsiaTheme="minorHAnsi"/>
          <w:iCs/>
          <w:sz w:val="22"/>
          <w:szCs w:val="22"/>
          <w:lang w:val="es-EC" w:eastAsia="en-US"/>
        </w:rPr>
        <w:t>a zona de relleno de quebrada, y posterior a la regularización, de hacerlo deben</w:t>
      </w:r>
      <w:r w:rsidR="009226CE" w:rsidRPr="009226CE">
        <w:rPr>
          <w:sz w:val="22"/>
          <w:szCs w:val="22"/>
        </w:rPr>
        <w:t xml:space="preserve"> </w:t>
      </w:r>
      <w:r w:rsidR="009226CE" w:rsidRPr="009226CE">
        <w:rPr>
          <w:rFonts w:eastAsiaTheme="minorHAnsi"/>
          <w:iCs/>
          <w:sz w:val="22"/>
          <w:szCs w:val="22"/>
          <w:lang w:val="es-EC" w:eastAsia="en-US"/>
        </w:rPr>
        <w:t>contar con los respectivos estudios de suelo y cimentación para la implementación de edificaciones.</w:t>
      </w:r>
    </w:p>
    <w:p w14:paraId="6FD1E1F5" w14:textId="4DE636A0" w:rsidR="009226CE" w:rsidRPr="009226CE" w:rsidRDefault="009226CE" w:rsidP="00EC7A8B">
      <w:pPr>
        <w:pStyle w:val="Prrafodelista"/>
        <w:numPr>
          <w:ilvl w:val="0"/>
          <w:numId w:val="26"/>
        </w:numPr>
        <w:shd w:val="clear" w:color="auto" w:fill="FFFFFF"/>
        <w:autoSpaceDE w:val="0"/>
        <w:autoSpaceDN w:val="0"/>
        <w:adjustRightInd w:val="0"/>
        <w:spacing w:after="240"/>
        <w:jc w:val="both"/>
        <w:rPr>
          <w:sz w:val="22"/>
          <w:szCs w:val="22"/>
        </w:rPr>
      </w:pPr>
      <w:r w:rsidRPr="009226CE">
        <w:rPr>
          <w:rFonts w:eastAsiaTheme="minorHAnsi"/>
          <w:iCs/>
          <w:sz w:val="22"/>
          <w:szCs w:val="22"/>
          <w:lang w:val="es-EC" w:eastAsia="en-US"/>
        </w:rPr>
        <w:t xml:space="preserve">Se dispone que, los propietarios y/o posesionarios actuales no construyan más </w:t>
      </w:r>
      <w:r w:rsidRPr="009226CE">
        <w:rPr>
          <w:rFonts w:eastAsiaTheme="minorHAnsi"/>
          <w:iCs/>
          <w:sz w:val="21"/>
          <w:szCs w:val="21"/>
          <w:lang w:val="es-EC" w:eastAsia="en-US"/>
        </w:rPr>
        <w:t xml:space="preserve">viviendas en el </w:t>
      </w:r>
      <w:proofErr w:type="spellStart"/>
      <w:r w:rsidRPr="009226CE">
        <w:rPr>
          <w:rFonts w:eastAsiaTheme="minorHAnsi"/>
          <w:iCs/>
          <w:sz w:val="21"/>
          <w:szCs w:val="21"/>
          <w:lang w:val="es-EC" w:eastAsia="en-US"/>
        </w:rPr>
        <w:t>macrolote</w:t>
      </w:r>
      <w:proofErr w:type="spellEnd"/>
      <w:r w:rsidRPr="009226CE">
        <w:rPr>
          <w:rFonts w:eastAsiaTheme="minorHAnsi"/>
          <w:iCs/>
          <w:sz w:val="21"/>
          <w:szCs w:val="21"/>
          <w:lang w:val="es-EC" w:eastAsia="en-US"/>
        </w:rPr>
        <w:t xml:space="preserve"> evaluado, ni aumenten pisos sobre las edificaciones existentes, </w:t>
      </w:r>
      <w:r w:rsidRPr="009226CE">
        <w:rPr>
          <w:rFonts w:eastAsiaTheme="minorHAnsi"/>
          <w:iCs/>
          <w:sz w:val="22"/>
          <w:szCs w:val="22"/>
          <w:lang w:val="es-EC" w:eastAsia="en-US"/>
        </w:rPr>
        <w:t xml:space="preserve">hasta que el proceso de regularización del asentamiento culmine y se determine su </w:t>
      </w:r>
      <w:r w:rsidRPr="009226CE">
        <w:rPr>
          <w:rFonts w:eastAsiaTheme="minorHAnsi"/>
          <w:iCs/>
          <w:sz w:val="21"/>
          <w:szCs w:val="21"/>
          <w:lang w:val="es-EC" w:eastAsia="en-US"/>
        </w:rPr>
        <w:t xml:space="preserve">normativa de edificabilidad específica que deberá constar en sus respectivos Informes de Regulación Metropolitana, previa emisión de la licencia de construcción de la autoridad </w:t>
      </w:r>
      <w:r w:rsidRPr="009226CE">
        <w:rPr>
          <w:rFonts w:eastAsiaTheme="minorHAnsi"/>
          <w:iCs/>
          <w:sz w:val="22"/>
          <w:szCs w:val="22"/>
          <w:lang w:val="es-EC" w:eastAsia="en-US"/>
        </w:rPr>
        <w:t>competente.</w:t>
      </w:r>
    </w:p>
    <w:p w14:paraId="34ECAF86" w14:textId="65A5F8A4" w:rsidR="00453CE4" w:rsidRPr="003B18F3" w:rsidRDefault="009226CE" w:rsidP="003B18F3">
      <w:pPr>
        <w:autoSpaceDE w:val="0"/>
        <w:autoSpaceDN w:val="0"/>
        <w:adjustRightInd w:val="0"/>
        <w:jc w:val="both"/>
        <w:rPr>
          <w:rFonts w:eastAsiaTheme="minorHAnsi"/>
          <w:iCs/>
          <w:sz w:val="22"/>
          <w:szCs w:val="22"/>
          <w:lang w:val="es-EC" w:eastAsia="en-US"/>
        </w:rPr>
      </w:pPr>
      <w:r w:rsidRPr="003B18F3">
        <w:rPr>
          <w:rFonts w:eastAsiaTheme="minorHAnsi"/>
          <w:iCs/>
          <w:sz w:val="22"/>
          <w:szCs w:val="22"/>
          <w:lang w:val="es-EC" w:eastAsia="en-US"/>
        </w:rPr>
        <w:t xml:space="preserve">La Unidad Especial Regula Tu Barrio </w:t>
      </w:r>
      <w:r w:rsidR="00561FC1" w:rsidRPr="003B18F3">
        <w:rPr>
          <w:rFonts w:eastAsiaTheme="minorHAnsi"/>
          <w:iCs/>
          <w:sz w:val="22"/>
          <w:szCs w:val="22"/>
          <w:lang w:val="es-EC" w:eastAsia="en-US"/>
        </w:rPr>
        <w:t>deb</w:t>
      </w:r>
      <w:r w:rsidR="00561FC1">
        <w:rPr>
          <w:rFonts w:eastAsiaTheme="minorHAnsi"/>
          <w:iCs/>
          <w:sz w:val="22"/>
          <w:szCs w:val="22"/>
          <w:lang w:val="es-EC" w:eastAsia="en-US"/>
        </w:rPr>
        <w:t>e</w:t>
      </w:r>
      <w:r w:rsidR="00561FC1" w:rsidRPr="003B18F3">
        <w:rPr>
          <w:rFonts w:eastAsiaTheme="minorHAnsi"/>
          <w:iCs/>
          <w:sz w:val="22"/>
          <w:szCs w:val="22"/>
          <w:lang w:val="es-EC" w:eastAsia="en-US"/>
        </w:rPr>
        <w:t xml:space="preserve"> </w:t>
      </w:r>
      <w:r w:rsidRPr="003B18F3">
        <w:rPr>
          <w:rFonts w:eastAsiaTheme="minorHAnsi"/>
          <w:iCs/>
          <w:sz w:val="22"/>
          <w:szCs w:val="22"/>
          <w:lang w:val="es-EC" w:eastAsia="en-US"/>
        </w:rPr>
        <w:t>comunicar a la comunidad del AHHYC “San José” lo descrito en el presente informe, especialmente la calificación del riesgo ante las diferentes amenazas analizadas y las respectivas recomendaciones técnicas.</w:t>
      </w:r>
    </w:p>
    <w:p w14:paraId="1E95A6E9" w14:textId="77777777" w:rsidR="009226CE" w:rsidRPr="001A5DCF" w:rsidRDefault="009226CE" w:rsidP="009226CE">
      <w:pPr>
        <w:autoSpaceDE w:val="0"/>
        <w:autoSpaceDN w:val="0"/>
        <w:adjustRightInd w:val="0"/>
        <w:ind w:left="360"/>
        <w:rPr>
          <w:sz w:val="22"/>
          <w:szCs w:val="22"/>
        </w:rPr>
      </w:pPr>
    </w:p>
    <w:p w14:paraId="5418725C" w14:textId="7146A0B0" w:rsidR="00361728" w:rsidRPr="001A5DCF" w:rsidRDefault="00361728" w:rsidP="00EC5711">
      <w:pPr>
        <w:spacing w:after="360"/>
        <w:jc w:val="both"/>
        <w:rPr>
          <w:i/>
          <w:sz w:val="22"/>
          <w:szCs w:val="22"/>
          <w:lang w:val="es-ES_tradnl"/>
        </w:rPr>
      </w:pPr>
      <w:r w:rsidRPr="001A5DCF">
        <w:rPr>
          <w:b/>
          <w:sz w:val="22"/>
          <w:szCs w:val="22"/>
          <w:lang w:val="es-ES_tradnl"/>
        </w:rPr>
        <w:lastRenderedPageBreak/>
        <w:t xml:space="preserve">Disposición Final.- </w:t>
      </w:r>
      <w:r w:rsidRPr="001A5DCF">
        <w:rPr>
          <w:bCs/>
          <w:sz w:val="22"/>
          <w:szCs w:val="22"/>
          <w:lang w:val="es-ES_tradnl"/>
        </w:rPr>
        <w:t>Esta ordenanza entrará en vigencia a partir de la fecha de su sanción, sin perjuicio de su publicación en</w:t>
      </w:r>
      <w:r w:rsidR="002068FD" w:rsidRPr="001A5DCF">
        <w:rPr>
          <w:bCs/>
          <w:sz w:val="22"/>
          <w:szCs w:val="22"/>
          <w:lang w:val="es-ES_tradnl"/>
        </w:rPr>
        <w:t xml:space="preserve"> el Registro Oficial, Gaceta Municipal o </w:t>
      </w:r>
      <w:r w:rsidRPr="001A5DCF">
        <w:rPr>
          <w:bCs/>
          <w:sz w:val="22"/>
          <w:szCs w:val="22"/>
          <w:lang w:val="es-ES_tradnl"/>
        </w:rPr>
        <w:t>la página web institucional de la Municipalidad.</w:t>
      </w:r>
    </w:p>
    <w:p w14:paraId="48E80671" w14:textId="01167966" w:rsidR="0049591B" w:rsidRPr="001A5DCF" w:rsidRDefault="0049591B" w:rsidP="0049591B">
      <w:pPr>
        <w:jc w:val="both"/>
        <w:rPr>
          <w:sz w:val="22"/>
          <w:szCs w:val="22"/>
        </w:rPr>
      </w:pPr>
      <w:r w:rsidRPr="001A5DCF">
        <w:rPr>
          <w:sz w:val="22"/>
          <w:szCs w:val="22"/>
        </w:rPr>
        <w:t xml:space="preserve">Dada, en la Sala de Sesiones del Concejo Metropolitano de Quito, </w:t>
      </w:r>
      <w:proofErr w:type="gramStart"/>
      <w:r w:rsidRPr="001A5DCF">
        <w:rPr>
          <w:sz w:val="22"/>
          <w:szCs w:val="22"/>
        </w:rPr>
        <w:t>el.……</w:t>
      </w:r>
      <w:proofErr w:type="gramEnd"/>
      <w:r w:rsidRPr="001A5DCF">
        <w:rPr>
          <w:sz w:val="22"/>
          <w:szCs w:val="22"/>
        </w:rPr>
        <w:t xml:space="preserve"> de …………. del </w:t>
      </w:r>
      <w:r w:rsidR="00466586" w:rsidRPr="001A5DCF">
        <w:rPr>
          <w:sz w:val="22"/>
          <w:szCs w:val="22"/>
        </w:rPr>
        <w:t>2020</w:t>
      </w:r>
    </w:p>
    <w:p w14:paraId="084C00C9" w14:textId="77777777" w:rsidR="0049591B" w:rsidRPr="001A5DCF" w:rsidRDefault="0049591B" w:rsidP="0049591B">
      <w:pPr>
        <w:pStyle w:val="Textopredeterminado"/>
        <w:shd w:val="clear" w:color="auto" w:fill="FFFFFF"/>
        <w:jc w:val="both"/>
        <w:rPr>
          <w:sz w:val="22"/>
          <w:szCs w:val="22"/>
          <w:lang w:val="es-ES"/>
        </w:rPr>
      </w:pPr>
    </w:p>
    <w:p w14:paraId="66C6C96D" w14:textId="77777777" w:rsidR="00D36A39" w:rsidRPr="001A5DCF" w:rsidRDefault="00D36A39" w:rsidP="00D36A39">
      <w:pPr>
        <w:jc w:val="both"/>
        <w:rPr>
          <w:sz w:val="22"/>
          <w:szCs w:val="22"/>
        </w:rPr>
      </w:pPr>
    </w:p>
    <w:p w14:paraId="732A5374" w14:textId="77777777" w:rsidR="00224B21" w:rsidRPr="001A5DCF" w:rsidRDefault="00224B21" w:rsidP="00D36A39">
      <w:pPr>
        <w:jc w:val="both"/>
        <w:rPr>
          <w:sz w:val="22"/>
          <w:szCs w:val="22"/>
        </w:rPr>
      </w:pPr>
    </w:p>
    <w:p w14:paraId="5CB175BB" w14:textId="77777777" w:rsidR="00224B21" w:rsidRPr="001A5DCF" w:rsidRDefault="00224B21" w:rsidP="00D36A39">
      <w:pPr>
        <w:jc w:val="both"/>
        <w:rPr>
          <w:sz w:val="22"/>
          <w:szCs w:val="22"/>
        </w:rPr>
      </w:pPr>
    </w:p>
    <w:p w14:paraId="1EFE78E7" w14:textId="77777777" w:rsidR="00D36A39" w:rsidRPr="001A5DCF" w:rsidRDefault="00D36A39" w:rsidP="00D36A39">
      <w:pPr>
        <w:pStyle w:val="Textopredeterminado"/>
        <w:shd w:val="clear" w:color="auto" w:fill="FFFFFF"/>
        <w:jc w:val="both"/>
        <w:rPr>
          <w:sz w:val="22"/>
          <w:szCs w:val="22"/>
          <w:lang w:val="es-ES"/>
        </w:rPr>
      </w:pPr>
    </w:p>
    <w:p w14:paraId="2370F3F6" w14:textId="77777777" w:rsidR="004F4A82" w:rsidRPr="001A5DCF" w:rsidRDefault="004F4A82" w:rsidP="004F4A82">
      <w:pPr>
        <w:pStyle w:val="Textosinformato"/>
        <w:jc w:val="center"/>
        <w:rPr>
          <w:rFonts w:ascii="Times New Roman" w:eastAsia="MS Mincho" w:hAnsi="Times New Roman"/>
          <w:sz w:val="22"/>
          <w:szCs w:val="22"/>
        </w:rPr>
      </w:pPr>
      <w:r w:rsidRPr="001A5DCF">
        <w:rPr>
          <w:rFonts w:ascii="Times New Roman" w:eastAsia="MS Mincho" w:hAnsi="Times New Roman"/>
          <w:sz w:val="22"/>
          <w:szCs w:val="22"/>
        </w:rPr>
        <w:t xml:space="preserve">Abg. Damaris Priscila </w:t>
      </w:r>
      <w:proofErr w:type="spellStart"/>
      <w:r w:rsidRPr="001A5DCF">
        <w:rPr>
          <w:rFonts w:ascii="Times New Roman" w:eastAsia="MS Mincho" w:hAnsi="Times New Roman"/>
          <w:sz w:val="22"/>
          <w:szCs w:val="22"/>
        </w:rPr>
        <w:t>Ortíz</w:t>
      </w:r>
      <w:proofErr w:type="spellEnd"/>
      <w:r w:rsidRPr="001A5DCF">
        <w:rPr>
          <w:rFonts w:ascii="Times New Roman" w:eastAsia="MS Mincho" w:hAnsi="Times New Roman"/>
          <w:sz w:val="22"/>
          <w:szCs w:val="22"/>
        </w:rPr>
        <w:t xml:space="preserve"> </w:t>
      </w:r>
      <w:proofErr w:type="spellStart"/>
      <w:r w:rsidRPr="001A5DCF">
        <w:rPr>
          <w:rFonts w:ascii="Times New Roman" w:eastAsia="MS Mincho" w:hAnsi="Times New Roman"/>
          <w:sz w:val="22"/>
          <w:szCs w:val="22"/>
        </w:rPr>
        <w:t>Pasuy</w:t>
      </w:r>
      <w:proofErr w:type="spellEnd"/>
    </w:p>
    <w:p w14:paraId="3F4BE721" w14:textId="77777777" w:rsidR="004F4A82" w:rsidRPr="001A5DCF" w:rsidRDefault="004F4A82" w:rsidP="004F4A82">
      <w:pPr>
        <w:pStyle w:val="Textosinformato"/>
        <w:spacing w:after="240"/>
        <w:jc w:val="center"/>
        <w:rPr>
          <w:rFonts w:ascii="Times New Roman" w:eastAsia="MS Mincho" w:hAnsi="Times New Roman"/>
          <w:b/>
          <w:bCs/>
          <w:sz w:val="22"/>
          <w:szCs w:val="22"/>
        </w:rPr>
      </w:pPr>
      <w:r w:rsidRPr="001A5DCF">
        <w:rPr>
          <w:rFonts w:ascii="Times New Roman" w:eastAsia="MS Mincho" w:hAnsi="Times New Roman"/>
          <w:b/>
          <w:bCs/>
          <w:sz w:val="22"/>
          <w:szCs w:val="22"/>
        </w:rPr>
        <w:t>SECRETARIA GENERAL DEL CONCEJO METROPOLITANO DE QUITO (E)</w:t>
      </w:r>
    </w:p>
    <w:p w14:paraId="28FFDF2A" w14:textId="77777777" w:rsidR="0049591B" w:rsidRPr="001A5DCF" w:rsidRDefault="0049591B" w:rsidP="0049591B">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1A5DCF">
        <w:rPr>
          <w:rFonts w:ascii="Times New Roman" w:eastAsia="MS Mincho" w:hAnsi="Times New Roman"/>
          <w:b/>
          <w:bCs/>
          <w:sz w:val="22"/>
          <w:szCs w:val="22"/>
        </w:rPr>
        <w:t>CERTIFICADO DE DISCUSIÓN</w:t>
      </w:r>
    </w:p>
    <w:p w14:paraId="7B211C2E" w14:textId="77777777" w:rsidR="0049591B" w:rsidRPr="001A5DCF" w:rsidRDefault="0049591B" w:rsidP="0049591B">
      <w:pPr>
        <w:pStyle w:val="Textosinformato"/>
        <w:jc w:val="center"/>
        <w:rPr>
          <w:rFonts w:ascii="Times New Roman" w:eastAsia="MS Mincho" w:hAnsi="Times New Roman"/>
          <w:sz w:val="22"/>
          <w:szCs w:val="22"/>
        </w:rPr>
      </w:pPr>
    </w:p>
    <w:p w14:paraId="40430D51" w14:textId="77777777" w:rsidR="0049591B" w:rsidRPr="001A5DCF" w:rsidRDefault="0049591B" w:rsidP="0049591B">
      <w:pPr>
        <w:pStyle w:val="Textosinformato"/>
        <w:spacing w:line="276" w:lineRule="auto"/>
        <w:jc w:val="center"/>
        <w:rPr>
          <w:rFonts w:ascii="Times New Roman" w:eastAsia="MS Mincho" w:hAnsi="Times New Roman"/>
          <w:sz w:val="22"/>
          <w:szCs w:val="22"/>
        </w:rPr>
      </w:pPr>
    </w:p>
    <w:p w14:paraId="6762B8F6" w14:textId="064C1B03" w:rsidR="0049591B" w:rsidRPr="001A5DCF" w:rsidRDefault="0049591B" w:rsidP="0049591B">
      <w:pPr>
        <w:pStyle w:val="Textosinformato"/>
        <w:spacing w:line="276" w:lineRule="auto"/>
        <w:jc w:val="center"/>
        <w:rPr>
          <w:rFonts w:ascii="Times New Roman" w:eastAsia="MS Mincho" w:hAnsi="Times New Roman"/>
          <w:sz w:val="22"/>
          <w:szCs w:val="22"/>
        </w:rPr>
      </w:pPr>
      <w:r w:rsidRPr="001A5DCF">
        <w:rPr>
          <w:rFonts w:ascii="Times New Roman" w:eastAsia="MS Mincho" w:hAnsi="Times New Roman"/>
          <w:sz w:val="22"/>
          <w:szCs w:val="22"/>
        </w:rPr>
        <w:t>La infrascrita Secretaria General del Concejo Metropolitano de Quito, certifica que la presente ordenanza fue discutida y aprobada en dos debates, en sesiones de …</w:t>
      </w:r>
      <w:proofErr w:type="gramStart"/>
      <w:r w:rsidRPr="001A5DCF">
        <w:rPr>
          <w:rFonts w:ascii="Times New Roman" w:eastAsia="MS Mincho" w:hAnsi="Times New Roman"/>
          <w:sz w:val="22"/>
          <w:szCs w:val="22"/>
        </w:rPr>
        <w:t>..de</w:t>
      </w:r>
      <w:proofErr w:type="gramEnd"/>
      <w:r w:rsidRPr="001A5DCF">
        <w:rPr>
          <w:rFonts w:ascii="Times New Roman" w:eastAsia="MS Mincho" w:hAnsi="Times New Roman"/>
          <w:sz w:val="22"/>
          <w:szCs w:val="22"/>
        </w:rPr>
        <w:t xml:space="preserve"> ……..  </w:t>
      </w:r>
      <w:proofErr w:type="gramStart"/>
      <w:r w:rsidRPr="001A5DCF">
        <w:rPr>
          <w:rFonts w:ascii="Times New Roman" w:eastAsia="MS Mincho" w:hAnsi="Times New Roman"/>
          <w:sz w:val="22"/>
          <w:szCs w:val="22"/>
        </w:rPr>
        <w:t>y</w:t>
      </w:r>
      <w:proofErr w:type="gramEnd"/>
      <w:r w:rsidRPr="001A5DCF">
        <w:rPr>
          <w:rFonts w:ascii="Times New Roman" w:eastAsia="MS Mincho" w:hAnsi="Times New Roman"/>
          <w:sz w:val="22"/>
          <w:szCs w:val="22"/>
        </w:rPr>
        <w:t xml:space="preserve"> ….. </w:t>
      </w:r>
      <w:proofErr w:type="gramStart"/>
      <w:r w:rsidRPr="001A5DCF">
        <w:rPr>
          <w:rFonts w:ascii="Times New Roman" w:eastAsia="MS Mincho" w:hAnsi="Times New Roman"/>
          <w:sz w:val="22"/>
          <w:szCs w:val="22"/>
        </w:rPr>
        <w:t>de</w:t>
      </w:r>
      <w:proofErr w:type="gramEnd"/>
      <w:r w:rsidRPr="001A5DCF">
        <w:rPr>
          <w:rFonts w:ascii="Times New Roman" w:eastAsia="MS Mincho" w:hAnsi="Times New Roman"/>
          <w:sz w:val="22"/>
          <w:szCs w:val="22"/>
        </w:rPr>
        <w:t xml:space="preserve"> …………. de </w:t>
      </w:r>
      <w:r w:rsidR="00466586" w:rsidRPr="001A5DCF">
        <w:rPr>
          <w:rFonts w:ascii="Times New Roman" w:eastAsia="MS Mincho" w:hAnsi="Times New Roman"/>
          <w:sz w:val="22"/>
          <w:szCs w:val="22"/>
        </w:rPr>
        <w:t>2020</w:t>
      </w:r>
      <w:r w:rsidR="00CD76B5">
        <w:rPr>
          <w:rFonts w:ascii="Times New Roman" w:eastAsia="MS Mincho" w:hAnsi="Times New Roman"/>
          <w:sz w:val="22"/>
          <w:szCs w:val="22"/>
        </w:rPr>
        <w:t xml:space="preserve"> </w:t>
      </w:r>
      <w:r w:rsidRPr="001A5DCF">
        <w:rPr>
          <w:rFonts w:ascii="Times New Roman" w:eastAsia="MS Mincho" w:hAnsi="Times New Roman"/>
          <w:sz w:val="22"/>
          <w:szCs w:val="22"/>
        </w:rPr>
        <w:t>- Quito,</w:t>
      </w:r>
    </w:p>
    <w:p w14:paraId="515E9BB8" w14:textId="77777777" w:rsidR="0049591B" w:rsidRPr="001A5DCF" w:rsidRDefault="0049591B" w:rsidP="0049591B">
      <w:pPr>
        <w:pStyle w:val="Textosinformato"/>
        <w:jc w:val="center"/>
        <w:rPr>
          <w:rFonts w:ascii="Times New Roman" w:eastAsia="MS Mincho" w:hAnsi="Times New Roman"/>
          <w:sz w:val="22"/>
          <w:szCs w:val="22"/>
        </w:rPr>
      </w:pPr>
    </w:p>
    <w:p w14:paraId="3588C054" w14:textId="77777777" w:rsidR="0049591B" w:rsidRPr="001A5DCF" w:rsidRDefault="0049591B" w:rsidP="0049591B">
      <w:pPr>
        <w:pStyle w:val="Textosinformato"/>
        <w:rPr>
          <w:rFonts w:ascii="Times New Roman" w:eastAsia="MS Mincho" w:hAnsi="Times New Roman"/>
          <w:sz w:val="22"/>
          <w:szCs w:val="22"/>
        </w:rPr>
      </w:pPr>
    </w:p>
    <w:p w14:paraId="5A47323A" w14:textId="77777777" w:rsidR="0049591B" w:rsidRPr="001A5DCF" w:rsidRDefault="0049591B" w:rsidP="0049591B">
      <w:pPr>
        <w:pStyle w:val="Textosinformato"/>
        <w:jc w:val="center"/>
        <w:rPr>
          <w:rFonts w:ascii="Times New Roman" w:eastAsia="MS Mincho" w:hAnsi="Times New Roman"/>
          <w:sz w:val="22"/>
          <w:szCs w:val="22"/>
        </w:rPr>
      </w:pPr>
    </w:p>
    <w:p w14:paraId="785EC17F" w14:textId="77777777" w:rsidR="004F4A82" w:rsidRPr="001A5DCF" w:rsidRDefault="004F4A82" w:rsidP="0049591B">
      <w:pPr>
        <w:pStyle w:val="Textosinformato"/>
        <w:jc w:val="center"/>
        <w:rPr>
          <w:rFonts w:ascii="Times New Roman" w:eastAsia="MS Mincho" w:hAnsi="Times New Roman"/>
          <w:sz w:val="22"/>
          <w:szCs w:val="22"/>
        </w:rPr>
      </w:pPr>
    </w:p>
    <w:p w14:paraId="66320A96" w14:textId="77777777" w:rsidR="00945614" w:rsidRPr="001A5DCF" w:rsidRDefault="00945614" w:rsidP="00945614">
      <w:pPr>
        <w:pStyle w:val="Textosinformato"/>
        <w:jc w:val="center"/>
        <w:rPr>
          <w:rFonts w:ascii="Times New Roman" w:eastAsia="MS Mincho" w:hAnsi="Times New Roman"/>
          <w:sz w:val="22"/>
          <w:szCs w:val="22"/>
        </w:rPr>
      </w:pPr>
      <w:r w:rsidRPr="001A5DCF">
        <w:rPr>
          <w:rFonts w:ascii="Times New Roman" w:eastAsia="MS Mincho" w:hAnsi="Times New Roman"/>
          <w:sz w:val="22"/>
          <w:szCs w:val="22"/>
        </w:rPr>
        <w:t xml:space="preserve">Abg. Damaris Priscila </w:t>
      </w:r>
      <w:proofErr w:type="spellStart"/>
      <w:r w:rsidRPr="001A5DCF">
        <w:rPr>
          <w:rFonts w:ascii="Times New Roman" w:eastAsia="MS Mincho" w:hAnsi="Times New Roman"/>
          <w:sz w:val="22"/>
          <w:szCs w:val="22"/>
        </w:rPr>
        <w:t>Ortíz</w:t>
      </w:r>
      <w:proofErr w:type="spellEnd"/>
      <w:r w:rsidRPr="001A5DCF">
        <w:rPr>
          <w:rFonts w:ascii="Times New Roman" w:eastAsia="MS Mincho" w:hAnsi="Times New Roman"/>
          <w:sz w:val="22"/>
          <w:szCs w:val="22"/>
        </w:rPr>
        <w:t xml:space="preserve"> </w:t>
      </w:r>
      <w:proofErr w:type="spellStart"/>
      <w:r w:rsidRPr="001A5DCF">
        <w:rPr>
          <w:rFonts w:ascii="Times New Roman" w:eastAsia="MS Mincho" w:hAnsi="Times New Roman"/>
          <w:sz w:val="22"/>
          <w:szCs w:val="22"/>
        </w:rPr>
        <w:t>Pasuy</w:t>
      </w:r>
      <w:proofErr w:type="spellEnd"/>
    </w:p>
    <w:p w14:paraId="28CD1A99" w14:textId="77777777" w:rsidR="00945614" w:rsidRPr="001A5DCF" w:rsidRDefault="00945614" w:rsidP="00945614">
      <w:pPr>
        <w:pStyle w:val="Textosinformato"/>
        <w:spacing w:after="240"/>
        <w:jc w:val="center"/>
        <w:rPr>
          <w:rFonts w:ascii="Times New Roman" w:eastAsia="MS Mincho" w:hAnsi="Times New Roman"/>
          <w:b/>
          <w:bCs/>
          <w:sz w:val="22"/>
          <w:szCs w:val="22"/>
        </w:rPr>
      </w:pPr>
      <w:r w:rsidRPr="001A5DCF">
        <w:rPr>
          <w:rFonts w:ascii="Times New Roman" w:eastAsia="MS Mincho" w:hAnsi="Times New Roman"/>
          <w:b/>
          <w:bCs/>
          <w:sz w:val="22"/>
          <w:szCs w:val="22"/>
        </w:rPr>
        <w:t>SECRETARIA GENERAL DEL CONCEJO METROPOLITANO DE QUITO (E)</w:t>
      </w:r>
    </w:p>
    <w:p w14:paraId="5F822DF5" w14:textId="77777777" w:rsidR="0049591B" w:rsidRPr="001A5DCF" w:rsidRDefault="0049591B" w:rsidP="0049591B">
      <w:pPr>
        <w:pStyle w:val="Textosinformato"/>
        <w:jc w:val="center"/>
        <w:rPr>
          <w:rFonts w:ascii="Times New Roman" w:eastAsia="MS Mincho" w:hAnsi="Times New Roman"/>
          <w:sz w:val="22"/>
          <w:szCs w:val="22"/>
        </w:rPr>
      </w:pPr>
    </w:p>
    <w:p w14:paraId="2029E9B2" w14:textId="77777777" w:rsidR="0049591B" w:rsidRPr="001A5DCF" w:rsidRDefault="0049591B" w:rsidP="0049591B">
      <w:pPr>
        <w:pStyle w:val="Textosinformato"/>
        <w:jc w:val="center"/>
        <w:rPr>
          <w:rFonts w:ascii="Times New Roman" w:eastAsia="MS Mincho" w:hAnsi="Times New Roman"/>
          <w:sz w:val="22"/>
          <w:szCs w:val="22"/>
        </w:rPr>
      </w:pPr>
      <w:r w:rsidRPr="001A5DCF">
        <w:rPr>
          <w:rFonts w:ascii="Times New Roman" w:eastAsia="MS Mincho" w:hAnsi="Times New Roman"/>
          <w:b/>
          <w:bCs/>
          <w:sz w:val="22"/>
          <w:szCs w:val="22"/>
        </w:rPr>
        <w:t>ALCALDÍA DEL DISTRITO METROPOLITANO. -</w:t>
      </w:r>
      <w:r w:rsidRPr="001A5DCF">
        <w:rPr>
          <w:rFonts w:ascii="Times New Roman" w:eastAsia="MS Mincho" w:hAnsi="Times New Roman"/>
          <w:sz w:val="22"/>
          <w:szCs w:val="22"/>
        </w:rPr>
        <w:t xml:space="preserve">  Distrito Metropolitano de Quito,</w:t>
      </w:r>
    </w:p>
    <w:p w14:paraId="02F71567" w14:textId="77777777" w:rsidR="0049591B" w:rsidRPr="001A5DCF" w:rsidRDefault="0049591B" w:rsidP="0049591B">
      <w:pPr>
        <w:pStyle w:val="Textosinformato"/>
        <w:jc w:val="center"/>
        <w:rPr>
          <w:rFonts w:ascii="Times New Roman" w:eastAsia="MS Mincho" w:hAnsi="Times New Roman"/>
          <w:b/>
          <w:sz w:val="22"/>
          <w:szCs w:val="22"/>
        </w:rPr>
      </w:pPr>
    </w:p>
    <w:p w14:paraId="5BFCCBAF" w14:textId="77777777" w:rsidR="0049591B" w:rsidRPr="001A5DCF" w:rsidRDefault="0049591B" w:rsidP="0049591B">
      <w:pPr>
        <w:pStyle w:val="Textosinformato"/>
        <w:spacing w:after="480"/>
        <w:jc w:val="center"/>
        <w:rPr>
          <w:rFonts w:ascii="Times New Roman" w:eastAsia="MS Mincho" w:hAnsi="Times New Roman"/>
          <w:b/>
          <w:sz w:val="22"/>
          <w:szCs w:val="22"/>
        </w:rPr>
      </w:pPr>
      <w:r w:rsidRPr="001A5DCF">
        <w:rPr>
          <w:rFonts w:ascii="Times New Roman" w:eastAsia="MS Mincho" w:hAnsi="Times New Roman"/>
          <w:b/>
          <w:sz w:val="22"/>
          <w:szCs w:val="22"/>
        </w:rPr>
        <w:t>EJECÚTESE:</w:t>
      </w:r>
    </w:p>
    <w:p w14:paraId="0C1EEC6B" w14:textId="77777777" w:rsidR="0049591B" w:rsidRPr="001A5DCF" w:rsidRDefault="0049591B" w:rsidP="0049591B">
      <w:pPr>
        <w:pStyle w:val="Textosinformato"/>
        <w:jc w:val="center"/>
        <w:rPr>
          <w:rFonts w:ascii="Times New Roman" w:eastAsia="MS Mincho" w:hAnsi="Times New Roman"/>
          <w:sz w:val="22"/>
          <w:szCs w:val="22"/>
        </w:rPr>
      </w:pPr>
    </w:p>
    <w:p w14:paraId="1960884F" w14:textId="77777777" w:rsidR="0049591B" w:rsidRPr="001A5DCF" w:rsidRDefault="0049591B" w:rsidP="0049591B">
      <w:pPr>
        <w:pStyle w:val="Textosinformato"/>
        <w:jc w:val="center"/>
        <w:rPr>
          <w:rFonts w:ascii="Times New Roman" w:eastAsia="MS Mincho" w:hAnsi="Times New Roman"/>
          <w:sz w:val="22"/>
          <w:szCs w:val="22"/>
        </w:rPr>
      </w:pPr>
      <w:r w:rsidRPr="001A5DCF">
        <w:rPr>
          <w:rFonts w:ascii="Times New Roman" w:eastAsia="MS Mincho" w:hAnsi="Times New Roman"/>
          <w:sz w:val="22"/>
          <w:szCs w:val="22"/>
        </w:rPr>
        <w:t xml:space="preserve">Dr. Jorge </w:t>
      </w:r>
      <w:proofErr w:type="spellStart"/>
      <w:r w:rsidRPr="001A5DCF">
        <w:rPr>
          <w:rFonts w:ascii="Times New Roman" w:eastAsia="MS Mincho" w:hAnsi="Times New Roman"/>
          <w:sz w:val="22"/>
          <w:szCs w:val="22"/>
        </w:rPr>
        <w:t>Yunda</w:t>
      </w:r>
      <w:proofErr w:type="spellEnd"/>
      <w:r w:rsidRPr="001A5DCF">
        <w:rPr>
          <w:rFonts w:ascii="Times New Roman" w:eastAsia="MS Mincho" w:hAnsi="Times New Roman"/>
          <w:sz w:val="22"/>
          <w:szCs w:val="22"/>
        </w:rPr>
        <w:t xml:space="preserve"> Machado</w:t>
      </w:r>
    </w:p>
    <w:p w14:paraId="275A0476" w14:textId="77777777" w:rsidR="0049591B" w:rsidRPr="001A5DCF" w:rsidRDefault="0049591B" w:rsidP="0049591B">
      <w:pPr>
        <w:pStyle w:val="Textosinformato"/>
        <w:jc w:val="center"/>
        <w:rPr>
          <w:rFonts w:ascii="Times New Roman" w:eastAsia="MS Mincho" w:hAnsi="Times New Roman"/>
          <w:b/>
          <w:bCs/>
          <w:sz w:val="22"/>
          <w:szCs w:val="22"/>
        </w:rPr>
      </w:pPr>
      <w:r w:rsidRPr="001A5DCF">
        <w:rPr>
          <w:rFonts w:ascii="Times New Roman" w:eastAsia="MS Mincho" w:hAnsi="Times New Roman"/>
          <w:b/>
          <w:bCs/>
          <w:sz w:val="22"/>
          <w:szCs w:val="22"/>
        </w:rPr>
        <w:t>ALCALDE DEL DISTRITO METROPOLITANO DE QUITO</w:t>
      </w:r>
    </w:p>
    <w:p w14:paraId="4369DA77" w14:textId="77777777" w:rsidR="0049591B" w:rsidRPr="001A5DCF" w:rsidRDefault="0049591B" w:rsidP="0049591B">
      <w:pPr>
        <w:pStyle w:val="Textosinformato"/>
        <w:jc w:val="center"/>
        <w:rPr>
          <w:rFonts w:ascii="Times New Roman" w:eastAsia="MS Mincho" w:hAnsi="Times New Roman"/>
          <w:sz w:val="22"/>
          <w:szCs w:val="22"/>
        </w:rPr>
      </w:pPr>
    </w:p>
    <w:p w14:paraId="380B76F0" w14:textId="77777777" w:rsidR="002905FB" w:rsidRPr="001A5DCF" w:rsidRDefault="0049591B" w:rsidP="002905FB">
      <w:pPr>
        <w:pStyle w:val="Textosinformato"/>
        <w:jc w:val="center"/>
        <w:rPr>
          <w:rFonts w:ascii="Times New Roman" w:eastAsia="MS Mincho" w:hAnsi="Times New Roman"/>
          <w:sz w:val="22"/>
          <w:szCs w:val="22"/>
        </w:rPr>
      </w:pPr>
      <w:r w:rsidRPr="001A5DCF">
        <w:rPr>
          <w:rFonts w:ascii="Times New Roman" w:eastAsia="MS Mincho" w:hAnsi="Times New Roman"/>
          <w:b/>
          <w:bCs/>
          <w:sz w:val="22"/>
          <w:szCs w:val="22"/>
        </w:rPr>
        <w:t>CERTIFICO,</w:t>
      </w:r>
      <w:r w:rsidRPr="001A5DCF">
        <w:rPr>
          <w:rFonts w:ascii="Times New Roman" w:eastAsia="MS Mincho" w:hAnsi="Times New Roman"/>
          <w:sz w:val="22"/>
          <w:szCs w:val="22"/>
        </w:rPr>
        <w:t xml:space="preserve"> que la presente ordenanza fue sancionada por el Dr. Jorge </w:t>
      </w:r>
      <w:proofErr w:type="spellStart"/>
      <w:r w:rsidRPr="001A5DCF">
        <w:rPr>
          <w:rFonts w:ascii="Times New Roman" w:eastAsia="MS Mincho" w:hAnsi="Times New Roman"/>
          <w:sz w:val="22"/>
          <w:szCs w:val="22"/>
        </w:rPr>
        <w:t>Yunda</w:t>
      </w:r>
      <w:proofErr w:type="spellEnd"/>
      <w:r w:rsidRPr="001A5DCF">
        <w:rPr>
          <w:rFonts w:ascii="Times New Roman" w:eastAsia="MS Mincho" w:hAnsi="Times New Roman"/>
          <w:sz w:val="22"/>
          <w:szCs w:val="22"/>
        </w:rPr>
        <w:t xml:space="preserve"> Machado,</w:t>
      </w:r>
    </w:p>
    <w:p w14:paraId="56A06678" w14:textId="6CFAE6F3" w:rsidR="0049591B" w:rsidRPr="001A5DCF" w:rsidRDefault="0049591B" w:rsidP="002905FB">
      <w:pPr>
        <w:pStyle w:val="Textosinformato"/>
        <w:jc w:val="center"/>
        <w:rPr>
          <w:rFonts w:ascii="Times New Roman" w:eastAsia="MS Mincho" w:hAnsi="Times New Roman"/>
          <w:sz w:val="22"/>
          <w:szCs w:val="22"/>
        </w:rPr>
      </w:pPr>
      <w:r w:rsidRPr="001A5DCF">
        <w:rPr>
          <w:rFonts w:ascii="Times New Roman" w:eastAsia="MS Mincho" w:hAnsi="Times New Roman"/>
          <w:sz w:val="22"/>
          <w:szCs w:val="22"/>
        </w:rPr>
        <w:t xml:space="preserve"> Alcalde del Distrito Metropolitano de Quito, el</w:t>
      </w:r>
    </w:p>
    <w:p w14:paraId="6287F9D6" w14:textId="77777777" w:rsidR="00AD3778" w:rsidRPr="001A5DCF" w:rsidRDefault="0049591B" w:rsidP="0015234A">
      <w:pPr>
        <w:pStyle w:val="Textosinformato"/>
        <w:tabs>
          <w:tab w:val="right" w:pos="8504"/>
        </w:tabs>
        <w:spacing w:line="276" w:lineRule="auto"/>
        <w:jc w:val="center"/>
        <w:rPr>
          <w:rFonts w:ascii="Times New Roman" w:eastAsia="MS Mincho" w:hAnsi="Times New Roman"/>
          <w:b/>
          <w:bCs/>
          <w:sz w:val="22"/>
          <w:szCs w:val="22"/>
        </w:rPr>
      </w:pPr>
      <w:r w:rsidRPr="001A5DCF">
        <w:rPr>
          <w:rFonts w:ascii="Times New Roman" w:eastAsia="MS Mincho" w:hAnsi="Times New Roman"/>
          <w:sz w:val="22"/>
          <w:szCs w:val="22"/>
        </w:rPr>
        <w:t xml:space="preserve">.- </w:t>
      </w:r>
      <w:r w:rsidR="0015234A" w:rsidRPr="001A5DCF">
        <w:rPr>
          <w:rFonts w:ascii="Times New Roman" w:eastAsia="MS Mincho" w:hAnsi="Times New Roman"/>
          <w:sz w:val="22"/>
          <w:szCs w:val="22"/>
        </w:rPr>
        <w:t>Distrito Metropolitano de Quito</w:t>
      </w:r>
    </w:p>
    <w:sectPr w:rsidR="00AD3778" w:rsidRPr="001A5DCF" w:rsidSect="00AD3778">
      <w:headerReference w:type="even" r:id="rId13"/>
      <w:headerReference w:type="default" r:id="rId14"/>
      <w:footerReference w:type="default" r:id="rId15"/>
      <w:headerReference w:type="first" r:id="rId16"/>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86F5A" w14:textId="77777777" w:rsidR="003E390D" w:rsidRDefault="003E390D">
      <w:r>
        <w:separator/>
      </w:r>
    </w:p>
  </w:endnote>
  <w:endnote w:type="continuationSeparator" w:id="0">
    <w:p w14:paraId="6E4F369F" w14:textId="77777777" w:rsidR="003E390D" w:rsidRDefault="003E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2245" w14:textId="18EC66C6" w:rsidR="009767B8" w:rsidRDefault="009767B8">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60142">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60142">
      <w:rPr>
        <w:b/>
        <w:noProof/>
      </w:rPr>
      <w:t>14</w:t>
    </w:r>
    <w:r>
      <w:rPr>
        <w:b/>
        <w:sz w:val="24"/>
        <w:szCs w:val="24"/>
      </w:rPr>
      <w:fldChar w:fldCharType="end"/>
    </w:r>
  </w:p>
  <w:p w14:paraId="7B8D6942" w14:textId="77777777" w:rsidR="009767B8" w:rsidRDefault="009767B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C2C33" w14:textId="6BF415FF" w:rsidR="009767B8" w:rsidRDefault="009767B8">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60142">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60142">
      <w:rPr>
        <w:b/>
        <w:noProof/>
      </w:rPr>
      <w:t>14</w:t>
    </w:r>
    <w:r>
      <w:rPr>
        <w:b/>
        <w:sz w:val="24"/>
        <w:szCs w:val="24"/>
      </w:rPr>
      <w:fldChar w:fldCharType="end"/>
    </w:r>
  </w:p>
  <w:p w14:paraId="68D86708" w14:textId="77777777" w:rsidR="009767B8" w:rsidRDefault="009767B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E5D5D" w14:textId="3D6A6F9A" w:rsidR="009767B8" w:rsidRDefault="009767B8">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160142">
      <w:rPr>
        <w:b/>
        <w:noProof/>
      </w:rPr>
      <w:t>14</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60142">
      <w:rPr>
        <w:b/>
        <w:noProof/>
      </w:rPr>
      <w:t>14</w:t>
    </w:r>
    <w:r>
      <w:rPr>
        <w:b/>
        <w:sz w:val="24"/>
        <w:szCs w:val="24"/>
      </w:rPr>
      <w:fldChar w:fldCharType="end"/>
    </w:r>
  </w:p>
  <w:p w14:paraId="44D059AE" w14:textId="77777777" w:rsidR="009767B8" w:rsidRDefault="009767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313A5" w14:textId="77777777" w:rsidR="003E390D" w:rsidRDefault="003E390D">
      <w:r>
        <w:separator/>
      </w:r>
    </w:p>
  </w:footnote>
  <w:footnote w:type="continuationSeparator" w:id="0">
    <w:p w14:paraId="65A0D4E2" w14:textId="77777777" w:rsidR="003E390D" w:rsidRDefault="003E3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28267" w14:textId="3BA22C8F" w:rsidR="00B2490B" w:rsidRDefault="003E390D">
    <w:pPr>
      <w:pStyle w:val="Encabezado"/>
    </w:pPr>
    <w:r>
      <w:rPr>
        <w:noProof/>
      </w:rPr>
      <w:pict w14:anchorId="47770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14954" o:spid="_x0000_s2050" type="#_x0000_t136" style="position:absolute;margin-left:0;margin-top:0;width:807.75pt;height:43.5pt;rotation:315;z-index:-251655168;mso-position-horizontal:center;mso-position-horizontal-relative:margin;mso-position-vertical:center;mso-position-vertical-relative:margin" o:allowincell="f" fillcolor="#747070 [1614]" stroked="f">
          <v:fill opacity=".5"/>
          <v:textpath style="font-family:&quot;Arial&quot;;font-size:38pt" string="Aprobado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0CAC2" w14:textId="2BD179EA" w:rsidR="009767B8" w:rsidRDefault="003E390D">
    <w:pPr>
      <w:pStyle w:val="Encabezado"/>
      <w:rPr>
        <w:lang w:val="es-EC"/>
      </w:rPr>
    </w:pPr>
    <w:r>
      <w:rPr>
        <w:noProof/>
      </w:rPr>
      <w:pict w14:anchorId="149B7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14955" o:spid="_x0000_s2051" type="#_x0000_t136" style="position:absolute;margin-left:0;margin-top:0;width:807.75pt;height:43.5pt;rotation:315;z-index:-251653120;mso-position-horizontal:center;mso-position-horizontal-relative:margin;mso-position-vertical:center;mso-position-vertical-relative:margin" o:allowincell="f" fillcolor="#747070 [1614]" stroked="f">
          <v:fill opacity=".5"/>
          <v:textpath style="font-family:&quot;Arial&quot;;font-size:38pt" string="Aprobado Comisión de Ordenamiento Territorial"/>
          <w10:wrap anchorx="margin" anchory="margin"/>
        </v:shape>
      </w:pict>
    </w:r>
  </w:p>
  <w:p w14:paraId="7FEF6B02" w14:textId="77777777" w:rsidR="009767B8" w:rsidRDefault="009767B8">
    <w:pPr>
      <w:pStyle w:val="Encabezado"/>
      <w:rPr>
        <w:lang w:val="es-EC"/>
      </w:rPr>
    </w:pPr>
  </w:p>
  <w:p w14:paraId="1EE939B8" w14:textId="77777777" w:rsidR="009767B8" w:rsidRDefault="009767B8">
    <w:pPr>
      <w:pStyle w:val="Encabezado"/>
      <w:rPr>
        <w:lang w:val="es-EC"/>
      </w:rPr>
    </w:pPr>
  </w:p>
  <w:p w14:paraId="74580369" w14:textId="77777777" w:rsidR="009767B8" w:rsidRDefault="009767B8">
    <w:pPr>
      <w:pStyle w:val="Encabezado"/>
      <w:rPr>
        <w:lang w:val="es-EC"/>
      </w:rPr>
    </w:pPr>
  </w:p>
  <w:p w14:paraId="6F87BC7E" w14:textId="77777777" w:rsidR="009767B8" w:rsidRDefault="009767B8" w:rsidP="00AD3778">
    <w:pPr>
      <w:pStyle w:val="a"/>
      <w:rPr>
        <w:rFonts w:ascii="Palatino Linotype" w:hAnsi="Palatino Linotype" w:cs="Arial"/>
        <w:sz w:val="22"/>
        <w:szCs w:val="22"/>
      </w:rPr>
    </w:pPr>
  </w:p>
  <w:p w14:paraId="45571699" w14:textId="77777777" w:rsidR="009767B8" w:rsidRDefault="009767B8" w:rsidP="00AD3778">
    <w:pPr>
      <w:pStyle w:val="a"/>
      <w:rPr>
        <w:rFonts w:ascii="Palatino Linotype" w:hAnsi="Palatino Linotype" w:cs="Arial"/>
        <w:sz w:val="22"/>
        <w:szCs w:val="22"/>
      </w:rPr>
    </w:pPr>
  </w:p>
  <w:p w14:paraId="390AC9EB" w14:textId="77777777" w:rsidR="009767B8" w:rsidRDefault="009767B8" w:rsidP="00AD3778">
    <w:pPr>
      <w:pStyle w:val="a"/>
      <w:rPr>
        <w:rFonts w:ascii="Palatino Linotype" w:hAnsi="Palatino Linotype" w:cs="Arial"/>
        <w:sz w:val="22"/>
        <w:szCs w:val="22"/>
      </w:rPr>
    </w:pPr>
  </w:p>
  <w:p w14:paraId="6DF10A25" w14:textId="77777777" w:rsidR="009767B8" w:rsidRDefault="009767B8" w:rsidP="00AD3778">
    <w:pPr>
      <w:pStyle w:val="a"/>
      <w:rPr>
        <w:rFonts w:ascii="Palatino Linotype" w:hAnsi="Palatino Linotype" w:cs="Arial"/>
        <w:sz w:val="22"/>
        <w:szCs w:val="22"/>
      </w:rPr>
    </w:pPr>
  </w:p>
  <w:p w14:paraId="531F1C1C" w14:textId="77777777" w:rsidR="009767B8" w:rsidRPr="00476B21" w:rsidRDefault="009767B8"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6B8642F3" w14:textId="77777777" w:rsidR="009767B8" w:rsidRPr="00150606" w:rsidRDefault="009767B8">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94D54" w14:textId="11480395" w:rsidR="00B2490B" w:rsidRDefault="003E390D">
    <w:pPr>
      <w:pStyle w:val="Encabezado"/>
    </w:pPr>
    <w:r>
      <w:rPr>
        <w:noProof/>
      </w:rPr>
      <w:pict w14:anchorId="44768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14953" o:spid="_x0000_s2049" type="#_x0000_t136" style="position:absolute;margin-left:0;margin-top:0;width:807.75pt;height:43.5pt;rotation:315;z-index:-251657216;mso-position-horizontal:center;mso-position-horizontal-relative:margin;mso-position-vertical:center;mso-position-vertical-relative:margin" o:allowincell="f" fillcolor="#747070 [1614]" stroked="f">
          <v:fill opacity=".5"/>
          <v:textpath style="font-family:&quot;Arial&quot;;font-size:38pt" string="Aprobado Comisión de Ordenamiento Territor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F4EE2" w14:textId="72A2636C" w:rsidR="009767B8" w:rsidRDefault="003E390D">
    <w:pPr>
      <w:pStyle w:val="Encabezado"/>
    </w:pPr>
    <w:r>
      <w:rPr>
        <w:noProof/>
      </w:rPr>
      <w:pict w14:anchorId="79FCCF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14957" o:spid="_x0000_s2053" type="#_x0000_t136" style="position:absolute;margin-left:0;margin-top:0;width:807.75pt;height:43.5pt;rotation:315;z-index:-251649024;mso-position-horizontal:center;mso-position-horizontal-relative:margin;mso-position-vertical:center;mso-position-vertical-relative:margin" o:allowincell="f" fillcolor="#747070 [1614]" stroked="f">
          <v:fill opacity=".5"/>
          <v:textpath style="font-family:&quot;Arial&quot;;font-size:38pt" string="Aprobado Comisión de Ordenamiento Territor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2FA63" w14:textId="36CA9C22" w:rsidR="009767B8" w:rsidRDefault="003E390D" w:rsidP="009243E2">
    <w:pPr>
      <w:pStyle w:val="a"/>
      <w:jc w:val="left"/>
      <w:rPr>
        <w:rFonts w:ascii="Palatino Linotype" w:hAnsi="Palatino Linotype" w:cs="Arial"/>
        <w:sz w:val="22"/>
        <w:szCs w:val="22"/>
      </w:rPr>
    </w:pPr>
    <w:r>
      <w:rPr>
        <w:noProof/>
      </w:rPr>
      <w:pict w14:anchorId="126E9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14958" o:spid="_x0000_s2054" type="#_x0000_t136" style="position:absolute;margin-left:0;margin-top:0;width:807.75pt;height:43.5pt;rotation:315;z-index:-251646976;mso-position-horizontal:center;mso-position-horizontal-relative:margin;mso-position-vertical:center;mso-position-vertical-relative:margin" o:allowincell="f" fillcolor="#747070 [1614]" stroked="f">
          <v:fill opacity=".5"/>
          <v:textpath style="font-family:&quot;Arial&quot;;font-size:38pt" string="Aprobado Comisión de Ordenamiento Territorial"/>
          <w10:wrap anchorx="margin" anchory="margin"/>
        </v:shape>
      </w:pict>
    </w:r>
  </w:p>
  <w:p w14:paraId="7A7C97FB" w14:textId="77777777" w:rsidR="009767B8" w:rsidRDefault="009767B8" w:rsidP="00AD3778">
    <w:pPr>
      <w:pStyle w:val="a"/>
      <w:rPr>
        <w:rFonts w:ascii="Palatino Linotype" w:hAnsi="Palatino Linotype" w:cs="Arial"/>
        <w:sz w:val="22"/>
        <w:szCs w:val="22"/>
      </w:rPr>
    </w:pPr>
  </w:p>
  <w:p w14:paraId="18DF674E" w14:textId="77777777" w:rsidR="009767B8" w:rsidRDefault="009767B8" w:rsidP="00AD3778">
    <w:pPr>
      <w:pStyle w:val="a"/>
      <w:rPr>
        <w:rFonts w:ascii="Palatino Linotype" w:hAnsi="Palatino Linotype" w:cs="Arial"/>
        <w:sz w:val="22"/>
        <w:szCs w:val="22"/>
      </w:rPr>
    </w:pPr>
  </w:p>
  <w:p w14:paraId="4D8ADD33" w14:textId="77777777" w:rsidR="009767B8" w:rsidRDefault="009767B8" w:rsidP="009243E2">
    <w:pPr>
      <w:pStyle w:val="Puesto"/>
    </w:pPr>
  </w:p>
  <w:p w14:paraId="6354BA67" w14:textId="77777777" w:rsidR="009767B8" w:rsidRPr="009243E2" w:rsidRDefault="009767B8" w:rsidP="009243E2"/>
  <w:p w14:paraId="447FE932" w14:textId="77777777" w:rsidR="009767B8" w:rsidRPr="009243E2" w:rsidRDefault="009767B8"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D8698" w14:textId="14B5961D" w:rsidR="009767B8" w:rsidRDefault="003E390D">
    <w:pPr>
      <w:pStyle w:val="Encabezado"/>
    </w:pPr>
    <w:r>
      <w:rPr>
        <w:noProof/>
      </w:rPr>
      <w:pict w14:anchorId="52D37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14956" o:spid="_x0000_s2052" type="#_x0000_t136" style="position:absolute;margin-left:0;margin-top:0;width:807.75pt;height:43.5pt;rotation:315;z-index:-251651072;mso-position-horizontal:center;mso-position-horizontal-relative:margin;mso-position-vertical:center;mso-position-vertical-relative:margin" o:allowincell="f" fillcolor="#747070 [1614]" stroked="f">
          <v:fill opacity=".5"/>
          <v:textpath style="font-family:&quot;Arial&quot;;font-size:38pt" string="Aprobado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8" w15:restartNumberingAfterBreak="0">
    <w:nsid w:val="21062A5F"/>
    <w:multiLevelType w:val="hybridMultilevel"/>
    <w:tmpl w:val="6CB61D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9060BE7"/>
    <w:multiLevelType w:val="hybridMultilevel"/>
    <w:tmpl w:val="DC60D5A8"/>
    <w:lvl w:ilvl="0" w:tplc="B21E99E2">
      <w:start w:val="1"/>
      <w:numFmt w:val="bullet"/>
      <w:lvlText w:val=""/>
      <w:lvlJc w:val="left"/>
      <w:pPr>
        <w:ind w:left="720" w:hanging="360"/>
      </w:pPr>
      <w:rPr>
        <w:rFonts w:ascii="Symbol" w:hAnsi="Symbol" w:hint="default"/>
        <w:lang w:val="es-EC"/>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2"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3"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4" w15:restartNumberingAfterBreak="0">
    <w:nsid w:val="2F3D7389"/>
    <w:multiLevelType w:val="hybridMultilevel"/>
    <w:tmpl w:val="3FECCA24"/>
    <w:lvl w:ilvl="0" w:tplc="10CE224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7"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1"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3"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1"/>
  </w:num>
  <w:num w:numId="4">
    <w:abstractNumId w:val="9"/>
  </w:num>
  <w:num w:numId="5">
    <w:abstractNumId w:val="21"/>
  </w:num>
  <w:num w:numId="6">
    <w:abstractNumId w:val="15"/>
  </w:num>
  <w:num w:numId="7">
    <w:abstractNumId w:val="18"/>
  </w:num>
  <w:num w:numId="8">
    <w:abstractNumId w:val="0"/>
  </w:num>
  <w:num w:numId="9">
    <w:abstractNumId w:val="2"/>
  </w:num>
  <w:num w:numId="10">
    <w:abstractNumId w:val="3"/>
  </w:num>
  <w:num w:numId="11">
    <w:abstractNumId w:val="23"/>
  </w:num>
  <w:num w:numId="12">
    <w:abstractNumId w:val="17"/>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2"/>
  </w:num>
  <w:num w:numId="17">
    <w:abstractNumId w:val="12"/>
  </w:num>
  <w:num w:numId="18">
    <w:abstractNumId w:val="5"/>
  </w:num>
  <w:num w:numId="19">
    <w:abstractNumId w:val="11"/>
  </w:num>
  <w:num w:numId="20">
    <w:abstractNumId w:val="13"/>
  </w:num>
  <w:num w:numId="21">
    <w:abstractNumId w:val="16"/>
  </w:num>
  <w:num w:numId="22">
    <w:abstractNumId w:val="19"/>
  </w:num>
  <w:num w:numId="23">
    <w:abstractNumId w:val="8"/>
  </w:num>
  <w:num w:numId="24">
    <w:abstractNumId w:val="14"/>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4E4D"/>
    <w:rsid w:val="00013A5E"/>
    <w:rsid w:val="0002035D"/>
    <w:rsid w:val="00022E75"/>
    <w:rsid w:val="00023FAD"/>
    <w:rsid w:val="00025390"/>
    <w:rsid w:val="000314C0"/>
    <w:rsid w:val="00032793"/>
    <w:rsid w:val="00032D16"/>
    <w:rsid w:val="000408AA"/>
    <w:rsid w:val="00041BCB"/>
    <w:rsid w:val="00042667"/>
    <w:rsid w:val="000438BC"/>
    <w:rsid w:val="00060266"/>
    <w:rsid w:val="00063281"/>
    <w:rsid w:val="0007425E"/>
    <w:rsid w:val="000800F7"/>
    <w:rsid w:val="00087204"/>
    <w:rsid w:val="00087745"/>
    <w:rsid w:val="00093383"/>
    <w:rsid w:val="00094F57"/>
    <w:rsid w:val="000A2F70"/>
    <w:rsid w:val="000B0316"/>
    <w:rsid w:val="000B4108"/>
    <w:rsid w:val="000B7E01"/>
    <w:rsid w:val="000C069F"/>
    <w:rsid w:val="000C0726"/>
    <w:rsid w:val="000D39A4"/>
    <w:rsid w:val="000D78B6"/>
    <w:rsid w:val="000E1329"/>
    <w:rsid w:val="000E3F3B"/>
    <w:rsid w:val="000E4400"/>
    <w:rsid w:val="000E4F47"/>
    <w:rsid w:val="000F049E"/>
    <w:rsid w:val="000F4B42"/>
    <w:rsid w:val="0010137E"/>
    <w:rsid w:val="001101D6"/>
    <w:rsid w:val="00110677"/>
    <w:rsid w:val="00114523"/>
    <w:rsid w:val="00130E73"/>
    <w:rsid w:val="00137EFC"/>
    <w:rsid w:val="001437C2"/>
    <w:rsid w:val="001443CE"/>
    <w:rsid w:val="001479B2"/>
    <w:rsid w:val="0015234A"/>
    <w:rsid w:val="00160142"/>
    <w:rsid w:val="00161CA4"/>
    <w:rsid w:val="00164A30"/>
    <w:rsid w:val="00164F14"/>
    <w:rsid w:val="00170D59"/>
    <w:rsid w:val="00171B8E"/>
    <w:rsid w:val="001732B0"/>
    <w:rsid w:val="00173584"/>
    <w:rsid w:val="001824A5"/>
    <w:rsid w:val="001913D1"/>
    <w:rsid w:val="00192498"/>
    <w:rsid w:val="001A17C7"/>
    <w:rsid w:val="001A5DCF"/>
    <w:rsid w:val="001A5E4E"/>
    <w:rsid w:val="001A7CB1"/>
    <w:rsid w:val="001B4536"/>
    <w:rsid w:val="001B580E"/>
    <w:rsid w:val="001C179D"/>
    <w:rsid w:val="001C4595"/>
    <w:rsid w:val="001C6677"/>
    <w:rsid w:val="001C74D2"/>
    <w:rsid w:val="001D1DED"/>
    <w:rsid w:val="001D3B81"/>
    <w:rsid w:val="001D687F"/>
    <w:rsid w:val="001D7099"/>
    <w:rsid w:val="001E1CA2"/>
    <w:rsid w:val="001E2E3A"/>
    <w:rsid w:val="001E41B8"/>
    <w:rsid w:val="001F370B"/>
    <w:rsid w:val="001F4C88"/>
    <w:rsid w:val="001F79E5"/>
    <w:rsid w:val="002005B4"/>
    <w:rsid w:val="00201D09"/>
    <w:rsid w:val="002068FD"/>
    <w:rsid w:val="00213D93"/>
    <w:rsid w:val="00224B21"/>
    <w:rsid w:val="00230751"/>
    <w:rsid w:val="00235024"/>
    <w:rsid w:val="0024191F"/>
    <w:rsid w:val="00242929"/>
    <w:rsid w:val="00247634"/>
    <w:rsid w:val="0025064B"/>
    <w:rsid w:val="002545BC"/>
    <w:rsid w:val="002578F2"/>
    <w:rsid w:val="002644F1"/>
    <w:rsid w:val="00264F1D"/>
    <w:rsid w:val="00265CDF"/>
    <w:rsid w:val="00266076"/>
    <w:rsid w:val="00266F40"/>
    <w:rsid w:val="00267AA0"/>
    <w:rsid w:val="00271C6D"/>
    <w:rsid w:val="0027411A"/>
    <w:rsid w:val="002905FB"/>
    <w:rsid w:val="00292989"/>
    <w:rsid w:val="002930CE"/>
    <w:rsid w:val="00296C41"/>
    <w:rsid w:val="002A401F"/>
    <w:rsid w:val="002B2BD8"/>
    <w:rsid w:val="002B4077"/>
    <w:rsid w:val="002B4901"/>
    <w:rsid w:val="002B6340"/>
    <w:rsid w:val="002B7CE8"/>
    <w:rsid w:val="002D0C8C"/>
    <w:rsid w:val="002D1E6C"/>
    <w:rsid w:val="002D2204"/>
    <w:rsid w:val="002D323D"/>
    <w:rsid w:val="002D5A0F"/>
    <w:rsid w:val="002D7709"/>
    <w:rsid w:val="002F3FAC"/>
    <w:rsid w:val="002F5FCE"/>
    <w:rsid w:val="0030415D"/>
    <w:rsid w:val="00313BCA"/>
    <w:rsid w:val="00316263"/>
    <w:rsid w:val="00316973"/>
    <w:rsid w:val="003223A7"/>
    <w:rsid w:val="00325915"/>
    <w:rsid w:val="003278A2"/>
    <w:rsid w:val="00335B5A"/>
    <w:rsid w:val="003370E1"/>
    <w:rsid w:val="00342FD0"/>
    <w:rsid w:val="00347981"/>
    <w:rsid w:val="00361728"/>
    <w:rsid w:val="00363A17"/>
    <w:rsid w:val="003652D6"/>
    <w:rsid w:val="00376739"/>
    <w:rsid w:val="00385DE9"/>
    <w:rsid w:val="00385E8D"/>
    <w:rsid w:val="00387489"/>
    <w:rsid w:val="003A2B74"/>
    <w:rsid w:val="003B18F3"/>
    <w:rsid w:val="003B1F9D"/>
    <w:rsid w:val="003B771D"/>
    <w:rsid w:val="003C1E91"/>
    <w:rsid w:val="003C4779"/>
    <w:rsid w:val="003D125D"/>
    <w:rsid w:val="003D6234"/>
    <w:rsid w:val="003E390D"/>
    <w:rsid w:val="003E3B0F"/>
    <w:rsid w:val="003F0C12"/>
    <w:rsid w:val="00403EE1"/>
    <w:rsid w:val="00404DF5"/>
    <w:rsid w:val="00410912"/>
    <w:rsid w:val="0042085C"/>
    <w:rsid w:val="004257E3"/>
    <w:rsid w:val="00426869"/>
    <w:rsid w:val="00432532"/>
    <w:rsid w:val="00441695"/>
    <w:rsid w:val="0044547A"/>
    <w:rsid w:val="00445C00"/>
    <w:rsid w:val="0045087F"/>
    <w:rsid w:val="00451CD6"/>
    <w:rsid w:val="00453CE4"/>
    <w:rsid w:val="0045417E"/>
    <w:rsid w:val="00455334"/>
    <w:rsid w:val="00456156"/>
    <w:rsid w:val="00456B66"/>
    <w:rsid w:val="004615C3"/>
    <w:rsid w:val="00464F07"/>
    <w:rsid w:val="00466586"/>
    <w:rsid w:val="00471681"/>
    <w:rsid w:val="004773DB"/>
    <w:rsid w:val="00483933"/>
    <w:rsid w:val="00484AC9"/>
    <w:rsid w:val="00485180"/>
    <w:rsid w:val="0049591B"/>
    <w:rsid w:val="00497230"/>
    <w:rsid w:val="004A14A2"/>
    <w:rsid w:val="004A324F"/>
    <w:rsid w:val="004A7E87"/>
    <w:rsid w:val="004C0C7B"/>
    <w:rsid w:val="004C1C88"/>
    <w:rsid w:val="004C26CE"/>
    <w:rsid w:val="004C50AE"/>
    <w:rsid w:val="004D3932"/>
    <w:rsid w:val="004D4C9C"/>
    <w:rsid w:val="004E327F"/>
    <w:rsid w:val="004F380C"/>
    <w:rsid w:val="004F4093"/>
    <w:rsid w:val="004F4A82"/>
    <w:rsid w:val="00504F63"/>
    <w:rsid w:val="0050644C"/>
    <w:rsid w:val="00514CE8"/>
    <w:rsid w:val="00520190"/>
    <w:rsid w:val="0053116D"/>
    <w:rsid w:val="005348D9"/>
    <w:rsid w:val="005443B1"/>
    <w:rsid w:val="00545E74"/>
    <w:rsid w:val="00546EB8"/>
    <w:rsid w:val="005479C2"/>
    <w:rsid w:val="00553167"/>
    <w:rsid w:val="00553CDA"/>
    <w:rsid w:val="00554E19"/>
    <w:rsid w:val="00561828"/>
    <w:rsid w:val="00561FC1"/>
    <w:rsid w:val="00570658"/>
    <w:rsid w:val="0057335B"/>
    <w:rsid w:val="005737E4"/>
    <w:rsid w:val="00576A9F"/>
    <w:rsid w:val="005805A7"/>
    <w:rsid w:val="00581F71"/>
    <w:rsid w:val="00590276"/>
    <w:rsid w:val="00590C70"/>
    <w:rsid w:val="005938DA"/>
    <w:rsid w:val="005951FF"/>
    <w:rsid w:val="00595523"/>
    <w:rsid w:val="00596889"/>
    <w:rsid w:val="00596910"/>
    <w:rsid w:val="005A33EC"/>
    <w:rsid w:val="005A406B"/>
    <w:rsid w:val="005A753B"/>
    <w:rsid w:val="005B1A01"/>
    <w:rsid w:val="005C20B8"/>
    <w:rsid w:val="005C76F0"/>
    <w:rsid w:val="005C7A32"/>
    <w:rsid w:val="005D1D84"/>
    <w:rsid w:val="005E4505"/>
    <w:rsid w:val="005E60A1"/>
    <w:rsid w:val="005E62C7"/>
    <w:rsid w:val="005F405A"/>
    <w:rsid w:val="005F7459"/>
    <w:rsid w:val="0061073C"/>
    <w:rsid w:val="00615D41"/>
    <w:rsid w:val="00617C1D"/>
    <w:rsid w:val="00641882"/>
    <w:rsid w:val="00642CAB"/>
    <w:rsid w:val="0064351E"/>
    <w:rsid w:val="00644C2D"/>
    <w:rsid w:val="00646320"/>
    <w:rsid w:val="0065581E"/>
    <w:rsid w:val="006577DE"/>
    <w:rsid w:val="00657F1F"/>
    <w:rsid w:val="006603B6"/>
    <w:rsid w:val="00661D48"/>
    <w:rsid w:val="00662D68"/>
    <w:rsid w:val="00664780"/>
    <w:rsid w:val="00664F79"/>
    <w:rsid w:val="00665976"/>
    <w:rsid w:val="00673C25"/>
    <w:rsid w:val="00676BD8"/>
    <w:rsid w:val="0068550F"/>
    <w:rsid w:val="006917FB"/>
    <w:rsid w:val="006954C8"/>
    <w:rsid w:val="00696669"/>
    <w:rsid w:val="006A3FBD"/>
    <w:rsid w:val="006A4617"/>
    <w:rsid w:val="006C1482"/>
    <w:rsid w:val="006C17B4"/>
    <w:rsid w:val="006C27BF"/>
    <w:rsid w:val="006C53B2"/>
    <w:rsid w:val="006C713F"/>
    <w:rsid w:val="006D08B6"/>
    <w:rsid w:val="006D0D23"/>
    <w:rsid w:val="006D12CF"/>
    <w:rsid w:val="006D69D0"/>
    <w:rsid w:val="006D7574"/>
    <w:rsid w:val="00700ACA"/>
    <w:rsid w:val="0071397E"/>
    <w:rsid w:val="00713EB4"/>
    <w:rsid w:val="007142D4"/>
    <w:rsid w:val="0071674A"/>
    <w:rsid w:val="00721932"/>
    <w:rsid w:val="007229F3"/>
    <w:rsid w:val="007267B9"/>
    <w:rsid w:val="007317A4"/>
    <w:rsid w:val="007409BD"/>
    <w:rsid w:val="0074203E"/>
    <w:rsid w:val="00742540"/>
    <w:rsid w:val="007434F3"/>
    <w:rsid w:val="007456E3"/>
    <w:rsid w:val="00745F5F"/>
    <w:rsid w:val="007512B1"/>
    <w:rsid w:val="00751C41"/>
    <w:rsid w:val="00755652"/>
    <w:rsid w:val="007712A4"/>
    <w:rsid w:val="00782806"/>
    <w:rsid w:val="00783C8A"/>
    <w:rsid w:val="00785342"/>
    <w:rsid w:val="00791CE9"/>
    <w:rsid w:val="007A0631"/>
    <w:rsid w:val="007A292B"/>
    <w:rsid w:val="007B6303"/>
    <w:rsid w:val="007C06DC"/>
    <w:rsid w:val="007D1909"/>
    <w:rsid w:val="007D60AF"/>
    <w:rsid w:val="007D7D8D"/>
    <w:rsid w:val="007D7DF9"/>
    <w:rsid w:val="007E2D75"/>
    <w:rsid w:val="007E6037"/>
    <w:rsid w:val="007E6816"/>
    <w:rsid w:val="007E7A4E"/>
    <w:rsid w:val="007F2E79"/>
    <w:rsid w:val="007F573B"/>
    <w:rsid w:val="007F64B8"/>
    <w:rsid w:val="007F6ADE"/>
    <w:rsid w:val="00803017"/>
    <w:rsid w:val="008040E8"/>
    <w:rsid w:val="00806D99"/>
    <w:rsid w:val="00811839"/>
    <w:rsid w:val="0081387B"/>
    <w:rsid w:val="00815311"/>
    <w:rsid w:val="00815646"/>
    <w:rsid w:val="008254C4"/>
    <w:rsid w:val="00837892"/>
    <w:rsid w:val="00842C62"/>
    <w:rsid w:val="008524A7"/>
    <w:rsid w:val="00855291"/>
    <w:rsid w:val="0085538C"/>
    <w:rsid w:val="0085620D"/>
    <w:rsid w:val="00857037"/>
    <w:rsid w:val="00857330"/>
    <w:rsid w:val="00867AD0"/>
    <w:rsid w:val="00882385"/>
    <w:rsid w:val="0088568C"/>
    <w:rsid w:val="0089127D"/>
    <w:rsid w:val="008970EF"/>
    <w:rsid w:val="008B126B"/>
    <w:rsid w:val="008B26D8"/>
    <w:rsid w:val="008B6CEF"/>
    <w:rsid w:val="008C04BF"/>
    <w:rsid w:val="008C393F"/>
    <w:rsid w:val="008C4282"/>
    <w:rsid w:val="008C57B8"/>
    <w:rsid w:val="008C62CE"/>
    <w:rsid w:val="008C6A61"/>
    <w:rsid w:val="008D35AE"/>
    <w:rsid w:val="008D4A2E"/>
    <w:rsid w:val="008D4CD5"/>
    <w:rsid w:val="00904797"/>
    <w:rsid w:val="00910612"/>
    <w:rsid w:val="00911E00"/>
    <w:rsid w:val="009136A8"/>
    <w:rsid w:val="009226CE"/>
    <w:rsid w:val="00922B82"/>
    <w:rsid w:val="00922C0D"/>
    <w:rsid w:val="009243E2"/>
    <w:rsid w:val="009251B9"/>
    <w:rsid w:val="0092542C"/>
    <w:rsid w:val="0093095C"/>
    <w:rsid w:val="00932804"/>
    <w:rsid w:val="009342B6"/>
    <w:rsid w:val="00937DF1"/>
    <w:rsid w:val="00940A22"/>
    <w:rsid w:val="00945614"/>
    <w:rsid w:val="0094723F"/>
    <w:rsid w:val="009506A4"/>
    <w:rsid w:val="00951C04"/>
    <w:rsid w:val="00952C2C"/>
    <w:rsid w:val="009608E4"/>
    <w:rsid w:val="009616D2"/>
    <w:rsid w:val="0097257F"/>
    <w:rsid w:val="009760C5"/>
    <w:rsid w:val="009767B8"/>
    <w:rsid w:val="009856E7"/>
    <w:rsid w:val="009858EA"/>
    <w:rsid w:val="00986106"/>
    <w:rsid w:val="0099341B"/>
    <w:rsid w:val="009A6FB6"/>
    <w:rsid w:val="009A75E7"/>
    <w:rsid w:val="009B0E5E"/>
    <w:rsid w:val="009B3A72"/>
    <w:rsid w:val="009C5339"/>
    <w:rsid w:val="009D2CB4"/>
    <w:rsid w:val="009D7773"/>
    <w:rsid w:val="009D7D5B"/>
    <w:rsid w:val="009E010D"/>
    <w:rsid w:val="009F36A5"/>
    <w:rsid w:val="00A00E1B"/>
    <w:rsid w:val="00A0361F"/>
    <w:rsid w:val="00A04F77"/>
    <w:rsid w:val="00A063D6"/>
    <w:rsid w:val="00A07E75"/>
    <w:rsid w:val="00A11E3C"/>
    <w:rsid w:val="00A15C64"/>
    <w:rsid w:val="00A16448"/>
    <w:rsid w:val="00A27C79"/>
    <w:rsid w:val="00A33341"/>
    <w:rsid w:val="00A36D6F"/>
    <w:rsid w:val="00A46C88"/>
    <w:rsid w:val="00A4709D"/>
    <w:rsid w:val="00A57A06"/>
    <w:rsid w:val="00A66EEB"/>
    <w:rsid w:val="00A674D5"/>
    <w:rsid w:val="00A7511C"/>
    <w:rsid w:val="00A75696"/>
    <w:rsid w:val="00A774F3"/>
    <w:rsid w:val="00A85D9B"/>
    <w:rsid w:val="00A87A10"/>
    <w:rsid w:val="00A90817"/>
    <w:rsid w:val="00A9195B"/>
    <w:rsid w:val="00AA2F9D"/>
    <w:rsid w:val="00AA61AB"/>
    <w:rsid w:val="00AB03FD"/>
    <w:rsid w:val="00AB70B8"/>
    <w:rsid w:val="00AC4D7D"/>
    <w:rsid w:val="00AC767C"/>
    <w:rsid w:val="00AD3778"/>
    <w:rsid w:val="00AD5A83"/>
    <w:rsid w:val="00AD7B4A"/>
    <w:rsid w:val="00AE4123"/>
    <w:rsid w:val="00AE5211"/>
    <w:rsid w:val="00AE6BF9"/>
    <w:rsid w:val="00AE7433"/>
    <w:rsid w:val="00AF2A44"/>
    <w:rsid w:val="00AF402B"/>
    <w:rsid w:val="00AF5285"/>
    <w:rsid w:val="00AF5567"/>
    <w:rsid w:val="00AF5E43"/>
    <w:rsid w:val="00B007DF"/>
    <w:rsid w:val="00B07F93"/>
    <w:rsid w:val="00B14402"/>
    <w:rsid w:val="00B15BE8"/>
    <w:rsid w:val="00B23AE5"/>
    <w:rsid w:val="00B23F85"/>
    <w:rsid w:val="00B24435"/>
    <w:rsid w:val="00B2490B"/>
    <w:rsid w:val="00B25919"/>
    <w:rsid w:val="00B31E71"/>
    <w:rsid w:val="00B32E48"/>
    <w:rsid w:val="00B4091A"/>
    <w:rsid w:val="00B41768"/>
    <w:rsid w:val="00B4214D"/>
    <w:rsid w:val="00B422A1"/>
    <w:rsid w:val="00B44D90"/>
    <w:rsid w:val="00B476D4"/>
    <w:rsid w:val="00B50684"/>
    <w:rsid w:val="00B52F47"/>
    <w:rsid w:val="00B843B2"/>
    <w:rsid w:val="00B960CF"/>
    <w:rsid w:val="00BB0DEA"/>
    <w:rsid w:val="00BB28FE"/>
    <w:rsid w:val="00BB5679"/>
    <w:rsid w:val="00BB58B0"/>
    <w:rsid w:val="00BB595F"/>
    <w:rsid w:val="00BC33FE"/>
    <w:rsid w:val="00BC648A"/>
    <w:rsid w:val="00BD74D1"/>
    <w:rsid w:val="00BE0F64"/>
    <w:rsid w:val="00BE22D3"/>
    <w:rsid w:val="00BE4CA3"/>
    <w:rsid w:val="00BE50FC"/>
    <w:rsid w:val="00BE5D1F"/>
    <w:rsid w:val="00BF3ACD"/>
    <w:rsid w:val="00BF6245"/>
    <w:rsid w:val="00BF73D8"/>
    <w:rsid w:val="00BF7CCF"/>
    <w:rsid w:val="00C00975"/>
    <w:rsid w:val="00C06015"/>
    <w:rsid w:val="00C07688"/>
    <w:rsid w:val="00C07747"/>
    <w:rsid w:val="00C112CC"/>
    <w:rsid w:val="00C1419F"/>
    <w:rsid w:val="00C15694"/>
    <w:rsid w:val="00C174B4"/>
    <w:rsid w:val="00C21944"/>
    <w:rsid w:val="00C22924"/>
    <w:rsid w:val="00C24F44"/>
    <w:rsid w:val="00C37ED5"/>
    <w:rsid w:val="00C47F2C"/>
    <w:rsid w:val="00C5601A"/>
    <w:rsid w:val="00C64A6F"/>
    <w:rsid w:val="00C67251"/>
    <w:rsid w:val="00C708ED"/>
    <w:rsid w:val="00C74178"/>
    <w:rsid w:val="00C859AB"/>
    <w:rsid w:val="00C912AF"/>
    <w:rsid w:val="00C94AA7"/>
    <w:rsid w:val="00CA41CE"/>
    <w:rsid w:val="00CA598F"/>
    <w:rsid w:val="00CA6F0F"/>
    <w:rsid w:val="00CC0F04"/>
    <w:rsid w:val="00CC33DF"/>
    <w:rsid w:val="00CC4462"/>
    <w:rsid w:val="00CC520A"/>
    <w:rsid w:val="00CD23C8"/>
    <w:rsid w:val="00CD5815"/>
    <w:rsid w:val="00CD76B5"/>
    <w:rsid w:val="00CE5A3F"/>
    <w:rsid w:val="00CF2925"/>
    <w:rsid w:val="00CF3146"/>
    <w:rsid w:val="00CF4531"/>
    <w:rsid w:val="00D00F9F"/>
    <w:rsid w:val="00D02D19"/>
    <w:rsid w:val="00D04ABD"/>
    <w:rsid w:val="00D0705A"/>
    <w:rsid w:val="00D1200A"/>
    <w:rsid w:val="00D12135"/>
    <w:rsid w:val="00D141A1"/>
    <w:rsid w:val="00D15792"/>
    <w:rsid w:val="00D2437B"/>
    <w:rsid w:val="00D250E2"/>
    <w:rsid w:val="00D26964"/>
    <w:rsid w:val="00D30B6A"/>
    <w:rsid w:val="00D31DEB"/>
    <w:rsid w:val="00D36A39"/>
    <w:rsid w:val="00D47AF9"/>
    <w:rsid w:val="00D5308A"/>
    <w:rsid w:val="00D62188"/>
    <w:rsid w:val="00D625C6"/>
    <w:rsid w:val="00D67A44"/>
    <w:rsid w:val="00D83E50"/>
    <w:rsid w:val="00D87B88"/>
    <w:rsid w:val="00D909F8"/>
    <w:rsid w:val="00DA35E2"/>
    <w:rsid w:val="00DA36A8"/>
    <w:rsid w:val="00DB3F61"/>
    <w:rsid w:val="00DB4645"/>
    <w:rsid w:val="00DC7010"/>
    <w:rsid w:val="00DD2256"/>
    <w:rsid w:val="00DD2B56"/>
    <w:rsid w:val="00DD3442"/>
    <w:rsid w:val="00DD4D97"/>
    <w:rsid w:val="00DE0685"/>
    <w:rsid w:val="00DE17A9"/>
    <w:rsid w:val="00DF28BE"/>
    <w:rsid w:val="00DF68CD"/>
    <w:rsid w:val="00E050E2"/>
    <w:rsid w:val="00E15EFC"/>
    <w:rsid w:val="00E259FA"/>
    <w:rsid w:val="00E30A90"/>
    <w:rsid w:val="00E35D42"/>
    <w:rsid w:val="00E425C2"/>
    <w:rsid w:val="00E46530"/>
    <w:rsid w:val="00E47B74"/>
    <w:rsid w:val="00E47C43"/>
    <w:rsid w:val="00E5448F"/>
    <w:rsid w:val="00E60C17"/>
    <w:rsid w:val="00E62A62"/>
    <w:rsid w:val="00E62FDF"/>
    <w:rsid w:val="00E73D43"/>
    <w:rsid w:val="00E752E2"/>
    <w:rsid w:val="00E75CDF"/>
    <w:rsid w:val="00E765B3"/>
    <w:rsid w:val="00E76BAF"/>
    <w:rsid w:val="00E8263B"/>
    <w:rsid w:val="00E82890"/>
    <w:rsid w:val="00E83880"/>
    <w:rsid w:val="00E902B7"/>
    <w:rsid w:val="00E9030D"/>
    <w:rsid w:val="00EA13DF"/>
    <w:rsid w:val="00EA415E"/>
    <w:rsid w:val="00EA7B08"/>
    <w:rsid w:val="00EB1ADB"/>
    <w:rsid w:val="00EB2B18"/>
    <w:rsid w:val="00EB2BCE"/>
    <w:rsid w:val="00EC4A74"/>
    <w:rsid w:val="00EC5711"/>
    <w:rsid w:val="00EC5B30"/>
    <w:rsid w:val="00ED7DF9"/>
    <w:rsid w:val="00EE3391"/>
    <w:rsid w:val="00EE5CD3"/>
    <w:rsid w:val="00EF33AF"/>
    <w:rsid w:val="00EF592E"/>
    <w:rsid w:val="00EF740B"/>
    <w:rsid w:val="00EF7893"/>
    <w:rsid w:val="00F0764C"/>
    <w:rsid w:val="00F14104"/>
    <w:rsid w:val="00F15583"/>
    <w:rsid w:val="00F167D9"/>
    <w:rsid w:val="00F17988"/>
    <w:rsid w:val="00F2151C"/>
    <w:rsid w:val="00F2247F"/>
    <w:rsid w:val="00F33280"/>
    <w:rsid w:val="00F35647"/>
    <w:rsid w:val="00F36FD8"/>
    <w:rsid w:val="00F37ACA"/>
    <w:rsid w:val="00F37F06"/>
    <w:rsid w:val="00F5123A"/>
    <w:rsid w:val="00F52799"/>
    <w:rsid w:val="00F54BE7"/>
    <w:rsid w:val="00F552DA"/>
    <w:rsid w:val="00F57C55"/>
    <w:rsid w:val="00F610F9"/>
    <w:rsid w:val="00F61166"/>
    <w:rsid w:val="00F61FD8"/>
    <w:rsid w:val="00F62CE2"/>
    <w:rsid w:val="00F72113"/>
    <w:rsid w:val="00F7237D"/>
    <w:rsid w:val="00F73C62"/>
    <w:rsid w:val="00F75497"/>
    <w:rsid w:val="00F87EDD"/>
    <w:rsid w:val="00F87FE6"/>
    <w:rsid w:val="00F9008F"/>
    <w:rsid w:val="00F918C8"/>
    <w:rsid w:val="00F91CE3"/>
    <w:rsid w:val="00FA411B"/>
    <w:rsid w:val="00FB1571"/>
    <w:rsid w:val="00FB42DF"/>
    <w:rsid w:val="00FB53E5"/>
    <w:rsid w:val="00FC191E"/>
    <w:rsid w:val="00FC4D1C"/>
    <w:rsid w:val="00FE0391"/>
    <w:rsid w:val="00FE34D5"/>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0194CF"/>
  <w15:docId w15:val="{E812862E-1BAF-4F64-A05B-6CFAD4E8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character" w:customStyle="1" w:styleId="fontstyle01">
    <w:name w:val="fontstyle01"/>
    <w:basedOn w:val="Fuentedeprrafopredeter"/>
    <w:rsid w:val="002B7CE8"/>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2B7CE8"/>
    <w:rPr>
      <w:rFonts w:ascii="Times-Bold" w:hAnsi="Times-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08412">
      <w:bodyDiv w:val="1"/>
      <w:marLeft w:val="0"/>
      <w:marRight w:val="0"/>
      <w:marTop w:val="0"/>
      <w:marBottom w:val="0"/>
      <w:divBdr>
        <w:top w:val="none" w:sz="0" w:space="0" w:color="auto"/>
        <w:left w:val="none" w:sz="0" w:space="0" w:color="auto"/>
        <w:bottom w:val="none" w:sz="0" w:space="0" w:color="auto"/>
        <w:right w:val="none" w:sz="0" w:space="0" w:color="auto"/>
      </w:divBdr>
    </w:div>
    <w:div w:id="144128543">
      <w:bodyDiv w:val="1"/>
      <w:marLeft w:val="0"/>
      <w:marRight w:val="0"/>
      <w:marTop w:val="0"/>
      <w:marBottom w:val="0"/>
      <w:divBdr>
        <w:top w:val="none" w:sz="0" w:space="0" w:color="auto"/>
        <w:left w:val="none" w:sz="0" w:space="0" w:color="auto"/>
        <w:bottom w:val="none" w:sz="0" w:space="0" w:color="auto"/>
        <w:right w:val="none" w:sz="0" w:space="0" w:color="auto"/>
      </w:divBdr>
    </w:div>
    <w:div w:id="202251127">
      <w:bodyDiv w:val="1"/>
      <w:marLeft w:val="0"/>
      <w:marRight w:val="0"/>
      <w:marTop w:val="0"/>
      <w:marBottom w:val="0"/>
      <w:divBdr>
        <w:top w:val="none" w:sz="0" w:space="0" w:color="auto"/>
        <w:left w:val="none" w:sz="0" w:space="0" w:color="auto"/>
        <w:bottom w:val="none" w:sz="0" w:space="0" w:color="auto"/>
        <w:right w:val="none" w:sz="0" w:space="0" w:color="auto"/>
      </w:divBdr>
    </w:div>
    <w:div w:id="211622034">
      <w:bodyDiv w:val="1"/>
      <w:marLeft w:val="0"/>
      <w:marRight w:val="0"/>
      <w:marTop w:val="0"/>
      <w:marBottom w:val="0"/>
      <w:divBdr>
        <w:top w:val="none" w:sz="0" w:space="0" w:color="auto"/>
        <w:left w:val="none" w:sz="0" w:space="0" w:color="auto"/>
        <w:bottom w:val="none" w:sz="0" w:space="0" w:color="auto"/>
        <w:right w:val="none" w:sz="0" w:space="0" w:color="auto"/>
      </w:divBdr>
    </w:div>
    <w:div w:id="314651820">
      <w:bodyDiv w:val="1"/>
      <w:marLeft w:val="0"/>
      <w:marRight w:val="0"/>
      <w:marTop w:val="0"/>
      <w:marBottom w:val="0"/>
      <w:divBdr>
        <w:top w:val="none" w:sz="0" w:space="0" w:color="auto"/>
        <w:left w:val="none" w:sz="0" w:space="0" w:color="auto"/>
        <w:bottom w:val="none" w:sz="0" w:space="0" w:color="auto"/>
        <w:right w:val="none" w:sz="0" w:space="0" w:color="auto"/>
      </w:divBdr>
    </w:div>
    <w:div w:id="319232203">
      <w:bodyDiv w:val="1"/>
      <w:marLeft w:val="0"/>
      <w:marRight w:val="0"/>
      <w:marTop w:val="0"/>
      <w:marBottom w:val="0"/>
      <w:divBdr>
        <w:top w:val="none" w:sz="0" w:space="0" w:color="auto"/>
        <w:left w:val="none" w:sz="0" w:space="0" w:color="auto"/>
        <w:bottom w:val="none" w:sz="0" w:space="0" w:color="auto"/>
        <w:right w:val="none" w:sz="0" w:space="0" w:color="auto"/>
      </w:divBdr>
    </w:div>
    <w:div w:id="397676099">
      <w:bodyDiv w:val="1"/>
      <w:marLeft w:val="0"/>
      <w:marRight w:val="0"/>
      <w:marTop w:val="0"/>
      <w:marBottom w:val="0"/>
      <w:divBdr>
        <w:top w:val="none" w:sz="0" w:space="0" w:color="auto"/>
        <w:left w:val="none" w:sz="0" w:space="0" w:color="auto"/>
        <w:bottom w:val="none" w:sz="0" w:space="0" w:color="auto"/>
        <w:right w:val="none" w:sz="0" w:space="0" w:color="auto"/>
      </w:divBdr>
    </w:div>
    <w:div w:id="473912957">
      <w:bodyDiv w:val="1"/>
      <w:marLeft w:val="0"/>
      <w:marRight w:val="0"/>
      <w:marTop w:val="0"/>
      <w:marBottom w:val="0"/>
      <w:divBdr>
        <w:top w:val="none" w:sz="0" w:space="0" w:color="auto"/>
        <w:left w:val="none" w:sz="0" w:space="0" w:color="auto"/>
        <w:bottom w:val="none" w:sz="0" w:space="0" w:color="auto"/>
        <w:right w:val="none" w:sz="0" w:space="0" w:color="auto"/>
      </w:divBdr>
    </w:div>
    <w:div w:id="496531374">
      <w:bodyDiv w:val="1"/>
      <w:marLeft w:val="0"/>
      <w:marRight w:val="0"/>
      <w:marTop w:val="0"/>
      <w:marBottom w:val="0"/>
      <w:divBdr>
        <w:top w:val="none" w:sz="0" w:space="0" w:color="auto"/>
        <w:left w:val="none" w:sz="0" w:space="0" w:color="auto"/>
        <w:bottom w:val="none" w:sz="0" w:space="0" w:color="auto"/>
        <w:right w:val="none" w:sz="0" w:space="0" w:color="auto"/>
      </w:divBdr>
    </w:div>
    <w:div w:id="506755399">
      <w:bodyDiv w:val="1"/>
      <w:marLeft w:val="0"/>
      <w:marRight w:val="0"/>
      <w:marTop w:val="0"/>
      <w:marBottom w:val="0"/>
      <w:divBdr>
        <w:top w:val="none" w:sz="0" w:space="0" w:color="auto"/>
        <w:left w:val="none" w:sz="0" w:space="0" w:color="auto"/>
        <w:bottom w:val="none" w:sz="0" w:space="0" w:color="auto"/>
        <w:right w:val="none" w:sz="0" w:space="0" w:color="auto"/>
      </w:divBdr>
    </w:div>
    <w:div w:id="635138507">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56691000">
      <w:bodyDiv w:val="1"/>
      <w:marLeft w:val="0"/>
      <w:marRight w:val="0"/>
      <w:marTop w:val="0"/>
      <w:marBottom w:val="0"/>
      <w:divBdr>
        <w:top w:val="none" w:sz="0" w:space="0" w:color="auto"/>
        <w:left w:val="none" w:sz="0" w:space="0" w:color="auto"/>
        <w:bottom w:val="none" w:sz="0" w:space="0" w:color="auto"/>
        <w:right w:val="none" w:sz="0" w:space="0" w:color="auto"/>
      </w:divBdr>
    </w:div>
    <w:div w:id="661129308">
      <w:bodyDiv w:val="1"/>
      <w:marLeft w:val="0"/>
      <w:marRight w:val="0"/>
      <w:marTop w:val="0"/>
      <w:marBottom w:val="0"/>
      <w:divBdr>
        <w:top w:val="none" w:sz="0" w:space="0" w:color="auto"/>
        <w:left w:val="none" w:sz="0" w:space="0" w:color="auto"/>
        <w:bottom w:val="none" w:sz="0" w:space="0" w:color="auto"/>
        <w:right w:val="none" w:sz="0" w:space="0" w:color="auto"/>
      </w:divBdr>
    </w:div>
    <w:div w:id="739248725">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26673369">
      <w:bodyDiv w:val="1"/>
      <w:marLeft w:val="0"/>
      <w:marRight w:val="0"/>
      <w:marTop w:val="0"/>
      <w:marBottom w:val="0"/>
      <w:divBdr>
        <w:top w:val="none" w:sz="0" w:space="0" w:color="auto"/>
        <w:left w:val="none" w:sz="0" w:space="0" w:color="auto"/>
        <w:bottom w:val="none" w:sz="0" w:space="0" w:color="auto"/>
        <w:right w:val="none" w:sz="0" w:space="0" w:color="auto"/>
      </w:divBdr>
      <w:divsChild>
        <w:div w:id="431825980">
          <w:marLeft w:val="0"/>
          <w:marRight w:val="0"/>
          <w:marTop w:val="0"/>
          <w:marBottom w:val="0"/>
          <w:divBdr>
            <w:top w:val="none" w:sz="0" w:space="0" w:color="auto"/>
            <w:left w:val="none" w:sz="0" w:space="0" w:color="auto"/>
            <w:bottom w:val="none" w:sz="0" w:space="0" w:color="auto"/>
            <w:right w:val="none" w:sz="0" w:space="0" w:color="auto"/>
          </w:divBdr>
          <w:divsChild>
            <w:div w:id="1162115425">
              <w:marLeft w:val="0"/>
              <w:marRight w:val="0"/>
              <w:marTop w:val="0"/>
              <w:marBottom w:val="0"/>
              <w:divBdr>
                <w:top w:val="none" w:sz="0" w:space="0" w:color="auto"/>
                <w:left w:val="none" w:sz="0" w:space="0" w:color="auto"/>
                <w:bottom w:val="none" w:sz="0" w:space="0" w:color="auto"/>
                <w:right w:val="none" w:sz="0" w:space="0" w:color="auto"/>
              </w:divBdr>
              <w:divsChild>
                <w:div w:id="1381442958">
                  <w:marLeft w:val="0"/>
                  <w:marRight w:val="0"/>
                  <w:marTop w:val="0"/>
                  <w:marBottom w:val="0"/>
                  <w:divBdr>
                    <w:top w:val="none" w:sz="0" w:space="0" w:color="auto"/>
                    <w:left w:val="none" w:sz="0" w:space="0" w:color="auto"/>
                    <w:bottom w:val="none" w:sz="0" w:space="0" w:color="auto"/>
                    <w:right w:val="none" w:sz="0" w:space="0" w:color="auto"/>
                  </w:divBdr>
                  <w:divsChild>
                    <w:div w:id="1907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816077">
      <w:bodyDiv w:val="1"/>
      <w:marLeft w:val="0"/>
      <w:marRight w:val="0"/>
      <w:marTop w:val="0"/>
      <w:marBottom w:val="0"/>
      <w:divBdr>
        <w:top w:val="none" w:sz="0" w:space="0" w:color="auto"/>
        <w:left w:val="none" w:sz="0" w:space="0" w:color="auto"/>
        <w:bottom w:val="none" w:sz="0" w:space="0" w:color="auto"/>
        <w:right w:val="none" w:sz="0" w:space="0" w:color="auto"/>
      </w:divBdr>
    </w:div>
    <w:div w:id="1004623180">
      <w:bodyDiv w:val="1"/>
      <w:marLeft w:val="0"/>
      <w:marRight w:val="0"/>
      <w:marTop w:val="0"/>
      <w:marBottom w:val="0"/>
      <w:divBdr>
        <w:top w:val="none" w:sz="0" w:space="0" w:color="auto"/>
        <w:left w:val="none" w:sz="0" w:space="0" w:color="auto"/>
        <w:bottom w:val="none" w:sz="0" w:space="0" w:color="auto"/>
        <w:right w:val="none" w:sz="0" w:space="0" w:color="auto"/>
      </w:divBdr>
    </w:div>
    <w:div w:id="1090931197">
      <w:bodyDiv w:val="1"/>
      <w:marLeft w:val="0"/>
      <w:marRight w:val="0"/>
      <w:marTop w:val="0"/>
      <w:marBottom w:val="0"/>
      <w:divBdr>
        <w:top w:val="none" w:sz="0" w:space="0" w:color="auto"/>
        <w:left w:val="none" w:sz="0" w:space="0" w:color="auto"/>
        <w:bottom w:val="none" w:sz="0" w:space="0" w:color="auto"/>
        <w:right w:val="none" w:sz="0" w:space="0" w:color="auto"/>
      </w:divBdr>
    </w:div>
    <w:div w:id="1098910965">
      <w:bodyDiv w:val="1"/>
      <w:marLeft w:val="0"/>
      <w:marRight w:val="0"/>
      <w:marTop w:val="0"/>
      <w:marBottom w:val="0"/>
      <w:divBdr>
        <w:top w:val="none" w:sz="0" w:space="0" w:color="auto"/>
        <w:left w:val="none" w:sz="0" w:space="0" w:color="auto"/>
        <w:bottom w:val="none" w:sz="0" w:space="0" w:color="auto"/>
        <w:right w:val="none" w:sz="0" w:space="0" w:color="auto"/>
      </w:divBdr>
    </w:div>
    <w:div w:id="1144197739">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244143676">
      <w:bodyDiv w:val="1"/>
      <w:marLeft w:val="0"/>
      <w:marRight w:val="0"/>
      <w:marTop w:val="0"/>
      <w:marBottom w:val="0"/>
      <w:divBdr>
        <w:top w:val="none" w:sz="0" w:space="0" w:color="auto"/>
        <w:left w:val="none" w:sz="0" w:space="0" w:color="auto"/>
        <w:bottom w:val="none" w:sz="0" w:space="0" w:color="auto"/>
        <w:right w:val="none" w:sz="0" w:space="0" w:color="auto"/>
      </w:divBdr>
    </w:div>
    <w:div w:id="1268275055">
      <w:bodyDiv w:val="1"/>
      <w:marLeft w:val="0"/>
      <w:marRight w:val="0"/>
      <w:marTop w:val="0"/>
      <w:marBottom w:val="0"/>
      <w:divBdr>
        <w:top w:val="none" w:sz="0" w:space="0" w:color="auto"/>
        <w:left w:val="none" w:sz="0" w:space="0" w:color="auto"/>
        <w:bottom w:val="none" w:sz="0" w:space="0" w:color="auto"/>
        <w:right w:val="none" w:sz="0" w:space="0" w:color="auto"/>
      </w:divBdr>
    </w:div>
    <w:div w:id="1279484796">
      <w:bodyDiv w:val="1"/>
      <w:marLeft w:val="0"/>
      <w:marRight w:val="0"/>
      <w:marTop w:val="0"/>
      <w:marBottom w:val="0"/>
      <w:divBdr>
        <w:top w:val="none" w:sz="0" w:space="0" w:color="auto"/>
        <w:left w:val="none" w:sz="0" w:space="0" w:color="auto"/>
        <w:bottom w:val="none" w:sz="0" w:space="0" w:color="auto"/>
        <w:right w:val="none" w:sz="0" w:space="0" w:color="auto"/>
      </w:divBdr>
    </w:div>
    <w:div w:id="1302922172">
      <w:bodyDiv w:val="1"/>
      <w:marLeft w:val="0"/>
      <w:marRight w:val="0"/>
      <w:marTop w:val="0"/>
      <w:marBottom w:val="0"/>
      <w:divBdr>
        <w:top w:val="none" w:sz="0" w:space="0" w:color="auto"/>
        <w:left w:val="none" w:sz="0" w:space="0" w:color="auto"/>
        <w:bottom w:val="none" w:sz="0" w:space="0" w:color="auto"/>
        <w:right w:val="none" w:sz="0" w:space="0" w:color="auto"/>
      </w:divBdr>
    </w:div>
    <w:div w:id="1365131962">
      <w:bodyDiv w:val="1"/>
      <w:marLeft w:val="0"/>
      <w:marRight w:val="0"/>
      <w:marTop w:val="0"/>
      <w:marBottom w:val="0"/>
      <w:divBdr>
        <w:top w:val="none" w:sz="0" w:space="0" w:color="auto"/>
        <w:left w:val="none" w:sz="0" w:space="0" w:color="auto"/>
        <w:bottom w:val="none" w:sz="0" w:space="0" w:color="auto"/>
        <w:right w:val="none" w:sz="0" w:space="0" w:color="auto"/>
      </w:divBdr>
    </w:div>
    <w:div w:id="1415400483">
      <w:bodyDiv w:val="1"/>
      <w:marLeft w:val="0"/>
      <w:marRight w:val="0"/>
      <w:marTop w:val="0"/>
      <w:marBottom w:val="0"/>
      <w:divBdr>
        <w:top w:val="none" w:sz="0" w:space="0" w:color="auto"/>
        <w:left w:val="none" w:sz="0" w:space="0" w:color="auto"/>
        <w:bottom w:val="none" w:sz="0" w:space="0" w:color="auto"/>
        <w:right w:val="none" w:sz="0" w:space="0" w:color="auto"/>
      </w:divBdr>
    </w:div>
    <w:div w:id="1569001370">
      <w:bodyDiv w:val="1"/>
      <w:marLeft w:val="0"/>
      <w:marRight w:val="0"/>
      <w:marTop w:val="0"/>
      <w:marBottom w:val="0"/>
      <w:divBdr>
        <w:top w:val="none" w:sz="0" w:space="0" w:color="auto"/>
        <w:left w:val="none" w:sz="0" w:space="0" w:color="auto"/>
        <w:bottom w:val="none" w:sz="0" w:space="0" w:color="auto"/>
        <w:right w:val="none" w:sz="0" w:space="0" w:color="auto"/>
      </w:divBdr>
      <w:divsChild>
        <w:div w:id="555170422">
          <w:marLeft w:val="0"/>
          <w:marRight w:val="0"/>
          <w:marTop w:val="0"/>
          <w:marBottom w:val="0"/>
          <w:divBdr>
            <w:top w:val="none" w:sz="0" w:space="0" w:color="auto"/>
            <w:left w:val="none" w:sz="0" w:space="0" w:color="auto"/>
            <w:bottom w:val="none" w:sz="0" w:space="0" w:color="auto"/>
            <w:right w:val="none" w:sz="0" w:space="0" w:color="auto"/>
          </w:divBdr>
          <w:divsChild>
            <w:div w:id="64571515">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sChild>
                    <w:div w:id="11064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4811">
      <w:bodyDiv w:val="1"/>
      <w:marLeft w:val="0"/>
      <w:marRight w:val="0"/>
      <w:marTop w:val="0"/>
      <w:marBottom w:val="0"/>
      <w:divBdr>
        <w:top w:val="none" w:sz="0" w:space="0" w:color="auto"/>
        <w:left w:val="none" w:sz="0" w:space="0" w:color="auto"/>
        <w:bottom w:val="none" w:sz="0" w:space="0" w:color="auto"/>
        <w:right w:val="none" w:sz="0" w:space="0" w:color="auto"/>
      </w:divBdr>
    </w:div>
    <w:div w:id="1736783872">
      <w:bodyDiv w:val="1"/>
      <w:marLeft w:val="0"/>
      <w:marRight w:val="0"/>
      <w:marTop w:val="0"/>
      <w:marBottom w:val="0"/>
      <w:divBdr>
        <w:top w:val="none" w:sz="0" w:space="0" w:color="auto"/>
        <w:left w:val="none" w:sz="0" w:space="0" w:color="auto"/>
        <w:bottom w:val="none" w:sz="0" w:space="0" w:color="auto"/>
        <w:right w:val="none" w:sz="0" w:space="0" w:color="auto"/>
      </w:divBdr>
    </w:div>
    <w:div w:id="1792825494">
      <w:bodyDiv w:val="1"/>
      <w:marLeft w:val="0"/>
      <w:marRight w:val="0"/>
      <w:marTop w:val="0"/>
      <w:marBottom w:val="0"/>
      <w:divBdr>
        <w:top w:val="none" w:sz="0" w:space="0" w:color="auto"/>
        <w:left w:val="none" w:sz="0" w:space="0" w:color="auto"/>
        <w:bottom w:val="none" w:sz="0" w:space="0" w:color="auto"/>
        <w:right w:val="none" w:sz="0" w:space="0" w:color="auto"/>
      </w:divBdr>
    </w:div>
    <w:div w:id="18141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F0F1-F750-413E-9FB5-7453B282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5623</Words>
  <Characters>30927</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Glenda Alexandra Allan Alegria</cp:lastModifiedBy>
  <cp:revision>3</cp:revision>
  <cp:lastPrinted>2019-12-18T14:43:00Z</cp:lastPrinted>
  <dcterms:created xsi:type="dcterms:W3CDTF">2020-09-28T18:43:00Z</dcterms:created>
  <dcterms:modified xsi:type="dcterms:W3CDTF">2021-02-18T19:19:00Z</dcterms:modified>
</cp:coreProperties>
</file>