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28" w:rsidRPr="00A24D81" w:rsidRDefault="00361728" w:rsidP="007C06DC">
      <w:pPr>
        <w:pStyle w:val="a"/>
        <w:tabs>
          <w:tab w:val="left" w:pos="7513"/>
        </w:tabs>
        <w:spacing w:after="240" w:line="276" w:lineRule="auto"/>
        <w:rPr>
          <w:rFonts w:ascii="Times New Roman" w:hAnsi="Times New Roman" w:cs="Times New Roman"/>
          <w:sz w:val="22"/>
          <w:szCs w:val="22"/>
        </w:rPr>
      </w:pPr>
      <w:bookmarkStart w:id="0" w:name="_GoBack"/>
      <w:bookmarkEnd w:id="0"/>
      <w:r w:rsidRPr="00A24D81">
        <w:rPr>
          <w:rFonts w:ascii="Times New Roman" w:hAnsi="Times New Roman" w:cs="Times New Roman"/>
          <w:sz w:val="22"/>
          <w:szCs w:val="22"/>
        </w:rPr>
        <w:t>EXPOSICIÓN DE MOTIVOS</w:t>
      </w:r>
    </w:p>
    <w:p w:rsidR="00A15C64"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La Constitución de la República del Ecuador, en su artículo 30, garantiza a las personas el “</w:t>
      </w:r>
      <w:r w:rsidRPr="00A24D81">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A24D81">
        <w:rPr>
          <w:rFonts w:ascii="Times New Roman" w:hAnsi="Times New Roman" w:cs="Times New Roman"/>
          <w:b w:val="0"/>
          <w:sz w:val="22"/>
          <w:szCs w:val="22"/>
        </w:rPr>
        <w:t>”.</w:t>
      </w:r>
    </w:p>
    <w:p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La Administración Municipal, a través de la Unidad Especial Regula Tu Barrio, </w:t>
      </w:r>
      <w:r w:rsidR="00D04ABD" w:rsidRPr="00A24D81">
        <w:rPr>
          <w:rFonts w:ascii="Times New Roman" w:hAnsi="Times New Roman" w:cs="Times New Roman"/>
          <w:b w:val="0"/>
          <w:sz w:val="22"/>
          <w:szCs w:val="22"/>
        </w:rPr>
        <w:t>gestiona</w:t>
      </w:r>
      <w:r w:rsidRPr="00A24D81">
        <w:rPr>
          <w:rFonts w:ascii="Times New Roman" w:hAnsi="Times New Roman" w:cs="Times New Roman"/>
          <w:b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A24D81">
        <w:rPr>
          <w:rFonts w:ascii="Times New Roman" w:hAnsi="Times New Roman" w:cs="Times New Roman"/>
          <w:b w:val="0"/>
          <w:sz w:val="22"/>
          <w:szCs w:val="22"/>
        </w:rPr>
        <w:t>el fraccionamiento</w:t>
      </w:r>
      <w:r w:rsidR="001479B2" w:rsidRPr="00A24D81">
        <w:rPr>
          <w:rFonts w:ascii="Times New Roman" w:hAnsi="Times New Roman" w:cs="Times New Roman"/>
          <w:b w:val="0"/>
          <w:sz w:val="22"/>
          <w:szCs w:val="22"/>
        </w:rPr>
        <w:t xml:space="preserve"> </w:t>
      </w:r>
      <w:r w:rsidRPr="00A24D81">
        <w:rPr>
          <w:rFonts w:ascii="Times New Roman" w:hAnsi="Times New Roman" w:cs="Times New Roman"/>
          <w:b w:val="0"/>
          <w:sz w:val="22"/>
          <w:szCs w:val="22"/>
        </w:rPr>
        <w:t xml:space="preserve">de los lotes, en cada asentamiento; y, por tanto, los beneficiarios del proceso de regularización. </w:t>
      </w:r>
    </w:p>
    <w:p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El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w:t>
      </w:r>
      <w:r w:rsidR="00F72905" w:rsidRPr="00A24D81">
        <w:rPr>
          <w:rFonts w:ascii="Times New Roman" w:hAnsi="Times New Roman" w:cs="Times New Roman"/>
          <w:b w:val="0"/>
          <w:sz w:val="22"/>
          <w:szCs w:val="22"/>
        </w:rPr>
        <w:t xml:space="preserve">denominado </w:t>
      </w:r>
      <w:r w:rsidR="00823280">
        <w:rPr>
          <w:rFonts w:ascii="Times New Roman" w:hAnsi="Times New Roman" w:cs="Times New Roman"/>
          <w:b w:val="0"/>
          <w:sz w:val="22"/>
          <w:szCs w:val="22"/>
        </w:rPr>
        <w:t xml:space="preserve">Comité </w:t>
      </w:r>
      <w:proofErr w:type="spellStart"/>
      <w:r w:rsidR="00823280">
        <w:rPr>
          <w:rFonts w:ascii="Times New Roman" w:hAnsi="Times New Roman" w:cs="Times New Roman"/>
          <w:b w:val="0"/>
          <w:sz w:val="22"/>
          <w:szCs w:val="22"/>
        </w:rPr>
        <w:t>Promejoras</w:t>
      </w:r>
      <w:proofErr w:type="spellEnd"/>
      <w:r w:rsidR="00823280">
        <w:rPr>
          <w:rFonts w:ascii="Times New Roman" w:hAnsi="Times New Roman" w:cs="Times New Roman"/>
          <w:b w:val="0"/>
          <w:sz w:val="22"/>
          <w:szCs w:val="22"/>
        </w:rPr>
        <w:t xml:space="preserve"> del Barrio “Santa Ana Alta” Etapa II</w:t>
      </w:r>
      <w:r w:rsidR="00B415E5" w:rsidRPr="00A24D81">
        <w:rPr>
          <w:rFonts w:ascii="Times New Roman" w:hAnsi="Times New Roman" w:cs="Times New Roman"/>
          <w:b w:val="0"/>
          <w:sz w:val="22"/>
          <w:szCs w:val="22"/>
        </w:rPr>
        <w:t xml:space="preserve">, ubicado en la </w:t>
      </w:r>
      <w:r w:rsidR="00823280">
        <w:rPr>
          <w:rFonts w:ascii="Times New Roman" w:hAnsi="Times New Roman" w:cs="Times New Roman"/>
          <w:b w:val="0"/>
          <w:sz w:val="22"/>
          <w:szCs w:val="22"/>
        </w:rPr>
        <w:t>parroquia El Condado</w:t>
      </w:r>
      <w:r w:rsidR="00A15C64" w:rsidRPr="00A24D81">
        <w:rPr>
          <w:rFonts w:ascii="Times New Roman" w:hAnsi="Times New Roman" w:cs="Times New Roman"/>
          <w:b w:val="0"/>
          <w:sz w:val="22"/>
          <w:szCs w:val="22"/>
        </w:rPr>
        <w:t xml:space="preserve">, </w:t>
      </w:r>
      <w:r w:rsidR="00D04ABD" w:rsidRPr="00A24D81">
        <w:rPr>
          <w:rFonts w:ascii="Times New Roman" w:hAnsi="Times New Roman" w:cs="Times New Roman"/>
          <w:b w:val="0"/>
          <w:sz w:val="22"/>
          <w:szCs w:val="22"/>
        </w:rPr>
        <w:t>tiene una</w:t>
      </w:r>
      <w:r w:rsidR="004A0020" w:rsidRPr="00A24D81">
        <w:rPr>
          <w:rFonts w:ascii="Times New Roman" w:hAnsi="Times New Roman" w:cs="Times New Roman"/>
          <w:b w:val="0"/>
          <w:sz w:val="22"/>
          <w:szCs w:val="22"/>
        </w:rPr>
        <w:t xml:space="preserve"> consolidación del </w:t>
      </w:r>
      <w:r w:rsidR="00823280">
        <w:rPr>
          <w:rFonts w:ascii="Times New Roman" w:hAnsi="Times New Roman" w:cs="Times New Roman"/>
          <w:b w:val="0"/>
          <w:sz w:val="22"/>
          <w:szCs w:val="22"/>
        </w:rPr>
        <w:t>100</w:t>
      </w:r>
      <w:r w:rsidR="004A0020" w:rsidRPr="00A24D81">
        <w:rPr>
          <w:rFonts w:ascii="Times New Roman" w:hAnsi="Times New Roman" w:cs="Times New Roman"/>
          <w:b w:val="0"/>
          <w:sz w:val="22"/>
          <w:szCs w:val="22"/>
        </w:rPr>
        <w:t>%</w:t>
      </w:r>
      <w:r w:rsidR="009856E7" w:rsidRPr="00A24D81">
        <w:rPr>
          <w:rFonts w:ascii="Times New Roman" w:hAnsi="Times New Roman" w:cs="Times New Roman"/>
          <w:b w:val="0"/>
          <w:sz w:val="22"/>
          <w:szCs w:val="22"/>
        </w:rPr>
        <w:t xml:space="preserve">; </w:t>
      </w:r>
      <w:r w:rsidR="006954C8" w:rsidRPr="00A24D81">
        <w:rPr>
          <w:rFonts w:ascii="Times New Roman" w:hAnsi="Times New Roman" w:cs="Times New Roman"/>
          <w:b w:val="0"/>
          <w:sz w:val="22"/>
          <w:szCs w:val="22"/>
        </w:rPr>
        <w:t xml:space="preserve">al inicio del proceso de regularización contaba con </w:t>
      </w:r>
      <w:r w:rsidR="00176D80">
        <w:rPr>
          <w:rFonts w:ascii="Times New Roman" w:hAnsi="Times New Roman" w:cs="Times New Roman"/>
          <w:b w:val="0"/>
          <w:sz w:val="22"/>
          <w:szCs w:val="22"/>
        </w:rPr>
        <w:t>34</w:t>
      </w:r>
      <w:r w:rsidR="006954C8" w:rsidRPr="00A24D81">
        <w:rPr>
          <w:rFonts w:ascii="Times New Roman" w:hAnsi="Times New Roman" w:cs="Times New Roman"/>
          <w:b w:val="0"/>
          <w:sz w:val="22"/>
          <w:szCs w:val="22"/>
        </w:rPr>
        <w:t xml:space="preserve"> años de existencia</w:t>
      </w:r>
      <w:r w:rsidR="00AE4AEE" w:rsidRPr="00A24D81">
        <w:rPr>
          <w:rFonts w:ascii="Times New Roman" w:hAnsi="Times New Roman" w:cs="Times New Roman"/>
          <w:b w:val="0"/>
          <w:sz w:val="22"/>
          <w:szCs w:val="22"/>
        </w:rPr>
        <w:t>, sin embargo al momento</w:t>
      </w:r>
      <w:r w:rsidR="005830F1" w:rsidRPr="00A24D81">
        <w:rPr>
          <w:rFonts w:ascii="Times New Roman" w:hAnsi="Times New Roman" w:cs="Times New Roman"/>
          <w:b w:val="0"/>
          <w:sz w:val="22"/>
          <w:szCs w:val="22"/>
        </w:rPr>
        <w:t xml:space="preserve"> de</w:t>
      </w:r>
      <w:r w:rsidR="00EB46F9" w:rsidRPr="00A24D81">
        <w:rPr>
          <w:rFonts w:ascii="Times New Roman" w:hAnsi="Times New Roman" w:cs="Times New Roman"/>
          <w:b w:val="0"/>
          <w:sz w:val="22"/>
          <w:szCs w:val="22"/>
        </w:rPr>
        <w:t xml:space="preserve"> </w:t>
      </w:r>
      <w:r w:rsidR="005830F1" w:rsidRPr="00A24D81">
        <w:rPr>
          <w:rFonts w:ascii="Times New Roman" w:hAnsi="Times New Roman" w:cs="Times New Roman"/>
          <w:b w:val="0"/>
          <w:sz w:val="22"/>
          <w:szCs w:val="22"/>
        </w:rPr>
        <w:t>l</w:t>
      </w:r>
      <w:r w:rsidR="00EB46F9" w:rsidRPr="00A24D81">
        <w:rPr>
          <w:rFonts w:ascii="Times New Roman" w:hAnsi="Times New Roman" w:cs="Times New Roman"/>
          <w:b w:val="0"/>
          <w:sz w:val="22"/>
          <w:szCs w:val="22"/>
        </w:rPr>
        <w:t>a sanción de la presente ordenanza el asentamiento</w:t>
      </w:r>
      <w:r w:rsidR="005830F1" w:rsidRPr="00A24D81">
        <w:rPr>
          <w:rFonts w:ascii="Times New Roman" w:hAnsi="Times New Roman" w:cs="Times New Roman"/>
          <w:b w:val="0"/>
          <w:sz w:val="22"/>
          <w:szCs w:val="22"/>
        </w:rPr>
        <w:t xml:space="preserve"> </w:t>
      </w:r>
      <w:r w:rsidR="006954C8" w:rsidRPr="00A24D81">
        <w:rPr>
          <w:rFonts w:ascii="Times New Roman" w:hAnsi="Times New Roman" w:cs="Times New Roman"/>
          <w:b w:val="0"/>
          <w:sz w:val="22"/>
          <w:szCs w:val="22"/>
        </w:rPr>
        <w:t xml:space="preserve">cuenta con </w:t>
      </w:r>
      <w:r w:rsidR="00176D80">
        <w:rPr>
          <w:rFonts w:ascii="Times New Roman" w:hAnsi="Times New Roman" w:cs="Times New Roman"/>
          <w:b w:val="0"/>
          <w:sz w:val="22"/>
          <w:szCs w:val="22"/>
        </w:rPr>
        <w:t>38</w:t>
      </w:r>
      <w:r w:rsidR="006954C8" w:rsidRPr="00A24D81">
        <w:rPr>
          <w:rFonts w:ascii="Times New Roman" w:hAnsi="Times New Roman" w:cs="Times New Roman"/>
          <w:b w:val="0"/>
          <w:sz w:val="22"/>
          <w:szCs w:val="22"/>
        </w:rPr>
        <w:t xml:space="preserve"> años de asentamiento</w:t>
      </w:r>
      <w:r w:rsidR="00AB3AA4" w:rsidRPr="00A24D81">
        <w:rPr>
          <w:rFonts w:ascii="Times New Roman" w:hAnsi="Times New Roman" w:cs="Times New Roman"/>
          <w:b w:val="0"/>
          <w:sz w:val="22"/>
          <w:szCs w:val="22"/>
        </w:rPr>
        <w:t xml:space="preserve">, </w:t>
      </w:r>
      <w:r w:rsidR="003329E7">
        <w:rPr>
          <w:rFonts w:ascii="Times New Roman" w:hAnsi="Times New Roman" w:cs="Times New Roman"/>
          <w:b w:val="0"/>
          <w:sz w:val="22"/>
          <w:szCs w:val="22"/>
        </w:rPr>
        <w:t>13</w:t>
      </w:r>
      <w:r w:rsidR="00AB3AA4" w:rsidRPr="00A24D81">
        <w:rPr>
          <w:rFonts w:ascii="Times New Roman" w:hAnsi="Times New Roman" w:cs="Times New Roman"/>
          <w:b w:val="0"/>
          <w:sz w:val="22"/>
          <w:szCs w:val="22"/>
        </w:rPr>
        <w:t xml:space="preserve"> lotes a fraccionarse</w:t>
      </w:r>
      <w:r w:rsidR="006954C8" w:rsidRPr="00A24D81">
        <w:rPr>
          <w:rFonts w:ascii="Times New Roman" w:hAnsi="Times New Roman" w:cs="Times New Roman"/>
          <w:b w:val="0"/>
          <w:sz w:val="22"/>
          <w:szCs w:val="22"/>
        </w:rPr>
        <w:t xml:space="preserve"> y </w:t>
      </w:r>
      <w:r w:rsidR="003329E7">
        <w:rPr>
          <w:rFonts w:ascii="Times New Roman" w:hAnsi="Times New Roman" w:cs="Times New Roman"/>
          <w:b w:val="0"/>
          <w:sz w:val="22"/>
          <w:szCs w:val="22"/>
        </w:rPr>
        <w:t>52</w:t>
      </w:r>
      <w:r w:rsidR="00AE6BF9" w:rsidRPr="00A24D81">
        <w:rPr>
          <w:rFonts w:ascii="Times New Roman" w:hAnsi="Times New Roman" w:cs="Times New Roman"/>
          <w:b w:val="0"/>
          <w:sz w:val="22"/>
          <w:szCs w:val="22"/>
        </w:rPr>
        <w:t xml:space="preserve"> </w:t>
      </w:r>
      <w:r w:rsidR="00D04ABD" w:rsidRPr="00A24D81">
        <w:rPr>
          <w:rFonts w:ascii="Times New Roman" w:hAnsi="Times New Roman" w:cs="Times New Roman"/>
          <w:b w:val="0"/>
          <w:sz w:val="22"/>
          <w:szCs w:val="22"/>
        </w:rPr>
        <w:t>beneficiarios</w:t>
      </w:r>
      <w:r w:rsidRPr="00A24D81">
        <w:rPr>
          <w:rFonts w:ascii="Times New Roman" w:hAnsi="Times New Roman" w:cs="Times New Roman"/>
          <w:b w:val="0"/>
          <w:sz w:val="22"/>
          <w:szCs w:val="22"/>
        </w:rPr>
        <w:t xml:space="preserve">. </w:t>
      </w:r>
    </w:p>
    <w:p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Dicho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no cuenta con reconocimiento legal por parte de la Municipalidad, por lo que la </w:t>
      </w:r>
      <w:r w:rsidR="00593B61" w:rsidRPr="00A24D81">
        <w:rPr>
          <w:rFonts w:ascii="Times New Roman" w:hAnsi="Times New Roman" w:cs="Times New Roman"/>
          <w:b w:val="0"/>
          <w:sz w:val="22"/>
          <w:szCs w:val="22"/>
        </w:rPr>
        <w:t xml:space="preserve">Unidad Especial “Regula tu Barrio” </w:t>
      </w:r>
      <w:r w:rsidR="00AD5A83" w:rsidRPr="00A24D81">
        <w:rPr>
          <w:rFonts w:ascii="Times New Roman" w:hAnsi="Times New Roman" w:cs="Times New Roman"/>
          <w:b w:val="0"/>
          <w:sz w:val="22"/>
          <w:szCs w:val="22"/>
        </w:rPr>
        <w:t>gestionó</w:t>
      </w:r>
      <w:r w:rsidRPr="00A24D81">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A24D81">
        <w:rPr>
          <w:rFonts w:ascii="Times New Roman" w:hAnsi="Times New Roman" w:cs="Times New Roman"/>
          <w:b w:val="0"/>
          <w:sz w:val="22"/>
          <w:szCs w:val="22"/>
        </w:rPr>
        <w:t>propietarios</w:t>
      </w:r>
      <w:r w:rsidRPr="00A24D81">
        <w:rPr>
          <w:rFonts w:ascii="Times New Roman" w:hAnsi="Times New Roman" w:cs="Times New Roman"/>
          <w:b w:val="0"/>
          <w:sz w:val="22"/>
          <w:szCs w:val="22"/>
        </w:rPr>
        <w:t xml:space="preserve"> cuenten con </w:t>
      </w:r>
      <w:r w:rsidR="00D04ABD" w:rsidRPr="00A24D81">
        <w:rPr>
          <w:rFonts w:ascii="Times New Roman" w:hAnsi="Times New Roman" w:cs="Times New Roman"/>
          <w:b w:val="0"/>
          <w:sz w:val="22"/>
          <w:szCs w:val="22"/>
        </w:rPr>
        <w:t>títulos de dominio</w:t>
      </w:r>
      <w:r w:rsidRPr="00A24D81">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rsidR="00361728" w:rsidRPr="00A24D81" w:rsidRDefault="00361728" w:rsidP="00397AF9">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En este sentido, la presente ordenanza co</w:t>
      </w:r>
      <w:r w:rsidR="00C174B4" w:rsidRPr="00A24D81">
        <w:rPr>
          <w:rFonts w:ascii="Times New Roman" w:hAnsi="Times New Roman" w:cs="Times New Roman"/>
          <w:b w:val="0"/>
          <w:sz w:val="22"/>
          <w:szCs w:val="22"/>
        </w:rPr>
        <w:t>ntiene la normativa tendiente al fraccionamiento de</w:t>
      </w:r>
      <w:r w:rsidR="00397AF9" w:rsidRPr="00A24D81">
        <w:rPr>
          <w:rFonts w:ascii="Times New Roman" w:hAnsi="Times New Roman" w:cs="Times New Roman"/>
          <w:b w:val="0"/>
          <w:sz w:val="22"/>
          <w:szCs w:val="22"/>
        </w:rPr>
        <w:t xml:space="preserve"> </w:t>
      </w:r>
      <w:r w:rsidR="00C174B4" w:rsidRPr="00A24D81">
        <w:rPr>
          <w:rFonts w:ascii="Times New Roman" w:hAnsi="Times New Roman" w:cs="Times New Roman"/>
          <w:b w:val="0"/>
          <w:sz w:val="22"/>
          <w:szCs w:val="22"/>
        </w:rPr>
        <w:t>l</w:t>
      </w:r>
      <w:r w:rsidR="00397AF9" w:rsidRPr="00A24D81">
        <w:rPr>
          <w:rFonts w:ascii="Times New Roman" w:hAnsi="Times New Roman" w:cs="Times New Roman"/>
          <w:b w:val="0"/>
          <w:sz w:val="22"/>
          <w:szCs w:val="22"/>
        </w:rPr>
        <w:t>os</w:t>
      </w:r>
      <w:r w:rsidR="00C174B4" w:rsidRPr="00A24D81">
        <w:rPr>
          <w:rFonts w:ascii="Times New Roman" w:hAnsi="Times New Roman" w:cs="Times New Roman"/>
          <w:b w:val="0"/>
          <w:sz w:val="22"/>
          <w:szCs w:val="22"/>
        </w:rPr>
        <w:t xml:space="preserve"> predio</w:t>
      </w:r>
      <w:r w:rsidR="00397AF9" w:rsidRPr="00A24D81">
        <w:rPr>
          <w:rFonts w:ascii="Times New Roman" w:hAnsi="Times New Roman" w:cs="Times New Roman"/>
          <w:b w:val="0"/>
          <w:sz w:val="22"/>
          <w:szCs w:val="22"/>
        </w:rPr>
        <w:t>s</w:t>
      </w:r>
      <w:r w:rsidR="00C174B4" w:rsidRPr="00A24D81">
        <w:rPr>
          <w:rFonts w:ascii="Times New Roman" w:hAnsi="Times New Roman" w:cs="Times New Roman"/>
          <w:b w:val="0"/>
          <w:sz w:val="22"/>
          <w:szCs w:val="22"/>
        </w:rPr>
        <w:t xml:space="preserve"> sobre el que se encuentra </w:t>
      </w:r>
      <w:r w:rsidRPr="00A24D81">
        <w:rPr>
          <w:rFonts w:ascii="Times New Roman" w:hAnsi="Times New Roman" w:cs="Times New Roman"/>
          <w:b w:val="0"/>
          <w:sz w:val="22"/>
          <w:szCs w:val="22"/>
        </w:rPr>
        <w:t xml:space="preserve">el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denominado</w:t>
      </w:r>
      <w:r w:rsidR="00BE4CA3" w:rsidRPr="00A24D81">
        <w:rPr>
          <w:rFonts w:ascii="Times New Roman" w:hAnsi="Times New Roman" w:cs="Times New Roman"/>
          <w:b w:val="0"/>
          <w:sz w:val="22"/>
          <w:szCs w:val="22"/>
        </w:rPr>
        <w:t xml:space="preserve"> </w:t>
      </w:r>
      <w:r w:rsidR="00823280">
        <w:rPr>
          <w:rFonts w:ascii="Times New Roman" w:hAnsi="Times New Roman" w:cs="Times New Roman"/>
          <w:b w:val="0"/>
          <w:sz w:val="22"/>
          <w:szCs w:val="22"/>
        </w:rPr>
        <w:t xml:space="preserve">Comité </w:t>
      </w:r>
      <w:proofErr w:type="spellStart"/>
      <w:r w:rsidR="00823280">
        <w:rPr>
          <w:rFonts w:ascii="Times New Roman" w:hAnsi="Times New Roman" w:cs="Times New Roman"/>
          <w:b w:val="0"/>
          <w:sz w:val="22"/>
          <w:szCs w:val="22"/>
        </w:rPr>
        <w:t>Promejoras</w:t>
      </w:r>
      <w:proofErr w:type="spellEnd"/>
      <w:r w:rsidR="00823280">
        <w:rPr>
          <w:rFonts w:ascii="Times New Roman" w:hAnsi="Times New Roman" w:cs="Times New Roman"/>
          <w:b w:val="0"/>
          <w:sz w:val="22"/>
          <w:szCs w:val="22"/>
        </w:rPr>
        <w:t xml:space="preserve"> del Barrio “Santa Ana Alta” Etapa II</w:t>
      </w:r>
      <w:r w:rsidR="00502131" w:rsidRPr="00A24D81">
        <w:rPr>
          <w:rFonts w:ascii="Times New Roman" w:hAnsi="Times New Roman" w:cs="Times New Roman"/>
          <w:b w:val="0"/>
          <w:sz w:val="22"/>
          <w:szCs w:val="22"/>
        </w:rPr>
        <w:t>,</w:t>
      </w:r>
      <w:r w:rsidR="00502131" w:rsidRPr="00A24D81">
        <w:rPr>
          <w:rFonts w:ascii="Times New Roman" w:hAnsi="Times New Roman" w:cs="Times New Roman"/>
          <w:sz w:val="22"/>
          <w:szCs w:val="22"/>
        </w:rPr>
        <w:t xml:space="preserve"> </w:t>
      </w:r>
      <w:r w:rsidRPr="00A24D81">
        <w:rPr>
          <w:rFonts w:ascii="Times New Roman" w:hAnsi="Times New Roman" w:cs="Times New Roman"/>
          <w:b w:val="0"/>
          <w:sz w:val="22"/>
          <w:szCs w:val="22"/>
        </w:rPr>
        <w:t>a fin de garantizar a los beneficiarios el ejercicio de su derecho a la vivienda y el acceso a servicios básicos de calidad.</w:t>
      </w:r>
    </w:p>
    <w:p w:rsidR="003B5EDB" w:rsidRPr="00A24D81" w:rsidRDefault="003B5EDB" w:rsidP="003B5EDB">
      <w:pPr>
        <w:pStyle w:val="Puesto"/>
        <w:rPr>
          <w:rFonts w:ascii="Times New Roman" w:hAnsi="Times New Roman" w:cs="Times New Roman"/>
          <w:sz w:val="22"/>
          <w:szCs w:val="22"/>
        </w:rPr>
        <w:sectPr w:rsidR="003B5EDB" w:rsidRPr="00A24D81"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rsidR="00361728" w:rsidRPr="00A24D81" w:rsidRDefault="00361728" w:rsidP="00D13ABD">
      <w:pPr>
        <w:pStyle w:val="a"/>
        <w:spacing w:after="240" w:line="276" w:lineRule="auto"/>
        <w:rPr>
          <w:rFonts w:ascii="Times New Roman" w:hAnsi="Times New Roman" w:cs="Times New Roman"/>
          <w:sz w:val="22"/>
          <w:szCs w:val="22"/>
        </w:rPr>
      </w:pPr>
      <w:r w:rsidRPr="00A24D81">
        <w:rPr>
          <w:rFonts w:ascii="Times New Roman" w:hAnsi="Times New Roman" w:cs="Times New Roman"/>
          <w:sz w:val="22"/>
          <w:szCs w:val="22"/>
        </w:rPr>
        <w:lastRenderedPageBreak/>
        <w:t>EL CONCEJO METROPOLITANO DE QUITO</w:t>
      </w:r>
    </w:p>
    <w:p w:rsidR="00DD59DA" w:rsidRPr="00A24D81" w:rsidRDefault="00B415E5" w:rsidP="00D13ABD">
      <w:pPr>
        <w:pStyle w:val="Textoindependiente"/>
        <w:jc w:val="both"/>
        <w:rPr>
          <w:sz w:val="22"/>
          <w:szCs w:val="22"/>
        </w:rPr>
      </w:pPr>
      <w:r w:rsidRPr="00A24D81">
        <w:rPr>
          <w:sz w:val="22"/>
          <w:szCs w:val="22"/>
        </w:rPr>
        <w:t xml:space="preserve">Visto </w:t>
      </w:r>
      <w:r w:rsidR="00C137E4" w:rsidRPr="00A24D81">
        <w:rPr>
          <w:sz w:val="22"/>
          <w:szCs w:val="22"/>
        </w:rPr>
        <w:t>e</w:t>
      </w:r>
      <w:r w:rsidRPr="00A24D81">
        <w:rPr>
          <w:sz w:val="22"/>
          <w:szCs w:val="22"/>
        </w:rPr>
        <w:t>l Informe</w:t>
      </w:r>
      <w:r w:rsidR="00C137E4" w:rsidRPr="00A24D81">
        <w:rPr>
          <w:sz w:val="22"/>
          <w:szCs w:val="22"/>
        </w:rPr>
        <w:t xml:space="preserve"> No. </w:t>
      </w:r>
      <w:r w:rsidR="004A0020" w:rsidRPr="00A24D81">
        <w:rPr>
          <w:sz w:val="22"/>
          <w:szCs w:val="22"/>
        </w:rPr>
        <w:t>………………………</w:t>
      </w:r>
      <w:r w:rsidR="00640D3D" w:rsidRPr="00A24D81">
        <w:rPr>
          <w:sz w:val="22"/>
          <w:szCs w:val="22"/>
        </w:rPr>
        <w:t xml:space="preserve"> </w:t>
      </w:r>
      <w:proofErr w:type="gramStart"/>
      <w:r w:rsidRPr="00A24D81">
        <w:rPr>
          <w:sz w:val="22"/>
          <w:szCs w:val="22"/>
        </w:rPr>
        <w:t xml:space="preserve">de </w:t>
      </w:r>
      <w:r w:rsidR="004A0020" w:rsidRPr="00A24D81">
        <w:rPr>
          <w:sz w:val="22"/>
          <w:szCs w:val="22"/>
        </w:rPr>
        <w:t>…</w:t>
      </w:r>
      <w:proofErr w:type="gramEnd"/>
      <w:r w:rsidR="004A0020" w:rsidRPr="00A24D81">
        <w:rPr>
          <w:sz w:val="22"/>
          <w:szCs w:val="22"/>
        </w:rPr>
        <w:t>…….</w:t>
      </w:r>
      <w:r w:rsidR="00640D3D" w:rsidRPr="00A24D81">
        <w:rPr>
          <w:sz w:val="22"/>
          <w:szCs w:val="22"/>
        </w:rPr>
        <w:t>de</w:t>
      </w:r>
      <w:r w:rsidR="004A0020" w:rsidRPr="00A24D81">
        <w:rPr>
          <w:sz w:val="22"/>
          <w:szCs w:val="22"/>
        </w:rPr>
        <w:t>….</w:t>
      </w:r>
      <w:r w:rsidRPr="00A24D81">
        <w:rPr>
          <w:sz w:val="22"/>
          <w:szCs w:val="22"/>
        </w:rPr>
        <w:t>, de la Comisión de Ordenamiento Territorial.</w:t>
      </w:r>
    </w:p>
    <w:p w:rsidR="00385E8D" w:rsidRPr="00A24D81" w:rsidRDefault="00385E8D" w:rsidP="00022E75">
      <w:pPr>
        <w:jc w:val="both"/>
        <w:rPr>
          <w:sz w:val="22"/>
          <w:szCs w:val="22"/>
        </w:rPr>
      </w:pPr>
    </w:p>
    <w:p w:rsidR="004F6D8E" w:rsidRPr="00A24D81" w:rsidRDefault="004F6D8E" w:rsidP="004F6D8E">
      <w:pPr>
        <w:pStyle w:val="Ttulo1"/>
        <w:spacing w:before="0"/>
        <w:jc w:val="center"/>
        <w:rPr>
          <w:rFonts w:ascii="Times New Roman" w:hAnsi="Times New Roman" w:cs="Times New Roman"/>
          <w:color w:val="auto"/>
          <w:sz w:val="22"/>
          <w:szCs w:val="22"/>
        </w:rPr>
      </w:pPr>
      <w:r w:rsidRPr="00A24D81">
        <w:rPr>
          <w:rFonts w:ascii="Times New Roman" w:hAnsi="Times New Roman" w:cs="Times New Roman"/>
          <w:color w:val="auto"/>
          <w:sz w:val="22"/>
          <w:szCs w:val="22"/>
        </w:rPr>
        <w:t>CONSIDERANDO</w:t>
      </w:r>
    </w:p>
    <w:p w:rsidR="004F6D8E" w:rsidRPr="00A24D81" w:rsidRDefault="004F6D8E" w:rsidP="004F6D8E">
      <w:pPr>
        <w:rPr>
          <w:sz w:val="22"/>
          <w:szCs w:val="22"/>
        </w:rPr>
      </w:pP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rPr>
        <w:t xml:space="preserve">Que, </w:t>
      </w:r>
      <w:r w:rsidRPr="00A24D81">
        <w:rPr>
          <w:rFonts w:ascii="Times New Roman" w:hAnsi="Times New Roman"/>
          <w:b/>
        </w:rPr>
        <w:tab/>
      </w:r>
      <w:r w:rsidRPr="00A24D81">
        <w:rPr>
          <w:rFonts w:ascii="Times New Roman" w:hAnsi="Times New Roman"/>
        </w:rPr>
        <w:t>el artículo 30 de la Constitución de la República del Ecuador (en adelante “Constitución”) establece que: “</w:t>
      </w:r>
      <w:r w:rsidRPr="00A24D81">
        <w:rPr>
          <w:rFonts w:ascii="Times New Roman" w:hAnsi="Times New Roman"/>
          <w:i/>
        </w:rPr>
        <w:t>Las personas tienen derecho a un hábitat seguro y saludable, y a una vivienda adecuada y digna, con independencia de su situación social y económica.</w:t>
      </w:r>
      <w:r w:rsidRPr="00A24D81">
        <w:rPr>
          <w:rFonts w:ascii="Times New Roman" w:hAnsi="Times New Roman"/>
        </w:rPr>
        <w:t>”;</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el artículo 31 de la Constitución expresa que: “</w:t>
      </w:r>
      <w:r w:rsidRPr="00A24D81">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24D81">
        <w:rPr>
          <w:rFonts w:ascii="Times New Roman" w:hAnsi="Times New Roman"/>
          <w:bCs/>
        </w:rPr>
        <w:t xml:space="preserve">”; </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rPr>
        <w:t>el artículo 240 de la Constitución establece que: “</w:t>
      </w:r>
      <w:r w:rsidRPr="00A24D81">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A24D81">
        <w:rPr>
          <w:rFonts w:ascii="Times New Roman" w:hAnsi="Times New Roman"/>
        </w:rPr>
        <w:t>”;</w:t>
      </w:r>
    </w:p>
    <w:p w:rsidR="004F6D8E" w:rsidRPr="00A24D81" w:rsidRDefault="004F6D8E" w:rsidP="004F6D8E">
      <w:pPr>
        <w:pStyle w:val="Sinespaciado"/>
        <w:spacing w:after="240" w:line="276" w:lineRule="auto"/>
        <w:ind w:left="709" w:hanging="709"/>
        <w:jc w:val="both"/>
        <w:rPr>
          <w:rFonts w:ascii="Times New Roman" w:hAnsi="Times New Roman"/>
          <w:i/>
        </w:rPr>
      </w:pPr>
      <w:r w:rsidRPr="00A24D81">
        <w:rPr>
          <w:rFonts w:ascii="Times New Roman" w:hAnsi="Times New Roman"/>
          <w:b/>
        </w:rPr>
        <w:t>Que,</w:t>
      </w:r>
      <w:r w:rsidRPr="00A24D81">
        <w:rPr>
          <w:rFonts w:ascii="Times New Roman" w:hAnsi="Times New Roman"/>
        </w:rPr>
        <w:tab/>
        <w:t>el artículo 266 de la Constitución establece que</w:t>
      </w:r>
      <w:r w:rsidRPr="00A24D81">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4F6D8E" w:rsidRPr="00A24D81" w:rsidRDefault="004F6D8E" w:rsidP="004F6D8E">
      <w:pPr>
        <w:pStyle w:val="Sinespaciado"/>
        <w:spacing w:after="240" w:line="276" w:lineRule="auto"/>
        <w:ind w:left="709" w:hanging="1"/>
        <w:jc w:val="both"/>
        <w:rPr>
          <w:rFonts w:ascii="Times New Roman" w:hAnsi="Times New Roman"/>
        </w:rPr>
      </w:pPr>
      <w:r w:rsidRPr="00A24D81">
        <w:rPr>
          <w:rFonts w:ascii="Times New Roman" w:hAnsi="Times New Roman"/>
          <w:i/>
        </w:rPr>
        <w:t>En el ámbito de sus competencias y territorio, y en uso de sus facultades, expedirán ordenanzas distritales.”</w:t>
      </w:r>
    </w:p>
    <w:p w:rsidR="004F6D8E" w:rsidRPr="00A24D81" w:rsidRDefault="004F6D8E" w:rsidP="004F6D8E">
      <w:pPr>
        <w:pStyle w:val="Sinespaciado"/>
        <w:spacing w:after="240" w:line="276" w:lineRule="auto"/>
        <w:ind w:left="709" w:hanging="709"/>
        <w:jc w:val="both"/>
        <w:rPr>
          <w:rFonts w:ascii="Times New Roman" w:hAnsi="Times New Roman"/>
          <w:i/>
        </w:rPr>
      </w:pPr>
      <w:r w:rsidRPr="00A24D81">
        <w:rPr>
          <w:rFonts w:ascii="Times New Roman" w:hAnsi="Times New Roman"/>
          <w:b/>
          <w:bCs/>
        </w:rPr>
        <w:t>Que,</w:t>
      </w:r>
      <w:r w:rsidRPr="00A24D81">
        <w:rPr>
          <w:rFonts w:ascii="Times New Roman" w:hAnsi="Times New Roman"/>
        </w:rPr>
        <w:tab/>
      </w:r>
      <w:r w:rsidRPr="00A24D81">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A24D81">
        <w:rPr>
          <w:rFonts w:ascii="Times New Roman" w:hAnsi="Times New Roman"/>
          <w:bCs/>
          <w:i/>
        </w:rPr>
        <w:t>“</w:t>
      </w:r>
      <w:r w:rsidRPr="00A24D81">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los literales a), y x) d</w:t>
      </w:r>
      <w:r w:rsidRPr="00A24D81">
        <w:rPr>
          <w:rFonts w:ascii="Times New Roman" w:hAnsi="Times New Roman"/>
        </w:rPr>
        <w:t xml:space="preserve">el artículo 87 del COOTAD, establece que las funciones del Concejo Metropolitano, entre otras, son: </w:t>
      </w:r>
      <w:r w:rsidRPr="00A24D81">
        <w:rPr>
          <w:rFonts w:ascii="Times New Roman" w:hAnsi="Times New Roman"/>
          <w:i/>
          <w:iCs/>
        </w:rPr>
        <w:t>“</w:t>
      </w:r>
      <w:r w:rsidRPr="00A24D81">
        <w:rPr>
          <w:rFonts w:ascii="Times New Roman" w:hAnsi="Times New Roman"/>
          <w:i/>
        </w:rPr>
        <w:t>a) Ejercer la facultad normativa en las materias de competencia del gobierno autónomo descentralizado metropolitano, mediante la expedición de ordenanzas metropolitanas, acuerdos y resoluciones;</w:t>
      </w:r>
      <w:r w:rsidRPr="00A24D81">
        <w:rPr>
          <w:rFonts w:ascii="Times New Roman" w:hAnsi="Times New Roman"/>
          <w:i/>
          <w:iCs/>
        </w:rPr>
        <w:t xml:space="preserve"> (…) x) </w:t>
      </w:r>
      <w:r w:rsidRPr="00A24D81">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A24D81">
        <w:rPr>
          <w:rFonts w:ascii="Times New Roman" w:hAnsi="Times New Roman"/>
          <w:i/>
        </w:rPr>
        <w:t>interbarrial</w:t>
      </w:r>
      <w:proofErr w:type="spellEnd"/>
      <w:r w:rsidRPr="00A24D81">
        <w:rPr>
          <w:rFonts w:ascii="Times New Roman" w:hAnsi="Times New Roman"/>
          <w:i/>
          <w:iCs/>
        </w:rPr>
        <w:t xml:space="preserve">;  </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lastRenderedPageBreak/>
        <w:t>Que,</w:t>
      </w:r>
      <w:r w:rsidRPr="00A24D81">
        <w:rPr>
          <w:rFonts w:ascii="Times New Roman" w:hAnsi="Times New Roman"/>
          <w:b/>
          <w:bCs/>
        </w:rPr>
        <w:tab/>
      </w:r>
      <w:r w:rsidRPr="00A24D81">
        <w:rPr>
          <w:rFonts w:ascii="Times New Roman" w:hAnsi="Times New Roman"/>
        </w:rPr>
        <w:t>el artículo 322 del COOTAD establece el procedimiento para la aprobación de las ordenanzas municipales;</w:t>
      </w:r>
    </w:p>
    <w:p w:rsidR="004F6D8E" w:rsidRPr="00A24D81" w:rsidRDefault="004F6D8E" w:rsidP="004F6D8E">
      <w:pPr>
        <w:pStyle w:val="Sinespaciado"/>
        <w:spacing w:after="240" w:line="276" w:lineRule="auto"/>
        <w:ind w:left="709" w:hanging="709"/>
        <w:jc w:val="both"/>
        <w:rPr>
          <w:rFonts w:ascii="Times New Roman" w:hAnsi="Times New Roman"/>
          <w:b/>
          <w:bCs/>
        </w:rPr>
      </w:pPr>
      <w:r w:rsidRPr="00A24D81">
        <w:rPr>
          <w:rFonts w:ascii="Times New Roman" w:hAnsi="Times New Roman"/>
          <w:b/>
          <w:bCs/>
        </w:rPr>
        <w:t xml:space="preserve">Que,    </w:t>
      </w:r>
      <w:r w:rsidRPr="00A24D81">
        <w:rPr>
          <w:rFonts w:ascii="Times New Roman" w:hAnsi="Times New Roman"/>
          <w:bCs/>
        </w:rPr>
        <w:t>el artículo 486 del COOTAD reformado establece que: “</w:t>
      </w:r>
      <w:r w:rsidRPr="00A24D81">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24D81">
        <w:rPr>
          <w:rFonts w:ascii="Times New Roman" w:hAnsi="Times New Roman"/>
          <w:bCs/>
          <w:lang w:val="es-ES_tradnl"/>
        </w:rPr>
        <w:t>”</w:t>
      </w:r>
      <w:r w:rsidRPr="00A24D81">
        <w:rPr>
          <w:rFonts w:ascii="Times New Roman" w:hAnsi="Times New Roman"/>
          <w:bCs/>
        </w:rPr>
        <w:t>;</w:t>
      </w:r>
    </w:p>
    <w:p w:rsidR="004F6D8E" w:rsidRPr="00A24D81" w:rsidRDefault="004F6D8E" w:rsidP="004F6D8E">
      <w:pPr>
        <w:pStyle w:val="Sinespaciado"/>
        <w:spacing w:before="240"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la Disposición Transitoria Décima Cuarta del COOTAD, señala: “</w:t>
      </w:r>
      <w:r w:rsidRPr="00A24D81">
        <w:rPr>
          <w:rFonts w:ascii="Times New Roman" w:hAnsi="Times New Roman"/>
          <w:bCs/>
          <w:i/>
        </w:rPr>
        <w:t xml:space="preserve">(…) </w:t>
      </w:r>
      <w:r w:rsidRPr="00A24D81">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A24D81">
        <w:rPr>
          <w:rFonts w:ascii="Times New Roman" w:hAnsi="Times New Roman"/>
        </w:rPr>
        <w:t>.”;</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4F6D8E" w:rsidRPr="00A24D81" w:rsidRDefault="004F6D8E" w:rsidP="004F6D8E">
      <w:pPr>
        <w:spacing w:after="240" w:line="276" w:lineRule="auto"/>
        <w:ind w:left="705" w:hanging="705"/>
        <w:jc w:val="both"/>
        <w:rPr>
          <w:bCs/>
          <w:sz w:val="22"/>
          <w:szCs w:val="22"/>
        </w:rPr>
      </w:pPr>
      <w:r w:rsidRPr="00A24D81">
        <w:rPr>
          <w:b/>
          <w:bCs/>
          <w:sz w:val="22"/>
          <w:szCs w:val="22"/>
        </w:rPr>
        <w:t xml:space="preserve">Que,   </w:t>
      </w:r>
      <w:r w:rsidRPr="00A24D81">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4F6D8E" w:rsidRPr="00A24D81" w:rsidRDefault="00051340" w:rsidP="004F6D8E">
      <w:pPr>
        <w:pStyle w:val="Textoindependienteprimerasangra2"/>
        <w:ind w:left="709" w:hanging="709"/>
        <w:jc w:val="both"/>
        <w:rPr>
          <w:bCs/>
          <w:sz w:val="22"/>
          <w:szCs w:val="22"/>
        </w:rPr>
      </w:pPr>
      <w:r>
        <w:rPr>
          <w:b/>
          <w:bCs/>
          <w:sz w:val="22"/>
          <w:szCs w:val="22"/>
        </w:rPr>
        <w:t>Que,</w:t>
      </w:r>
      <w:r>
        <w:rPr>
          <w:b/>
          <w:bCs/>
          <w:sz w:val="22"/>
          <w:szCs w:val="22"/>
        </w:rPr>
        <w:tab/>
      </w:r>
      <w:r w:rsidR="004F6D8E" w:rsidRPr="00A24D81">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4F6D8E" w:rsidRPr="00A24D81" w:rsidRDefault="004F6D8E" w:rsidP="004F6D8E">
      <w:pPr>
        <w:pStyle w:val="Textoindependienteprimerasangra2"/>
        <w:ind w:left="709" w:hanging="709"/>
        <w:jc w:val="both"/>
        <w:rPr>
          <w:bCs/>
          <w:sz w:val="22"/>
          <w:szCs w:val="22"/>
        </w:rPr>
      </w:pPr>
    </w:p>
    <w:p w:rsidR="004F6D8E" w:rsidRDefault="004F6D8E" w:rsidP="004F6D8E">
      <w:pPr>
        <w:pStyle w:val="Textoindependienteprimerasangra2"/>
        <w:ind w:left="709" w:hanging="709"/>
        <w:jc w:val="both"/>
        <w:rPr>
          <w:bCs/>
          <w:sz w:val="22"/>
          <w:szCs w:val="22"/>
        </w:rPr>
      </w:pPr>
      <w:r w:rsidRPr="00A24D81">
        <w:rPr>
          <w:b/>
          <w:bCs/>
          <w:sz w:val="22"/>
          <w:szCs w:val="22"/>
        </w:rPr>
        <w:t xml:space="preserve">Que,    </w:t>
      </w:r>
      <w:r w:rsidRPr="00A24D81">
        <w:rPr>
          <w:bCs/>
          <w:sz w:val="22"/>
          <w:szCs w:val="22"/>
        </w:rPr>
        <w:t xml:space="preserve">el Art. IV.7.31, último párrafo de la Ordenanza No. 001 de 29 de marzo de 2019, establece que con la declaratoria de interés social del </w:t>
      </w:r>
      <w:r w:rsidR="00B61E77" w:rsidRPr="00A24D81">
        <w:rPr>
          <w:bCs/>
          <w:sz w:val="22"/>
          <w:szCs w:val="22"/>
        </w:rPr>
        <w:t xml:space="preserve">asentamiento humano de hecho y consolidado </w:t>
      </w:r>
      <w:r w:rsidRPr="00A24D81">
        <w:rPr>
          <w:bCs/>
          <w:sz w:val="22"/>
          <w:szCs w:val="22"/>
        </w:rPr>
        <w:t>dará lugar a la exoneración referentes a la contribución de áreas verdes;</w:t>
      </w:r>
    </w:p>
    <w:p w:rsidR="00A31CF3" w:rsidRDefault="00A31CF3" w:rsidP="004F6D8E">
      <w:pPr>
        <w:pStyle w:val="Textoindependienteprimerasangra2"/>
        <w:ind w:left="709" w:hanging="709"/>
        <w:jc w:val="both"/>
        <w:rPr>
          <w:bCs/>
          <w:i/>
          <w:sz w:val="22"/>
          <w:szCs w:val="22"/>
        </w:rPr>
      </w:pPr>
      <w:r w:rsidRPr="00570EDF">
        <w:rPr>
          <w:b/>
          <w:bCs/>
          <w:sz w:val="22"/>
          <w:szCs w:val="22"/>
        </w:rPr>
        <w:lastRenderedPageBreak/>
        <w:t>Que,</w:t>
      </w:r>
      <w:r w:rsidRPr="00570EDF">
        <w:rPr>
          <w:b/>
          <w:bCs/>
          <w:color w:val="FF0000"/>
          <w:sz w:val="22"/>
          <w:szCs w:val="22"/>
        </w:rPr>
        <w:tab/>
      </w:r>
      <w:r w:rsidRPr="00570EDF">
        <w:rPr>
          <w:bCs/>
          <w:sz w:val="22"/>
          <w:szCs w:val="22"/>
        </w:rPr>
        <w:t>el artículo IV.7.43 de la Ordenanza No. 001 de 29 de marzo de 2019, señala:</w:t>
      </w:r>
      <w:r w:rsidRPr="00570EDF">
        <w:rPr>
          <w:bCs/>
          <w:i/>
          <w:sz w:val="22"/>
          <w:szCs w:val="22"/>
        </w:rPr>
        <w:t xml:space="preserve"> </w:t>
      </w:r>
      <w:r>
        <w:rPr>
          <w:bCs/>
          <w:i/>
          <w:sz w:val="22"/>
          <w:szCs w:val="22"/>
        </w:rPr>
        <w:t>“</w:t>
      </w:r>
      <w:r w:rsidRPr="00570EDF">
        <w:rPr>
          <w:bCs/>
          <w:i/>
          <w:sz w:val="22"/>
          <w:szCs w:val="22"/>
        </w:rPr>
        <w: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Pr>
          <w:bCs/>
          <w:i/>
          <w:sz w:val="22"/>
          <w:szCs w:val="22"/>
        </w:rPr>
        <w:t>”</w:t>
      </w:r>
      <w:r w:rsidRPr="00570EDF">
        <w:rPr>
          <w:bCs/>
          <w:i/>
          <w:sz w:val="22"/>
          <w:szCs w:val="22"/>
        </w:rPr>
        <w:t>;</w:t>
      </w:r>
    </w:p>
    <w:p w:rsidR="00A31CF3" w:rsidRPr="00A24D81" w:rsidRDefault="00A31CF3" w:rsidP="004F6D8E">
      <w:pPr>
        <w:pStyle w:val="Textoindependienteprimerasangra2"/>
        <w:ind w:left="709" w:hanging="709"/>
        <w:jc w:val="both"/>
        <w:rPr>
          <w:bCs/>
          <w:sz w:val="22"/>
          <w:szCs w:val="22"/>
        </w:rPr>
      </w:pPr>
    </w:p>
    <w:p w:rsidR="004F6D8E" w:rsidRPr="00A24D81" w:rsidRDefault="004F6D8E" w:rsidP="004F6D8E">
      <w:pPr>
        <w:spacing w:after="240" w:line="276" w:lineRule="auto"/>
        <w:ind w:left="705" w:hanging="705"/>
        <w:jc w:val="both"/>
        <w:rPr>
          <w:b/>
          <w:bCs/>
          <w:i/>
          <w:sz w:val="22"/>
          <w:szCs w:val="22"/>
        </w:rPr>
      </w:pPr>
      <w:r w:rsidRPr="00A24D81">
        <w:rPr>
          <w:b/>
          <w:bCs/>
          <w:sz w:val="22"/>
          <w:szCs w:val="22"/>
        </w:rPr>
        <w:t>Que,</w:t>
      </w:r>
      <w:r w:rsidRPr="00A24D81">
        <w:rPr>
          <w:b/>
          <w:bCs/>
          <w:sz w:val="22"/>
          <w:szCs w:val="22"/>
        </w:rPr>
        <w:tab/>
      </w:r>
      <w:r w:rsidRPr="00A24D81">
        <w:rPr>
          <w:bCs/>
          <w:sz w:val="22"/>
          <w:szCs w:val="22"/>
        </w:rPr>
        <w:t>el artículo IV.7.45 de la Ordenanza No. 001 de 29 de marzo de 2019 en su parte pertinente de la excepción de las áreas verdes dispone: “</w:t>
      </w:r>
      <w:r w:rsidRPr="00A24D81">
        <w:rPr>
          <w:bCs/>
          <w:i/>
          <w:sz w:val="22"/>
          <w:szCs w:val="22"/>
        </w:rPr>
        <w:t>(…) El faltante de áreas verdes será compensado pecuniariamente con excepción de los asentamientos declarados de interés social.”;</w:t>
      </w:r>
      <w:r w:rsidRPr="00A24D81">
        <w:rPr>
          <w:b/>
          <w:bCs/>
          <w:i/>
          <w:sz w:val="22"/>
          <w:szCs w:val="22"/>
        </w:rPr>
        <w:t xml:space="preserve"> </w:t>
      </w:r>
    </w:p>
    <w:p w:rsidR="004F6D8E" w:rsidRPr="00A24D81" w:rsidRDefault="004F6D8E" w:rsidP="004F6D8E">
      <w:pPr>
        <w:spacing w:after="240" w:line="276" w:lineRule="auto"/>
        <w:ind w:left="705" w:hanging="705"/>
        <w:jc w:val="both"/>
        <w:rPr>
          <w:bCs/>
          <w:sz w:val="22"/>
          <w:szCs w:val="22"/>
        </w:rPr>
      </w:pPr>
      <w:r w:rsidRPr="00A24D81">
        <w:rPr>
          <w:b/>
          <w:bCs/>
          <w:sz w:val="22"/>
          <w:szCs w:val="22"/>
        </w:rPr>
        <w:t xml:space="preserve">Que, </w:t>
      </w:r>
      <w:r w:rsidRPr="00A24D81">
        <w:rPr>
          <w:b/>
          <w:bCs/>
          <w:sz w:val="22"/>
          <w:szCs w:val="22"/>
        </w:rPr>
        <w:tab/>
      </w:r>
      <w:r w:rsidRPr="00A24D81">
        <w:rPr>
          <w:bCs/>
          <w:sz w:val="22"/>
          <w:szCs w:val="22"/>
        </w:rPr>
        <w:t xml:space="preserve">la Ordenanza No. 001 de 29 de marzo de 2019, determina en su disposición derogatoria lo siguiente: </w:t>
      </w:r>
      <w:r w:rsidRPr="00A24D81">
        <w:rPr>
          <w:bCs/>
          <w:i/>
          <w:sz w:val="22"/>
          <w:szCs w:val="22"/>
        </w:rPr>
        <w:t>“Deróguense todas las Ordenanzas que se detallan en el cuadro adjunto (Anexo Derogatorias), con excepción de sus disposiciones de carácter transitorio hasta la verificación del efectivo cumplimiento de las mismas;</w:t>
      </w:r>
      <w:r w:rsidRPr="00A24D81">
        <w:rPr>
          <w:bCs/>
          <w:i/>
          <w:sz w:val="22"/>
          <w:szCs w:val="22"/>
          <w:lang w:val="es-ES_tradnl"/>
        </w:rPr>
        <w:t xml:space="preserve"> (…)</w:t>
      </w:r>
      <w:r w:rsidRPr="00A24D81">
        <w:rPr>
          <w:bCs/>
          <w:sz w:val="22"/>
          <w:szCs w:val="22"/>
          <w:lang w:val="es-ES_tradnl"/>
        </w:rPr>
        <w:t>”</w:t>
      </w:r>
      <w:r w:rsidRPr="00A24D81">
        <w:rPr>
          <w:bCs/>
          <w:sz w:val="22"/>
          <w:szCs w:val="22"/>
        </w:rPr>
        <w:t>;</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Cs/>
        </w:rPr>
        <w:t xml:space="preserve">    En concordancia con el considerando precedente,</w:t>
      </w:r>
      <w:r w:rsidRPr="00A24D81">
        <w:rPr>
          <w:rFonts w:ascii="Times New Roman" w:hAnsi="Times New Roman"/>
          <w:b/>
          <w:bCs/>
        </w:rPr>
        <w:t xml:space="preserve"> </w:t>
      </w:r>
      <w:r w:rsidRPr="00A24D81">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E928E4" w:rsidRPr="00A24D81" w:rsidRDefault="004F6D8E" w:rsidP="009E7A1E">
      <w:pPr>
        <w:pStyle w:val="Sinespaciado"/>
        <w:spacing w:after="240" w:line="276" w:lineRule="auto"/>
        <w:ind w:left="709" w:hanging="709"/>
        <w:jc w:val="both"/>
        <w:rPr>
          <w:rFonts w:ascii="Times New Roman" w:hAnsi="Times New Roman"/>
        </w:rPr>
      </w:pPr>
      <w:r w:rsidRPr="00A24D81">
        <w:rPr>
          <w:rFonts w:ascii="Times New Roman" w:hAnsi="Times New Roman"/>
          <w:b/>
          <w:bCs/>
        </w:rPr>
        <w:t xml:space="preserve">Que, </w:t>
      </w:r>
      <w:r w:rsidRPr="00A24D81">
        <w:rPr>
          <w:rFonts w:ascii="Times New Roman" w:hAnsi="Times New Roman"/>
          <w:b/>
          <w:bCs/>
        </w:rPr>
        <w:tab/>
      </w:r>
      <w:r w:rsidRPr="00A24D81">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A24D81">
        <w:rPr>
          <w:rFonts w:ascii="Times New Roman" w:hAnsi="Times New Roman"/>
          <w:bCs/>
        </w:rPr>
        <w:t>rectificatorios</w:t>
      </w:r>
      <w:proofErr w:type="spellEnd"/>
      <w:r w:rsidRPr="00A24D81">
        <w:rPr>
          <w:rFonts w:ascii="Times New Roman" w:hAnsi="Times New Roman"/>
          <w:bCs/>
        </w:rPr>
        <w:t xml:space="preserve"> de acuerdo a los plazos señalados en la norma.</w:t>
      </w:r>
      <w:r w:rsidR="00E928E4" w:rsidRPr="00A24D81">
        <w:rPr>
          <w:rFonts w:ascii="Times New Roman" w:hAnsi="Times New Roman"/>
          <w:bCs/>
        </w:rPr>
        <w:t xml:space="preserve">  </w:t>
      </w:r>
    </w:p>
    <w:p w:rsidR="00502131" w:rsidRDefault="00361728" w:rsidP="00502131">
      <w:pPr>
        <w:spacing w:after="240" w:line="276" w:lineRule="auto"/>
        <w:ind w:left="705" w:hanging="705"/>
        <w:jc w:val="both"/>
        <w:rPr>
          <w:bCs/>
          <w:sz w:val="22"/>
          <w:szCs w:val="22"/>
        </w:rPr>
      </w:pPr>
      <w:r w:rsidRPr="00A24D81">
        <w:rPr>
          <w:b/>
          <w:bCs/>
          <w:sz w:val="22"/>
          <w:szCs w:val="22"/>
        </w:rPr>
        <w:t>Que,</w:t>
      </w:r>
      <w:r w:rsidR="00FB1571" w:rsidRPr="00A24D81">
        <w:rPr>
          <w:sz w:val="22"/>
          <w:szCs w:val="22"/>
        </w:rPr>
        <w:tab/>
      </w:r>
      <w:r w:rsidR="003329E7" w:rsidRPr="003329E7">
        <w:rPr>
          <w:bCs/>
          <w:sz w:val="22"/>
          <w:szCs w:val="22"/>
        </w:rPr>
        <w:t xml:space="preserve">la Mesa Institucional, reunida el 17 de noviembre del 2016 en la Administración Zonal La Delicia, integrada por: Ing. Omar García Cedeño, Coordinador (E) UERB-AZLD, Abg. Sebastián Mata Responsable Legal, de la Unidad Especial Regula tu Barrio La Delicia, Arq. Juan Carlos Echeverría, Responsable Técnico de la Unidad Especial Regula tu Barrio La Delicia, Sr. Humberto Almeida de Sucre, Administrador Zonal La Delicia, Abg. María Cristina </w:t>
      </w:r>
      <w:proofErr w:type="spellStart"/>
      <w:r w:rsidR="003329E7" w:rsidRPr="003329E7">
        <w:rPr>
          <w:bCs/>
          <w:sz w:val="22"/>
          <w:szCs w:val="22"/>
        </w:rPr>
        <w:t>Villacís</w:t>
      </w:r>
      <w:proofErr w:type="spellEnd"/>
      <w:r w:rsidR="003329E7" w:rsidRPr="003329E7">
        <w:rPr>
          <w:bCs/>
          <w:sz w:val="22"/>
          <w:szCs w:val="22"/>
        </w:rPr>
        <w:t xml:space="preserve"> Directora Jurídica de la Administración Zonal La Delicia, Arq. Ramiro Prado, Delegado de la Unidad de Territorio y Vivienda de la Administración Zonal La Delicia, Arq. Jorge Campaña, Delegado de la Dirección Metropolitana de Catastro, Ing. Doris </w:t>
      </w:r>
      <w:proofErr w:type="spellStart"/>
      <w:r w:rsidR="003329E7" w:rsidRPr="003329E7">
        <w:rPr>
          <w:bCs/>
          <w:sz w:val="22"/>
          <w:szCs w:val="22"/>
        </w:rPr>
        <w:t>Tatés</w:t>
      </w:r>
      <w:proofErr w:type="spellEnd"/>
      <w:r w:rsidR="003329E7" w:rsidRPr="003329E7">
        <w:rPr>
          <w:bCs/>
          <w:sz w:val="22"/>
          <w:szCs w:val="22"/>
        </w:rPr>
        <w:t xml:space="preserve">, Delegada de la Dirección Metropolitana de Catastros, Ing. Marco </w:t>
      </w:r>
      <w:proofErr w:type="spellStart"/>
      <w:r w:rsidR="003329E7" w:rsidRPr="003329E7">
        <w:rPr>
          <w:bCs/>
          <w:sz w:val="22"/>
          <w:szCs w:val="22"/>
        </w:rPr>
        <w:t>Manobanda</w:t>
      </w:r>
      <w:proofErr w:type="spellEnd"/>
      <w:r w:rsidR="003329E7" w:rsidRPr="003329E7">
        <w:rPr>
          <w:bCs/>
          <w:sz w:val="22"/>
          <w:szCs w:val="22"/>
        </w:rPr>
        <w:t xml:space="preserve">, Delegado de la Dirección Metropolitana de Gestión de Riesgos, Ab. Fernanda Duran, Delegada del Administrador Zonal La Delicia, Arq. Elizabeth Ortiz; Delgada de la Secretaría de Territorio Hábitat y Vivienda, aprobaron el Informe Socio Organizativo Legal y Técnico Nº 011-UERB-AZLD-SOLT-2016, de 15 de noviembre del 2016, habilitante de la Ordenanza de Reconocimiento del </w:t>
      </w:r>
      <w:r w:rsidR="00B61E77" w:rsidRPr="003329E7">
        <w:rPr>
          <w:bCs/>
          <w:sz w:val="22"/>
          <w:szCs w:val="22"/>
        </w:rPr>
        <w:t>asentamiento humano de hecho y consolidado de interés social</w:t>
      </w:r>
      <w:r w:rsidR="003329E7" w:rsidRPr="003329E7">
        <w:rPr>
          <w:bCs/>
          <w:sz w:val="22"/>
          <w:szCs w:val="22"/>
        </w:rPr>
        <w:t xml:space="preserve">, </w:t>
      </w:r>
      <w:r w:rsidR="003329E7" w:rsidRPr="003329E7">
        <w:rPr>
          <w:bCs/>
          <w:sz w:val="22"/>
          <w:szCs w:val="22"/>
        </w:rPr>
        <w:lastRenderedPageBreak/>
        <w:t xml:space="preserve">denominado: Comité </w:t>
      </w:r>
      <w:proofErr w:type="spellStart"/>
      <w:r w:rsidR="003329E7">
        <w:rPr>
          <w:bCs/>
          <w:sz w:val="22"/>
          <w:szCs w:val="22"/>
        </w:rPr>
        <w:t>Promejoras</w:t>
      </w:r>
      <w:proofErr w:type="spellEnd"/>
      <w:r w:rsidR="003329E7" w:rsidRPr="003329E7">
        <w:rPr>
          <w:bCs/>
          <w:sz w:val="22"/>
          <w:szCs w:val="22"/>
        </w:rPr>
        <w:t xml:space="preserve"> del Barrio “Santa Ana Alta” Etapa II, a favor de sus copropietarios.</w:t>
      </w:r>
    </w:p>
    <w:p w:rsidR="00A74511" w:rsidRPr="0062109A" w:rsidRDefault="00A74511" w:rsidP="00A74511">
      <w:pPr>
        <w:spacing w:after="240" w:line="276" w:lineRule="auto"/>
        <w:ind w:left="705" w:hanging="705"/>
        <w:jc w:val="both"/>
        <w:rPr>
          <w:sz w:val="22"/>
          <w:szCs w:val="22"/>
          <w:highlight w:val="yellow"/>
        </w:rPr>
      </w:pPr>
      <w:r w:rsidRPr="00A24D81">
        <w:rPr>
          <w:b/>
          <w:bCs/>
          <w:sz w:val="22"/>
          <w:szCs w:val="22"/>
        </w:rPr>
        <w:t xml:space="preserve">Que, </w:t>
      </w:r>
      <w:r w:rsidRPr="00A24D81">
        <w:rPr>
          <w:b/>
          <w:bCs/>
          <w:sz w:val="22"/>
          <w:szCs w:val="22"/>
        </w:rPr>
        <w:tab/>
      </w:r>
      <w:r w:rsidRPr="007B302E">
        <w:rPr>
          <w:bCs/>
          <w:sz w:val="22"/>
          <w:szCs w:val="22"/>
        </w:rPr>
        <w:t xml:space="preserve">el informe de la </w:t>
      </w:r>
      <w:r w:rsidRPr="00D37A73">
        <w:rPr>
          <w:bCs/>
          <w:sz w:val="22"/>
          <w:szCs w:val="22"/>
        </w:rPr>
        <w:t xml:space="preserve">Dirección Metropolitana de Gestión de Riesgos No. </w:t>
      </w:r>
      <w:r>
        <w:rPr>
          <w:bCs/>
          <w:sz w:val="22"/>
          <w:szCs w:val="22"/>
        </w:rPr>
        <w:t>145</w:t>
      </w:r>
      <w:r w:rsidRPr="00D37A73">
        <w:rPr>
          <w:bCs/>
          <w:sz w:val="22"/>
          <w:szCs w:val="22"/>
        </w:rPr>
        <w:t>-AT-DMGR-201</w:t>
      </w:r>
      <w:r w:rsidR="00D62654">
        <w:rPr>
          <w:bCs/>
          <w:sz w:val="22"/>
          <w:szCs w:val="22"/>
        </w:rPr>
        <w:t>5</w:t>
      </w:r>
      <w:r w:rsidRPr="00D37A73">
        <w:rPr>
          <w:bCs/>
          <w:sz w:val="22"/>
          <w:szCs w:val="22"/>
        </w:rPr>
        <w:t xml:space="preserve">, de </w:t>
      </w:r>
      <w:r w:rsidR="00D62654">
        <w:rPr>
          <w:bCs/>
          <w:sz w:val="22"/>
          <w:szCs w:val="22"/>
        </w:rPr>
        <w:t>30</w:t>
      </w:r>
      <w:r w:rsidRPr="00D37A73">
        <w:rPr>
          <w:bCs/>
          <w:sz w:val="22"/>
          <w:szCs w:val="22"/>
        </w:rPr>
        <w:t xml:space="preserve"> de octubre de 201</w:t>
      </w:r>
      <w:r w:rsidR="00D62654">
        <w:rPr>
          <w:bCs/>
          <w:sz w:val="22"/>
          <w:szCs w:val="22"/>
        </w:rPr>
        <w:t>5</w:t>
      </w:r>
      <w:r w:rsidRPr="00D37A73">
        <w:rPr>
          <w:bCs/>
          <w:sz w:val="22"/>
          <w:szCs w:val="22"/>
        </w:rPr>
        <w:t xml:space="preserve">, califica al </w:t>
      </w:r>
      <w:r>
        <w:rPr>
          <w:sz w:val="22"/>
          <w:szCs w:val="22"/>
        </w:rPr>
        <w:t>asentamiento humano de hecho y consolidado de interés social denominado</w:t>
      </w:r>
      <w:r w:rsidRPr="00D37A73">
        <w:rPr>
          <w:sz w:val="22"/>
          <w:szCs w:val="22"/>
        </w:rPr>
        <w:t xml:space="preserve"> “Santa Ana Alta</w:t>
      </w:r>
      <w:r w:rsidR="00D62654">
        <w:rPr>
          <w:sz w:val="22"/>
          <w:szCs w:val="22"/>
        </w:rPr>
        <w:t>”</w:t>
      </w:r>
      <w:r w:rsidRPr="00D37A73">
        <w:rPr>
          <w:sz w:val="22"/>
          <w:szCs w:val="22"/>
        </w:rPr>
        <w:t xml:space="preserve"> Etapa II” </w:t>
      </w:r>
      <w:r w:rsidR="00D62654">
        <w:rPr>
          <w:sz w:val="22"/>
          <w:szCs w:val="22"/>
        </w:rPr>
        <w:t xml:space="preserve">con un </w:t>
      </w:r>
      <w:r w:rsidRPr="00D62654">
        <w:rPr>
          <w:b/>
          <w:sz w:val="22"/>
          <w:szCs w:val="22"/>
        </w:rPr>
        <w:t>Riesgo</w:t>
      </w:r>
      <w:r w:rsidR="00D62654" w:rsidRPr="00D62654">
        <w:rPr>
          <w:b/>
          <w:sz w:val="22"/>
          <w:szCs w:val="22"/>
        </w:rPr>
        <w:t xml:space="preserve"> Alto </w:t>
      </w:r>
      <w:r w:rsidRPr="00D62654">
        <w:rPr>
          <w:b/>
          <w:sz w:val="22"/>
          <w:szCs w:val="22"/>
        </w:rPr>
        <w:t>M</w:t>
      </w:r>
      <w:r w:rsidR="00D62654" w:rsidRPr="00D62654">
        <w:rPr>
          <w:b/>
          <w:sz w:val="22"/>
          <w:szCs w:val="22"/>
        </w:rPr>
        <w:t>itigable</w:t>
      </w:r>
      <w:r>
        <w:rPr>
          <w:sz w:val="22"/>
          <w:szCs w:val="22"/>
        </w:rPr>
        <w:t xml:space="preserve">, </w:t>
      </w:r>
      <w:r w:rsidRPr="00D37A73">
        <w:rPr>
          <w:bCs/>
          <w:sz w:val="22"/>
          <w:szCs w:val="22"/>
        </w:rPr>
        <w:t xml:space="preserve">y </w:t>
      </w:r>
      <w:r w:rsidR="00D62654">
        <w:rPr>
          <w:bCs/>
          <w:sz w:val="22"/>
          <w:szCs w:val="22"/>
        </w:rPr>
        <w:t xml:space="preserve">expresa que es </w:t>
      </w:r>
      <w:r w:rsidR="00D62654" w:rsidRPr="00D62654">
        <w:rPr>
          <w:b/>
          <w:bCs/>
          <w:sz w:val="22"/>
          <w:szCs w:val="22"/>
        </w:rPr>
        <w:t>factible</w:t>
      </w:r>
      <w:r w:rsidR="00D62654">
        <w:rPr>
          <w:bCs/>
          <w:sz w:val="22"/>
          <w:szCs w:val="22"/>
        </w:rPr>
        <w:t xml:space="preserve"> </w:t>
      </w:r>
      <w:r w:rsidRPr="00D37A73">
        <w:rPr>
          <w:bCs/>
          <w:sz w:val="22"/>
          <w:szCs w:val="22"/>
        </w:rPr>
        <w:t>con el proceso de regularización</w:t>
      </w:r>
      <w:r w:rsidRPr="007B302E">
        <w:rPr>
          <w:bCs/>
          <w:sz w:val="22"/>
          <w:szCs w:val="22"/>
        </w:rPr>
        <w:t>;</w:t>
      </w:r>
      <w:r w:rsidRPr="00D37A73">
        <w:rPr>
          <w:bCs/>
          <w:sz w:val="22"/>
          <w:szCs w:val="22"/>
        </w:rPr>
        <w:t xml:space="preserve"> </w:t>
      </w:r>
    </w:p>
    <w:p w:rsidR="00E928E4" w:rsidRPr="0062109A" w:rsidRDefault="00E928E4" w:rsidP="00E928E4">
      <w:pPr>
        <w:spacing w:after="240" w:line="276" w:lineRule="auto"/>
        <w:ind w:left="705" w:hanging="705"/>
        <w:jc w:val="both"/>
        <w:rPr>
          <w:sz w:val="22"/>
          <w:szCs w:val="22"/>
          <w:highlight w:val="yellow"/>
        </w:rPr>
      </w:pPr>
      <w:r w:rsidRPr="00A24D81">
        <w:rPr>
          <w:b/>
          <w:bCs/>
          <w:sz w:val="22"/>
          <w:szCs w:val="22"/>
        </w:rPr>
        <w:t xml:space="preserve">Que, </w:t>
      </w:r>
      <w:r w:rsidRPr="00A24D81">
        <w:rPr>
          <w:b/>
          <w:bCs/>
          <w:sz w:val="22"/>
          <w:szCs w:val="22"/>
        </w:rPr>
        <w:tab/>
      </w:r>
      <w:r w:rsidR="00DB18BC" w:rsidRPr="007B302E">
        <w:rPr>
          <w:bCs/>
          <w:sz w:val="22"/>
          <w:szCs w:val="22"/>
        </w:rPr>
        <w:t xml:space="preserve">el informe de la </w:t>
      </w:r>
      <w:r w:rsidR="00DB18BC" w:rsidRPr="00D37A73">
        <w:rPr>
          <w:bCs/>
          <w:sz w:val="22"/>
          <w:szCs w:val="22"/>
        </w:rPr>
        <w:t xml:space="preserve">Dirección Metropolitana de Gestión de Riesgos No. </w:t>
      </w:r>
      <w:r w:rsidR="003329E7" w:rsidRPr="00D37A73">
        <w:rPr>
          <w:bCs/>
          <w:sz w:val="22"/>
          <w:szCs w:val="22"/>
        </w:rPr>
        <w:t>295</w:t>
      </w:r>
      <w:r w:rsidR="004A0020" w:rsidRPr="00D37A73">
        <w:rPr>
          <w:bCs/>
          <w:sz w:val="22"/>
          <w:szCs w:val="22"/>
        </w:rPr>
        <w:t>-</w:t>
      </w:r>
      <w:r w:rsidR="00DB18BC" w:rsidRPr="00D37A73">
        <w:rPr>
          <w:bCs/>
          <w:sz w:val="22"/>
          <w:szCs w:val="22"/>
        </w:rPr>
        <w:t>AT-DMGR-201</w:t>
      </w:r>
      <w:r w:rsidR="007B302E" w:rsidRPr="00D37A73">
        <w:rPr>
          <w:bCs/>
          <w:sz w:val="22"/>
          <w:szCs w:val="22"/>
        </w:rPr>
        <w:t xml:space="preserve">8, de </w:t>
      </w:r>
      <w:r w:rsidR="006D1751" w:rsidRPr="00D37A73">
        <w:rPr>
          <w:bCs/>
          <w:sz w:val="22"/>
          <w:szCs w:val="22"/>
        </w:rPr>
        <w:t>1</w:t>
      </w:r>
      <w:r w:rsidR="00D37A73" w:rsidRPr="00D37A73">
        <w:rPr>
          <w:bCs/>
          <w:sz w:val="22"/>
          <w:szCs w:val="22"/>
        </w:rPr>
        <w:t>0</w:t>
      </w:r>
      <w:r w:rsidR="00DB18BC" w:rsidRPr="00D37A73">
        <w:rPr>
          <w:bCs/>
          <w:sz w:val="22"/>
          <w:szCs w:val="22"/>
        </w:rPr>
        <w:t xml:space="preserve"> de o</w:t>
      </w:r>
      <w:r w:rsidR="00D37A73" w:rsidRPr="00D37A73">
        <w:rPr>
          <w:bCs/>
          <w:sz w:val="22"/>
          <w:szCs w:val="22"/>
        </w:rPr>
        <w:t>ctu</w:t>
      </w:r>
      <w:r w:rsidR="006D1751" w:rsidRPr="00D37A73">
        <w:rPr>
          <w:bCs/>
          <w:sz w:val="22"/>
          <w:szCs w:val="22"/>
        </w:rPr>
        <w:t>bre</w:t>
      </w:r>
      <w:r w:rsidR="00DB18BC" w:rsidRPr="00D37A73">
        <w:rPr>
          <w:bCs/>
          <w:sz w:val="22"/>
          <w:szCs w:val="22"/>
        </w:rPr>
        <w:t xml:space="preserve"> de 201</w:t>
      </w:r>
      <w:r w:rsidR="007B302E" w:rsidRPr="00D37A73">
        <w:rPr>
          <w:bCs/>
          <w:sz w:val="22"/>
          <w:szCs w:val="22"/>
        </w:rPr>
        <w:t>8</w:t>
      </w:r>
      <w:r w:rsidR="00DB18BC" w:rsidRPr="00D37A73">
        <w:rPr>
          <w:bCs/>
          <w:sz w:val="22"/>
          <w:szCs w:val="22"/>
        </w:rPr>
        <w:t xml:space="preserve">, califica al </w:t>
      </w:r>
      <w:r w:rsidR="005F52E9">
        <w:rPr>
          <w:sz w:val="22"/>
          <w:szCs w:val="22"/>
        </w:rPr>
        <w:t>asentamiento humano de hecho y consolidado de interés social denominado</w:t>
      </w:r>
      <w:r w:rsidR="005F52E9" w:rsidRPr="00D37A73">
        <w:rPr>
          <w:sz w:val="22"/>
          <w:szCs w:val="22"/>
        </w:rPr>
        <w:t xml:space="preserve"> </w:t>
      </w:r>
      <w:r w:rsidR="00D37A73" w:rsidRPr="00D37A73">
        <w:rPr>
          <w:sz w:val="22"/>
          <w:szCs w:val="22"/>
        </w:rPr>
        <w:t xml:space="preserve">“Santa Ana Alta de </w:t>
      </w:r>
      <w:proofErr w:type="spellStart"/>
      <w:r w:rsidR="00D37A73" w:rsidRPr="00D37A73">
        <w:rPr>
          <w:sz w:val="22"/>
          <w:szCs w:val="22"/>
        </w:rPr>
        <w:t>Cotocollao</w:t>
      </w:r>
      <w:proofErr w:type="spellEnd"/>
      <w:r w:rsidR="00D37A73" w:rsidRPr="00D37A73">
        <w:rPr>
          <w:sz w:val="22"/>
          <w:szCs w:val="22"/>
        </w:rPr>
        <w:t xml:space="preserve"> Etapa II” en general presenta un </w:t>
      </w:r>
      <w:r w:rsidR="00D37A73" w:rsidRPr="00D37A73">
        <w:rPr>
          <w:i/>
          <w:sz w:val="22"/>
          <w:szCs w:val="22"/>
          <w:u w:val="single"/>
        </w:rPr>
        <w:t>Riesgo Moderado</w:t>
      </w:r>
      <w:r w:rsidR="00D37A73" w:rsidRPr="00D37A73">
        <w:rPr>
          <w:i/>
          <w:sz w:val="22"/>
          <w:szCs w:val="22"/>
        </w:rPr>
        <w:t xml:space="preserve"> </w:t>
      </w:r>
      <w:r w:rsidR="00D37A73" w:rsidRPr="00D37A73">
        <w:rPr>
          <w:sz w:val="22"/>
          <w:szCs w:val="22"/>
        </w:rPr>
        <w:t>para los lotes expuestos frente a movimientos en masa</w:t>
      </w:r>
      <w:r w:rsidR="00D37A73">
        <w:rPr>
          <w:sz w:val="22"/>
          <w:szCs w:val="22"/>
        </w:rPr>
        <w:t xml:space="preserve">, </w:t>
      </w:r>
      <w:r w:rsidR="007B302E" w:rsidRPr="00D37A73">
        <w:rPr>
          <w:bCs/>
          <w:sz w:val="22"/>
          <w:szCs w:val="22"/>
        </w:rPr>
        <w:t>y sugiere que se puede continuar con el proceso de regularización</w:t>
      </w:r>
      <w:r w:rsidR="00DB18BC" w:rsidRPr="007B302E">
        <w:rPr>
          <w:bCs/>
          <w:sz w:val="22"/>
          <w:szCs w:val="22"/>
        </w:rPr>
        <w:t>;</w:t>
      </w:r>
      <w:r w:rsidR="00ED7620" w:rsidRPr="00D37A73">
        <w:rPr>
          <w:bCs/>
          <w:sz w:val="22"/>
          <w:szCs w:val="22"/>
        </w:rPr>
        <w:t xml:space="preserve"> </w:t>
      </w:r>
    </w:p>
    <w:p w:rsidR="00D37A73" w:rsidRDefault="00DB18BC" w:rsidP="00D37A73">
      <w:pPr>
        <w:autoSpaceDE w:val="0"/>
        <w:autoSpaceDN w:val="0"/>
        <w:adjustRightInd w:val="0"/>
        <w:spacing w:after="240"/>
        <w:ind w:left="705" w:hanging="705"/>
        <w:jc w:val="both"/>
        <w:rPr>
          <w:rFonts w:eastAsiaTheme="minorHAnsi"/>
          <w:sz w:val="22"/>
          <w:szCs w:val="22"/>
          <w:lang w:val="es-EC" w:eastAsia="en-US"/>
        </w:rPr>
      </w:pPr>
      <w:r w:rsidRPr="001278F3">
        <w:rPr>
          <w:b/>
          <w:bCs/>
          <w:sz w:val="22"/>
          <w:szCs w:val="22"/>
        </w:rPr>
        <w:t xml:space="preserve">Que, </w:t>
      </w:r>
      <w:r w:rsidRPr="001278F3">
        <w:rPr>
          <w:b/>
          <w:bCs/>
          <w:sz w:val="22"/>
          <w:szCs w:val="22"/>
        </w:rPr>
        <w:tab/>
      </w:r>
      <w:r w:rsidRPr="001278F3">
        <w:rPr>
          <w:rFonts w:eastAsiaTheme="minorHAnsi"/>
          <w:sz w:val="22"/>
          <w:szCs w:val="22"/>
          <w:lang w:val="es-EC" w:eastAsia="en-US"/>
        </w:rPr>
        <w:t xml:space="preserve">mediante Oficio No. </w:t>
      </w:r>
      <w:r w:rsidR="00D37A73" w:rsidRPr="00D37A73">
        <w:rPr>
          <w:rFonts w:eastAsiaTheme="minorHAnsi"/>
          <w:sz w:val="22"/>
          <w:szCs w:val="22"/>
          <w:lang w:val="es-EC" w:eastAsia="en-US"/>
        </w:rPr>
        <w:t>GADDMQ-SGSG-DMGR-2019-1005-OF</w:t>
      </w:r>
      <w:r w:rsidRPr="001278F3">
        <w:rPr>
          <w:rFonts w:eastAsiaTheme="minorHAnsi"/>
          <w:sz w:val="22"/>
          <w:szCs w:val="22"/>
          <w:lang w:val="es-EC" w:eastAsia="en-US"/>
        </w:rPr>
        <w:t xml:space="preserve">, de </w:t>
      </w:r>
      <w:r w:rsidR="001278F3" w:rsidRPr="001278F3">
        <w:rPr>
          <w:rFonts w:eastAsiaTheme="minorHAnsi"/>
          <w:sz w:val="22"/>
          <w:szCs w:val="22"/>
          <w:lang w:val="es-EC" w:eastAsia="en-US"/>
        </w:rPr>
        <w:t>03 de diciembre de 2019</w:t>
      </w:r>
      <w:r w:rsidRPr="001278F3">
        <w:rPr>
          <w:rFonts w:eastAsiaTheme="minorHAnsi"/>
          <w:sz w:val="22"/>
          <w:szCs w:val="22"/>
          <w:lang w:val="es-EC" w:eastAsia="en-US"/>
        </w:rPr>
        <w:t>, emitido por el Director Metropolitano de Gestión de Riesgo, de la Secretaría General de Seguridad y Gobernabilidad,</w:t>
      </w:r>
      <w:r w:rsidR="001278F3" w:rsidRPr="001278F3">
        <w:rPr>
          <w:sz w:val="22"/>
          <w:szCs w:val="22"/>
        </w:rPr>
        <w:t xml:space="preserve"> </w:t>
      </w:r>
      <w:r w:rsidR="001278F3" w:rsidRPr="001278F3">
        <w:rPr>
          <w:rFonts w:eastAsiaTheme="minorHAnsi"/>
          <w:sz w:val="22"/>
          <w:szCs w:val="22"/>
          <w:lang w:val="es-EC" w:eastAsia="en-US"/>
        </w:rPr>
        <w:t xml:space="preserve">se </w:t>
      </w:r>
      <w:r w:rsidR="00D37A73">
        <w:rPr>
          <w:rFonts w:eastAsiaTheme="minorHAnsi"/>
          <w:sz w:val="22"/>
          <w:szCs w:val="22"/>
          <w:lang w:val="es-EC" w:eastAsia="en-US"/>
        </w:rPr>
        <w:t xml:space="preserve">ratifica en la calificación del nivel del riesgo frente a movimientos en masa, indicando que el </w:t>
      </w:r>
      <w:r w:rsidR="00B61E77">
        <w:rPr>
          <w:sz w:val="22"/>
          <w:szCs w:val="22"/>
        </w:rPr>
        <w:t>asentamiento humano de hecho y consolidado de interés social denominado</w:t>
      </w:r>
      <w:r w:rsidR="00D37A73">
        <w:rPr>
          <w:rFonts w:eastAsiaTheme="minorHAnsi"/>
          <w:sz w:val="22"/>
          <w:szCs w:val="22"/>
          <w:lang w:val="es-EC" w:eastAsia="en-US"/>
        </w:rPr>
        <w:t xml:space="preserve"> “Santa Ana Alta de </w:t>
      </w:r>
      <w:proofErr w:type="spellStart"/>
      <w:r w:rsidR="00D37A73">
        <w:rPr>
          <w:rFonts w:eastAsiaTheme="minorHAnsi"/>
          <w:sz w:val="22"/>
          <w:szCs w:val="22"/>
          <w:lang w:val="es-EC" w:eastAsia="en-US"/>
        </w:rPr>
        <w:t>Cotocollao</w:t>
      </w:r>
      <w:proofErr w:type="spellEnd"/>
      <w:r w:rsidR="00D37A73">
        <w:rPr>
          <w:rFonts w:eastAsiaTheme="minorHAnsi"/>
          <w:sz w:val="22"/>
          <w:szCs w:val="22"/>
          <w:lang w:val="es-EC" w:eastAsia="en-US"/>
        </w:rPr>
        <w:t xml:space="preserve"> Etapa II” en general presenta un Riesgo Moderado, sin embargo se debe rectificar indicando que el nivel de riesgo es Mitigable, en tal virtud y con las observaciones realizadas, la Dirección Metropolitana de Gestión de Riesgos indica que el </w:t>
      </w:r>
      <w:r w:rsidR="00B61E77">
        <w:rPr>
          <w:sz w:val="22"/>
          <w:szCs w:val="22"/>
        </w:rPr>
        <w:t>asentamiento humano de hecho y consolidado de interés social denominado</w:t>
      </w:r>
      <w:r w:rsidR="00D37A73">
        <w:rPr>
          <w:rFonts w:eastAsiaTheme="minorHAnsi"/>
          <w:sz w:val="22"/>
          <w:szCs w:val="22"/>
          <w:lang w:val="es-EC" w:eastAsia="en-US"/>
        </w:rPr>
        <w:t xml:space="preserve"> “Santa Ana Alta de </w:t>
      </w:r>
      <w:proofErr w:type="spellStart"/>
      <w:r w:rsidR="00D37A73">
        <w:rPr>
          <w:rFonts w:eastAsiaTheme="minorHAnsi"/>
          <w:sz w:val="22"/>
          <w:szCs w:val="22"/>
          <w:lang w:val="es-EC" w:eastAsia="en-US"/>
        </w:rPr>
        <w:t>Cotocollao</w:t>
      </w:r>
      <w:proofErr w:type="spellEnd"/>
      <w:r w:rsidR="00D37A73">
        <w:rPr>
          <w:rFonts w:eastAsiaTheme="minorHAnsi"/>
          <w:sz w:val="22"/>
          <w:szCs w:val="22"/>
          <w:lang w:val="es-EC" w:eastAsia="en-US"/>
        </w:rPr>
        <w:t xml:space="preserve"> Etapa II” presenta un </w:t>
      </w:r>
      <w:r w:rsidR="00D37A73">
        <w:rPr>
          <w:rFonts w:eastAsiaTheme="minorHAnsi"/>
          <w:b/>
          <w:bCs/>
          <w:sz w:val="22"/>
          <w:szCs w:val="22"/>
          <w:lang w:val="es-EC" w:eastAsia="en-US"/>
        </w:rPr>
        <w:t>Riesgo Moderado Mitigable para</w:t>
      </w:r>
      <w:r w:rsidR="00D37A73">
        <w:rPr>
          <w:rFonts w:eastAsiaTheme="minorHAnsi"/>
          <w:sz w:val="22"/>
          <w:szCs w:val="22"/>
          <w:lang w:val="es-EC" w:eastAsia="en-US"/>
        </w:rPr>
        <w:t xml:space="preserve"> </w:t>
      </w:r>
      <w:r w:rsidR="00D37A73">
        <w:rPr>
          <w:rFonts w:eastAsiaTheme="minorHAnsi"/>
          <w:b/>
          <w:bCs/>
          <w:sz w:val="22"/>
          <w:szCs w:val="22"/>
          <w:lang w:val="es-EC" w:eastAsia="en-US"/>
        </w:rPr>
        <w:t>todos los lotes</w:t>
      </w:r>
      <w:r w:rsidR="00D37A73">
        <w:rPr>
          <w:rFonts w:eastAsiaTheme="minorHAnsi"/>
          <w:sz w:val="22"/>
          <w:szCs w:val="22"/>
          <w:lang w:val="es-EC" w:eastAsia="en-US"/>
        </w:rPr>
        <w:t>.</w:t>
      </w:r>
    </w:p>
    <w:p w:rsidR="00DC65EF" w:rsidRDefault="00DC65EF" w:rsidP="00D37A73">
      <w:pPr>
        <w:autoSpaceDE w:val="0"/>
        <w:autoSpaceDN w:val="0"/>
        <w:adjustRightInd w:val="0"/>
        <w:spacing w:after="240"/>
        <w:ind w:left="705" w:hanging="705"/>
        <w:jc w:val="both"/>
        <w:rPr>
          <w:rFonts w:eastAsiaTheme="minorHAnsi"/>
          <w:bCs/>
          <w:sz w:val="23"/>
          <w:szCs w:val="23"/>
          <w:lang w:val="es-EC" w:eastAsia="en-US"/>
        </w:rPr>
      </w:pPr>
      <w:r w:rsidRPr="00BC1F00">
        <w:rPr>
          <w:b/>
          <w:sz w:val="23"/>
          <w:szCs w:val="23"/>
        </w:rPr>
        <w:t>Que,</w:t>
      </w:r>
      <w:r w:rsidRPr="00BC1F00">
        <w:rPr>
          <w:b/>
          <w:bCs/>
          <w:sz w:val="23"/>
          <w:szCs w:val="23"/>
        </w:rPr>
        <w:t xml:space="preserve"> </w:t>
      </w:r>
      <w:r w:rsidRPr="00BC1F00">
        <w:rPr>
          <w:b/>
          <w:bCs/>
          <w:sz w:val="23"/>
          <w:szCs w:val="23"/>
        </w:rPr>
        <w:tab/>
      </w:r>
      <w:r w:rsidRPr="00BC1F00">
        <w:rPr>
          <w:rFonts w:eastAsiaTheme="minorHAnsi"/>
          <w:bCs/>
          <w:sz w:val="23"/>
          <w:szCs w:val="23"/>
          <w:lang w:val="es-EC" w:eastAsia="en-US"/>
        </w:rPr>
        <w:t>mediante Oficio No. STHV-DMGT-2019-</w:t>
      </w:r>
      <w:r w:rsidR="00BC1F00" w:rsidRPr="00BC1F00">
        <w:rPr>
          <w:rFonts w:eastAsiaTheme="minorHAnsi"/>
          <w:bCs/>
          <w:sz w:val="23"/>
          <w:szCs w:val="23"/>
          <w:lang w:val="es-EC" w:eastAsia="en-US"/>
        </w:rPr>
        <w:t>1420</w:t>
      </w:r>
      <w:r w:rsidRPr="00BC1F00">
        <w:rPr>
          <w:rFonts w:eastAsiaTheme="minorHAnsi"/>
          <w:bCs/>
          <w:sz w:val="23"/>
          <w:szCs w:val="23"/>
          <w:lang w:val="es-EC" w:eastAsia="en-US"/>
        </w:rPr>
        <w:t>-O, de 2</w:t>
      </w:r>
      <w:r w:rsidR="00BC1F00" w:rsidRPr="00BC1F00">
        <w:rPr>
          <w:rFonts w:eastAsiaTheme="minorHAnsi"/>
          <w:bCs/>
          <w:sz w:val="23"/>
          <w:szCs w:val="23"/>
          <w:lang w:val="es-EC" w:eastAsia="en-US"/>
        </w:rPr>
        <w:t>7</w:t>
      </w:r>
      <w:r w:rsidRPr="00BC1F00">
        <w:rPr>
          <w:rFonts w:eastAsiaTheme="minorHAnsi"/>
          <w:bCs/>
          <w:sz w:val="23"/>
          <w:szCs w:val="23"/>
          <w:lang w:val="es-EC" w:eastAsia="en-US"/>
        </w:rPr>
        <w:t xml:space="preserve"> de </w:t>
      </w:r>
      <w:r w:rsidR="00BC1F00" w:rsidRPr="00BC1F00">
        <w:rPr>
          <w:rFonts w:eastAsiaTheme="minorHAnsi"/>
          <w:bCs/>
          <w:sz w:val="23"/>
          <w:szCs w:val="23"/>
          <w:lang w:val="es-EC" w:eastAsia="en-US"/>
        </w:rPr>
        <w:t>diciembre</w:t>
      </w:r>
      <w:r w:rsidRPr="00BC1F00">
        <w:rPr>
          <w:rFonts w:eastAsiaTheme="minorHAnsi"/>
          <w:bCs/>
          <w:sz w:val="23"/>
          <w:szCs w:val="23"/>
          <w:lang w:val="es-EC" w:eastAsia="en-US"/>
        </w:rPr>
        <w:t xml:space="preserve"> de 2019, la Dirección Metropolitana de Gestión Territorial de la Secretaría de Territorio, Hábitat y Vivienda acoge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de interés social denominado </w:t>
      </w:r>
      <w:r w:rsidR="00BC1F00" w:rsidRPr="00BC1F00">
        <w:rPr>
          <w:rFonts w:eastAsiaTheme="minorHAnsi"/>
          <w:bCs/>
          <w:sz w:val="23"/>
          <w:szCs w:val="23"/>
          <w:lang w:val="es-EC" w:eastAsia="en-US"/>
        </w:rPr>
        <w:t xml:space="preserve">Comité </w:t>
      </w:r>
      <w:proofErr w:type="spellStart"/>
      <w:r w:rsidR="00BC1F00" w:rsidRPr="00BC1F00">
        <w:rPr>
          <w:rFonts w:eastAsiaTheme="minorHAnsi"/>
          <w:bCs/>
          <w:sz w:val="23"/>
          <w:szCs w:val="23"/>
          <w:lang w:val="es-EC" w:eastAsia="en-US"/>
        </w:rPr>
        <w:t>Promejoras</w:t>
      </w:r>
      <w:proofErr w:type="spellEnd"/>
      <w:r w:rsidR="00BC1F00" w:rsidRPr="00BC1F00">
        <w:rPr>
          <w:rFonts w:eastAsiaTheme="minorHAnsi"/>
          <w:bCs/>
          <w:sz w:val="23"/>
          <w:szCs w:val="23"/>
          <w:lang w:val="es-EC" w:eastAsia="en-US"/>
        </w:rPr>
        <w:t xml:space="preserve"> del </w:t>
      </w:r>
      <w:r w:rsidRPr="00BC1F00">
        <w:rPr>
          <w:sz w:val="22"/>
          <w:szCs w:val="22"/>
        </w:rPr>
        <w:t>Barrio</w:t>
      </w:r>
      <w:r w:rsidR="00BC1F00" w:rsidRPr="00BC1F00">
        <w:rPr>
          <w:sz w:val="22"/>
          <w:szCs w:val="22"/>
        </w:rPr>
        <w:t xml:space="preserve"> “Santa Ana Alta” Etapa II</w:t>
      </w:r>
      <w:r w:rsidRPr="00BC1F00">
        <w:rPr>
          <w:rFonts w:eastAsiaTheme="minorHAnsi"/>
          <w:bCs/>
          <w:sz w:val="23"/>
          <w:szCs w:val="23"/>
          <w:lang w:val="es-EC" w:eastAsia="en-US"/>
        </w:rPr>
        <w:t xml:space="preserve"> (Zona La Delicia).</w:t>
      </w:r>
    </w:p>
    <w:p w:rsidR="00085165" w:rsidRPr="00983275" w:rsidRDefault="00085165" w:rsidP="00085165">
      <w:pPr>
        <w:pStyle w:val="NormalWeb"/>
        <w:shd w:val="clear" w:color="auto" w:fill="FFFFFF"/>
        <w:spacing w:line="276" w:lineRule="auto"/>
        <w:ind w:left="700" w:hanging="700"/>
        <w:jc w:val="both"/>
        <w:rPr>
          <w:bCs/>
          <w:sz w:val="22"/>
          <w:szCs w:val="22"/>
        </w:rPr>
      </w:pPr>
      <w:r w:rsidRPr="00983275">
        <w:rPr>
          <w:b/>
          <w:bCs/>
          <w:sz w:val="22"/>
          <w:szCs w:val="22"/>
        </w:rPr>
        <w:t xml:space="preserve">Que, </w:t>
      </w:r>
      <w:r w:rsidRPr="00983275">
        <w:rPr>
          <w:b/>
          <w:bCs/>
          <w:sz w:val="22"/>
          <w:szCs w:val="22"/>
        </w:rPr>
        <w:tab/>
      </w:r>
      <w:r w:rsidRPr="00983275">
        <w:rPr>
          <w:bCs/>
          <w:sz w:val="22"/>
          <w:szCs w:val="22"/>
        </w:rPr>
        <w:t>mediante decisión de la Comisión de Ordenamiento Territorial en sesión Ordinaria No. 014, de 10 de enero de 2020, se solicita la elaboración de un alcance al Informe Técn</w:t>
      </w:r>
      <w:r>
        <w:rPr>
          <w:bCs/>
          <w:sz w:val="22"/>
          <w:szCs w:val="22"/>
        </w:rPr>
        <w:t xml:space="preserve">ico contenido en el Informe No. </w:t>
      </w:r>
      <w:r w:rsidRPr="00152D7A">
        <w:rPr>
          <w:bCs/>
          <w:sz w:val="22"/>
          <w:szCs w:val="22"/>
        </w:rPr>
        <w:t>00</w:t>
      </w:r>
      <w:r>
        <w:rPr>
          <w:bCs/>
          <w:sz w:val="22"/>
          <w:szCs w:val="22"/>
        </w:rPr>
        <w:t>4</w:t>
      </w:r>
      <w:r w:rsidRPr="00152D7A">
        <w:rPr>
          <w:bCs/>
          <w:sz w:val="22"/>
          <w:szCs w:val="22"/>
        </w:rPr>
        <w:t>-UERB-AZ</w:t>
      </w:r>
      <w:r w:rsidR="007E237E">
        <w:rPr>
          <w:bCs/>
          <w:sz w:val="22"/>
          <w:szCs w:val="22"/>
        </w:rPr>
        <w:t>LD</w:t>
      </w:r>
      <w:r w:rsidRPr="00152D7A">
        <w:rPr>
          <w:bCs/>
          <w:sz w:val="22"/>
          <w:szCs w:val="22"/>
        </w:rPr>
        <w:t>-SOLT-201</w:t>
      </w:r>
      <w:r>
        <w:rPr>
          <w:bCs/>
          <w:sz w:val="22"/>
          <w:szCs w:val="22"/>
        </w:rPr>
        <w:t>6</w:t>
      </w:r>
      <w:r w:rsidRPr="00152D7A">
        <w:rPr>
          <w:bCs/>
          <w:sz w:val="22"/>
          <w:szCs w:val="22"/>
        </w:rPr>
        <w:t>, de 14 de diciembre del 201</w:t>
      </w:r>
      <w:r>
        <w:rPr>
          <w:bCs/>
          <w:sz w:val="22"/>
          <w:szCs w:val="22"/>
        </w:rPr>
        <w:t>6</w:t>
      </w:r>
      <w:r w:rsidRPr="00584DC6">
        <w:rPr>
          <w:bCs/>
          <w:sz w:val="22"/>
          <w:szCs w:val="22"/>
        </w:rPr>
        <w:t xml:space="preserve">, </w:t>
      </w:r>
      <w:r w:rsidRPr="00983275">
        <w:rPr>
          <w:bCs/>
          <w:sz w:val="22"/>
          <w:szCs w:val="22"/>
        </w:rPr>
        <w:t>para que se determinen todos los lotes inferiores a la zonificación propuesta como lotes por excepción;</w:t>
      </w:r>
    </w:p>
    <w:p w:rsidR="00085165" w:rsidRPr="00A24D81" w:rsidRDefault="00085165" w:rsidP="00085165">
      <w:pPr>
        <w:autoSpaceDE w:val="0"/>
        <w:autoSpaceDN w:val="0"/>
        <w:adjustRightInd w:val="0"/>
        <w:spacing w:after="240"/>
        <w:ind w:left="705" w:hanging="705"/>
        <w:jc w:val="both"/>
        <w:rPr>
          <w:rFonts w:eastAsiaTheme="minorHAnsi"/>
          <w:sz w:val="22"/>
          <w:szCs w:val="22"/>
          <w:lang w:val="es-EC" w:eastAsia="en-US"/>
        </w:rPr>
      </w:pPr>
      <w:r w:rsidRPr="00983275">
        <w:rPr>
          <w:b/>
          <w:bCs/>
          <w:sz w:val="22"/>
          <w:szCs w:val="22"/>
        </w:rPr>
        <w:t xml:space="preserve">Que, </w:t>
      </w:r>
      <w:r w:rsidRPr="00983275">
        <w:rPr>
          <w:b/>
          <w:bCs/>
          <w:sz w:val="22"/>
          <w:szCs w:val="22"/>
        </w:rPr>
        <w:tab/>
      </w:r>
      <w:r w:rsidRPr="00983275">
        <w:rPr>
          <w:bCs/>
          <w:sz w:val="22"/>
          <w:szCs w:val="22"/>
        </w:rPr>
        <w:t xml:space="preserve">mediante </w:t>
      </w:r>
      <w:r w:rsidRPr="00983275">
        <w:rPr>
          <w:sz w:val="22"/>
          <w:szCs w:val="22"/>
        </w:rPr>
        <w:t xml:space="preserve"> Informe Técnico s/n </w:t>
      </w:r>
      <w:r w:rsidRPr="003F675C">
        <w:rPr>
          <w:sz w:val="22"/>
          <w:szCs w:val="22"/>
        </w:rPr>
        <w:t xml:space="preserve">de  </w:t>
      </w:r>
      <w:r>
        <w:rPr>
          <w:sz w:val="22"/>
          <w:szCs w:val="22"/>
        </w:rPr>
        <w:t>22</w:t>
      </w:r>
      <w:r w:rsidRPr="003F675C">
        <w:rPr>
          <w:sz w:val="22"/>
          <w:szCs w:val="22"/>
        </w:rPr>
        <w:t xml:space="preserve"> de enero de 2020, emitido por la Responsable Técnica de la UERB </w:t>
      </w:r>
      <w:r w:rsidRPr="00152D7A">
        <w:rPr>
          <w:bCs/>
          <w:sz w:val="22"/>
          <w:szCs w:val="22"/>
          <w:lang w:val="es-EC" w:eastAsia="es-EC"/>
        </w:rPr>
        <w:t>Administración Zonal la Delicia, se realiza un alcance del Informe Técn</w:t>
      </w:r>
      <w:r>
        <w:rPr>
          <w:bCs/>
          <w:sz w:val="22"/>
          <w:szCs w:val="22"/>
          <w:lang w:val="es-EC" w:eastAsia="es-EC"/>
        </w:rPr>
        <w:t>ico contenido en el Informe No.</w:t>
      </w:r>
      <w:r w:rsidRPr="00785BA4">
        <w:rPr>
          <w:bCs/>
          <w:sz w:val="22"/>
          <w:szCs w:val="22"/>
        </w:rPr>
        <w:t>0</w:t>
      </w:r>
      <w:r>
        <w:rPr>
          <w:bCs/>
          <w:sz w:val="22"/>
          <w:szCs w:val="22"/>
        </w:rPr>
        <w:t>11-UERB-AZ</w:t>
      </w:r>
      <w:r w:rsidR="007E237E">
        <w:rPr>
          <w:bCs/>
          <w:sz w:val="22"/>
          <w:szCs w:val="22"/>
        </w:rPr>
        <w:t>LD</w:t>
      </w:r>
      <w:r>
        <w:rPr>
          <w:bCs/>
          <w:sz w:val="22"/>
          <w:szCs w:val="22"/>
        </w:rPr>
        <w:t>-SOLT-2016</w:t>
      </w:r>
      <w:r w:rsidRPr="00785BA4">
        <w:rPr>
          <w:bCs/>
          <w:sz w:val="22"/>
          <w:szCs w:val="22"/>
        </w:rPr>
        <w:t>, de 1</w:t>
      </w:r>
      <w:r>
        <w:rPr>
          <w:bCs/>
          <w:sz w:val="22"/>
          <w:szCs w:val="22"/>
        </w:rPr>
        <w:t>5</w:t>
      </w:r>
      <w:r w:rsidRPr="00785BA4">
        <w:rPr>
          <w:bCs/>
          <w:sz w:val="22"/>
          <w:szCs w:val="22"/>
        </w:rPr>
        <w:t xml:space="preserve"> de </w:t>
      </w:r>
      <w:r>
        <w:rPr>
          <w:bCs/>
          <w:sz w:val="22"/>
          <w:szCs w:val="22"/>
        </w:rPr>
        <w:t>noviembre</w:t>
      </w:r>
      <w:r w:rsidRPr="00785BA4">
        <w:rPr>
          <w:bCs/>
          <w:sz w:val="22"/>
          <w:szCs w:val="22"/>
        </w:rPr>
        <w:t xml:space="preserve"> del 201</w:t>
      </w:r>
      <w:r>
        <w:rPr>
          <w:bCs/>
          <w:sz w:val="22"/>
          <w:szCs w:val="22"/>
        </w:rPr>
        <w:t>6</w:t>
      </w:r>
      <w:r w:rsidRPr="00152D7A">
        <w:rPr>
          <w:bCs/>
          <w:sz w:val="22"/>
          <w:szCs w:val="22"/>
          <w:lang w:val="es-EC" w:eastAsia="es-EC"/>
        </w:rPr>
        <w:t>,  conforme al Artículo IV.7.43 de la Ordenanza No. 001 de 29 de marzo de 2019, se determinan  los lotes por excepción a todos aquellos lotes que tengan una</w:t>
      </w:r>
      <w:r w:rsidRPr="00983275">
        <w:rPr>
          <w:bCs/>
          <w:sz w:val="22"/>
          <w:szCs w:val="22"/>
        </w:rPr>
        <w:t xml:space="preserve"> superficie inferior a la zonificación propuesta</w:t>
      </w:r>
      <w:r>
        <w:rPr>
          <w:bCs/>
          <w:sz w:val="22"/>
          <w:szCs w:val="22"/>
        </w:rPr>
        <w:t>;</w:t>
      </w:r>
    </w:p>
    <w:p w:rsidR="00085165" w:rsidRDefault="00085165" w:rsidP="0027642B">
      <w:pPr>
        <w:autoSpaceDE w:val="0"/>
        <w:autoSpaceDN w:val="0"/>
        <w:adjustRightInd w:val="0"/>
        <w:ind w:left="705" w:hanging="705"/>
        <w:jc w:val="both"/>
        <w:rPr>
          <w:rFonts w:eastAsiaTheme="minorHAnsi"/>
          <w:bCs/>
          <w:sz w:val="23"/>
          <w:szCs w:val="23"/>
          <w:lang w:val="es-EC" w:eastAsia="en-US"/>
        </w:rPr>
      </w:pPr>
    </w:p>
    <w:p w:rsidR="007E5AD9" w:rsidRDefault="007E5AD9" w:rsidP="0027642B">
      <w:pPr>
        <w:autoSpaceDE w:val="0"/>
        <w:autoSpaceDN w:val="0"/>
        <w:adjustRightInd w:val="0"/>
        <w:ind w:left="705" w:hanging="705"/>
        <w:jc w:val="both"/>
        <w:rPr>
          <w:rFonts w:eastAsiaTheme="minorHAnsi"/>
          <w:bCs/>
          <w:sz w:val="23"/>
          <w:szCs w:val="23"/>
          <w:lang w:val="es-EC" w:eastAsia="en-US"/>
        </w:rPr>
      </w:pPr>
    </w:p>
    <w:p w:rsidR="00D625C6" w:rsidRPr="00A24D81" w:rsidRDefault="00D625C6" w:rsidP="00223CF8">
      <w:pPr>
        <w:spacing w:after="240" w:line="276" w:lineRule="auto"/>
        <w:ind w:left="4"/>
        <w:jc w:val="both"/>
        <w:rPr>
          <w:b/>
          <w:sz w:val="22"/>
          <w:szCs w:val="22"/>
        </w:rPr>
      </w:pPr>
      <w:r w:rsidRPr="00A24D81">
        <w:rPr>
          <w:b/>
          <w:sz w:val="22"/>
          <w:szCs w:val="22"/>
        </w:rPr>
        <w:t>En ejercicio de sus atribuciones legales constantes en los artículos 30, 31</w:t>
      </w:r>
      <w:r w:rsidR="002D7709" w:rsidRPr="00A24D81">
        <w:rPr>
          <w:b/>
          <w:sz w:val="22"/>
          <w:szCs w:val="22"/>
        </w:rPr>
        <w:t xml:space="preserve">, </w:t>
      </w:r>
      <w:r w:rsidRPr="00A24D81">
        <w:rPr>
          <w:b/>
          <w:sz w:val="22"/>
          <w:szCs w:val="22"/>
        </w:rPr>
        <w:t xml:space="preserve">240 numerales 1 y 2 </w:t>
      </w:r>
      <w:r w:rsidR="002D7709" w:rsidRPr="00A24D81">
        <w:rPr>
          <w:b/>
          <w:sz w:val="22"/>
          <w:szCs w:val="22"/>
        </w:rPr>
        <w:t xml:space="preserve">y 266 </w:t>
      </w:r>
      <w:r w:rsidRPr="00A24D81">
        <w:rPr>
          <w:b/>
          <w:sz w:val="22"/>
          <w:szCs w:val="22"/>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361728" w:rsidRPr="00A24D81" w:rsidRDefault="00361728" w:rsidP="00086F22">
      <w:pPr>
        <w:pStyle w:val="Ttulo1"/>
        <w:jc w:val="center"/>
        <w:rPr>
          <w:rFonts w:ascii="Times New Roman" w:hAnsi="Times New Roman" w:cs="Times New Roman"/>
          <w:color w:val="auto"/>
          <w:sz w:val="22"/>
          <w:szCs w:val="22"/>
        </w:rPr>
      </w:pPr>
      <w:r w:rsidRPr="00A24D81">
        <w:rPr>
          <w:rFonts w:ascii="Times New Roman" w:hAnsi="Times New Roman" w:cs="Times New Roman"/>
          <w:color w:val="auto"/>
          <w:sz w:val="22"/>
          <w:szCs w:val="22"/>
        </w:rPr>
        <w:t>EXPIDE LA SIGUIENTE:</w:t>
      </w:r>
    </w:p>
    <w:p w:rsidR="00086F22" w:rsidRPr="00A24D81" w:rsidRDefault="00086F22" w:rsidP="00086F22">
      <w:pPr>
        <w:rPr>
          <w:sz w:val="22"/>
          <w:szCs w:val="22"/>
        </w:rPr>
      </w:pPr>
    </w:p>
    <w:p w:rsidR="00086F22" w:rsidRPr="00A24D81" w:rsidRDefault="00F75497" w:rsidP="00086F22">
      <w:pPr>
        <w:pStyle w:val="Ttulo7"/>
        <w:spacing w:before="0" w:after="240" w:line="276" w:lineRule="auto"/>
        <w:jc w:val="center"/>
        <w:rPr>
          <w:rFonts w:ascii="Times New Roman" w:hAnsi="Times New Roman"/>
          <w:b/>
          <w:bCs/>
          <w:sz w:val="22"/>
          <w:szCs w:val="22"/>
        </w:rPr>
      </w:pPr>
      <w:r w:rsidRPr="00A24D81">
        <w:rPr>
          <w:rFonts w:ascii="Times New Roman" w:hAnsi="Times New Roman"/>
          <w:b/>
          <w:bCs/>
          <w:sz w:val="22"/>
          <w:szCs w:val="22"/>
        </w:rPr>
        <w:t xml:space="preserve">ORDENANZA QUE APRUEBA EL </w:t>
      </w:r>
      <w:r w:rsidR="00363A17" w:rsidRPr="00A24D81">
        <w:rPr>
          <w:rFonts w:ascii="Times New Roman" w:hAnsi="Times New Roman"/>
          <w:b/>
          <w:bCs/>
          <w:sz w:val="22"/>
          <w:szCs w:val="22"/>
        </w:rPr>
        <w:t xml:space="preserve">PROCESO </w:t>
      </w:r>
      <w:r w:rsidR="00D625C6" w:rsidRPr="00A24D81">
        <w:rPr>
          <w:rFonts w:ascii="Times New Roman" w:hAnsi="Times New Roman"/>
          <w:b/>
          <w:bCs/>
          <w:sz w:val="22"/>
          <w:szCs w:val="22"/>
        </w:rPr>
        <w:t xml:space="preserve">INTEGRAL </w:t>
      </w:r>
      <w:r w:rsidR="00363A17" w:rsidRPr="00A24D81">
        <w:rPr>
          <w:rFonts w:ascii="Times New Roman" w:hAnsi="Times New Roman"/>
          <w:b/>
          <w:bCs/>
          <w:sz w:val="22"/>
          <w:szCs w:val="22"/>
        </w:rPr>
        <w:t xml:space="preserve">DE REGULARIZACION DEL </w:t>
      </w:r>
      <w:r w:rsidR="002918F7" w:rsidRPr="00A24D81">
        <w:rPr>
          <w:rFonts w:ascii="Times New Roman" w:hAnsi="Times New Roman"/>
          <w:b/>
          <w:bCs/>
          <w:sz w:val="22"/>
          <w:szCs w:val="22"/>
        </w:rPr>
        <w:t>ASENTAMIENTO HUMANO DE HECHO Y CONSOLIDADO DE INTERÉS SOCIAL</w:t>
      </w:r>
      <w:r w:rsidRPr="00A24D81">
        <w:rPr>
          <w:rFonts w:ascii="Times New Roman" w:hAnsi="Times New Roman"/>
          <w:b/>
          <w:bCs/>
          <w:sz w:val="22"/>
          <w:szCs w:val="22"/>
        </w:rPr>
        <w:t xml:space="preserve"> DENOMINADO </w:t>
      </w:r>
      <w:r w:rsidR="00823280">
        <w:rPr>
          <w:rFonts w:ascii="Times New Roman" w:hAnsi="Times New Roman"/>
          <w:b/>
          <w:bCs/>
          <w:sz w:val="22"/>
          <w:szCs w:val="22"/>
        </w:rPr>
        <w:t>COMITÉ PROMEJORAS DEL BARRIO “SANTA ANA ALTA” ETAPA II</w:t>
      </w:r>
    </w:p>
    <w:p w:rsidR="00363A17" w:rsidRPr="00A24D81" w:rsidRDefault="00363A17" w:rsidP="00EB540C">
      <w:pPr>
        <w:pStyle w:val="Textoindependiente"/>
        <w:spacing w:before="240" w:after="0" w:line="276" w:lineRule="auto"/>
        <w:jc w:val="both"/>
        <w:rPr>
          <w:sz w:val="22"/>
          <w:szCs w:val="22"/>
        </w:rPr>
      </w:pPr>
      <w:r w:rsidRPr="00A24D81">
        <w:rPr>
          <w:b/>
          <w:sz w:val="22"/>
          <w:szCs w:val="22"/>
        </w:rPr>
        <w:t xml:space="preserve">Articulo 1.- Objeto.- </w:t>
      </w:r>
      <w:r w:rsidR="00DD59DA" w:rsidRPr="00A24D81">
        <w:rPr>
          <w:sz w:val="22"/>
          <w:szCs w:val="22"/>
        </w:rPr>
        <w:t>La presente ordenanza tiene por objeto</w:t>
      </w:r>
      <w:r w:rsidR="00DD59DA" w:rsidRPr="00DC65EF">
        <w:rPr>
          <w:sz w:val="22"/>
          <w:szCs w:val="22"/>
        </w:rPr>
        <w:t xml:space="preserve"> </w:t>
      </w:r>
      <w:r w:rsidR="00DD59DA" w:rsidRPr="00A24D81">
        <w:rPr>
          <w:sz w:val="22"/>
          <w:szCs w:val="22"/>
        </w:rPr>
        <w:t>r</w:t>
      </w:r>
      <w:r w:rsidRPr="00A24D81">
        <w:rPr>
          <w:sz w:val="22"/>
          <w:szCs w:val="22"/>
        </w:rPr>
        <w:t>econocer y aprobar el fraccionamiento de</w:t>
      </w:r>
      <w:r w:rsidR="00DC65EF">
        <w:rPr>
          <w:sz w:val="22"/>
          <w:szCs w:val="22"/>
        </w:rPr>
        <w:t xml:space="preserve"> </w:t>
      </w:r>
      <w:r w:rsidR="00094F57" w:rsidRPr="00A24D81">
        <w:rPr>
          <w:sz w:val="22"/>
          <w:szCs w:val="22"/>
        </w:rPr>
        <w:t>l</w:t>
      </w:r>
      <w:r w:rsidR="00DC65EF">
        <w:rPr>
          <w:sz w:val="22"/>
          <w:szCs w:val="22"/>
        </w:rPr>
        <w:t>os</w:t>
      </w:r>
      <w:r w:rsidRPr="00A24D81">
        <w:rPr>
          <w:sz w:val="22"/>
          <w:szCs w:val="22"/>
        </w:rPr>
        <w:t xml:space="preserve"> predio</w:t>
      </w:r>
      <w:r w:rsidR="00DC65EF">
        <w:rPr>
          <w:sz w:val="22"/>
          <w:szCs w:val="22"/>
        </w:rPr>
        <w:t>s</w:t>
      </w:r>
      <w:r w:rsidR="006D176D" w:rsidRPr="00A24D81">
        <w:rPr>
          <w:sz w:val="22"/>
          <w:szCs w:val="22"/>
        </w:rPr>
        <w:t xml:space="preserve"> No</w:t>
      </w:r>
      <w:r w:rsidR="00DC65EF">
        <w:rPr>
          <w:sz w:val="22"/>
          <w:szCs w:val="22"/>
        </w:rPr>
        <w:t>s</w:t>
      </w:r>
      <w:r w:rsidR="006D176D" w:rsidRPr="00A24D81">
        <w:rPr>
          <w:sz w:val="22"/>
          <w:szCs w:val="22"/>
        </w:rPr>
        <w:t xml:space="preserve">. </w:t>
      </w:r>
      <w:r w:rsidR="00DC65EF" w:rsidRPr="00DC65EF">
        <w:rPr>
          <w:sz w:val="22"/>
          <w:szCs w:val="22"/>
        </w:rPr>
        <w:t>1209412, 527774, 552869 y 5126370</w:t>
      </w:r>
      <w:r w:rsidR="0062109A">
        <w:rPr>
          <w:sz w:val="22"/>
          <w:szCs w:val="22"/>
        </w:rPr>
        <w:t>,</w:t>
      </w:r>
      <w:r w:rsidR="00DB18BC" w:rsidRPr="00A24D81">
        <w:rPr>
          <w:sz w:val="22"/>
          <w:szCs w:val="22"/>
        </w:rPr>
        <w:t xml:space="preserve"> </w:t>
      </w:r>
      <w:r w:rsidR="006D176D" w:rsidRPr="00A24D81">
        <w:rPr>
          <w:sz w:val="22"/>
          <w:szCs w:val="22"/>
        </w:rPr>
        <w:t xml:space="preserve">su </w:t>
      </w:r>
      <w:r w:rsidR="0062109A">
        <w:rPr>
          <w:sz w:val="22"/>
          <w:szCs w:val="22"/>
        </w:rPr>
        <w:t xml:space="preserve">pasaje, </w:t>
      </w:r>
      <w:r w:rsidR="008119EA">
        <w:rPr>
          <w:sz w:val="22"/>
          <w:szCs w:val="22"/>
        </w:rPr>
        <w:t xml:space="preserve">transferencia del </w:t>
      </w:r>
      <w:r w:rsidR="00DC65EF">
        <w:rPr>
          <w:sz w:val="22"/>
          <w:szCs w:val="22"/>
        </w:rPr>
        <w:t xml:space="preserve">área municipal y modificar </w:t>
      </w:r>
      <w:r w:rsidR="00BA227F">
        <w:rPr>
          <w:sz w:val="22"/>
          <w:szCs w:val="22"/>
        </w:rPr>
        <w:t>su</w:t>
      </w:r>
      <w:r w:rsidR="00EE23F4">
        <w:rPr>
          <w:sz w:val="22"/>
          <w:szCs w:val="22"/>
        </w:rPr>
        <w:t xml:space="preserve"> </w:t>
      </w:r>
      <w:r w:rsidR="00DC65EF">
        <w:rPr>
          <w:sz w:val="22"/>
          <w:szCs w:val="22"/>
        </w:rPr>
        <w:t>zonificación</w:t>
      </w:r>
      <w:r w:rsidR="00BA227F">
        <w:rPr>
          <w:sz w:val="22"/>
          <w:szCs w:val="22"/>
        </w:rPr>
        <w:t xml:space="preserve"> actual</w:t>
      </w:r>
      <w:r w:rsidR="00DC65EF">
        <w:rPr>
          <w:sz w:val="22"/>
          <w:szCs w:val="22"/>
        </w:rPr>
        <w:t>,</w:t>
      </w:r>
      <w:r w:rsidR="006D176D" w:rsidRPr="00A24D81">
        <w:rPr>
          <w:sz w:val="22"/>
          <w:szCs w:val="22"/>
        </w:rPr>
        <w:t xml:space="preserve"> </w:t>
      </w:r>
      <w:r w:rsidRPr="00A24D81">
        <w:rPr>
          <w:sz w:val="22"/>
          <w:szCs w:val="22"/>
        </w:rPr>
        <w:t xml:space="preserve">sobre </w:t>
      </w:r>
      <w:r w:rsidR="00BA227F">
        <w:rPr>
          <w:sz w:val="22"/>
          <w:szCs w:val="22"/>
        </w:rPr>
        <w:t>la</w:t>
      </w:r>
      <w:r w:rsidR="00BA227F" w:rsidRPr="00A24D81">
        <w:rPr>
          <w:sz w:val="22"/>
          <w:szCs w:val="22"/>
        </w:rPr>
        <w:t xml:space="preserve"> </w:t>
      </w:r>
      <w:r w:rsidRPr="00A24D81">
        <w:rPr>
          <w:sz w:val="22"/>
          <w:szCs w:val="22"/>
        </w:rPr>
        <w:t>que se encuentra e</w:t>
      </w:r>
      <w:r w:rsidR="001A5E4E" w:rsidRPr="00A24D81">
        <w:rPr>
          <w:sz w:val="22"/>
          <w:szCs w:val="22"/>
        </w:rPr>
        <w:t xml:space="preserve">l </w:t>
      </w:r>
      <w:r w:rsidR="002918F7" w:rsidRPr="00A24D81">
        <w:rPr>
          <w:sz w:val="22"/>
          <w:szCs w:val="22"/>
        </w:rPr>
        <w:t>asentamiento humano de hecho y consolidado de interés social</w:t>
      </w:r>
      <w:r w:rsidR="00E62A62" w:rsidRPr="00A24D81">
        <w:rPr>
          <w:sz w:val="22"/>
          <w:szCs w:val="22"/>
        </w:rPr>
        <w:t xml:space="preserve"> d</w:t>
      </w:r>
      <w:r w:rsidRPr="00A24D81">
        <w:rPr>
          <w:sz w:val="22"/>
          <w:szCs w:val="22"/>
        </w:rPr>
        <w:t xml:space="preserve">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502131" w:rsidRPr="00A24D81">
        <w:rPr>
          <w:bCs/>
          <w:sz w:val="22"/>
          <w:szCs w:val="22"/>
        </w:rPr>
        <w:t xml:space="preserve">, </w:t>
      </w:r>
      <w:r w:rsidR="001A5E4E" w:rsidRPr="00A24D81">
        <w:rPr>
          <w:sz w:val="22"/>
          <w:szCs w:val="22"/>
        </w:rPr>
        <w:t>a</w:t>
      </w:r>
      <w:r w:rsidRPr="00A24D81">
        <w:rPr>
          <w:sz w:val="22"/>
          <w:szCs w:val="22"/>
        </w:rPr>
        <w:t xml:space="preserve"> </w:t>
      </w:r>
      <w:r w:rsidR="00BF73D8" w:rsidRPr="00A24D81">
        <w:rPr>
          <w:sz w:val="22"/>
          <w:szCs w:val="22"/>
        </w:rPr>
        <w:t>f</w:t>
      </w:r>
      <w:r w:rsidRPr="00A24D81">
        <w:rPr>
          <w:sz w:val="22"/>
          <w:szCs w:val="22"/>
        </w:rPr>
        <w:t xml:space="preserve">avor </w:t>
      </w:r>
      <w:r w:rsidR="00BF73D8" w:rsidRPr="00A24D81">
        <w:rPr>
          <w:sz w:val="22"/>
          <w:szCs w:val="22"/>
        </w:rPr>
        <w:t>d</w:t>
      </w:r>
      <w:r w:rsidRPr="00A24D81">
        <w:rPr>
          <w:sz w:val="22"/>
          <w:szCs w:val="22"/>
        </w:rPr>
        <w:t xml:space="preserve">e </w:t>
      </w:r>
      <w:r w:rsidR="00BF73D8" w:rsidRPr="00A24D81">
        <w:rPr>
          <w:sz w:val="22"/>
          <w:szCs w:val="22"/>
        </w:rPr>
        <w:t>s</w:t>
      </w:r>
      <w:r w:rsidRPr="00A24D81">
        <w:rPr>
          <w:sz w:val="22"/>
          <w:szCs w:val="22"/>
        </w:rPr>
        <w:t xml:space="preserve">us </w:t>
      </w:r>
      <w:r w:rsidR="00BF73D8" w:rsidRPr="00A24D81">
        <w:rPr>
          <w:sz w:val="22"/>
          <w:szCs w:val="22"/>
        </w:rPr>
        <w:t>c</w:t>
      </w:r>
      <w:r w:rsidRPr="00A24D81">
        <w:rPr>
          <w:sz w:val="22"/>
          <w:szCs w:val="22"/>
        </w:rPr>
        <w:t>opropietarios</w:t>
      </w:r>
      <w:r w:rsidR="00C876E8" w:rsidRPr="00A24D81">
        <w:rPr>
          <w:sz w:val="22"/>
          <w:szCs w:val="22"/>
        </w:rPr>
        <w:t>.</w:t>
      </w:r>
    </w:p>
    <w:p w:rsidR="00630196" w:rsidRDefault="00361728" w:rsidP="00EB540C">
      <w:pPr>
        <w:pStyle w:val="Textoindependiente"/>
        <w:spacing w:before="240" w:after="0" w:line="276" w:lineRule="auto"/>
        <w:jc w:val="both"/>
        <w:rPr>
          <w:sz w:val="22"/>
          <w:szCs w:val="22"/>
        </w:rPr>
      </w:pPr>
      <w:r w:rsidRPr="00A24D81">
        <w:rPr>
          <w:b/>
          <w:bCs/>
          <w:sz w:val="22"/>
          <w:szCs w:val="22"/>
        </w:rPr>
        <w:t xml:space="preserve">Artículo </w:t>
      </w:r>
      <w:r w:rsidR="00363A17" w:rsidRPr="00A24D81">
        <w:rPr>
          <w:b/>
          <w:bCs/>
          <w:sz w:val="22"/>
          <w:szCs w:val="22"/>
        </w:rPr>
        <w:t>2</w:t>
      </w:r>
      <w:r w:rsidRPr="00A24D81">
        <w:rPr>
          <w:b/>
          <w:bCs/>
          <w:sz w:val="22"/>
          <w:szCs w:val="22"/>
        </w:rPr>
        <w:t xml:space="preserve">.- De los planos y documentos presentados.- </w:t>
      </w:r>
      <w:r w:rsidR="00596910" w:rsidRPr="00A24D81">
        <w:rPr>
          <w:sz w:val="22"/>
          <w:szCs w:val="22"/>
        </w:rPr>
        <w:t xml:space="preserve">Los planos y documentos presentados </w:t>
      </w:r>
      <w:r w:rsidR="00DD59DA" w:rsidRPr="00A24D81">
        <w:rPr>
          <w:sz w:val="22"/>
          <w:szCs w:val="22"/>
        </w:rPr>
        <w:t xml:space="preserve">para la aprobación del presente acto normativo </w:t>
      </w:r>
      <w:r w:rsidR="00596910" w:rsidRPr="00A24D81">
        <w:rPr>
          <w:sz w:val="22"/>
          <w:szCs w:val="22"/>
        </w:rPr>
        <w:t xml:space="preserve">son de exclusiva responsabilidad del proyectista y de los copropietarios del </w:t>
      </w:r>
      <w:r w:rsidR="002918F7" w:rsidRPr="00A24D81">
        <w:rPr>
          <w:sz w:val="22"/>
          <w:szCs w:val="22"/>
        </w:rPr>
        <w:t>asentamiento humano de hecho y consolidado de interés social</w:t>
      </w:r>
      <w:r w:rsidR="00596910" w:rsidRPr="00A24D81">
        <w:rPr>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502131" w:rsidRPr="00A24D81">
        <w:rPr>
          <w:bCs/>
          <w:sz w:val="22"/>
          <w:szCs w:val="22"/>
        </w:rPr>
        <w:t xml:space="preserve">, </w:t>
      </w:r>
      <w:r w:rsidR="00DB18BC" w:rsidRPr="00A24D81">
        <w:rPr>
          <w:sz w:val="22"/>
          <w:szCs w:val="22"/>
        </w:rPr>
        <w:t xml:space="preserve">ubicado en la </w:t>
      </w:r>
      <w:r w:rsidR="00823280">
        <w:rPr>
          <w:sz w:val="22"/>
          <w:szCs w:val="22"/>
        </w:rPr>
        <w:t>parroquia El Condado</w:t>
      </w:r>
      <w:r w:rsidR="00596910" w:rsidRPr="00A24D81">
        <w:rPr>
          <w:sz w:val="22"/>
          <w:szCs w:val="22"/>
        </w:rPr>
        <w:t xml:space="preserve">, y de los funcionarios municipales que revisaron los planos y los documentos legales y/o emitieron los informes técnicos habilitantes de este procedimiento de regularización, </w:t>
      </w:r>
      <w:r w:rsidR="00630196" w:rsidRPr="00A24D81">
        <w:rPr>
          <w:sz w:val="22"/>
          <w:szCs w:val="22"/>
        </w:rPr>
        <w:t>salvo que estos hayan sido inducidos a engaño o al error.</w:t>
      </w:r>
    </w:p>
    <w:p w:rsidR="00596910" w:rsidRPr="00A24D81" w:rsidRDefault="00596910" w:rsidP="00EB540C">
      <w:pPr>
        <w:pStyle w:val="Textoindependiente"/>
        <w:spacing w:before="240" w:after="0" w:line="276" w:lineRule="auto"/>
        <w:jc w:val="both"/>
        <w:rPr>
          <w:sz w:val="22"/>
          <w:szCs w:val="22"/>
        </w:rPr>
      </w:pPr>
      <w:r w:rsidRPr="00A24D81">
        <w:rPr>
          <w:sz w:val="22"/>
          <w:szCs w:val="22"/>
        </w:rPr>
        <w:t>En caso de comprobarse ocultación o falsedad en planos, datos, documentos, o de existir reclamos de terceros afectados, será de exclusiva responsabilidad del técnico y de los copropietarios del predio.</w:t>
      </w:r>
    </w:p>
    <w:p w:rsidR="00596910" w:rsidRPr="00A24D81" w:rsidRDefault="00596910" w:rsidP="00EB540C">
      <w:pPr>
        <w:pStyle w:val="Textoindependiente"/>
        <w:spacing w:before="240" w:after="0" w:line="276" w:lineRule="auto"/>
        <w:jc w:val="both"/>
        <w:rPr>
          <w:sz w:val="22"/>
          <w:szCs w:val="22"/>
        </w:rPr>
      </w:pPr>
      <w:r w:rsidRPr="00A24D81">
        <w:rPr>
          <w:sz w:val="22"/>
          <w:szCs w:val="22"/>
        </w:rPr>
        <w:t>Las dimensiones y superficies de los lotes son las determinadas en el plano aprobatorio que forma parte integrante de esta Ordenanza.</w:t>
      </w:r>
    </w:p>
    <w:p w:rsidR="00596910" w:rsidRPr="00A24D81" w:rsidRDefault="00596910" w:rsidP="00EB540C">
      <w:pPr>
        <w:pStyle w:val="Textoindependiente"/>
        <w:spacing w:before="240" w:after="0" w:line="276" w:lineRule="auto"/>
        <w:jc w:val="both"/>
        <w:rPr>
          <w:sz w:val="22"/>
          <w:szCs w:val="22"/>
        </w:rPr>
      </w:pPr>
      <w:r w:rsidRPr="00A24D81">
        <w:rPr>
          <w:sz w:val="22"/>
          <w:szCs w:val="22"/>
        </w:rPr>
        <w:t xml:space="preserve">Los copropietarios del </w:t>
      </w:r>
      <w:r w:rsidR="002918F7" w:rsidRPr="00A24D81">
        <w:rPr>
          <w:sz w:val="22"/>
          <w:szCs w:val="22"/>
        </w:rPr>
        <w:t>asentamiento humano de hecho y consolidado de interés social</w:t>
      </w:r>
      <w:r w:rsidRPr="00A24D81">
        <w:rPr>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502131" w:rsidRPr="00A24D81">
        <w:rPr>
          <w:bCs/>
          <w:sz w:val="22"/>
          <w:szCs w:val="22"/>
        </w:rPr>
        <w:t xml:space="preserve">, </w:t>
      </w:r>
      <w:r w:rsidR="00D42378" w:rsidRPr="00A24D81">
        <w:rPr>
          <w:sz w:val="22"/>
          <w:szCs w:val="22"/>
        </w:rPr>
        <w:t xml:space="preserve">ubicado en la </w:t>
      </w:r>
      <w:r w:rsidR="00823280">
        <w:rPr>
          <w:sz w:val="22"/>
          <w:szCs w:val="22"/>
        </w:rPr>
        <w:t>parroquia El Condado</w:t>
      </w:r>
      <w:r w:rsidR="00502131" w:rsidRPr="00A24D81">
        <w:rPr>
          <w:sz w:val="22"/>
          <w:szCs w:val="22"/>
        </w:rPr>
        <w:t>,</w:t>
      </w:r>
      <w:r w:rsidRPr="00A24D81">
        <w:rPr>
          <w:sz w:val="22"/>
          <w:szCs w:val="22"/>
        </w:rPr>
        <w:t xml:space="preserve"> se comprometen a respetar las características de los lotes establecidas en el Plano y en este instrumento; por tanto, no podrán fraccionarlos o dividirlos.</w:t>
      </w:r>
    </w:p>
    <w:p w:rsidR="00EB540C" w:rsidRDefault="00596910" w:rsidP="00EB540C">
      <w:pPr>
        <w:pStyle w:val="Textoindependiente"/>
        <w:spacing w:before="240" w:after="0" w:line="276" w:lineRule="auto"/>
        <w:jc w:val="both"/>
        <w:rPr>
          <w:sz w:val="22"/>
          <w:szCs w:val="22"/>
        </w:rPr>
      </w:pPr>
      <w:r w:rsidRPr="00A24D81">
        <w:rPr>
          <w:sz w:val="22"/>
          <w:szCs w:val="22"/>
        </w:rPr>
        <w:t>El incumplimiento de lo dispuesto en la presente Ordenanza y en la normativa metropolitana y nacional vigente al respecto, dará lugar a la imposición de las sanciones correspondientes.</w:t>
      </w:r>
    </w:p>
    <w:p w:rsidR="00EB540C" w:rsidRDefault="00EB540C" w:rsidP="00EB540C">
      <w:pPr>
        <w:pStyle w:val="Textoindependiente"/>
        <w:spacing w:after="0" w:line="276" w:lineRule="auto"/>
        <w:jc w:val="both"/>
        <w:rPr>
          <w:b/>
          <w:bCs/>
          <w:sz w:val="22"/>
          <w:szCs w:val="22"/>
        </w:rPr>
      </w:pPr>
    </w:p>
    <w:p w:rsidR="009E7A1E" w:rsidRPr="00A24D81" w:rsidRDefault="00335B5A" w:rsidP="00086F22">
      <w:pPr>
        <w:pStyle w:val="Textoindependiente"/>
        <w:spacing w:line="276" w:lineRule="auto"/>
        <w:jc w:val="both"/>
        <w:rPr>
          <w:sz w:val="22"/>
          <w:szCs w:val="22"/>
        </w:rPr>
      </w:pPr>
      <w:r w:rsidRPr="00A24D81">
        <w:rPr>
          <w:b/>
          <w:bCs/>
          <w:sz w:val="22"/>
          <w:szCs w:val="22"/>
        </w:rPr>
        <w:lastRenderedPageBreak/>
        <w:t>Artículo 3.- Declaratoria de Interés S</w:t>
      </w:r>
      <w:r w:rsidR="0024191F" w:rsidRPr="00A24D81">
        <w:rPr>
          <w:b/>
          <w:bCs/>
          <w:sz w:val="22"/>
          <w:szCs w:val="22"/>
        </w:rPr>
        <w:t xml:space="preserve">ocial.- </w:t>
      </w:r>
      <w:r w:rsidR="002918F7" w:rsidRPr="00A24D81">
        <w:rPr>
          <w:sz w:val="22"/>
          <w:szCs w:val="22"/>
        </w:rPr>
        <w:t>Por las condiciones del asentamiento humano de hecho y consolidado</w:t>
      </w:r>
      <w:r w:rsidR="0024191F" w:rsidRPr="00A24D81">
        <w:rPr>
          <w:sz w:val="22"/>
          <w:szCs w:val="22"/>
        </w:rPr>
        <w:t>, s</w:t>
      </w:r>
      <w:r w:rsidRPr="00A24D81">
        <w:rPr>
          <w:sz w:val="22"/>
          <w:szCs w:val="22"/>
        </w:rPr>
        <w:t>e lo aprueba considerándolo de Interés S</w:t>
      </w:r>
      <w:r w:rsidR="0024191F" w:rsidRPr="00A24D81">
        <w:rPr>
          <w:sz w:val="22"/>
          <w:szCs w:val="22"/>
        </w:rPr>
        <w:t>ocial de conformidad con la normativa vigente.</w:t>
      </w:r>
    </w:p>
    <w:p w:rsidR="00065734" w:rsidRDefault="004C50AE" w:rsidP="00EB540C">
      <w:pPr>
        <w:pStyle w:val="Ttulo2"/>
        <w:spacing w:line="276" w:lineRule="auto"/>
        <w:jc w:val="both"/>
      </w:pPr>
      <w:r w:rsidRPr="00A24D81">
        <w:rPr>
          <w:rFonts w:ascii="Times New Roman" w:hAnsi="Times New Roman" w:cs="Times New Roman"/>
          <w:color w:val="auto"/>
          <w:sz w:val="22"/>
          <w:szCs w:val="22"/>
        </w:rPr>
        <w:t xml:space="preserve">Artículo </w:t>
      </w:r>
      <w:r w:rsidR="0024191F" w:rsidRPr="00A24D81">
        <w:rPr>
          <w:rFonts w:ascii="Times New Roman" w:hAnsi="Times New Roman" w:cs="Times New Roman"/>
          <w:color w:val="auto"/>
          <w:sz w:val="22"/>
          <w:szCs w:val="22"/>
        </w:rPr>
        <w:t>4</w:t>
      </w:r>
      <w:r w:rsidR="00361728" w:rsidRPr="00A24D81">
        <w:rPr>
          <w:rFonts w:ascii="Times New Roman" w:hAnsi="Times New Roman" w:cs="Times New Roman"/>
          <w:color w:val="auto"/>
          <w:sz w:val="22"/>
          <w:szCs w:val="22"/>
        </w:rPr>
        <w:t>.- Especificaciones técnicas.-</w:t>
      </w:r>
    </w:p>
    <w:tbl>
      <w:tblPr>
        <w:tblStyle w:val="Tablaconcuadrcula"/>
        <w:tblW w:w="8926" w:type="dxa"/>
        <w:tblLayout w:type="fixed"/>
        <w:tblLook w:val="04A0" w:firstRow="1" w:lastRow="0" w:firstColumn="1" w:lastColumn="0" w:noHBand="0" w:noVBand="1"/>
      </w:tblPr>
      <w:tblGrid>
        <w:gridCol w:w="1526"/>
        <w:gridCol w:w="2438"/>
        <w:gridCol w:w="2410"/>
        <w:gridCol w:w="1276"/>
        <w:gridCol w:w="1276"/>
      </w:tblGrid>
      <w:tr w:rsidR="00065734" w:rsidRPr="00065734" w:rsidTr="008E4517">
        <w:tc>
          <w:tcPr>
            <w:tcW w:w="1526" w:type="dxa"/>
          </w:tcPr>
          <w:p w:rsidR="00065734" w:rsidRPr="00065734" w:rsidRDefault="00065734" w:rsidP="006C3481">
            <w:pPr>
              <w:tabs>
                <w:tab w:val="center" w:pos="4394"/>
              </w:tabs>
              <w:rPr>
                <w:rFonts w:eastAsia="Calibri"/>
                <w:b/>
                <w:bCs/>
                <w:kern w:val="24"/>
                <w:sz w:val="22"/>
                <w:szCs w:val="22"/>
              </w:rPr>
            </w:pPr>
            <w:r w:rsidRPr="00065734">
              <w:rPr>
                <w:rFonts w:eastAsia="Calibri"/>
                <w:b/>
                <w:bCs/>
                <w:kern w:val="24"/>
                <w:sz w:val="22"/>
                <w:szCs w:val="22"/>
              </w:rPr>
              <w:t>Predio</w:t>
            </w:r>
          </w:p>
        </w:tc>
        <w:tc>
          <w:tcPr>
            <w:tcW w:w="2438" w:type="dxa"/>
          </w:tcPr>
          <w:p w:rsidR="00065734" w:rsidRPr="00065734" w:rsidRDefault="00065734" w:rsidP="006C3481">
            <w:pPr>
              <w:tabs>
                <w:tab w:val="center" w:pos="4394"/>
              </w:tabs>
              <w:rPr>
                <w:rFonts w:eastAsia="Calibri"/>
                <w:b/>
                <w:bCs/>
                <w:kern w:val="24"/>
                <w:sz w:val="22"/>
                <w:szCs w:val="22"/>
              </w:rPr>
            </w:pPr>
            <w:r w:rsidRPr="00065734">
              <w:rPr>
                <w:b/>
                <w:bCs/>
                <w:sz w:val="22"/>
                <w:szCs w:val="22"/>
              </w:rPr>
              <w:t>1209412</w:t>
            </w:r>
          </w:p>
        </w:tc>
        <w:tc>
          <w:tcPr>
            <w:tcW w:w="2410" w:type="dxa"/>
          </w:tcPr>
          <w:p w:rsidR="00065734" w:rsidRPr="00065734" w:rsidRDefault="00065734" w:rsidP="006C3481">
            <w:pPr>
              <w:tabs>
                <w:tab w:val="center" w:pos="4394"/>
              </w:tabs>
              <w:rPr>
                <w:rFonts w:eastAsia="Calibri"/>
                <w:b/>
                <w:bCs/>
                <w:kern w:val="24"/>
                <w:sz w:val="22"/>
                <w:szCs w:val="22"/>
              </w:rPr>
            </w:pPr>
            <w:r w:rsidRPr="00065734">
              <w:rPr>
                <w:b/>
                <w:bCs/>
                <w:sz w:val="22"/>
                <w:szCs w:val="22"/>
              </w:rPr>
              <w:t>527774</w:t>
            </w:r>
          </w:p>
        </w:tc>
        <w:tc>
          <w:tcPr>
            <w:tcW w:w="1276" w:type="dxa"/>
          </w:tcPr>
          <w:p w:rsidR="00065734" w:rsidRPr="00065734" w:rsidRDefault="00065734" w:rsidP="006C3481">
            <w:pPr>
              <w:tabs>
                <w:tab w:val="center" w:pos="4394"/>
              </w:tabs>
              <w:rPr>
                <w:rFonts w:eastAsia="Calibri"/>
                <w:b/>
                <w:bCs/>
                <w:kern w:val="24"/>
                <w:sz w:val="22"/>
                <w:szCs w:val="22"/>
              </w:rPr>
            </w:pPr>
            <w:r w:rsidRPr="00065734">
              <w:rPr>
                <w:b/>
                <w:bCs/>
                <w:sz w:val="22"/>
                <w:szCs w:val="22"/>
              </w:rPr>
              <w:t>552869</w:t>
            </w:r>
          </w:p>
        </w:tc>
        <w:tc>
          <w:tcPr>
            <w:tcW w:w="1276" w:type="dxa"/>
          </w:tcPr>
          <w:p w:rsidR="00065734" w:rsidRPr="00065734" w:rsidRDefault="00065734" w:rsidP="006C3481">
            <w:pPr>
              <w:tabs>
                <w:tab w:val="center" w:pos="4394"/>
              </w:tabs>
              <w:rPr>
                <w:b/>
                <w:bCs/>
                <w:sz w:val="22"/>
                <w:szCs w:val="22"/>
              </w:rPr>
            </w:pPr>
            <w:r w:rsidRPr="00065734">
              <w:rPr>
                <w:b/>
                <w:bCs/>
                <w:sz w:val="22"/>
                <w:szCs w:val="22"/>
              </w:rPr>
              <w:t>5126370</w:t>
            </w:r>
          </w:p>
        </w:tc>
      </w:tr>
      <w:tr w:rsidR="00065734" w:rsidRPr="00065734" w:rsidTr="008E4517">
        <w:tc>
          <w:tcPr>
            <w:tcW w:w="1526" w:type="dxa"/>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Zonificación:</w:t>
            </w:r>
          </w:p>
        </w:tc>
        <w:tc>
          <w:tcPr>
            <w:tcW w:w="2438" w:type="dxa"/>
          </w:tcPr>
          <w:p w:rsidR="00F11003" w:rsidRPr="00065734" w:rsidRDefault="00F11003" w:rsidP="00F11003">
            <w:pPr>
              <w:tabs>
                <w:tab w:val="center" w:pos="4394"/>
              </w:tabs>
              <w:rPr>
                <w:sz w:val="22"/>
                <w:szCs w:val="22"/>
              </w:rPr>
            </w:pPr>
            <w:r w:rsidRPr="00065734">
              <w:rPr>
                <w:sz w:val="22"/>
                <w:szCs w:val="22"/>
              </w:rPr>
              <w:t>A37 (A1002-35(VU))</w:t>
            </w:r>
          </w:p>
          <w:p w:rsidR="00065734" w:rsidRPr="00065734" w:rsidRDefault="00065734" w:rsidP="006C3481">
            <w:pPr>
              <w:tabs>
                <w:tab w:val="center" w:pos="4394"/>
              </w:tabs>
              <w:rPr>
                <w:sz w:val="22"/>
                <w:szCs w:val="22"/>
              </w:rPr>
            </w:pPr>
            <w:r w:rsidRPr="00065734">
              <w:rPr>
                <w:sz w:val="22"/>
                <w:szCs w:val="22"/>
              </w:rPr>
              <w:t>A31 (PQ)</w:t>
            </w:r>
          </w:p>
          <w:p w:rsidR="00065734" w:rsidRPr="00065734" w:rsidRDefault="00065734" w:rsidP="006C3481">
            <w:pPr>
              <w:tabs>
                <w:tab w:val="center" w:pos="4394"/>
              </w:tabs>
              <w:rPr>
                <w:rFonts w:eastAsia="Calibri"/>
                <w:b/>
                <w:bCs/>
                <w:kern w:val="24"/>
                <w:sz w:val="22"/>
                <w:szCs w:val="22"/>
              </w:rPr>
            </w:pPr>
          </w:p>
        </w:tc>
        <w:tc>
          <w:tcPr>
            <w:tcW w:w="2410" w:type="dxa"/>
          </w:tcPr>
          <w:p w:rsidR="00065734" w:rsidRPr="00065734" w:rsidRDefault="00065734" w:rsidP="006C3481">
            <w:pPr>
              <w:tabs>
                <w:tab w:val="center" w:pos="4394"/>
              </w:tabs>
              <w:rPr>
                <w:sz w:val="22"/>
                <w:szCs w:val="22"/>
              </w:rPr>
            </w:pPr>
            <w:r w:rsidRPr="00065734">
              <w:rPr>
                <w:color w:val="000000" w:themeColor="text1"/>
                <w:sz w:val="22"/>
                <w:szCs w:val="22"/>
              </w:rPr>
              <w:t>D3(D203-80)</w:t>
            </w:r>
          </w:p>
          <w:p w:rsidR="00065734" w:rsidRPr="00065734" w:rsidRDefault="00065734" w:rsidP="006C3481">
            <w:pPr>
              <w:tabs>
                <w:tab w:val="center" w:pos="4394"/>
              </w:tabs>
              <w:rPr>
                <w:sz w:val="22"/>
                <w:szCs w:val="22"/>
              </w:rPr>
            </w:pPr>
            <w:r w:rsidRPr="00065734">
              <w:rPr>
                <w:sz w:val="22"/>
                <w:szCs w:val="22"/>
              </w:rPr>
              <w:t>A31 (PQ)</w:t>
            </w:r>
          </w:p>
          <w:p w:rsidR="00065734" w:rsidRPr="00065734" w:rsidRDefault="00065734" w:rsidP="006C3481">
            <w:pPr>
              <w:tabs>
                <w:tab w:val="center" w:pos="4394"/>
              </w:tabs>
              <w:rPr>
                <w:rFonts w:eastAsia="Calibri"/>
                <w:b/>
                <w:bCs/>
                <w:kern w:val="24"/>
                <w:sz w:val="22"/>
                <w:szCs w:val="22"/>
              </w:rPr>
            </w:pPr>
          </w:p>
        </w:tc>
        <w:tc>
          <w:tcPr>
            <w:tcW w:w="1276" w:type="dxa"/>
          </w:tcPr>
          <w:p w:rsidR="00065734" w:rsidRPr="00065734" w:rsidRDefault="00065734" w:rsidP="006C3481">
            <w:pPr>
              <w:tabs>
                <w:tab w:val="center" w:pos="4394"/>
              </w:tabs>
              <w:rPr>
                <w:rFonts w:eastAsia="Calibri"/>
                <w:b/>
                <w:bCs/>
                <w:kern w:val="24"/>
                <w:sz w:val="22"/>
                <w:szCs w:val="22"/>
              </w:rPr>
            </w:pPr>
            <w:r w:rsidRPr="00065734">
              <w:rPr>
                <w:color w:val="000000" w:themeColor="text1"/>
                <w:sz w:val="22"/>
                <w:szCs w:val="22"/>
              </w:rPr>
              <w:t>D3(D203-80)</w:t>
            </w:r>
          </w:p>
        </w:tc>
        <w:tc>
          <w:tcPr>
            <w:tcW w:w="1276" w:type="dxa"/>
          </w:tcPr>
          <w:p w:rsidR="00065734" w:rsidRPr="00065734" w:rsidRDefault="00065734" w:rsidP="006C3481">
            <w:pPr>
              <w:tabs>
                <w:tab w:val="center" w:pos="4394"/>
              </w:tabs>
              <w:rPr>
                <w:rFonts w:eastAsia="Calibri"/>
                <w:b/>
                <w:bCs/>
                <w:kern w:val="24"/>
                <w:sz w:val="22"/>
                <w:szCs w:val="22"/>
              </w:rPr>
            </w:pPr>
            <w:r w:rsidRPr="00065734">
              <w:rPr>
                <w:color w:val="000000" w:themeColor="text1"/>
                <w:sz w:val="22"/>
                <w:szCs w:val="22"/>
              </w:rPr>
              <w:t>D3(D203-80)</w:t>
            </w:r>
          </w:p>
        </w:tc>
      </w:tr>
      <w:tr w:rsidR="00065734" w:rsidRPr="00065734" w:rsidTr="008E4517">
        <w:tc>
          <w:tcPr>
            <w:tcW w:w="1526" w:type="dxa"/>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Lote mínimo:</w:t>
            </w:r>
          </w:p>
        </w:tc>
        <w:tc>
          <w:tcPr>
            <w:tcW w:w="2438" w:type="dxa"/>
          </w:tcPr>
          <w:p w:rsidR="00065734" w:rsidRPr="00065734" w:rsidRDefault="00065734" w:rsidP="006C3481">
            <w:pPr>
              <w:tabs>
                <w:tab w:val="center" w:pos="4394"/>
              </w:tabs>
              <w:rPr>
                <w:rFonts w:eastAsia="Calibri"/>
                <w:b/>
                <w:bCs/>
                <w:kern w:val="24"/>
                <w:sz w:val="22"/>
                <w:szCs w:val="22"/>
              </w:rPr>
            </w:pPr>
            <w:r w:rsidRPr="00065734">
              <w:rPr>
                <w:sz w:val="22"/>
                <w:szCs w:val="22"/>
              </w:rPr>
              <w:t>1000m2</w:t>
            </w:r>
          </w:p>
        </w:tc>
        <w:tc>
          <w:tcPr>
            <w:tcW w:w="2410" w:type="dxa"/>
          </w:tcPr>
          <w:p w:rsidR="00065734" w:rsidRPr="00065734" w:rsidRDefault="00065734" w:rsidP="006C3481">
            <w:pPr>
              <w:tabs>
                <w:tab w:val="center" w:pos="4394"/>
              </w:tabs>
              <w:rPr>
                <w:rFonts w:eastAsia="Calibri"/>
                <w:b/>
                <w:bCs/>
                <w:kern w:val="24"/>
                <w:sz w:val="22"/>
                <w:szCs w:val="22"/>
              </w:rPr>
            </w:pPr>
            <w:r w:rsidRPr="00065734">
              <w:rPr>
                <w:sz w:val="22"/>
                <w:szCs w:val="22"/>
              </w:rPr>
              <w:t>200 m2</w:t>
            </w:r>
          </w:p>
        </w:tc>
        <w:tc>
          <w:tcPr>
            <w:tcW w:w="1276" w:type="dxa"/>
          </w:tcPr>
          <w:p w:rsidR="00065734" w:rsidRPr="00065734" w:rsidRDefault="00065734" w:rsidP="006C3481">
            <w:pPr>
              <w:tabs>
                <w:tab w:val="center" w:pos="4394"/>
              </w:tabs>
              <w:rPr>
                <w:sz w:val="22"/>
                <w:szCs w:val="22"/>
              </w:rPr>
            </w:pPr>
            <w:r w:rsidRPr="00065734">
              <w:rPr>
                <w:sz w:val="22"/>
                <w:szCs w:val="22"/>
              </w:rPr>
              <w:t>200 m2</w:t>
            </w:r>
          </w:p>
          <w:p w:rsidR="00065734" w:rsidRPr="00065734" w:rsidRDefault="00065734" w:rsidP="006C3481">
            <w:pPr>
              <w:tabs>
                <w:tab w:val="center" w:pos="4394"/>
              </w:tabs>
              <w:rPr>
                <w:rFonts w:eastAsia="Calibri"/>
                <w:b/>
                <w:bCs/>
                <w:kern w:val="24"/>
                <w:sz w:val="22"/>
                <w:szCs w:val="22"/>
              </w:rPr>
            </w:pPr>
          </w:p>
        </w:tc>
        <w:tc>
          <w:tcPr>
            <w:tcW w:w="1276" w:type="dxa"/>
          </w:tcPr>
          <w:p w:rsidR="00065734" w:rsidRPr="00065734" w:rsidRDefault="00065734" w:rsidP="006C3481">
            <w:pPr>
              <w:tabs>
                <w:tab w:val="center" w:pos="4394"/>
              </w:tabs>
              <w:rPr>
                <w:sz w:val="22"/>
                <w:szCs w:val="22"/>
              </w:rPr>
            </w:pPr>
            <w:r w:rsidRPr="00065734">
              <w:rPr>
                <w:sz w:val="22"/>
                <w:szCs w:val="22"/>
              </w:rPr>
              <w:t>200 m2</w:t>
            </w:r>
          </w:p>
          <w:p w:rsidR="00065734" w:rsidRPr="00065734" w:rsidRDefault="00065734" w:rsidP="006C3481">
            <w:pPr>
              <w:tabs>
                <w:tab w:val="center" w:pos="4394"/>
              </w:tabs>
              <w:rPr>
                <w:rFonts w:eastAsia="Calibri"/>
                <w:b/>
                <w:bCs/>
                <w:kern w:val="24"/>
                <w:sz w:val="22"/>
                <w:szCs w:val="22"/>
              </w:rPr>
            </w:pPr>
          </w:p>
        </w:tc>
      </w:tr>
      <w:tr w:rsidR="00065734" w:rsidRPr="00065734" w:rsidTr="008E4517">
        <w:tc>
          <w:tcPr>
            <w:tcW w:w="1526" w:type="dxa"/>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Forma de Ocupación del suelo</w:t>
            </w:r>
          </w:p>
        </w:tc>
        <w:tc>
          <w:tcPr>
            <w:tcW w:w="2438" w:type="dxa"/>
          </w:tcPr>
          <w:p w:rsidR="00065734" w:rsidRPr="00065734" w:rsidRDefault="00065734" w:rsidP="006C3481">
            <w:pPr>
              <w:tabs>
                <w:tab w:val="center" w:pos="4394"/>
              </w:tabs>
              <w:rPr>
                <w:sz w:val="22"/>
                <w:szCs w:val="22"/>
              </w:rPr>
            </w:pPr>
          </w:p>
          <w:p w:rsidR="00065734" w:rsidRPr="00065734" w:rsidRDefault="00065734" w:rsidP="006C3481">
            <w:pPr>
              <w:tabs>
                <w:tab w:val="center" w:pos="4394"/>
              </w:tabs>
              <w:rPr>
                <w:sz w:val="22"/>
                <w:szCs w:val="22"/>
              </w:rPr>
            </w:pPr>
            <w:r w:rsidRPr="00065734">
              <w:rPr>
                <w:sz w:val="22"/>
                <w:szCs w:val="22"/>
              </w:rPr>
              <w:t>A (Aislada)</w:t>
            </w:r>
          </w:p>
          <w:p w:rsidR="00065734" w:rsidRPr="00065734" w:rsidRDefault="00065734" w:rsidP="006C3481">
            <w:pPr>
              <w:tabs>
                <w:tab w:val="center" w:pos="4394"/>
              </w:tabs>
              <w:rPr>
                <w:rFonts w:eastAsia="Calibri"/>
                <w:b/>
                <w:bCs/>
                <w:kern w:val="24"/>
                <w:sz w:val="22"/>
                <w:szCs w:val="22"/>
              </w:rPr>
            </w:pPr>
          </w:p>
        </w:tc>
        <w:tc>
          <w:tcPr>
            <w:tcW w:w="2410" w:type="dxa"/>
          </w:tcPr>
          <w:p w:rsidR="00065734" w:rsidRPr="00065734" w:rsidRDefault="00065734" w:rsidP="006C3481">
            <w:pPr>
              <w:tabs>
                <w:tab w:val="center" w:pos="4394"/>
              </w:tabs>
              <w:rPr>
                <w:sz w:val="22"/>
                <w:szCs w:val="22"/>
              </w:rPr>
            </w:pPr>
            <w:r w:rsidRPr="00065734">
              <w:rPr>
                <w:sz w:val="22"/>
                <w:szCs w:val="22"/>
              </w:rPr>
              <w:t>(D) Sobre línea de fábrica</w:t>
            </w:r>
          </w:p>
          <w:p w:rsidR="00065734" w:rsidRPr="00065734" w:rsidRDefault="00065734" w:rsidP="00065734">
            <w:pPr>
              <w:tabs>
                <w:tab w:val="center" w:pos="4394"/>
              </w:tabs>
              <w:rPr>
                <w:rFonts w:eastAsia="Calibri"/>
                <w:b/>
                <w:bCs/>
                <w:kern w:val="24"/>
                <w:sz w:val="22"/>
                <w:szCs w:val="22"/>
              </w:rPr>
            </w:pPr>
            <w:r w:rsidRPr="00065734">
              <w:rPr>
                <w:sz w:val="22"/>
                <w:szCs w:val="22"/>
              </w:rPr>
              <w:t>A (Aislada)</w:t>
            </w:r>
          </w:p>
        </w:tc>
        <w:tc>
          <w:tcPr>
            <w:tcW w:w="1276" w:type="dxa"/>
          </w:tcPr>
          <w:p w:rsidR="00065734" w:rsidRPr="00065734" w:rsidRDefault="00065734" w:rsidP="006C3481">
            <w:pPr>
              <w:tabs>
                <w:tab w:val="center" w:pos="4394"/>
              </w:tabs>
              <w:rPr>
                <w:rFonts w:eastAsia="Calibri"/>
                <w:b/>
                <w:bCs/>
                <w:kern w:val="24"/>
                <w:sz w:val="22"/>
                <w:szCs w:val="22"/>
              </w:rPr>
            </w:pPr>
            <w:r w:rsidRPr="00065734">
              <w:rPr>
                <w:sz w:val="22"/>
                <w:szCs w:val="22"/>
              </w:rPr>
              <w:t>(D) Sobre línea de fábrica</w:t>
            </w:r>
          </w:p>
        </w:tc>
        <w:tc>
          <w:tcPr>
            <w:tcW w:w="1276" w:type="dxa"/>
          </w:tcPr>
          <w:p w:rsidR="00065734" w:rsidRPr="00065734" w:rsidRDefault="00065734" w:rsidP="006C3481">
            <w:pPr>
              <w:tabs>
                <w:tab w:val="center" w:pos="4394"/>
              </w:tabs>
              <w:rPr>
                <w:rFonts w:eastAsia="Calibri"/>
                <w:b/>
                <w:bCs/>
                <w:kern w:val="24"/>
                <w:sz w:val="22"/>
                <w:szCs w:val="22"/>
              </w:rPr>
            </w:pPr>
            <w:r w:rsidRPr="00065734">
              <w:rPr>
                <w:sz w:val="22"/>
                <w:szCs w:val="22"/>
              </w:rPr>
              <w:t>(D) Sobre línea de fábrica</w:t>
            </w:r>
          </w:p>
        </w:tc>
      </w:tr>
      <w:tr w:rsidR="00065734" w:rsidRPr="00065734" w:rsidTr="00B01331">
        <w:trPr>
          <w:trHeight w:val="1369"/>
        </w:trPr>
        <w:tc>
          <w:tcPr>
            <w:tcW w:w="1526" w:type="dxa"/>
            <w:tcBorders>
              <w:bottom w:val="single" w:sz="4" w:space="0" w:color="auto"/>
            </w:tcBorders>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Uso principal del suelo:</w:t>
            </w:r>
          </w:p>
        </w:tc>
        <w:tc>
          <w:tcPr>
            <w:tcW w:w="2438" w:type="dxa"/>
            <w:tcBorders>
              <w:bottom w:val="single" w:sz="4" w:space="0" w:color="auto"/>
            </w:tcBorders>
          </w:tcPr>
          <w:p w:rsidR="00B463A0" w:rsidRDefault="00B463A0" w:rsidP="006C3481">
            <w:pPr>
              <w:tabs>
                <w:tab w:val="center" w:pos="4394"/>
              </w:tabs>
              <w:rPr>
                <w:color w:val="000000" w:themeColor="text1"/>
                <w:sz w:val="22"/>
                <w:szCs w:val="22"/>
              </w:rPr>
            </w:pPr>
            <w:r w:rsidRPr="00065734">
              <w:rPr>
                <w:color w:val="000000" w:themeColor="text1"/>
                <w:sz w:val="22"/>
                <w:szCs w:val="22"/>
              </w:rPr>
              <w:t>(AR</w:t>
            </w:r>
            <w:r>
              <w:rPr>
                <w:color w:val="000000" w:themeColor="text1"/>
                <w:sz w:val="22"/>
                <w:szCs w:val="22"/>
              </w:rPr>
              <w:t>U</w:t>
            </w:r>
            <w:r w:rsidRPr="00065734">
              <w:rPr>
                <w:color w:val="000000" w:themeColor="text1"/>
                <w:sz w:val="22"/>
                <w:szCs w:val="22"/>
              </w:rPr>
              <w:t>) Agrícola Residencial</w:t>
            </w:r>
            <w:r>
              <w:rPr>
                <w:color w:val="000000" w:themeColor="text1"/>
                <w:sz w:val="22"/>
                <w:szCs w:val="22"/>
              </w:rPr>
              <w:t xml:space="preserve"> Urbano</w:t>
            </w:r>
          </w:p>
          <w:p w:rsidR="00065734" w:rsidRPr="00065734" w:rsidRDefault="00065734" w:rsidP="006C3481">
            <w:pPr>
              <w:tabs>
                <w:tab w:val="center" w:pos="4394"/>
              </w:tabs>
              <w:rPr>
                <w:color w:val="000000" w:themeColor="text1"/>
                <w:sz w:val="22"/>
                <w:szCs w:val="22"/>
              </w:rPr>
            </w:pPr>
            <w:r w:rsidRPr="00065734">
              <w:rPr>
                <w:color w:val="000000" w:themeColor="text1"/>
                <w:sz w:val="22"/>
                <w:szCs w:val="22"/>
              </w:rPr>
              <w:t>(PE/CPN) Protección ecológica/Conservación del Patrimonio Natural</w:t>
            </w:r>
          </w:p>
          <w:p w:rsidR="00065734" w:rsidRPr="00065734" w:rsidRDefault="00065734" w:rsidP="006C3481">
            <w:pPr>
              <w:tabs>
                <w:tab w:val="center" w:pos="4394"/>
              </w:tabs>
              <w:rPr>
                <w:rFonts w:eastAsia="Calibri"/>
                <w:b/>
                <w:bCs/>
                <w:kern w:val="24"/>
                <w:sz w:val="22"/>
                <w:szCs w:val="22"/>
              </w:rPr>
            </w:pPr>
          </w:p>
        </w:tc>
        <w:tc>
          <w:tcPr>
            <w:tcW w:w="2410" w:type="dxa"/>
            <w:tcBorders>
              <w:bottom w:val="single" w:sz="4" w:space="0" w:color="auto"/>
            </w:tcBorders>
          </w:tcPr>
          <w:p w:rsidR="00065734" w:rsidRPr="00065734" w:rsidRDefault="00065734" w:rsidP="00065734">
            <w:pPr>
              <w:tabs>
                <w:tab w:val="center" w:pos="4394"/>
              </w:tabs>
              <w:rPr>
                <w:sz w:val="22"/>
                <w:szCs w:val="22"/>
              </w:rPr>
            </w:pPr>
            <w:r w:rsidRPr="00065734">
              <w:rPr>
                <w:color w:val="000000" w:themeColor="text1"/>
                <w:sz w:val="22"/>
                <w:szCs w:val="22"/>
              </w:rPr>
              <w:t>(RU2) Residencial urbano 2</w:t>
            </w:r>
          </w:p>
          <w:p w:rsidR="00065734" w:rsidRPr="00065734" w:rsidRDefault="00065734" w:rsidP="006C3481">
            <w:pPr>
              <w:tabs>
                <w:tab w:val="center" w:pos="4394"/>
              </w:tabs>
              <w:rPr>
                <w:sz w:val="22"/>
                <w:szCs w:val="22"/>
              </w:rPr>
            </w:pPr>
            <w:r w:rsidRPr="00065734">
              <w:rPr>
                <w:color w:val="000000" w:themeColor="text1"/>
                <w:sz w:val="22"/>
                <w:szCs w:val="22"/>
              </w:rPr>
              <w:t>(PE/CPN) Protección ecológica/Conservación del Patrimonio Natural</w:t>
            </w:r>
          </w:p>
          <w:p w:rsidR="00065734" w:rsidRPr="00065734" w:rsidRDefault="00065734" w:rsidP="00065734">
            <w:pPr>
              <w:tabs>
                <w:tab w:val="center" w:pos="4394"/>
              </w:tabs>
              <w:rPr>
                <w:rFonts w:eastAsia="Calibri"/>
                <w:b/>
                <w:bCs/>
                <w:kern w:val="24"/>
                <w:sz w:val="22"/>
                <w:szCs w:val="22"/>
              </w:rPr>
            </w:pPr>
          </w:p>
        </w:tc>
        <w:tc>
          <w:tcPr>
            <w:tcW w:w="1276" w:type="dxa"/>
            <w:tcBorders>
              <w:bottom w:val="single" w:sz="4" w:space="0" w:color="auto"/>
            </w:tcBorders>
          </w:tcPr>
          <w:p w:rsidR="00065734" w:rsidRPr="00065734" w:rsidRDefault="00065734" w:rsidP="008E4517">
            <w:pPr>
              <w:tabs>
                <w:tab w:val="center" w:pos="4394"/>
              </w:tabs>
              <w:rPr>
                <w:rFonts w:eastAsia="Calibri"/>
                <w:b/>
                <w:bCs/>
                <w:kern w:val="24"/>
                <w:sz w:val="22"/>
                <w:szCs w:val="22"/>
              </w:rPr>
            </w:pPr>
            <w:r w:rsidRPr="00065734">
              <w:rPr>
                <w:color w:val="000000" w:themeColor="text1"/>
                <w:sz w:val="22"/>
                <w:szCs w:val="22"/>
              </w:rPr>
              <w:t>(RU2) Residencial urbano 2</w:t>
            </w:r>
          </w:p>
        </w:tc>
        <w:tc>
          <w:tcPr>
            <w:tcW w:w="1276" w:type="dxa"/>
            <w:tcBorders>
              <w:bottom w:val="single" w:sz="4" w:space="0" w:color="auto"/>
            </w:tcBorders>
          </w:tcPr>
          <w:p w:rsidR="00065734" w:rsidRPr="00065734" w:rsidRDefault="00065734" w:rsidP="008E4517">
            <w:pPr>
              <w:tabs>
                <w:tab w:val="center" w:pos="4394"/>
              </w:tabs>
              <w:rPr>
                <w:rFonts w:eastAsia="Calibri"/>
                <w:b/>
                <w:bCs/>
                <w:kern w:val="24"/>
                <w:sz w:val="22"/>
                <w:szCs w:val="22"/>
              </w:rPr>
            </w:pPr>
            <w:r w:rsidRPr="00065734">
              <w:rPr>
                <w:color w:val="000000" w:themeColor="text1"/>
                <w:sz w:val="22"/>
                <w:szCs w:val="22"/>
              </w:rPr>
              <w:t>(RU2) Residencial urbano 2</w:t>
            </w:r>
          </w:p>
        </w:tc>
      </w:tr>
      <w:tr w:rsidR="00065734" w:rsidRPr="00065734" w:rsidTr="00B01331">
        <w:tc>
          <w:tcPr>
            <w:tcW w:w="1526" w:type="dxa"/>
            <w:tcBorders>
              <w:top w:val="single" w:sz="4" w:space="0" w:color="auto"/>
              <w:left w:val="single" w:sz="4" w:space="0" w:color="auto"/>
              <w:bottom w:val="single" w:sz="4" w:space="0" w:color="auto"/>
              <w:right w:val="single" w:sz="4" w:space="0" w:color="auto"/>
            </w:tcBorders>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Clasificación del suelo:</w:t>
            </w:r>
          </w:p>
        </w:tc>
        <w:tc>
          <w:tcPr>
            <w:tcW w:w="2438" w:type="dxa"/>
            <w:tcBorders>
              <w:top w:val="single" w:sz="4" w:space="0" w:color="auto"/>
              <w:left w:val="single" w:sz="4" w:space="0" w:color="auto"/>
              <w:bottom w:val="single" w:sz="4" w:space="0" w:color="auto"/>
              <w:right w:val="single" w:sz="4" w:space="0" w:color="auto"/>
            </w:tcBorders>
          </w:tcPr>
          <w:p w:rsidR="00065734" w:rsidRPr="00065734" w:rsidRDefault="00065734" w:rsidP="006C3481">
            <w:pPr>
              <w:tabs>
                <w:tab w:val="center" w:pos="4394"/>
              </w:tabs>
              <w:rPr>
                <w:rFonts w:eastAsia="Calibri"/>
                <w:b/>
                <w:bCs/>
                <w:kern w:val="24"/>
                <w:sz w:val="22"/>
                <w:szCs w:val="22"/>
              </w:rPr>
            </w:pPr>
            <w:r w:rsidRPr="00065734">
              <w:rPr>
                <w:sz w:val="22"/>
                <w:szCs w:val="22"/>
              </w:rPr>
              <w:t>(SU) Suelo Urbano</w:t>
            </w:r>
          </w:p>
        </w:tc>
        <w:tc>
          <w:tcPr>
            <w:tcW w:w="2410" w:type="dxa"/>
            <w:tcBorders>
              <w:top w:val="single" w:sz="4" w:space="0" w:color="auto"/>
              <w:left w:val="single" w:sz="4" w:space="0" w:color="auto"/>
              <w:bottom w:val="single" w:sz="4" w:space="0" w:color="auto"/>
              <w:right w:val="single" w:sz="4" w:space="0" w:color="auto"/>
            </w:tcBorders>
          </w:tcPr>
          <w:p w:rsidR="00065734" w:rsidRPr="00065734" w:rsidRDefault="00065734" w:rsidP="006C3481">
            <w:pPr>
              <w:tabs>
                <w:tab w:val="center" w:pos="4394"/>
              </w:tabs>
              <w:rPr>
                <w:rFonts w:eastAsia="Calibri"/>
                <w:b/>
                <w:bCs/>
                <w:kern w:val="24"/>
                <w:sz w:val="22"/>
                <w:szCs w:val="22"/>
              </w:rPr>
            </w:pPr>
            <w:r w:rsidRPr="00065734">
              <w:rPr>
                <w:sz w:val="22"/>
                <w:szCs w:val="22"/>
              </w:rPr>
              <w:t>(SU) Suelo Urbano</w:t>
            </w:r>
          </w:p>
        </w:tc>
        <w:tc>
          <w:tcPr>
            <w:tcW w:w="1276" w:type="dxa"/>
            <w:tcBorders>
              <w:top w:val="single" w:sz="4" w:space="0" w:color="auto"/>
              <w:left w:val="single" w:sz="4" w:space="0" w:color="auto"/>
              <w:bottom w:val="single" w:sz="4" w:space="0" w:color="auto"/>
              <w:right w:val="single" w:sz="4" w:space="0" w:color="auto"/>
            </w:tcBorders>
          </w:tcPr>
          <w:p w:rsidR="00065734" w:rsidRPr="00065734" w:rsidRDefault="00065734" w:rsidP="006C3481">
            <w:pPr>
              <w:tabs>
                <w:tab w:val="center" w:pos="4394"/>
              </w:tabs>
              <w:rPr>
                <w:sz w:val="22"/>
                <w:szCs w:val="22"/>
              </w:rPr>
            </w:pPr>
            <w:r w:rsidRPr="00065734">
              <w:rPr>
                <w:sz w:val="22"/>
                <w:szCs w:val="22"/>
              </w:rPr>
              <w:t>(SU) Suelo Urbano</w:t>
            </w:r>
          </w:p>
        </w:tc>
        <w:tc>
          <w:tcPr>
            <w:tcW w:w="1276" w:type="dxa"/>
            <w:tcBorders>
              <w:top w:val="single" w:sz="4" w:space="0" w:color="auto"/>
              <w:left w:val="single" w:sz="4" w:space="0" w:color="auto"/>
              <w:bottom w:val="single" w:sz="4" w:space="0" w:color="auto"/>
              <w:right w:val="single" w:sz="4" w:space="0" w:color="auto"/>
            </w:tcBorders>
          </w:tcPr>
          <w:p w:rsidR="00065734" w:rsidRPr="00065734" w:rsidRDefault="00065734" w:rsidP="006C3481">
            <w:pPr>
              <w:tabs>
                <w:tab w:val="center" w:pos="4394"/>
              </w:tabs>
              <w:rPr>
                <w:sz w:val="22"/>
                <w:szCs w:val="22"/>
              </w:rPr>
            </w:pPr>
            <w:r w:rsidRPr="00065734">
              <w:rPr>
                <w:sz w:val="22"/>
                <w:szCs w:val="22"/>
              </w:rPr>
              <w:t>(SU) Suelo Urbano</w:t>
            </w:r>
          </w:p>
        </w:tc>
      </w:tr>
    </w:tbl>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962"/>
      </w:tblGrid>
      <w:tr w:rsidR="00065734" w:rsidRPr="005002EB" w:rsidTr="00B01331">
        <w:tc>
          <w:tcPr>
            <w:tcW w:w="3964" w:type="dxa"/>
            <w:tcBorders>
              <w:top w:val="nil"/>
            </w:tcBorders>
          </w:tcPr>
          <w:p w:rsidR="00065734" w:rsidRPr="005002EB" w:rsidRDefault="000C0196" w:rsidP="00065734">
            <w:pPr>
              <w:tabs>
                <w:tab w:val="center" w:pos="4252"/>
                <w:tab w:val="right" w:pos="8504"/>
              </w:tabs>
              <w:contextualSpacing/>
              <w:rPr>
                <w:b/>
                <w:sz w:val="22"/>
                <w:szCs w:val="22"/>
              </w:rPr>
            </w:pPr>
            <w:r>
              <w:rPr>
                <w:b/>
                <w:sz w:val="22"/>
                <w:szCs w:val="22"/>
              </w:rPr>
              <w:t>Número de L</w:t>
            </w:r>
            <w:r w:rsidR="00065734" w:rsidRPr="005002EB">
              <w:rPr>
                <w:b/>
                <w:sz w:val="22"/>
                <w:szCs w:val="22"/>
              </w:rPr>
              <w:t>otes:</w:t>
            </w:r>
          </w:p>
        </w:tc>
        <w:tc>
          <w:tcPr>
            <w:tcW w:w="4962" w:type="dxa"/>
            <w:tcBorders>
              <w:top w:val="nil"/>
            </w:tcBorders>
          </w:tcPr>
          <w:p w:rsidR="00065734" w:rsidRPr="005002EB" w:rsidRDefault="00065734" w:rsidP="00B463A0">
            <w:pPr>
              <w:tabs>
                <w:tab w:val="center" w:pos="4252"/>
                <w:tab w:val="right" w:pos="8504"/>
              </w:tabs>
              <w:contextualSpacing/>
              <w:rPr>
                <w:sz w:val="22"/>
                <w:szCs w:val="22"/>
              </w:rPr>
            </w:pPr>
            <w:r w:rsidRPr="005002EB">
              <w:rPr>
                <w:sz w:val="22"/>
                <w:szCs w:val="22"/>
              </w:rPr>
              <w:t>1</w:t>
            </w:r>
            <w:r w:rsidR="00B463A0">
              <w:rPr>
                <w:sz w:val="22"/>
                <w:szCs w:val="22"/>
              </w:rPr>
              <w:t>3</w:t>
            </w:r>
          </w:p>
        </w:tc>
      </w:tr>
      <w:tr w:rsidR="000C0196" w:rsidRPr="005002EB" w:rsidTr="00F11003">
        <w:tc>
          <w:tcPr>
            <w:tcW w:w="3964" w:type="dxa"/>
          </w:tcPr>
          <w:p w:rsidR="000C0196" w:rsidRPr="005002EB" w:rsidRDefault="000C0196" w:rsidP="000C0196">
            <w:pPr>
              <w:tabs>
                <w:tab w:val="center" w:pos="4252"/>
                <w:tab w:val="right" w:pos="8504"/>
              </w:tabs>
              <w:contextualSpacing/>
              <w:rPr>
                <w:b/>
                <w:sz w:val="22"/>
                <w:szCs w:val="22"/>
              </w:rPr>
            </w:pPr>
            <w:r>
              <w:rPr>
                <w:b/>
                <w:sz w:val="22"/>
                <w:szCs w:val="22"/>
              </w:rPr>
              <w:t>Área Útil de Lotes:</w:t>
            </w:r>
          </w:p>
        </w:tc>
        <w:tc>
          <w:tcPr>
            <w:tcW w:w="4962" w:type="dxa"/>
          </w:tcPr>
          <w:p w:rsidR="000C0196" w:rsidRPr="005002EB" w:rsidRDefault="000C0196" w:rsidP="00B463A0">
            <w:pPr>
              <w:tabs>
                <w:tab w:val="center" w:pos="4252"/>
                <w:tab w:val="right" w:pos="8504"/>
              </w:tabs>
              <w:contextualSpacing/>
              <w:rPr>
                <w:sz w:val="22"/>
                <w:szCs w:val="22"/>
              </w:rPr>
            </w:pPr>
            <w:r>
              <w:rPr>
                <w:sz w:val="22"/>
                <w:szCs w:val="22"/>
              </w:rPr>
              <w:t>4,686.22 m2</w:t>
            </w:r>
          </w:p>
        </w:tc>
      </w:tr>
      <w:tr w:rsidR="00B463A0" w:rsidRPr="005002EB" w:rsidTr="00F11003">
        <w:tc>
          <w:tcPr>
            <w:tcW w:w="3964" w:type="dxa"/>
          </w:tcPr>
          <w:p w:rsidR="00B463A0" w:rsidRPr="005002EB" w:rsidRDefault="00B463A0" w:rsidP="00065734">
            <w:pPr>
              <w:tabs>
                <w:tab w:val="center" w:pos="4252"/>
                <w:tab w:val="right" w:pos="8504"/>
              </w:tabs>
              <w:contextualSpacing/>
              <w:rPr>
                <w:b/>
                <w:sz w:val="22"/>
                <w:szCs w:val="22"/>
              </w:rPr>
            </w:pPr>
            <w:r>
              <w:rPr>
                <w:b/>
                <w:sz w:val="22"/>
                <w:szCs w:val="22"/>
              </w:rPr>
              <w:t>Área de Vías y Pasajes:</w:t>
            </w:r>
          </w:p>
        </w:tc>
        <w:tc>
          <w:tcPr>
            <w:tcW w:w="4962" w:type="dxa"/>
          </w:tcPr>
          <w:p w:rsidR="00B463A0" w:rsidRPr="005002EB" w:rsidRDefault="00B463A0" w:rsidP="00B463A0">
            <w:pPr>
              <w:tabs>
                <w:tab w:val="center" w:pos="4252"/>
                <w:tab w:val="right" w:pos="8504"/>
              </w:tabs>
              <w:contextualSpacing/>
              <w:rPr>
                <w:sz w:val="22"/>
                <w:szCs w:val="22"/>
              </w:rPr>
            </w:pPr>
            <w:r>
              <w:rPr>
                <w:sz w:val="22"/>
                <w:szCs w:val="22"/>
              </w:rPr>
              <w:t>83,43</w:t>
            </w:r>
            <w:r w:rsidR="000C0196">
              <w:rPr>
                <w:sz w:val="22"/>
                <w:szCs w:val="22"/>
              </w:rPr>
              <w:t xml:space="preserve"> </w:t>
            </w:r>
            <w:r>
              <w:rPr>
                <w:sz w:val="22"/>
                <w:szCs w:val="22"/>
              </w:rPr>
              <w:t>m2</w:t>
            </w:r>
          </w:p>
        </w:tc>
      </w:tr>
      <w:tr w:rsidR="00B463A0" w:rsidRPr="005002EB" w:rsidTr="00F11003">
        <w:tc>
          <w:tcPr>
            <w:tcW w:w="3964" w:type="dxa"/>
          </w:tcPr>
          <w:p w:rsidR="00B463A0" w:rsidRDefault="00B463A0" w:rsidP="00065734">
            <w:pPr>
              <w:tabs>
                <w:tab w:val="center" w:pos="4252"/>
                <w:tab w:val="right" w:pos="8504"/>
              </w:tabs>
              <w:contextualSpacing/>
              <w:rPr>
                <w:b/>
                <w:sz w:val="22"/>
                <w:szCs w:val="22"/>
              </w:rPr>
            </w:pPr>
            <w:r>
              <w:rPr>
                <w:b/>
                <w:sz w:val="22"/>
                <w:szCs w:val="22"/>
              </w:rPr>
              <w:t>Área de faja de protección por borde superior de quebrada:</w:t>
            </w:r>
          </w:p>
        </w:tc>
        <w:tc>
          <w:tcPr>
            <w:tcW w:w="4962" w:type="dxa"/>
          </w:tcPr>
          <w:p w:rsidR="00B463A0" w:rsidRDefault="000C0196" w:rsidP="00B463A0">
            <w:pPr>
              <w:tabs>
                <w:tab w:val="center" w:pos="4252"/>
                <w:tab w:val="right" w:pos="8504"/>
              </w:tabs>
              <w:contextualSpacing/>
              <w:rPr>
                <w:sz w:val="22"/>
                <w:szCs w:val="22"/>
              </w:rPr>
            </w:pPr>
            <w:r>
              <w:rPr>
                <w:sz w:val="22"/>
                <w:szCs w:val="22"/>
              </w:rPr>
              <w:t xml:space="preserve">1,013.27 </w:t>
            </w:r>
            <w:r w:rsidR="00B463A0">
              <w:rPr>
                <w:sz w:val="22"/>
                <w:szCs w:val="22"/>
              </w:rPr>
              <w:t>m2</w:t>
            </w:r>
          </w:p>
        </w:tc>
      </w:tr>
      <w:tr w:rsidR="000C0196" w:rsidRPr="005002EB" w:rsidTr="00F11003">
        <w:tc>
          <w:tcPr>
            <w:tcW w:w="3964" w:type="dxa"/>
          </w:tcPr>
          <w:p w:rsidR="000C0196" w:rsidRDefault="000C0196" w:rsidP="00065734">
            <w:pPr>
              <w:tabs>
                <w:tab w:val="center" w:pos="4252"/>
                <w:tab w:val="right" w:pos="8504"/>
              </w:tabs>
              <w:contextualSpacing/>
              <w:rPr>
                <w:b/>
                <w:sz w:val="22"/>
                <w:szCs w:val="22"/>
              </w:rPr>
            </w:pPr>
            <w:r>
              <w:rPr>
                <w:b/>
                <w:sz w:val="22"/>
                <w:szCs w:val="22"/>
              </w:rPr>
              <w:t xml:space="preserve">Área de Afectación por Cables de Alta Tensión en Lotes: </w:t>
            </w:r>
          </w:p>
        </w:tc>
        <w:tc>
          <w:tcPr>
            <w:tcW w:w="4962" w:type="dxa"/>
          </w:tcPr>
          <w:p w:rsidR="000C0196" w:rsidRDefault="000C0196" w:rsidP="00B463A0">
            <w:pPr>
              <w:tabs>
                <w:tab w:val="center" w:pos="4252"/>
                <w:tab w:val="right" w:pos="8504"/>
              </w:tabs>
              <w:contextualSpacing/>
              <w:rPr>
                <w:sz w:val="22"/>
                <w:szCs w:val="22"/>
              </w:rPr>
            </w:pPr>
            <w:r>
              <w:rPr>
                <w:sz w:val="22"/>
                <w:szCs w:val="22"/>
              </w:rPr>
              <w:t>1,275.34 m2</w:t>
            </w:r>
          </w:p>
        </w:tc>
      </w:tr>
      <w:tr w:rsidR="00B463A0" w:rsidRPr="005002EB" w:rsidTr="00F11003">
        <w:tc>
          <w:tcPr>
            <w:tcW w:w="3964" w:type="dxa"/>
          </w:tcPr>
          <w:p w:rsidR="00B463A0" w:rsidRDefault="00B463A0" w:rsidP="00065734">
            <w:pPr>
              <w:tabs>
                <w:tab w:val="center" w:pos="4252"/>
                <w:tab w:val="right" w:pos="8504"/>
              </w:tabs>
              <w:contextualSpacing/>
              <w:rPr>
                <w:b/>
                <w:sz w:val="22"/>
                <w:szCs w:val="22"/>
              </w:rPr>
            </w:pPr>
            <w:r>
              <w:rPr>
                <w:b/>
                <w:sz w:val="22"/>
                <w:szCs w:val="22"/>
              </w:rPr>
              <w:t>Área Municipal:</w:t>
            </w:r>
          </w:p>
        </w:tc>
        <w:tc>
          <w:tcPr>
            <w:tcW w:w="4962" w:type="dxa"/>
          </w:tcPr>
          <w:p w:rsidR="00B463A0" w:rsidRDefault="00B463A0" w:rsidP="00B463A0">
            <w:pPr>
              <w:tabs>
                <w:tab w:val="center" w:pos="4252"/>
                <w:tab w:val="right" w:pos="8504"/>
              </w:tabs>
              <w:contextualSpacing/>
              <w:rPr>
                <w:sz w:val="22"/>
                <w:szCs w:val="22"/>
              </w:rPr>
            </w:pPr>
            <w:r>
              <w:rPr>
                <w:sz w:val="22"/>
                <w:szCs w:val="22"/>
              </w:rPr>
              <w:t>203,51</w:t>
            </w:r>
            <w:r w:rsidR="000C0196">
              <w:rPr>
                <w:sz w:val="22"/>
                <w:szCs w:val="22"/>
              </w:rPr>
              <w:t xml:space="preserve"> </w:t>
            </w:r>
            <w:r>
              <w:rPr>
                <w:sz w:val="22"/>
                <w:szCs w:val="22"/>
              </w:rPr>
              <w:t>m2</w:t>
            </w:r>
          </w:p>
        </w:tc>
      </w:tr>
      <w:tr w:rsidR="00065734" w:rsidRPr="005002EB" w:rsidTr="00F11003">
        <w:tc>
          <w:tcPr>
            <w:tcW w:w="3964" w:type="dxa"/>
          </w:tcPr>
          <w:p w:rsidR="00065734" w:rsidRPr="005002EB" w:rsidRDefault="00065734" w:rsidP="00065734">
            <w:pPr>
              <w:pStyle w:val="NormalWeb"/>
              <w:tabs>
                <w:tab w:val="center" w:pos="4252"/>
                <w:tab w:val="right" w:pos="8504"/>
              </w:tabs>
              <w:spacing w:before="0" w:beforeAutospacing="0" w:after="0" w:afterAutospacing="0"/>
              <w:rPr>
                <w:sz w:val="22"/>
                <w:szCs w:val="22"/>
              </w:rPr>
            </w:pPr>
            <w:r w:rsidRPr="005002EB">
              <w:rPr>
                <w:rFonts w:eastAsia="Calibri"/>
                <w:b/>
                <w:bCs/>
                <w:color w:val="000000"/>
                <w:kern w:val="24"/>
                <w:sz w:val="22"/>
                <w:szCs w:val="22"/>
                <w:lang w:val="es-ES"/>
              </w:rPr>
              <w:t>Área Total del lote:</w:t>
            </w:r>
          </w:p>
        </w:tc>
        <w:tc>
          <w:tcPr>
            <w:tcW w:w="4962" w:type="dxa"/>
          </w:tcPr>
          <w:p w:rsidR="00065734" w:rsidRPr="005002EB" w:rsidRDefault="00B463A0" w:rsidP="00B463A0">
            <w:pPr>
              <w:pStyle w:val="NormalWeb"/>
              <w:tabs>
                <w:tab w:val="center" w:pos="4252"/>
                <w:tab w:val="right" w:pos="8504"/>
              </w:tabs>
              <w:spacing w:before="0" w:beforeAutospacing="0" w:after="0" w:afterAutospacing="0" w:line="276" w:lineRule="auto"/>
              <w:textAlignment w:val="center"/>
              <w:rPr>
                <w:sz w:val="22"/>
                <w:szCs w:val="22"/>
              </w:rPr>
            </w:pPr>
            <w:r>
              <w:rPr>
                <w:sz w:val="22"/>
                <w:szCs w:val="22"/>
              </w:rPr>
              <w:t>7</w:t>
            </w:r>
            <w:r w:rsidR="00065734" w:rsidRPr="005002EB">
              <w:rPr>
                <w:sz w:val="22"/>
                <w:szCs w:val="22"/>
              </w:rPr>
              <w:t>.</w:t>
            </w:r>
            <w:r>
              <w:rPr>
                <w:sz w:val="22"/>
                <w:szCs w:val="22"/>
              </w:rPr>
              <w:t>261</w:t>
            </w:r>
            <w:r w:rsidR="00065734" w:rsidRPr="005002EB">
              <w:rPr>
                <w:sz w:val="22"/>
                <w:szCs w:val="22"/>
              </w:rPr>
              <w:t>,</w:t>
            </w:r>
            <w:r>
              <w:rPr>
                <w:sz w:val="22"/>
                <w:szCs w:val="22"/>
              </w:rPr>
              <w:t>77</w:t>
            </w:r>
            <w:r w:rsidR="000C0196">
              <w:rPr>
                <w:sz w:val="22"/>
                <w:szCs w:val="22"/>
              </w:rPr>
              <w:t xml:space="preserve"> </w:t>
            </w:r>
            <w:r w:rsidR="00065734" w:rsidRPr="005002EB">
              <w:rPr>
                <w:color w:val="000000"/>
                <w:sz w:val="22"/>
                <w:szCs w:val="22"/>
              </w:rPr>
              <w:t>m</w:t>
            </w:r>
            <w:r w:rsidR="00065734" w:rsidRPr="005002EB">
              <w:rPr>
                <w:color w:val="000000"/>
                <w:sz w:val="22"/>
                <w:szCs w:val="22"/>
                <w:vertAlign w:val="superscript"/>
              </w:rPr>
              <w:t>2</w:t>
            </w:r>
          </w:p>
        </w:tc>
      </w:tr>
    </w:tbl>
    <w:p w:rsidR="00D42378" w:rsidRDefault="00D42378" w:rsidP="00047340">
      <w:pPr>
        <w:spacing w:before="240" w:after="240" w:line="276" w:lineRule="auto"/>
        <w:jc w:val="both"/>
        <w:rPr>
          <w:color w:val="000000" w:themeColor="text1"/>
          <w:sz w:val="22"/>
          <w:szCs w:val="22"/>
        </w:rPr>
      </w:pPr>
      <w:r w:rsidRPr="00A24D81">
        <w:rPr>
          <w:color w:val="000000" w:themeColor="text1"/>
          <w:sz w:val="22"/>
          <w:szCs w:val="22"/>
        </w:rPr>
        <w:t>El número total de lotes, producto del fraccionamiento, es de 1</w:t>
      </w:r>
      <w:r w:rsidR="00B463A0">
        <w:rPr>
          <w:color w:val="000000" w:themeColor="text1"/>
          <w:sz w:val="22"/>
          <w:szCs w:val="22"/>
        </w:rPr>
        <w:t>3</w:t>
      </w:r>
      <w:r w:rsidRPr="00A24D81">
        <w:rPr>
          <w:color w:val="000000" w:themeColor="text1"/>
          <w:sz w:val="22"/>
          <w:szCs w:val="22"/>
        </w:rPr>
        <w:t xml:space="preserve">, signados del uno (1) al </w:t>
      </w:r>
      <w:r w:rsidR="00B463A0">
        <w:rPr>
          <w:color w:val="000000" w:themeColor="text1"/>
          <w:sz w:val="22"/>
          <w:szCs w:val="22"/>
        </w:rPr>
        <w:t>trece</w:t>
      </w:r>
      <w:r w:rsidR="00371F4A" w:rsidRPr="00A24D81">
        <w:rPr>
          <w:color w:val="000000" w:themeColor="text1"/>
          <w:sz w:val="22"/>
          <w:szCs w:val="22"/>
        </w:rPr>
        <w:t xml:space="preserve"> </w:t>
      </w:r>
      <w:r w:rsidRPr="00A24D81">
        <w:rPr>
          <w:color w:val="000000" w:themeColor="text1"/>
          <w:sz w:val="22"/>
          <w:szCs w:val="22"/>
        </w:rPr>
        <w:t>(1</w:t>
      </w:r>
      <w:r w:rsidR="00B463A0">
        <w:rPr>
          <w:color w:val="000000" w:themeColor="text1"/>
          <w:sz w:val="22"/>
          <w:szCs w:val="22"/>
        </w:rPr>
        <w:t>3</w:t>
      </w:r>
      <w:r w:rsidRPr="00A24D81">
        <w:rPr>
          <w:color w:val="000000" w:themeColor="text1"/>
          <w:sz w:val="22"/>
          <w:szCs w:val="22"/>
        </w:rPr>
        <w:t>) cuyo detalle es el que consta en los planos aprobatorios que forman parte de la presente Ordenanza.</w:t>
      </w:r>
    </w:p>
    <w:p w:rsidR="00551EC3" w:rsidRDefault="00551EC3" w:rsidP="00551EC3">
      <w:pPr>
        <w:spacing w:after="240" w:line="276" w:lineRule="auto"/>
        <w:jc w:val="both"/>
        <w:rPr>
          <w:sz w:val="22"/>
          <w:szCs w:val="22"/>
          <w:lang w:val="es-EC"/>
        </w:rPr>
      </w:pPr>
      <w:r w:rsidRPr="00B405C0">
        <w:rPr>
          <w:sz w:val="22"/>
          <w:szCs w:val="22"/>
        </w:rPr>
        <w:t xml:space="preserve">El área total del predio No. </w:t>
      </w:r>
      <w:r>
        <w:rPr>
          <w:sz w:val="22"/>
          <w:szCs w:val="22"/>
        </w:rPr>
        <w:t>1209412</w:t>
      </w:r>
      <w:r w:rsidRPr="00B405C0">
        <w:rPr>
          <w:sz w:val="22"/>
          <w:szCs w:val="22"/>
        </w:rPr>
        <w:t xml:space="preserve">, es </w:t>
      </w:r>
      <w:r w:rsidRPr="00047340">
        <w:rPr>
          <w:sz w:val="22"/>
          <w:szCs w:val="22"/>
        </w:rPr>
        <w:t xml:space="preserve">la que consta en la </w:t>
      </w:r>
      <w:r w:rsidR="006C2134" w:rsidRPr="00047340">
        <w:rPr>
          <w:sz w:val="22"/>
          <w:szCs w:val="22"/>
        </w:rPr>
        <w:t>Resolución</w:t>
      </w:r>
      <w:r w:rsidRPr="00047340">
        <w:rPr>
          <w:sz w:val="22"/>
          <w:szCs w:val="22"/>
        </w:rPr>
        <w:t xml:space="preserve"> </w:t>
      </w:r>
      <w:r w:rsidRPr="00047340">
        <w:rPr>
          <w:sz w:val="22"/>
          <w:szCs w:val="22"/>
          <w:lang w:val="es-EC"/>
        </w:rPr>
        <w:t xml:space="preserve">No. </w:t>
      </w:r>
      <w:r w:rsidR="006C2134" w:rsidRPr="00047340">
        <w:rPr>
          <w:sz w:val="22"/>
          <w:szCs w:val="22"/>
          <w:lang w:val="es-EC"/>
        </w:rPr>
        <w:t>227-</w:t>
      </w:r>
      <w:r w:rsidR="00047340" w:rsidRPr="00047340">
        <w:rPr>
          <w:sz w:val="22"/>
          <w:szCs w:val="22"/>
          <w:lang w:val="es-EC"/>
        </w:rPr>
        <w:t>2017</w:t>
      </w:r>
      <w:r w:rsidRPr="00047340">
        <w:rPr>
          <w:sz w:val="22"/>
          <w:szCs w:val="22"/>
          <w:lang w:val="es-EC"/>
        </w:rPr>
        <w:t xml:space="preserve">, emitida por la Dirección Metropolitana de Catastro, el 15 de </w:t>
      </w:r>
      <w:r w:rsidR="00047340" w:rsidRPr="00047340">
        <w:rPr>
          <w:sz w:val="22"/>
          <w:szCs w:val="22"/>
          <w:lang w:val="es-EC"/>
        </w:rPr>
        <w:t>junio</w:t>
      </w:r>
      <w:r w:rsidRPr="00047340">
        <w:rPr>
          <w:sz w:val="22"/>
          <w:szCs w:val="22"/>
          <w:lang w:val="es-EC"/>
        </w:rPr>
        <w:t xml:space="preserve"> de 2017, inscrita en el Registro de la Propiedad del Distrito Metropolitano de Quito el 2</w:t>
      </w:r>
      <w:r w:rsidR="00047340" w:rsidRPr="00047340">
        <w:rPr>
          <w:sz w:val="22"/>
          <w:szCs w:val="22"/>
          <w:lang w:val="es-EC"/>
        </w:rPr>
        <w:t>0</w:t>
      </w:r>
      <w:r w:rsidRPr="00047340">
        <w:rPr>
          <w:sz w:val="22"/>
          <w:szCs w:val="22"/>
          <w:lang w:val="es-EC"/>
        </w:rPr>
        <w:t xml:space="preserve"> de </w:t>
      </w:r>
      <w:r w:rsidR="00047340" w:rsidRPr="00047340">
        <w:rPr>
          <w:sz w:val="22"/>
          <w:szCs w:val="22"/>
          <w:lang w:val="es-EC"/>
        </w:rPr>
        <w:t>julio</w:t>
      </w:r>
      <w:r w:rsidRPr="00047340">
        <w:rPr>
          <w:sz w:val="22"/>
          <w:szCs w:val="22"/>
          <w:lang w:val="es-EC"/>
        </w:rPr>
        <w:t xml:space="preserve"> de 2017.</w:t>
      </w:r>
    </w:p>
    <w:p w:rsidR="00551EC3" w:rsidRDefault="00551EC3" w:rsidP="00551EC3">
      <w:pPr>
        <w:spacing w:after="240" w:line="276" w:lineRule="auto"/>
        <w:jc w:val="both"/>
        <w:rPr>
          <w:sz w:val="22"/>
          <w:szCs w:val="22"/>
          <w:lang w:val="es-EC"/>
        </w:rPr>
      </w:pPr>
      <w:r w:rsidRPr="006C2134">
        <w:rPr>
          <w:sz w:val="22"/>
          <w:szCs w:val="22"/>
        </w:rPr>
        <w:t xml:space="preserve">El área total del predio No. 527774, es la que consta en la </w:t>
      </w:r>
      <w:r w:rsidR="006C2134" w:rsidRPr="00047340">
        <w:rPr>
          <w:sz w:val="22"/>
          <w:szCs w:val="22"/>
        </w:rPr>
        <w:t>Cédula Catastral</w:t>
      </w:r>
      <w:r w:rsidRPr="006C2134">
        <w:rPr>
          <w:sz w:val="22"/>
          <w:szCs w:val="22"/>
        </w:rPr>
        <w:t xml:space="preserve"> </w:t>
      </w:r>
      <w:r w:rsidRPr="006C2134">
        <w:rPr>
          <w:sz w:val="22"/>
          <w:szCs w:val="22"/>
          <w:lang w:val="es-EC"/>
        </w:rPr>
        <w:t xml:space="preserve">No. </w:t>
      </w:r>
      <w:r w:rsidR="006C2134" w:rsidRPr="00047340">
        <w:rPr>
          <w:sz w:val="22"/>
          <w:szCs w:val="22"/>
          <w:lang w:val="es-EC"/>
        </w:rPr>
        <w:t>877</w:t>
      </w:r>
      <w:r w:rsidRPr="006C2134">
        <w:rPr>
          <w:sz w:val="22"/>
          <w:szCs w:val="22"/>
          <w:lang w:val="es-EC"/>
        </w:rPr>
        <w:t xml:space="preserve">, emitida por la Dirección Metropolitana de Catastro, el </w:t>
      </w:r>
      <w:r w:rsidR="006C2134" w:rsidRPr="00047340">
        <w:rPr>
          <w:sz w:val="22"/>
          <w:szCs w:val="22"/>
          <w:lang w:val="es-EC"/>
        </w:rPr>
        <w:t>13</w:t>
      </w:r>
      <w:r w:rsidRPr="006C2134">
        <w:rPr>
          <w:sz w:val="22"/>
          <w:szCs w:val="22"/>
          <w:lang w:val="es-EC"/>
        </w:rPr>
        <w:t xml:space="preserve"> de </w:t>
      </w:r>
      <w:r w:rsidR="006C2134" w:rsidRPr="00047340">
        <w:rPr>
          <w:sz w:val="22"/>
          <w:szCs w:val="22"/>
          <w:lang w:val="es-EC"/>
        </w:rPr>
        <w:t>junio</w:t>
      </w:r>
      <w:r w:rsidRPr="006C2134">
        <w:rPr>
          <w:sz w:val="22"/>
          <w:szCs w:val="22"/>
          <w:lang w:val="es-EC"/>
        </w:rPr>
        <w:t xml:space="preserve"> de 2017, inscrita en el Registro de la Propiedad del Distrito Metropolitano de Quito el </w:t>
      </w:r>
      <w:r w:rsidR="006C2134" w:rsidRPr="00047340">
        <w:rPr>
          <w:sz w:val="22"/>
          <w:szCs w:val="22"/>
          <w:lang w:val="es-EC"/>
        </w:rPr>
        <w:t>04</w:t>
      </w:r>
      <w:r w:rsidRPr="006C2134">
        <w:rPr>
          <w:sz w:val="22"/>
          <w:szCs w:val="22"/>
          <w:lang w:val="es-EC"/>
        </w:rPr>
        <w:t xml:space="preserve"> de </w:t>
      </w:r>
      <w:r w:rsidR="006C2134" w:rsidRPr="00047340">
        <w:rPr>
          <w:sz w:val="22"/>
          <w:szCs w:val="22"/>
          <w:lang w:val="es-EC"/>
        </w:rPr>
        <w:t>agosto</w:t>
      </w:r>
      <w:r w:rsidRPr="006C2134">
        <w:rPr>
          <w:sz w:val="22"/>
          <w:szCs w:val="22"/>
          <w:lang w:val="es-EC"/>
        </w:rPr>
        <w:t xml:space="preserve"> de 2017.</w:t>
      </w:r>
    </w:p>
    <w:p w:rsidR="00551EC3" w:rsidRDefault="00551EC3" w:rsidP="00551EC3">
      <w:pPr>
        <w:spacing w:after="240" w:line="276" w:lineRule="auto"/>
        <w:jc w:val="both"/>
        <w:rPr>
          <w:sz w:val="22"/>
          <w:szCs w:val="22"/>
          <w:lang w:val="es-EC"/>
        </w:rPr>
      </w:pPr>
      <w:r w:rsidRPr="00B405C0">
        <w:rPr>
          <w:sz w:val="22"/>
          <w:szCs w:val="22"/>
        </w:rPr>
        <w:t xml:space="preserve">El área total del predio No. </w:t>
      </w:r>
      <w:r>
        <w:rPr>
          <w:sz w:val="22"/>
          <w:szCs w:val="22"/>
        </w:rPr>
        <w:t>552869</w:t>
      </w:r>
      <w:r w:rsidRPr="00B405C0">
        <w:rPr>
          <w:sz w:val="22"/>
          <w:szCs w:val="22"/>
        </w:rPr>
        <w:t xml:space="preserve">, es la </w:t>
      </w:r>
      <w:r w:rsidRPr="00047340">
        <w:rPr>
          <w:sz w:val="22"/>
          <w:szCs w:val="22"/>
        </w:rPr>
        <w:t xml:space="preserve">que consta en la Resolución </w:t>
      </w:r>
      <w:r w:rsidRPr="00047340">
        <w:rPr>
          <w:sz w:val="22"/>
          <w:szCs w:val="22"/>
          <w:lang w:val="es-EC"/>
        </w:rPr>
        <w:t xml:space="preserve">No. </w:t>
      </w:r>
      <w:r w:rsidR="00047340" w:rsidRPr="00047340">
        <w:rPr>
          <w:sz w:val="22"/>
          <w:szCs w:val="22"/>
          <w:lang w:val="es-EC"/>
        </w:rPr>
        <w:t>228</w:t>
      </w:r>
      <w:r w:rsidRPr="00047340">
        <w:rPr>
          <w:sz w:val="22"/>
          <w:szCs w:val="22"/>
          <w:lang w:val="es-EC"/>
        </w:rPr>
        <w:t xml:space="preserve">-2017, emitida por la Dirección Metropolitana de Catastro, el </w:t>
      </w:r>
      <w:r w:rsidR="00047340" w:rsidRPr="00047340">
        <w:rPr>
          <w:sz w:val="22"/>
          <w:szCs w:val="22"/>
          <w:lang w:val="es-EC"/>
        </w:rPr>
        <w:t>15</w:t>
      </w:r>
      <w:r w:rsidRPr="00047340">
        <w:rPr>
          <w:sz w:val="22"/>
          <w:szCs w:val="22"/>
          <w:lang w:val="es-EC"/>
        </w:rPr>
        <w:t xml:space="preserve"> de </w:t>
      </w:r>
      <w:r w:rsidR="00047340" w:rsidRPr="00047340">
        <w:rPr>
          <w:sz w:val="22"/>
          <w:szCs w:val="22"/>
          <w:lang w:val="es-EC"/>
        </w:rPr>
        <w:t>junio</w:t>
      </w:r>
      <w:r w:rsidRPr="00047340">
        <w:rPr>
          <w:sz w:val="22"/>
          <w:szCs w:val="22"/>
          <w:lang w:val="es-EC"/>
        </w:rPr>
        <w:t xml:space="preserve"> de 2017, inscrita en el Registro de la Propiedad del Distrito Metropolitano de Quito el 1</w:t>
      </w:r>
      <w:r w:rsidR="00047340" w:rsidRPr="00047340">
        <w:rPr>
          <w:sz w:val="22"/>
          <w:szCs w:val="22"/>
          <w:lang w:val="es-EC"/>
        </w:rPr>
        <w:t>2</w:t>
      </w:r>
      <w:r w:rsidRPr="00047340">
        <w:rPr>
          <w:sz w:val="22"/>
          <w:szCs w:val="22"/>
          <w:lang w:val="es-EC"/>
        </w:rPr>
        <w:t xml:space="preserve"> de julio de 2017.</w:t>
      </w:r>
    </w:p>
    <w:p w:rsidR="00551EC3" w:rsidRDefault="006C2134" w:rsidP="00EB540C">
      <w:pPr>
        <w:spacing w:before="240" w:line="276" w:lineRule="auto"/>
        <w:jc w:val="both"/>
        <w:rPr>
          <w:sz w:val="22"/>
          <w:szCs w:val="22"/>
          <w:lang w:val="es-EC"/>
        </w:rPr>
      </w:pPr>
      <w:r w:rsidRPr="00B405C0">
        <w:rPr>
          <w:sz w:val="22"/>
          <w:szCs w:val="22"/>
        </w:rPr>
        <w:lastRenderedPageBreak/>
        <w:t xml:space="preserve">El área total del predio No. </w:t>
      </w:r>
      <w:r>
        <w:rPr>
          <w:sz w:val="22"/>
          <w:szCs w:val="22"/>
        </w:rPr>
        <w:t>5126370</w:t>
      </w:r>
      <w:r w:rsidRPr="00B405C0">
        <w:rPr>
          <w:sz w:val="22"/>
          <w:szCs w:val="22"/>
        </w:rPr>
        <w:t xml:space="preserve">, es la </w:t>
      </w:r>
      <w:r w:rsidRPr="006C2134">
        <w:rPr>
          <w:sz w:val="22"/>
          <w:szCs w:val="22"/>
        </w:rPr>
        <w:t xml:space="preserve">que consta en </w:t>
      </w:r>
      <w:r w:rsidRPr="00047340">
        <w:rPr>
          <w:sz w:val="22"/>
          <w:szCs w:val="22"/>
        </w:rPr>
        <w:t xml:space="preserve">la Resolución </w:t>
      </w:r>
      <w:r w:rsidRPr="00047340">
        <w:rPr>
          <w:sz w:val="22"/>
          <w:szCs w:val="22"/>
          <w:lang w:val="es-EC"/>
        </w:rPr>
        <w:t>No. 229-2017,</w:t>
      </w:r>
      <w:r w:rsidRPr="006C2134">
        <w:rPr>
          <w:sz w:val="22"/>
          <w:szCs w:val="22"/>
          <w:lang w:val="es-EC"/>
        </w:rPr>
        <w:t xml:space="preserve"> emitida por la Dirección Metropolitana de Catastro, el </w:t>
      </w:r>
      <w:r w:rsidRPr="00047340">
        <w:rPr>
          <w:sz w:val="22"/>
          <w:szCs w:val="22"/>
          <w:lang w:val="es-EC"/>
        </w:rPr>
        <w:t>15 de junio de 2017,</w:t>
      </w:r>
      <w:r w:rsidRPr="006C2134">
        <w:rPr>
          <w:sz w:val="22"/>
          <w:szCs w:val="22"/>
          <w:lang w:val="es-EC"/>
        </w:rPr>
        <w:t xml:space="preserve"> inscrita en el Registro de la Propiedad del Distrito Metropolitano de Quito el </w:t>
      </w:r>
      <w:r w:rsidRPr="00047340">
        <w:rPr>
          <w:sz w:val="22"/>
          <w:szCs w:val="22"/>
          <w:lang w:val="es-EC"/>
        </w:rPr>
        <w:t>12 de julio de 2017.</w:t>
      </w:r>
    </w:p>
    <w:p w:rsidR="006C2134" w:rsidRPr="00A24D81" w:rsidRDefault="006C2134" w:rsidP="00EB540C">
      <w:pPr>
        <w:spacing w:before="240" w:line="276" w:lineRule="auto"/>
        <w:jc w:val="both"/>
        <w:rPr>
          <w:color w:val="000000" w:themeColor="text1"/>
          <w:sz w:val="22"/>
          <w:szCs w:val="22"/>
        </w:rPr>
      </w:pPr>
      <w:r>
        <w:rPr>
          <w:sz w:val="22"/>
          <w:szCs w:val="22"/>
          <w:lang w:val="es-EC"/>
        </w:rPr>
        <w:t xml:space="preserve">Las áreas de los predios descritos </w:t>
      </w:r>
      <w:r w:rsidR="00047340">
        <w:rPr>
          <w:sz w:val="22"/>
          <w:szCs w:val="22"/>
          <w:lang w:val="es-EC"/>
        </w:rPr>
        <w:t xml:space="preserve">en el presente artículo, </w:t>
      </w:r>
      <w:r>
        <w:rPr>
          <w:sz w:val="22"/>
          <w:szCs w:val="22"/>
          <w:lang w:val="es-EC"/>
        </w:rPr>
        <w:t>se encuentran rectificadas y regularizadas de conformidad al Art. IV.1.164 del Código Municipal para el Distrito Metropolitano de Quito.</w:t>
      </w:r>
    </w:p>
    <w:p w:rsidR="0050154C" w:rsidRPr="00A24D81" w:rsidRDefault="00361728" w:rsidP="00EB540C">
      <w:pPr>
        <w:spacing w:before="240" w:line="276" w:lineRule="auto"/>
        <w:jc w:val="both"/>
        <w:rPr>
          <w:b/>
          <w:sz w:val="22"/>
          <w:szCs w:val="22"/>
        </w:rPr>
      </w:pPr>
      <w:r w:rsidRPr="00A24D81">
        <w:rPr>
          <w:b/>
          <w:sz w:val="22"/>
          <w:szCs w:val="22"/>
        </w:rPr>
        <w:t xml:space="preserve">Artículo </w:t>
      </w:r>
      <w:r w:rsidR="0024191F" w:rsidRPr="00A24D81">
        <w:rPr>
          <w:b/>
          <w:sz w:val="22"/>
          <w:szCs w:val="22"/>
        </w:rPr>
        <w:t>5</w:t>
      </w:r>
      <w:r w:rsidRPr="00A24D81">
        <w:rPr>
          <w:b/>
          <w:sz w:val="22"/>
          <w:szCs w:val="22"/>
        </w:rPr>
        <w:t>.- Zonificación de los lotes.-</w:t>
      </w:r>
      <w:r w:rsidRPr="00A24D81">
        <w:rPr>
          <w:sz w:val="22"/>
          <w:szCs w:val="22"/>
        </w:rPr>
        <w:t xml:space="preserve"> </w:t>
      </w:r>
      <w:r w:rsidR="00032FD6" w:rsidRPr="00032FD6">
        <w:rPr>
          <w:sz w:val="22"/>
          <w:szCs w:val="22"/>
        </w:rPr>
        <w:t xml:space="preserve">Los lotes fraccionados </w:t>
      </w:r>
      <w:r w:rsidR="002B6181">
        <w:rPr>
          <w:sz w:val="22"/>
          <w:szCs w:val="22"/>
        </w:rPr>
        <w:t>de</w:t>
      </w:r>
      <w:r w:rsidR="00C37879">
        <w:rPr>
          <w:sz w:val="22"/>
          <w:szCs w:val="22"/>
        </w:rPr>
        <w:t xml:space="preserve"> </w:t>
      </w:r>
      <w:r w:rsidR="002B6181">
        <w:rPr>
          <w:sz w:val="22"/>
          <w:szCs w:val="22"/>
        </w:rPr>
        <w:t>l</w:t>
      </w:r>
      <w:r w:rsidR="00C37879">
        <w:rPr>
          <w:sz w:val="22"/>
          <w:szCs w:val="22"/>
        </w:rPr>
        <w:t>os</w:t>
      </w:r>
      <w:r w:rsidR="002B6181">
        <w:rPr>
          <w:sz w:val="22"/>
          <w:szCs w:val="22"/>
        </w:rPr>
        <w:t xml:space="preserve"> predio</w:t>
      </w:r>
      <w:r w:rsidR="00C37879">
        <w:rPr>
          <w:sz w:val="22"/>
          <w:szCs w:val="22"/>
        </w:rPr>
        <w:t>s</w:t>
      </w:r>
      <w:r w:rsidR="002B6181">
        <w:rPr>
          <w:sz w:val="22"/>
          <w:szCs w:val="22"/>
        </w:rPr>
        <w:t xml:space="preserve"> No 1209412</w:t>
      </w:r>
      <w:r w:rsidR="00C37879">
        <w:rPr>
          <w:sz w:val="22"/>
          <w:szCs w:val="22"/>
        </w:rPr>
        <w:t xml:space="preserve"> y 527774, </w:t>
      </w:r>
      <w:r w:rsidR="00032FD6" w:rsidRPr="00032FD6">
        <w:rPr>
          <w:sz w:val="22"/>
          <w:szCs w:val="22"/>
        </w:rPr>
        <w:t xml:space="preserve">modificaran la zonificación </w:t>
      </w:r>
      <w:r w:rsidR="00C37879">
        <w:rPr>
          <w:sz w:val="22"/>
          <w:szCs w:val="22"/>
        </w:rPr>
        <w:t>a:</w:t>
      </w:r>
      <w:r w:rsidR="008119EA">
        <w:rPr>
          <w:sz w:val="22"/>
          <w:szCs w:val="22"/>
        </w:rPr>
        <w:t xml:space="preserve"> </w:t>
      </w:r>
      <w:r w:rsidR="00032FD6" w:rsidRPr="00032FD6">
        <w:rPr>
          <w:sz w:val="22"/>
          <w:szCs w:val="22"/>
        </w:rPr>
        <w:t>D3 (D203-80)</w:t>
      </w:r>
      <w:r w:rsidR="003A6890">
        <w:rPr>
          <w:sz w:val="22"/>
          <w:szCs w:val="22"/>
        </w:rPr>
        <w:t xml:space="preserve">, </w:t>
      </w:r>
      <w:r w:rsidR="003A6890" w:rsidRPr="00032FD6">
        <w:rPr>
          <w:sz w:val="22"/>
          <w:szCs w:val="22"/>
        </w:rPr>
        <w:t>forma de ocupación (D) Sobre línea de fábrica</w:t>
      </w:r>
      <w:r w:rsidR="003A6890">
        <w:rPr>
          <w:sz w:val="22"/>
          <w:szCs w:val="22"/>
        </w:rPr>
        <w:t xml:space="preserve">, </w:t>
      </w:r>
      <w:r w:rsidR="00032FD6" w:rsidRPr="00032FD6">
        <w:rPr>
          <w:sz w:val="22"/>
          <w:szCs w:val="22"/>
        </w:rPr>
        <w:t>con área de lote mínimo 200 m2, COS: 80%, COS TOTAL: 240%, uso principal del suelo (RU2) Residencial Urbano 2</w:t>
      </w:r>
      <w:r w:rsidR="002B6181">
        <w:rPr>
          <w:sz w:val="22"/>
          <w:szCs w:val="22"/>
        </w:rPr>
        <w:t xml:space="preserve">; y, </w:t>
      </w:r>
      <w:r w:rsidR="002B6181" w:rsidRPr="003257C1">
        <w:rPr>
          <w:sz w:val="22"/>
          <w:szCs w:val="22"/>
        </w:rPr>
        <w:t>los lotes fraccionados de</w:t>
      </w:r>
      <w:r w:rsidR="002B6181">
        <w:rPr>
          <w:sz w:val="22"/>
          <w:szCs w:val="22"/>
        </w:rPr>
        <w:t xml:space="preserve"> </w:t>
      </w:r>
      <w:r w:rsidR="002B6181" w:rsidRPr="003257C1">
        <w:rPr>
          <w:sz w:val="22"/>
          <w:szCs w:val="22"/>
        </w:rPr>
        <w:t>l</w:t>
      </w:r>
      <w:r w:rsidR="002B6181">
        <w:rPr>
          <w:sz w:val="22"/>
          <w:szCs w:val="22"/>
        </w:rPr>
        <w:t>os</w:t>
      </w:r>
      <w:r w:rsidR="002B6181" w:rsidRPr="003257C1">
        <w:rPr>
          <w:sz w:val="22"/>
          <w:szCs w:val="22"/>
        </w:rPr>
        <w:t xml:space="preserve"> predio</w:t>
      </w:r>
      <w:r w:rsidR="002B6181">
        <w:rPr>
          <w:sz w:val="22"/>
          <w:szCs w:val="22"/>
        </w:rPr>
        <w:t>s</w:t>
      </w:r>
      <w:r w:rsidR="002B6181" w:rsidRPr="003257C1">
        <w:rPr>
          <w:sz w:val="22"/>
          <w:szCs w:val="22"/>
        </w:rPr>
        <w:t xml:space="preserve"> No.</w:t>
      </w:r>
      <w:r w:rsidR="002B6181">
        <w:rPr>
          <w:sz w:val="22"/>
          <w:szCs w:val="22"/>
        </w:rPr>
        <w:t xml:space="preserve"> 552869 y 5126370 mantendrán la zonificación en: </w:t>
      </w:r>
      <w:r w:rsidR="003A6890" w:rsidRPr="00032FD6">
        <w:rPr>
          <w:sz w:val="22"/>
          <w:szCs w:val="22"/>
        </w:rPr>
        <w:t>D3 (D203-80)</w:t>
      </w:r>
      <w:r w:rsidR="003A6890">
        <w:rPr>
          <w:sz w:val="22"/>
          <w:szCs w:val="22"/>
        </w:rPr>
        <w:t xml:space="preserve">, </w:t>
      </w:r>
      <w:r w:rsidR="003A6890" w:rsidRPr="00032FD6">
        <w:rPr>
          <w:sz w:val="22"/>
          <w:szCs w:val="22"/>
        </w:rPr>
        <w:t>forma de ocupación (D) Sobre línea de fábrica</w:t>
      </w:r>
      <w:r w:rsidR="003A6890">
        <w:rPr>
          <w:sz w:val="22"/>
          <w:szCs w:val="22"/>
        </w:rPr>
        <w:t xml:space="preserve">, </w:t>
      </w:r>
      <w:r w:rsidR="003A6890" w:rsidRPr="00032FD6">
        <w:rPr>
          <w:sz w:val="22"/>
          <w:szCs w:val="22"/>
        </w:rPr>
        <w:t>con área de lote mínimo 200 m2, COS: 80%, COS TOTAL: 240%, uso principal del suelo (RU2) Residencial Urbano 2</w:t>
      </w:r>
    </w:p>
    <w:p w:rsidR="0050154C" w:rsidRDefault="00CA72BC" w:rsidP="00EB540C">
      <w:pPr>
        <w:spacing w:before="240" w:line="276" w:lineRule="auto"/>
        <w:jc w:val="both"/>
        <w:rPr>
          <w:sz w:val="22"/>
          <w:szCs w:val="22"/>
        </w:rPr>
      </w:pPr>
      <w:r w:rsidRPr="00A24D81">
        <w:rPr>
          <w:b/>
          <w:sz w:val="22"/>
          <w:szCs w:val="22"/>
        </w:rPr>
        <w:t xml:space="preserve">Artículo </w:t>
      </w:r>
      <w:r w:rsidR="0024191F" w:rsidRPr="00A24D81">
        <w:rPr>
          <w:b/>
          <w:sz w:val="22"/>
          <w:szCs w:val="22"/>
        </w:rPr>
        <w:t>6</w:t>
      </w:r>
      <w:r w:rsidR="00361728" w:rsidRPr="00A24D81">
        <w:rPr>
          <w:b/>
          <w:sz w:val="22"/>
          <w:szCs w:val="22"/>
        </w:rPr>
        <w:t xml:space="preserve">.- Clasificación del Suelo.- </w:t>
      </w:r>
      <w:r w:rsidR="00192470" w:rsidRPr="00A24D81">
        <w:rPr>
          <w:sz w:val="22"/>
          <w:szCs w:val="22"/>
        </w:rPr>
        <w:t xml:space="preserve">Los lotes fraccionados mantendrán la clasificación vigente esto es (SU) Suelo </w:t>
      </w:r>
      <w:r w:rsidR="00D42378" w:rsidRPr="00A24D81">
        <w:rPr>
          <w:sz w:val="22"/>
          <w:szCs w:val="22"/>
        </w:rPr>
        <w:t>Urbano</w:t>
      </w:r>
      <w:r w:rsidR="00332708" w:rsidRPr="00A24D81">
        <w:rPr>
          <w:sz w:val="22"/>
          <w:szCs w:val="22"/>
        </w:rPr>
        <w:t>.</w:t>
      </w:r>
    </w:p>
    <w:p w:rsidR="00085165" w:rsidRDefault="00085165" w:rsidP="00EB540C">
      <w:pPr>
        <w:spacing w:before="240" w:line="276" w:lineRule="auto"/>
        <w:jc w:val="both"/>
        <w:rPr>
          <w:color w:val="000000" w:themeColor="text1"/>
          <w:sz w:val="22"/>
          <w:szCs w:val="22"/>
        </w:rPr>
      </w:pPr>
      <w:r w:rsidRPr="00D42378">
        <w:rPr>
          <w:b/>
          <w:sz w:val="22"/>
          <w:szCs w:val="22"/>
        </w:rPr>
        <w:t>Artículo 7.- Lotes por excepción.-</w:t>
      </w:r>
      <w:r w:rsidRPr="00D42378">
        <w:rPr>
          <w:i/>
          <w:sz w:val="22"/>
          <w:szCs w:val="22"/>
        </w:rPr>
        <w:t xml:space="preserve"> </w:t>
      </w:r>
      <w:r w:rsidRPr="00D42378">
        <w:rPr>
          <w:color w:val="000000" w:themeColor="text1"/>
          <w:sz w:val="22"/>
          <w:szCs w:val="22"/>
        </w:rPr>
        <w:t xml:space="preserve">Por tratarse de un asentamiento de hecho y consolidado de interés social, se aprueba por excepción, esto es, con áreas inferiores a las mínimas establecidas en la zonificación vigente, </w:t>
      </w:r>
      <w:r>
        <w:rPr>
          <w:color w:val="000000" w:themeColor="text1"/>
          <w:sz w:val="22"/>
          <w:szCs w:val="22"/>
        </w:rPr>
        <w:t>e</w:t>
      </w:r>
      <w:r w:rsidRPr="00D42378">
        <w:rPr>
          <w:color w:val="000000" w:themeColor="text1"/>
          <w:sz w:val="22"/>
          <w:szCs w:val="22"/>
        </w:rPr>
        <w:t>l lote</w:t>
      </w:r>
      <w:r>
        <w:rPr>
          <w:color w:val="000000" w:themeColor="text1"/>
          <w:sz w:val="22"/>
          <w:szCs w:val="22"/>
        </w:rPr>
        <w:t xml:space="preserve"> 12.</w:t>
      </w:r>
    </w:p>
    <w:p w:rsidR="001550EF" w:rsidRPr="00C530DB" w:rsidRDefault="001550EF" w:rsidP="00EB540C">
      <w:pPr>
        <w:spacing w:before="240" w:line="276" w:lineRule="auto"/>
        <w:jc w:val="both"/>
        <w:rPr>
          <w:color w:val="000000" w:themeColor="text1"/>
          <w:sz w:val="22"/>
          <w:szCs w:val="22"/>
        </w:rPr>
      </w:pPr>
      <w:r w:rsidRPr="004014B1">
        <w:rPr>
          <w:b/>
          <w:color w:val="000000" w:themeColor="text1"/>
          <w:sz w:val="22"/>
          <w:szCs w:val="22"/>
        </w:rPr>
        <w:t>Artículo 8.- Lotes con afectación por Cables de Alta Tensión.</w:t>
      </w:r>
      <w:r w:rsidRPr="001550EF">
        <w:rPr>
          <w:b/>
          <w:color w:val="000000" w:themeColor="text1"/>
          <w:sz w:val="22"/>
          <w:szCs w:val="22"/>
        </w:rPr>
        <w:t>-</w:t>
      </w:r>
      <w:r>
        <w:rPr>
          <w:color w:val="000000" w:themeColor="text1"/>
          <w:sz w:val="22"/>
          <w:szCs w:val="22"/>
        </w:rPr>
        <w:t xml:space="preserve"> Los lotes </w:t>
      </w:r>
      <w:r w:rsidR="002C58A7">
        <w:rPr>
          <w:color w:val="000000" w:themeColor="text1"/>
          <w:sz w:val="22"/>
          <w:szCs w:val="22"/>
        </w:rPr>
        <w:t xml:space="preserve">1, 2, 3, 4, 5, y 6 se </w:t>
      </w:r>
      <w:r w:rsidR="002C58A7" w:rsidRPr="00C530DB">
        <w:rPr>
          <w:color w:val="000000" w:themeColor="text1"/>
          <w:sz w:val="22"/>
          <w:szCs w:val="22"/>
        </w:rPr>
        <w:t xml:space="preserve">encuentran afectados </w:t>
      </w:r>
      <w:r w:rsidR="00C530DB" w:rsidRPr="00C530DB">
        <w:rPr>
          <w:color w:val="000000" w:themeColor="text1"/>
          <w:sz w:val="22"/>
          <w:szCs w:val="22"/>
        </w:rPr>
        <w:t>por el tendido de cables de  alta tensión.</w:t>
      </w:r>
    </w:p>
    <w:p w:rsidR="00C530DB" w:rsidRDefault="004014B1" w:rsidP="00EB540C">
      <w:pPr>
        <w:spacing w:before="240" w:line="276" w:lineRule="auto"/>
        <w:jc w:val="both"/>
        <w:rPr>
          <w:i/>
          <w:sz w:val="22"/>
          <w:szCs w:val="22"/>
        </w:rPr>
      </w:pPr>
      <w:r>
        <w:rPr>
          <w:sz w:val="22"/>
          <w:szCs w:val="22"/>
        </w:rPr>
        <w:t>M</w:t>
      </w:r>
      <w:r w:rsidR="00781D48">
        <w:rPr>
          <w:sz w:val="22"/>
          <w:szCs w:val="22"/>
        </w:rPr>
        <w:t xml:space="preserve">ediante </w:t>
      </w:r>
      <w:r w:rsidR="00781D48" w:rsidRPr="004014B1">
        <w:rPr>
          <w:sz w:val="22"/>
          <w:szCs w:val="22"/>
        </w:rPr>
        <w:t>Oficio Nro. GADDMQ-PM-SAUOS-2020-0221-O</w:t>
      </w:r>
      <w:r w:rsidR="00781D48" w:rsidRPr="00781D48">
        <w:rPr>
          <w:sz w:val="22"/>
          <w:szCs w:val="22"/>
        </w:rPr>
        <w:t xml:space="preserve">, de </w:t>
      </w:r>
      <w:r w:rsidR="00781D48">
        <w:rPr>
          <w:sz w:val="22"/>
          <w:szCs w:val="22"/>
        </w:rPr>
        <w:t>06 de agosto de 2020</w:t>
      </w:r>
      <w:r>
        <w:rPr>
          <w:sz w:val="22"/>
          <w:szCs w:val="22"/>
        </w:rPr>
        <w:t xml:space="preserve">, Procuraduría Metropolitana </w:t>
      </w:r>
      <w:r w:rsidR="00781D48">
        <w:rPr>
          <w:sz w:val="22"/>
          <w:szCs w:val="22"/>
        </w:rPr>
        <w:t>en su parte pertinente señala:</w:t>
      </w:r>
      <w:r w:rsidR="00781D48" w:rsidRPr="004014B1">
        <w:rPr>
          <w:i/>
          <w:sz w:val="22"/>
          <w:szCs w:val="22"/>
        </w:rPr>
        <w:t xml:space="preserve"> (…)</w:t>
      </w:r>
      <w:r w:rsidR="00781D48">
        <w:rPr>
          <w:i/>
          <w:sz w:val="22"/>
          <w:szCs w:val="22"/>
        </w:rPr>
        <w:t xml:space="preserve"> “</w:t>
      </w:r>
      <w:r w:rsidR="00781D48" w:rsidRPr="004014B1">
        <w:rPr>
          <w:i/>
          <w:sz w:val="22"/>
          <w:szCs w:val="22"/>
        </w:rPr>
        <w:t>Posteriormente, con los lotes individualizados, tratándose de una afectación por tendido eléctrico, el Ministerio o las empresas relacionadas con el servicio público de energía eléctrica, en uso de sus facultades podrían iniciar el procedimiento de imposición de servidumbre, de acuerdo con su propia normativa, e incluso llegar, según el caso, a la declaratoria de utilidad pública.</w:t>
      </w:r>
      <w:r w:rsidR="00781D48">
        <w:rPr>
          <w:i/>
          <w:sz w:val="22"/>
          <w:szCs w:val="22"/>
        </w:rPr>
        <w:t>”</w:t>
      </w:r>
      <w:r w:rsidR="00781D48" w:rsidRPr="004014B1">
        <w:rPr>
          <w:i/>
          <w:sz w:val="22"/>
          <w:szCs w:val="22"/>
        </w:rPr>
        <w:t xml:space="preserve"> </w:t>
      </w:r>
      <w:r w:rsidR="00C530DB" w:rsidRPr="004014B1">
        <w:rPr>
          <w:i/>
          <w:sz w:val="22"/>
          <w:szCs w:val="22"/>
        </w:rPr>
        <w:t xml:space="preserve"> </w:t>
      </w:r>
    </w:p>
    <w:p w:rsidR="00ED0BD6" w:rsidRDefault="00ED0BD6" w:rsidP="00ED0BD6">
      <w:pPr>
        <w:spacing w:before="240" w:line="276" w:lineRule="auto"/>
        <w:jc w:val="both"/>
        <w:rPr>
          <w:sz w:val="22"/>
          <w:szCs w:val="22"/>
        </w:rPr>
      </w:pPr>
      <w:r w:rsidRPr="004014B1">
        <w:rPr>
          <w:sz w:val="22"/>
          <w:szCs w:val="22"/>
        </w:rPr>
        <w:t>Los lotes de</w:t>
      </w:r>
      <w:r>
        <w:rPr>
          <w:sz w:val="22"/>
          <w:szCs w:val="22"/>
        </w:rPr>
        <w:t>scritos en el presente artículo deberán sujetarse a lo establecido en la normativa metropolitana vigente.</w:t>
      </w:r>
    </w:p>
    <w:p w:rsidR="00032FD6" w:rsidRDefault="009E7A1E" w:rsidP="00EB540C">
      <w:pPr>
        <w:spacing w:before="240" w:after="240" w:line="276" w:lineRule="auto"/>
        <w:jc w:val="both"/>
        <w:rPr>
          <w:sz w:val="22"/>
          <w:szCs w:val="22"/>
        </w:rPr>
      </w:pPr>
      <w:r w:rsidRPr="00A24D81">
        <w:rPr>
          <w:b/>
          <w:color w:val="000000" w:themeColor="text1"/>
          <w:sz w:val="22"/>
          <w:szCs w:val="22"/>
        </w:rPr>
        <w:t xml:space="preserve">Artículo </w:t>
      </w:r>
      <w:r w:rsidR="00433A3F">
        <w:rPr>
          <w:b/>
          <w:color w:val="000000" w:themeColor="text1"/>
          <w:sz w:val="22"/>
          <w:szCs w:val="22"/>
        </w:rPr>
        <w:t>9</w:t>
      </w:r>
      <w:r w:rsidRPr="00A24D81">
        <w:rPr>
          <w:b/>
          <w:color w:val="000000" w:themeColor="text1"/>
          <w:sz w:val="22"/>
          <w:szCs w:val="22"/>
        </w:rPr>
        <w:t>.-</w:t>
      </w:r>
      <w:r w:rsidRPr="00A24D81">
        <w:rPr>
          <w:b/>
          <w:sz w:val="22"/>
          <w:szCs w:val="22"/>
        </w:rPr>
        <w:t xml:space="preserve"> Exoneraci</w:t>
      </w:r>
      <w:r w:rsidR="007D01F8">
        <w:rPr>
          <w:b/>
          <w:sz w:val="22"/>
          <w:szCs w:val="22"/>
        </w:rPr>
        <w:t>ón del porcentaje de área verde</w:t>
      </w:r>
      <w:r w:rsidRPr="00A24D81">
        <w:rPr>
          <w:b/>
          <w:sz w:val="22"/>
          <w:szCs w:val="22"/>
        </w:rPr>
        <w:t>.-</w:t>
      </w:r>
      <w:r w:rsidRPr="00A24D81">
        <w:rPr>
          <w:sz w:val="22"/>
          <w:szCs w:val="22"/>
        </w:rPr>
        <w:t xml:space="preserve"> A los copropietarios del predio donde se encuentra el asentamiento humano de hecho y consolidado de interés social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Pr="00A24D81">
        <w:rPr>
          <w:bCs/>
          <w:sz w:val="22"/>
          <w:szCs w:val="22"/>
        </w:rPr>
        <w:t xml:space="preserve">, </w:t>
      </w:r>
      <w:r w:rsidRPr="00A24D81">
        <w:rPr>
          <w:sz w:val="22"/>
          <w:szCs w:val="22"/>
        </w:rPr>
        <w:t>conforme a la normativa vigente se les exonera el 15% como contribución del área verde, por ser considerado como un Asentamiento declarado de Interés Social</w:t>
      </w:r>
      <w:r w:rsidR="00FA1421">
        <w:rPr>
          <w:sz w:val="22"/>
          <w:szCs w:val="22"/>
        </w:rPr>
        <w:t>.</w:t>
      </w:r>
    </w:p>
    <w:p w:rsidR="00032FD6" w:rsidRDefault="00032FD6" w:rsidP="00EB540C">
      <w:pPr>
        <w:spacing w:before="240" w:line="276" w:lineRule="auto"/>
        <w:contextualSpacing/>
        <w:jc w:val="both"/>
        <w:rPr>
          <w:b/>
          <w:sz w:val="22"/>
          <w:szCs w:val="22"/>
        </w:rPr>
      </w:pPr>
      <w:r w:rsidRPr="00D42378">
        <w:rPr>
          <w:b/>
          <w:color w:val="000000"/>
          <w:sz w:val="22"/>
          <w:szCs w:val="22"/>
        </w:rPr>
        <w:t xml:space="preserve">Artículo </w:t>
      </w:r>
      <w:r w:rsidR="00433A3F">
        <w:rPr>
          <w:b/>
          <w:color w:val="000000"/>
          <w:sz w:val="22"/>
          <w:szCs w:val="22"/>
        </w:rPr>
        <w:t>10</w:t>
      </w:r>
      <w:r w:rsidRPr="00D42378">
        <w:rPr>
          <w:b/>
          <w:color w:val="000000"/>
          <w:sz w:val="22"/>
          <w:szCs w:val="22"/>
        </w:rPr>
        <w:t xml:space="preserve">.- </w:t>
      </w:r>
      <w:r w:rsidRPr="00D42378">
        <w:rPr>
          <w:b/>
          <w:bCs/>
          <w:color w:val="000000"/>
          <w:sz w:val="22"/>
          <w:szCs w:val="22"/>
        </w:rPr>
        <w:t xml:space="preserve">Del </w:t>
      </w:r>
      <w:r w:rsidRPr="00D42378">
        <w:rPr>
          <w:b/>
          <w:sz w:val="22"/>
          <w:szCs w:val="22"/>
        </w:rPr>
        <w:t xml:space="preserve">Área </w:t>
      </w:r>
      <w:r>
        <w:rPr>
          <w:b/>
          <w:sz w:val="22"/>
          <w:szCs w:val="22"/>
        </w:rPr>
        <w:t>Municipal</w:t>
      </w:r>
      <w:r w:rsidRPr="00D42378">
        <w:rPr>
          <w:b/>
          <w:color w:val="000000"/>
          <w:sz w:val="22"/>
          <w:szCs w:val="22"/>
        </w:rPr>
        <w:t>.</w:t>
      </w:r>
      <w:r w:rsidRPr="00D42378">
        <w:rPr>
          <w:b/>
          <w:bCs/>
          <w:color w:val="000000"/>
          <w:sz w:val="22"/>
          <w:szCs w:val="22"/>
        </w:rPr>
        <w:t xml:space="preserve">-  </w:t>
      </w:r>
      <w:r w:rsidR="00D62654" w:rsidRPr="00D71035">
        <w:rPr>
          <w:bCs/>
          <w:color w:val="000000"/>
          <w:sz w:val="23"/>
          <w:szCs w:val="23"/>
        </w:rPr>
        <w:t xml:space="preserve">Los copropietarios del inmueble sobre el cual se asienta el </w:t>
      </w:r>
      <w:r w:rsidR="00D62654">
        <w:rPr>
          <w:sz w:val="22"/>
          <w:szCs w:val="22"/>
        </w:rPr>
        <w:t xml:space="preserve">Comité </w:t>
      </w:r>
      <w:proofErr w:type="spellStart"/>
      <w:r w:rsidR="00D62654">
        <w:rPr>
          <w:sz w:val="22"/>
          <w:szCs w:val="22"/>
        </w:rPr>
        <w:t>Promejoras</w:t>
      </w:r>
      <w:proofErr w:type="spellEnd"/>
      <w:r w:rsidR="00D62654">
        <w:rPr>
          <w:sz w:val="22"/>
          <w:szCs w:val="22"/>
        </w:rPr>
        <w:t xml:space="preserve"> del Barrio “Santa Ana Alta” Etapa II</w:t>
      </w:r>
      <w:r w:rsidR="00D62654" w:rsidRPr="00D71035">
        <w:rPr>
          <w:bCs/>
          <w:color w:val="000000"/>
          <w:sz w:val="23"/>
          <w:szCs w:val="23"/>
        </w:rPr>
        <w:t>, transfieren al Municipio del Distrito Metropolitano de Quito</w:t>
      </w:r>
      <w:r w:rsidR="00D62654" w:rsidRPr="00D71035">
        <w:rPr>
          <w:color w:val="000000"/>
          <w:sz w:val="23"/>
          <w:szCs w:val="23"/>
        </w:rPr>
        <w:t xml:space="preserve"> como contribución de área municipal </w:t>
      </w:r>
      <w:r w:rsidR="00D62654" w:rsidRPr="00D62654">
        <w:rPr>
          <w:color w:val="000000"/>
          <w:sz w:val="23"/>
          <w:szCs w:val="23"/>
        </w:rPr>
        <w:t>203,51m2</w:t>
      </w:r>
      <w:r w:rsidR="00D62654" w:rsidRPr="00D71035">
        <w:rPr>
          <w:color w:val="000000"/>
          <w:sz w:val="23"/>
          <w:szCs w:val="23"/>
        </w:rPr>
        <w:t xml:space="preserve">, </w:t>
      </w:r>
      <w:r w:rsidR="00D62654" w:rsidRPr="00D62654">
        <w:rPr>
          <w:color w:val="000000"/>
          <w:sz w:val="23"/>
          <w:szCs w:val="23"/>
        </w:rPr>
        <w:t>esta contribución la efectúan en forma libre y voluntaria aun estando amparados</w:t>
      </w:r>
      <w:r w:rsidR="00D62654" w:rsidRPr="00D71035">
        <w:rPr>
          <w:color w:val="000000" w:themeColor="text1"/>
          <w:sz w:val="23"/>
          <w:szCs w:val="23"/>
        </w:rPr>
        <w:t xml:space="preserve"> por la normativa vigente para la </w:t>
      </w:r>
      <w:r w:rsidR="00D62654" w:rsidRPr="00D71035">
        <w:rPr>
          <w:color w:val="000000" w:themeColor="text1"/>
          <w:sz w:val="23"/>
          <w:szCs w:val="23"/>
        </w:rPr>
        <w:lastRenderedPageBreak/>
        <w:t xml:space="preserve">excepción de esta entrega, por cuanto el </w:t>
      </w:r>
      <w:r w:rsidR="00D62654">
        <w:rPr>
          <w:color w:val="000000" w:themeColor="text1"/>
          <w:sz w:val="23"/>
          <w:szCs w:val="23"/>
        </w:rPr>
        <w:t>asentamiento</w:t>
      </w:r>
      <w:r w:rsidR="00D62654" w:rsidRPr="00D71035">
        <w:rPr>
          <w:color w:val="000000" w:themeColor="text1"/>
          <w:sz w:val="23"/>
          <w:szCs w:val="23"/>
        </w:rPr>
        <w:t xml:space="preserve"> </w:t>
      </w:r>
      <w:r w:rsidR="00D62654">
        <w:rPr>
          <w:color w:val="000000" w:themeColor="text1"/>
          <w:sz w:val="23"/>
          <w:szCs w:val="23"/>
        </w:rPr>
        <w:t xml:space="preserve">humano es declarado de interés social, y se encuentra </w:t>
      </w:r>
      <w:r w:rsidRPr="00D42378">
        <w:rPr>
          <w:color w:val="000000" w:themeColor="text1"/>
          <w:sz w:val="22"/>
          <w:szCs w:val="22"/>
        </w:rPr>
        <w:t>distribuida de la siguiente manera:</w:t>
      </w:r>
      <w:r w:rsidRPr="00D42378">
        <w:rPr>
          <w:b/>
          <w:sz w:val="22"/>
          <w:szCs w:val="22"/>
        </w:rPr>
        <w:t xml:space="preserve"> </w:t>
      </w:r>
    </w:p>
    <w:p w:rsidR="004014B1" w:rsidRDefault="004014B1" w:rsidP="00EB540C">
      <w:pPr>
        <w:spacing w:before="240" w:line="276" w:lineRule="auto"/>
        <w:contextualSpacing/>
        <w:jc w:val="both"/>
        <w:rPr>
          <w:b/>
          <w:sz w:val="22"/>
          <w:szCs w:val="22"/>
        </w:rPr>
      </w:pPr>
    </w:p>
    <w:tbl>
      <w:tblPr>
        <w:tblW w:w="5063" w:type="pct"/>
        <w:tblInd w:w="-34" w:type="dxa"/>
        <w:tblCellMar>
          <w:left w:w="70" w:type="dxa"/>
          <w:right w:w="70" w:type="dxa"/>
        </w:tblCellMar>
        <w:tblLook w:val="04A0" w:firstRow="1" w:lastRow="0" w:firstColumn="1" w:lastColumn="0" w:noHBand="0" w:noVBand="1"/>
      </w:tblPr>
      <w:tblGrid>
        <w:gridCol w:w="1614"/>
        <w:gridCol w:w="764"/>
        <w:gridCol w:w="2549"/>
        <w:gridCol w:w="1306"/>
        <w:gridCol w:w="1306"/>
        <w:gridCol w:w="1494"/>
      </w:tblGrid>
      <w:tr w:rsidR="00032FD6" w:rsidRPr="00032FD6" w:rsidTr="007D01F8">
        <w:trPr>
          <w:trHeight w:val="135"/>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032FD6" w:rsidRPr="00032FD6" w:rsidRDefault="00032FD6" w:rsidP="006C3481">
            <w:pPr>
              <w:jc w:val="center"/>
              <w:rPr>
                <w:b/>
                <w:bCs/>
                <w:sz w:val="22"/>
                <w:szCs w:val="22"/>
                <w:lang w:val="es-EC" w:eastAsia="es-EC"/>
              </w:rPr>
            </w:pPr>
            <w:r w:rsidRPr="00032FD6">
              <w:rPr>
                <w:b/>
                <w:bCs/>
                <w:sz w:val="22"/>
                <w:szCs w:val="22"/>
                <w:lang w:val="es-EC" w:eastAsia="es-EC"/>
              </w:rPr>
              <w:t xml:space="preserve">ÁREA MUNICIPAL </w:t>
            </w:r>
          </w:p>
        </w:tc>
      </w:tr>
      <w:tr w:rsidR="00032FD6" w:rsidRPr="00032FD6" w:rsidTr="007D01F8">
        <w:trPr>
          <w:trHeight w:val="111"/>
        </w:trPr>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jc w:val="center"/>
              <w:rPr>
                <w:b/>
                <w:bCs/>
                <w:sz w:val="22"/>
                <w:szCs w:val="22"/>
                <w:lang w:val="es-EC" w:eastAsia="es-EC"/>
              </w:rPr>
            </w:pPr>
            <w:r w:rsidRPr="00032FD6">
              <w:rPr>
                <w:b/>
                <w:bCs/>
                <w:sz w:val="22"/>
                <w:szCs w:val="22"/>
                <w:lang w:val="es-EC" w:eastAsia="es-EC"/>
              </w:rPr>
              <w:t>  Área Bajo Borde superior de que Quebrada</w:t>
            </w:r>
          </w:p>
        </w:tc>
        <w:tc>
          <w:tcPr>
            <w:tcW w:w="423" w:type="pct"/>
            <w:tcBorders>
              <w:top w:val="nil"/>
              <w:left w:val="nil"/>
              <w:bottom w:val="nil"/>
              <w:right w:val="single" w:sz="4" w:space="0" w:color="auto"/>
            </w:tcBorders>
            <w:shd w:val="clear" w:color="auto" w:fill="auto"/>
            <w:vAlign w:val="center"/>
            <w:hideMark/>
          </w:tcPr>
          <w:p w:rsidR="00032FD6" w:rsidRPr="00032FD6" w:rsidRDefault="00032FD6" w:rsidP="006C3481">
            <w:pPr>
              <w:rPr>
                <w:b/>
                <w:bCs/>
                <w:sz w:val="22"/>
                <w:szCs w:val="22"/>
                <w:lang w:val="es-EC" w:eastAsia="es-EC"/>
              </w:rPr>
            </w:pPr>
            <w:r w:rsidRPr="00032FD6">
              <w:rPr>
                <w:b/>
                <w:bCs/>
                <w:sz w:val="22"/>
                <w:szCs w:val="22"/>
                <w:lang w:val="es-EC" w:eastAsia="es-EC"/>
              </w:rPr>
              <w:t> </w:t>
            </w:r>
          </w:p>
        </w:tc>
        <w:tc>
          <w:tcPr>
            <w:tcW w:w="1411" w:type="pct"/>
            <w:tcBorders>
              <w:top w:val="nil"/>
              <w:left w:val="nil"/>
              <w:bottom w:val="single" w:sz="4" w:space="0" w:color="auto"/>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Lindero</w:t>
            </w:r>
          </w:p>
        </w:tc>
        <w:tc>
          <w:tcPr>
            <w:tcW w:w="723" w:type="pct"/>
            <w:tcBorders>
              <w:top w:val="nil"/>
              <w:left w:val="nil"/>
              <w:bottom w:val="single" w:sz="4" w:space="0" w:color="auto"/>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En Parte</w:t>
            </w:r>
          </w:p>
        </w:tc>
        <w:tc>
          <w:tcPr>
            <w:tcW w:w="723" w:type="pct"/>
            <w:tcBorders>
              <w:top w:val="nil"/>
              <w:left w:val="nil"/>
              <w:bottom w:val="nil"/>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Total</w:t>
            </w:r>
          </w:p>
        </w:tc>
        <w:tc>
          <w:tcPr>
            <w:tcW w:w="828" w:type="pct"/>
            <w:tcBorders>
              <w:top w:val="nil"/>
              <w:left w:val="nil"/>
              <w:bottom w:val="nil"/>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Superficie</w:t>
            </w:r>
          </w:p>
        </w:tc>
      </w:tr>
      <w:tr w:rsidR="00032FD6" w:rsidRPr="00032FD6" w:rsidTr="007D01F8">
        <w:trPr>
          <w:trHeight w:val="241"/>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nil"/>
              <w:bottom w:val="nil"/>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Norte:</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jc w:val="center"/>
              <w:rPr>
                <w:sz w:val="22"/>
                <w:szCs w:val="22"/>
                <w:lang w:val="es-EC" w:eastAsia="es-EC"/>
              </w:rPr>
            </w:pPr>
            <w:r w:rsidRPr="00032FD6">
              <w:rPr>
                <w:sz w:val="22"/>
                <w:szCs w:val="22"/>
                <w:lang w:val="es-EC" w:eastAsia="es-EC"/>
              </w:rPr>
              <w:t>Quebrada CHIRIYACU</w:t>
            </w:r>
          </w:p>
        </w:tc>
        <w:tc>
          <w:tcPr>
            <w:tcW w:w="723" w:type="pct"/>
            <w:tcBorders>
              <w:top w:val="nil"/>
              <w:left w:val="nil"/>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w:t>
            </w:r>
          </w:p>
        </w:tc>
        <w:tc>
          <w:tcPr>
            <w:tcW w:w="723" w:type="pct"/>
            <w:tcBorders>
              <w:top w:val="single" w:sz="4" w:space="0" w:color="auto"/>
              <w:left w:val="nil"/>
              <w:bottom w:val="nil"/>
              <w:right w:val="nil"/>
            </w:tcBorders>
            <w:shd w:val="clear" w:color="auto" w:fill="auto"/>
            <w:noWrap/>
            <w:hideMark/>
          </w:tcPr>
          <w:p w:rsidR="00032FD6" w:rsidRPr="00032FD6" w:rsidRDefault="00032FD6" w:rsidP="006C3481">
            <w:pPr>
              <w:jc w:val="center"/>
              <w:rPr>
                <w:sz w:val="22"/>
                <w:szCs w:val="22"/>
                <w:lang w:val="es-EC" w:eastAsia="es-EC"/>
              </w:rPr>
            </w:pPr>
            <w:proofErr w:type="spellStart"/>
            <w:r w:rsidRPr="00032FD6">
              <w:rPr>
                <w:sz w:val="22"/>
                <w:szCs w:val="22"/>
                <w:lang w:val="es-EC" w:eastAsia="es-EC"/>
              </w:rPr>
              <w:t>Ld</w:t>
            </w:r>
            <w:proofErr w:type="spellEnd"/>
            <w:r w:rsidRPr="00032FD6">
              <w:rPr>
                <w:sz w:val="22"/>
                <w:szCs w:val="22"/>
                <w:lang w:val="es-EC" w:eastAsia="es-EC"/>
              </w:rPr>
              <w:t>= 70.25 m</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jc w:val="center"/>
              <w:rPr>
                <w:b/>
                <w:bCs/>
                <w:sz w:val="22"/>
                <w:szCs w:val="22"/>
                <w:lang w:val="es-EC" w:eastAsia="es-EC"/>
              </w:rPr>
            </w:pPr>
          </w:p>
          <w:p w:rsidR="00032FD6" w:rsidRPr="00032FD6" w:rsidRDefault="00032FD6" w:rsidP="006C3481">
            <w:pPr>
              <w:jc w:val="center"/>
              <w:rPr>
                <w:b/>
                <w:bCs/>
                <w:sz w:val="22"/>
                <w:szCs w:val="22"/>
                <w:lang w:val="es-EC" w:eastAsia="es-EC"/>
              </w:rPr>
            </w:pPr>
          </w:p>
          <w:p w:rsidR="00032FD6" w:rsidRPr="00032FD6" w:rsidRDefault="00032FD6" w:rsidP="006C3481">
            <w:pPr>
              <w:jc w:val="center"/>
              <w:rPr>
                <w:b/>
                <w:bCs/>
                <w:sz w:val="22"/>
                <w:szCs w:val="22"/>
                <w:lang w:val="es-EC" w:eastAsia="es-EC"/>
              </w:rPr>
            </w:pPr>
            <w:r w:rsidRPr="00032FD6">
              <w:rPr>
                <w:b/>
                <w:bCs/>
                <w:sz w:val="22"/>
                <w:szCs w:val="22"/>
                <w:lang w:val="es-EC" w:eastAsia="es-EC"/>
              </w:rPr>
              <w:t>203.51m2</w:t>
            </w:r>
          </w:p>
          <w:p w:rsidR="00032FD6" w:rsidRPr="00032FD6" w:rsidRDefault="00032FD6" w:rsidP="006C3481">
            <w:pPr>
              <w:rPr>
                <w:sz w:val="22"/>
                <w:szCs w:val="22"/>
                <w:lang w:val="es-EC" w:eastAsia="es-EC"/>
              </w:rPr>
            </w:pPr>
            <w:r w:rsidRPr="00032FD6">
              <w:rPr>
                <w:sz w:val="22"/>
                <w:szCs w:val="22"/>
                <w:lang w:val="es-EC" w:eastAsia="es-EC"/>
              </w:rPr>
              <w:t> </w:t>
            </w:r>
          </w:p>
          <w:p w:rsidR="00032FD6" w:rsidRPr="00032FD6" w:rsidRDefault="00032FD6" w:rsidP="006C3481">
            <w:pPr>
              <w:rPr>
                <w:sz w:val="22"/>
                <w:szCs w:val="22"/>
                <w:lang w:val="es-EC" w:eastAsia="es-EC"/>
              </w:rPr>
            </w:pPr>
            <w:r w:rsidRPr="00032FD6">
              <w:rPr>
                <w:sz w:val="22"/>
                <w:szCs w:val="22"/>
                <w:lang w:val="es-EC" w:eastAsia="es-EC"/>
              </w:rPr>
              <w:t> </w:t>
            </w:r>
          </w:p>
          <w:p w:rsidR="00032FD6" w:rsidRPr="00032FD6" w:rsidRDefault="00032FD6" w:rsidP="006C3481">
            <w:pPr>
              <w:rPr>
                <w:b/>
                <w:bCs/>
                <w:sz w:val="22"/>
                <w:szCs w:val="22"/>
                <w:lang w:val="es-EC" w:eastAsia="es-EC"/>
              </w:rPr>
            </w:pPr>
            <w:r w:rsidRPr="00032FD6">
              <w:rPr>
                <w:sz w:val="22"/>
                <w:szCs w:val="22"/>
                <w:lang w:val="es-EC" w:eastAsia="es-EC"/>
              </w:rPr>
              <w:t> </w:t>
            </w:r>
          </w:p>
        </w:tc>
      </w:tr>
      <w:tr w:rsidR="00032FD6" w:rsidRPr="00032FD6" w:rsidTr="007D01F8">
        <w:trPr>
          <w:trHeight w:val="605"/>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nil"/>
              <w:bottom w:val="single" w:sz="4" w:space="0" w:color="auto"/>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Sur:</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jc w:val="center"/>
              <w:rPr>
                <w:sz w:val="22"/>
                <w:szCs w:val="22"/>
                <w:lang w:val="es-EC" w:eastAsia="es-EC"/>
              </w:rPr>
            </w:pPr>
            <w:r w:rsidRPr="00032FD6">
              <w:rPr>
                <w:sz w:val="22"/>
                <w:szCs w:val="22"/>
                <w:lang w:val="es-EC" w:eastAsia="es-EC"/>
              </w:rPr>
              <w:t>Lote 6</w:t>
            </w:r>
          </w:p>
          <w:p w:rsidR="00032FD6" w:rsidRPr="00032FD6" w:rsidRDefault="00032FD6" w:rsidP="006C3481">
            <w:pPr>
              <w:jc w:val="center"/>
              <w:rPr>
                <w:sz w:val="22"/>
                <w:szCs w:val="22"/>
                <w:lang w:val="es-EC" w:eastAsia="es-EC"/>
              </w:rPr>
            </w:pPr>
            <w:r w:rsidRPr="00032FD6">
              <w:rPr>
                <w:sz w:val="22"/>
                <w:szCs w:val="22"/>
                <w:lang w:val="es-EC" w:eastAsia="es-EC"/>
              </w:rPr>
              <w:t>Lote 7</w:t>
            </w:r>
          </w:p>
          <w:p w:rsidR="00032FD6" w:rsidRPr="00032FD6" w:rsidRDefault="00032FD6" w:rsidP="006C3481">
            <w:pPr>
              <w:jc w:val="center"/>
              <w:rPr>
                <w:sz w:val="22"/>
                <w:szCs w:val="22"/>
                <w:lang w:val="es-EC" w:eastAsia="es-EC"/>
              </w:rPr>
            </w:pPr>
            <w:r w:rsidRPr="00032FD6">
              <w:rPr>
                <w:sz w:val="22"/>
                <w:szCs w:val="22"/>
                <w:lang w:val="es-EC" w:eastAsia="es-EC"/>
              </w:rPr>
              <w:t>Lote 8</w:t>
            </w:r>
          </w:p>
          <w:p w:rsidR="00032FD6" w:rsidRPr="00032FD6" w:rsidRDefault="00032FD6" w:rsidP="006C3481">
            <w:pPr>
              <w:jc w:val="center"/>
              <w:rPr>
                <w:sz w:val="22"/>
                <w:szCs w:val="22"/>
                <w:lang w:val="es-EC" w:eastAsia="es-EC"/>
              </w:rPr>
            </w:pPr>
            <w:r w:rsidRPr="00032FD6">
              <w:rPr>
                <w:sz w:val="22"/>
                <w:szCs w:val="22"/>
                <w:lang w:val="es-EC" w:eastAsia="es-EC"/>
              </w:rPr>
              <w:t>Lote 9</w:t>
            </w:r>
          </w:p>
        </w:tc>
        <w:tc>
          <w:tcPr>
            <w:tcW w:w="723" w:type="pct"/>
            <w:tcBorders>
              <w:top w:val="nil"/>
              <w:left w:val="nil"/>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n-US" w:eastAsia="es-EC"/>
              </w:rPr>
            </w:pPr>
            <w:proofErr w:type="spellStart"/>
            <w:r w:rsidRPr="00032FD6">
              <w:rPr>
                <w:sz w:val="22"/>
                <w:szCs w:val="22"/>
                <w:lang w:val="en-US" w:eastAsia="es-EC"/>
              </w:rPr>
              <w:t>Ld</w:t>
            </w:r>
            <w:proofErr w:type="spellEnd"/>
            <w:r w:rsidRPr="00032FD6">
              <w:rPr>
                <w:sz w:val="22"/>
                <w:szCs w:val="22"/>
                <w:lang w:val="en-US" w:eastAsia="es-EC"/>
              </w:rPr>
              <w:t>= 23.36 m</w:t>
            </w:r>
          </w:p>
          <w:p w:rsidR="00032FD6" w:rsidRPr="00032FD6" w:rsidRDefault="00032FD6" w:rsidP="006C3481">
            <w:pPr>
              <w:jc w:val="center"/>
              <w:rPr>
                <w:sz w:val="22"/>
                <w:szCs w:val="22"/>
                <w:lang w:val="en-US" w:eastAsia="es-EC"/>
              </w:rPr>
            </w:pPr>
            <w:proofErr w:type="spellStart"/>
            <w:r w:rsidRPr="00032FD6">
              <w:rPr>
                <w:sz w:val="22"/>
                <w:szCs w:val="22"/>
                <w:lang w:val="en-US" w:eastAsia="es-EC"/>
              </w:rPr>
              <w:t>Ld</w:t>
            </w:r>
            <w:proofErr w:type="spellEnd"/>
            <w:r w:rsidRPr="00032FD6">
              <w:rPr>
                <w:sz w:val="22"/>
                <w:szCs w:val="22"/>
                <w:lang w:val="en-US" w:eastAsia="es-EC"/>
              </w:rPr>
              <w:t>= 19.99 m</w:t>
            </w:r>
          </w:p>
          <w:p w:rsidR="00032FD6" w:rsidRPr="00032FD6" w:rsidRDefault="00032FD6" w:rsidP="006C3481">
            <w:pPr>
              <w:jc w:val="center"/>
              <w:rPr>
                <w:sz w:val="22"/>
                <w:szCs w:val="22"/>
                <w:lang w:val="en-US" w:eastAsia="es-EC"/>
              </w:rPr>
            </w:pPr>
            <w:proofErr w:type="spellStart"/>
            <w:r w:rsidRPr="00032FD6">
              <w:rPr>
                <w:sz w:val="22"/>
                <w:szCs w:val="22"/>
                <w:lang w:val="en-US" w:eastAsia="es-EC"/>
              </w:rPr>
              <w:t>Ld</w:t>
            </w:r>
            <w:proofErr w:type="spellEnd"/>
            <w:r w:rsidRPr="00032FD6">
              <w:rPr>
                <w:sz w:val="22"/>
                <w:szCs w:val="22"/>
                <w:lang w:val="en-US" w:eastAsia="es-EC"/>
              </w:rPr>
              <w:t>= 23.75 m</w:t>
            </w:r>
          </w:p>
          <w:p w:rsidR="00032FD6" w:rsidRPr="00032FD6" w:rsidRDefault="00032FD6" w:rsidP="006C3481">
            <w:pPr>
              <w:jc w:val="center"/>
              <w:rPr>
                <w:sz w:val="22"/>
                <w:szCs w:val="22"/>
                <w:lang w:val="en-US" w:eastAsia="es-EC"/>
              </w:rPr>
            </w:pPr>
            <w:r w:rsidRPr="00032FD6">
              <w:rPr>
                <w:sz w:val="22"/>
                <w:szCs w:val="22"/>
                <w:lang w:val="en-US" w:eastAsia="es-EC"/>
              </w:rPr>
              <w:t>4.26 m</w:t>
            </w:r>
          </w:p>
        </w:tc>
        <w:tc>
          <w:tcPr>
            <w:tcW w:w="723" w:type="pct"/>
            <w:tcBorders>
              <w:top w:val="single" w:sz="4" w:space="0" w:color="auto"/>
              <w:left w:val="nil"/>
              <w:bottom w:val="nil"/>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71.36 m</w:t>
            </w: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r>
      <w:tr w:rsidR="00032FD6" w:rsidRPr="00032FD6" w:rsidTr="007D01F8">
        <w:trPr>
          <w:trHeight w:val="221"/>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Este:</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rPr>
                <w:sz w:val="22"/>
                <w:szCs w:val="22"/>
                <w:lang w:val="es-EC" w:eastAsia="es-EC"/>
              </w:rPr>
            </w:pPr>
            <w:r w:rsidRPr="00032FD6">
              <w:rPr>
                <w:sz w:val="22"/>
                <w:szCs w:val="22"/>
                <w:lang w:val="es-EC" w:eastAsia="es-EC"/>
              </w:rPr>
              <w:t>Punto de</w:t>
            </w:r>
            <w:r>
              <w:rPr>
                <w:sz w:val="22"/>
                <w:szCs w:val="22"/>
                <w:lang w:val="es-EC" w:eastAsia="es-EC"/>
              </w:rPr>
              <w:t xml:space="preserve"> Intersección lote 9 y Quebrada </w:t>
            </w:r>
            <w:r w:rsidRPr="00032FD6">
              <w:rPr>
                <w:sz w:val="22"/>
                <w:szCs w:val="22"/>
                <w:lang w:val="es-EC" w:eastAsia="es-EC"/>
              </w:rPr>
              <w:t xml:space="preserve">CHIRIYACU </w:t>
            </w:r>
          </w:p>
        </w:tc>
        <w:tc>
          <w:tcPr>
            <w:tcW w:w="723" w:type="pct"/>
            <w:tcBorders>
              <w:top w:val="nil"/>
              <w:left w:val="nil"/>
              <w:bottom w:val="single" w:sz="4" w:space="0" w:color="auto"/>
              <w:right w:val="nil"/>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w:t>
            </w:r>
          </w:p>
        </w:tc>
        <w:tc>
          <w:tcPr>
            <w:tcW w:w="723" w:type="pct"/>
            <w:tcBorders>
              <w:top w:val="single" w:sz="4" w:space="0" w:color="auto"/>
              <w:left w:val="single" w:sz="4" w:space="0" w:color="auto"/>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0,00 m</w:t>
            </w: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r>
      <w:tr w:rsidR="00032FD6" w:rsidRPr="00032FD6" w:rsidTr="007D01F8">
        <w:trPr>
          <w:trHeight w:val="295"/>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nil"/>
              <w:bottom w:val="single" w:sz="4" w:space="0" w:color="auto"/>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Oeste:</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jc w:val="center"/>
              <w:rPr>
                <w:sz w:val="22"/>
                <w:szCs w:val="22"/>
                <w:lang w:val="es-EC" w:eastAsia="es-EC"/>
              </w:rPr>
            </w:pPr>
            <w:r w:rsidRPr="00032FD6">
              <w:rPr>
                <w:sz w:val="22"/>
                <w:szCs w:val="22"/>
                <w:lang w:val="es-EC" w:eastAsia="es-EC"/>
              </w:rPr>
              <w:t>Punto de Intersección lote 6 y Quebrada CHIRIYACU</w:t>
            </w:r>
          </w:p>
        </w:tc>
        <w:tc>
          <w:tcPr>
            <w:tcW w:w="723" w:type="pct"/>
            <w:tcBorders>
              <w:top w:val="nil"/>
              <w:left w:val="nil"/>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w:t>
            </w:r>
          </w:p>
        </w:tc>
        <w:tc>
          <w:tcPr>
            <w:tcW w:w="723" w:type="pct"/>
            <w:tcBorders>
              <w:top w:val="nil"/>
              <w:left w:val="nil"/>
              <w:bottom w:val="single" w:sz="4" w:space="0" w:color="auto"/>
              <w:right w:val="nil"/>
            </w:tcBorders>
            <w:shd w:val="clear" w:color="auto" w:fill="auto"/>
          </w:tcPr>
          <w:p w:rsidR="00032FD6" w:rsidRPr="00032FD6" w:rsidRDefault="00032FD6" w:rsidP="006C3481">
            <w:pPr>
              <w:jc w:val="center"/>
              <w:rPr>
                <w:sz w:val="22"/>
                <w:szCs w:val="22"/>
                <w:lang w:val="es-EC" w:eastAsia="es-EC"/>
              </w:rPr>
            </w:pPr>
          </w:p>
          <w:p w:rsidR="00032FD6" w:rsidRPr="00032FD6" w:rsidRDefault="00032FD6" w:rsidP="006C3481">
            <w:pPr>
              <w:jc w:val="center"/>
              <w:rPr>
                <w:sz w:val="22"/>
                <w:szCs w:val="22"/>
                <w:lang w:val="es-EC" w:eastAsia="es-EC"/>
              </w:rPr>
            </w:pPr>
            <w:r w:rsidRPr="00032FD6">
              <w:rPr>
                <w:sz w:val="22"/>
                <w:szCs w:val="22"/>
                <w:lang w:val="es-EC" w:eastAsia="es-EC"/>
              </w:rPr>
              <w:t>0,00 m</w:t>
            </w: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r>
    </w:tbl>
    <w:p w:rsidR="007B302E" w:rsidRDefault="00433A3F" w:rsidP="00EB540C">
      <w:pPr>
        <w:autoSpaceDE w:val="0"/>
        <w:autoSpaceDN w:val="0"/>
        <w:adjustRightInd w:val="0"/>
        <w:spacing w:before="240" w:line="276" w:lineRule="auto"/>
        <w:jc w:val="both"/>
        <w:rPr>
          <w:rFonts w:eastAsiaTheme="minorHAnsi"/>
          <w:bCs/>
          <w:sz w:val="22"/>
          <w:szCs w:val="22"/>
          <w:lang w:val="es-EC" w:eastAsia="en-US"/>
        </w:rPr>
      </w:pPr>
      <w:r>
        <w:rPr>
          <w:b/>
          <w:sz w:val="22"/>
          <w:szCs w:val="22"/>
        </w:rPr>
        <w:t>Artículo 11</w:t>
      </w:r>
      <w:r w:rsidR="00495059" w:rsidRPr="00A24D81">
        <w:rPr>
          <w:b/>
          <w:sz w:val="22"/>
          <w:szCs w:val="22"/>
        </w:rPr>
        <w:t>.- Calificación de Riesgos.-</w:t>
      </w:r>
      <w:r w:rsidR="00495059" w:rsidRPr="00A24D81">
        <w:rPr>
          <w:sz w:val="22"/>
          <w:szCs w:val="22"/>
        </w:rPr>
        <w:t xml:space="preserve"> </w:t>
      </w:r>
      <w:r w:rsidR="00495059" w:rsidRPr="007B302E">
        <w:rPr>
          <w:bCs/>
          <w:sz w:val="22"/>
          <w:szCs w:val="22"/>
        </w:rPr>
        <w:t xml:space="preserve"> </w:t>
      </w:r>
      <w:r w:rsidR="00975599" w:rsidRPr="007B302E">
        <w:rPr>
          <w:bCs/>
          <w:sz w:val="22"/>
          <w:szCs w:val="22"/>
        </w:rPr>
        <w:t>Los copropietarios del predio en el que se encuentra el</w:t>
      </w:r>
      <w:r w:rsidR="007B302E" w:rsidRPr="007B302E">
        <w:rPr>
          <w:bCs/>
          <w:sz w:val="22"/>
          <w:szCs w:val="22"/>
        </w:rPr>
        <w:t xml:space="preserve"> </w:t>
      </w:r>
      <w:r w:rsidR="002918F7" w:rsidRPr="007B302E">
        <w:rPr>
          <w:bCs/>
          <w:sz w:val="22"/>
          <w:szCs w:val="22"/>
        </w:rPr>
        <w:t>asentamiento humano de hecho y consolidado de interés social</w:t>
      </w:r>
      <w:r w:rsidR="00975599" w:rsidRPr="007B302E">
        <w:rPr>
          <w:bCs/>
          <w:sz w:val="22"/>
          <w:szCs w:val="22"/>
        </w:rPr>
        <w:t xml:space="preserve"> denominado </w:t>
      </w:r>
      <w:r w:rsidR="00823280">
        <w:rPr>
          <w:bCs/>
          <w:sz w:val="22"/>
          <w:szCs w:val="22"/>
        </w:rPr>
        <w:t xml:space="preserve">Comité </w:t>
      </w:r>
      <w:proofErr w:type="spellStart"/>
      <w:r w:rsidR="00823280">
        <w:rPr>
          <w:bCs/>
          <w:sz w:val="22"/>
          <w:szCs w:val="22"/>
        </w:rPr>
        <w:t>Promejoras</w:t>
      </w:r>
      <w:proofErr w:type="spellEnd"/>
      <w:r w:rsidR="00823280">
        <w:rPr>
          <w:bCs/>
          <w:sz w:val="22"/>
          <w:szCs w:val="22"/>
        </w:rPr>
        <w:t xml:space="preserve"> del Barrio “Santa Ana Alta” Etapa II</w:t>
      </w:r>
      <w:r w:rsidR="00975599" w:rsidRPr="007B302E">
        <w:rPr>
          <w:bCs/>
          <w:sz w:val="22"/>
          <w:szCs w:val="22"/>
        </w:rPr>
        <w:t>, deberán cumplir y acatar las recomendaciones que se encuentran determinadas en el informe de la Dirección Metropolitana de Gestión de Riesgos</w:t>
      </w:r>
      <w:r w:rsidR="00D62654">
        <w:rPr>
          <w:bCs/>
          <w:sz w:val="22"/>
          <w:szCs w:val="22"/>
        </w:rPr>
        <w:t xml:space="preserve"> No.145</w:t>
      </w:r>
      <w:r w:rsidR="00D62654" w:rsidRPr="00D37A73">
        <w:rPr>
          <w:bCs/>
          <w:sz w:val="22"/>
          <w:szCs w:val="22"/>
        </w:rPr>
        <w:t>-AT-DMGR-201</w:t>
      </w:r>
      <w:r w:rsidR="00D62654">
        <w:rPr>
          <w:bCs/>
          <w:sz w:val="22"/>
          <w:szCs w:val="22"/>
        </w:rPr>
        <w:t>5</w:t>
      </w:r>
      <w:r w:rsidR="00D62654" w:rsidRPr="00D37A73">
        <w:rPr>
          <w:bCs/>
          <w:sz w:val="22"/>
          <w:szCs w:val="22"/>
        </w:rPr>
        <w:t xml:space="preserve">, de </w:t>
      </w:r>
      <w:r w:rsidR="00D62654">
        <w:rPr>
          <w:bCs/>
          <w:sz w:val="22"/>
          <w:szCs w:val="22"/>
        </w:rPr>
        <w:t>30</w:t>
      </w:r>
      <w:r w:rsidR="00D62654" w:rsidRPr="00D37A73">
        <w:rPr>
          <w:bCs/>
          <w:sz w:val="22"/>
          <w:szCs w:val="22"/>
        </w:rPr>
        <w:t xml:space="preserve"> de octubre de 201</w:t>
      </w:r>
      <w:r w:rsidR="00D62654">
        <w:rPr>
          <w:bCs/>
          <w:sz w:val="22"/>
          <w:szCs w:val="22"/>
        </w:rPr>
        <w:t>5</w:t>
      </w:r>
      <w:r w:rsidR="00D62654" w:rsidRPr="00D37A73">
        <w:rPr>
          <w:bCs/>
          <w:sz w:val="22"/>
          <w:szCs w:val="22"/>
        </w:rPr>
        <w:t xml:space="preserve">, </w:t>
      </w:r>
      <w:r w:rsidR="0027642B">
        <w:rPr>
          <w:bCs/>
          <w:sz w:val="22"/>
          <w:szCs w:val="22"/>
        </w:rPr>
        <w:t xml:space="preserve">que </w:t>
      </w:r>
      <w:r w:rsidR="00D62654" w:rsidRPr="00D37A73">
        <w:rPr>
          <w:bCs/>
          <w:sz w:val="22"/>
          <w:szCs w:val="22"/>
        </w:rPr>
        <w:t xml:space="preserve">califica al </w:t>
      </w:r>
      <w:r w:rsidR="00D62654">
        <w:rPr>
          <w:sz w:val="22"/>
          <w:szCs w:val="22"/>
        </w:rPr>
        <w:t>asentamiento humano de hecho y consolidado de interés social denominado</w:t>
      </w:r>
      <w:r w:rsidR="00D62654" w:rsidRPr="00D37A73">
        <w:rPr>
          <w:sz w:val="22"/>
          <w:szCs w:val="22"/>
        </w:rPr>
        <w:t xml:space="preserve"> “Santa Ana Alta</w:t>
      </w:r>
      <w:r w:rsidR="00D62654">
        <w:rPr>
          <w:sz w:val="22"/>
          <w:szCs w:val="22"/>
        </w:rPr>
        <w:t>”</w:t>
      </w:r>
      <w:r w:rsidR="00D62654" w:rsidRPr="00D37A73">
        <w:rPr>
          <w:sz w:val="22"/>
          <w:szCs w:val="22"/>
        </w:rPr>
        <w:t xml:space="preserve"> Etapa II” </w:t>
      </w:r>
      <w:r w:rsidR="00D62654">
        <w:rPr>
          <w:sz w:val="22"/>
          <w:szCs w:val="22"/>
        </w:rPr>
        <w:t xml:space="preserve">con un </w:t>
      </w:r>
      <w:r w:rsidR="00D62654" w:rsidRPr="00D62654">
        <w:rPr>
          <w:b/>
          <w:sz w:val="22"/>
          <w:szCs w:val="22"/>
        </w:rPr>
        <w:t>Riesgo Alto Mitigable</w:t>
      </w:r>
      <w:r w:rsidR="0027642B">
        <w:rPr>
          <w:b/>
          <w:sz w:val="22"/>
          <w:szCs w:val="22"/>
        </w:rPr>
        <w:t>,</w:t>
      </w:r>
      <w:r w:rsidR="0027642B" w:rsidRPr="0027642B">
        <w:rPr>
          <w:sz w:val="22"/>
          <w:szCs w:val="22"/>
        </w:rPr>
        <w:t xml:space="preserve"> así como en el informe técnico </w:t>
      </w:r>
      <w:r w:rsidR="00740727" w:rsidRPr="007B302E">
        <w:rPr>
          <w:bCs/>
          <w:sz w:val="22"/>
          <w:szCs w:val="22"/>
        </w:rPr>
        <w:t>No.</w:t>
      </w:r>
      <w:r w:rsidR="00F918B2">
        <w:rPr>
          <w:bCs/>
          <w:sz w:val="22"/>
          <w:szCs w:val="22"/>
        </w:rPr>
        <w:t xml:space="preserve"> </w:t>
      </w:r>
      <w:r w:rsidR="00F96517" w:rsidRPr="00D37A73">
        <w:rPr>
          <w:bCs/>
          <w:sz w:val="22"/>
          <w:szCs w:val="22"/>
        </w:rPr>
        <w:t>295-AT-DMGR-2018, de 10 de octubre de 2018</w:t>
      </w:r>
      <w:r w:rsidR="00975599" w:rsidRPr="007B302E">
        <w:rPr>
          <w:bCs/>
          <w:sz w:val="22"/>
          <w:szCs w:val="22"/>
        </w:rPr>
        <w:t xml:space="preserve">, </w:t>
      </w:r>
      <w:r w:rsidR="0027642B">
        <w:rPr>
          <w:bCs/>
          <w:sz w:val="22"/>
          <w:szCs w:val="22"/>
        </w:rPr>
        <w:t xml:space="preserve">que </w:t>
      </w:r>
      <w:r w:rsidR="00F96517" w:rsidRPr="00D37A73">
        <w:rPr>
          <w:bCs/>
          <w:sz w:val="22"/>
          <w:szCs w:val="22"/>
        </w:rPr>
        <w:t xml:space="preserve">califica al </w:t>
      </w:r>
      <w:r w:rsidR="00B61E77">
        <w:rPr>
          <w:sz w:val="22"/>
          <w:szCs w:val="22"/>
        </w:rPr>
        <w:t>asentamiento humano de hecho y consolidado de interés social denominado</w:t>
      </w:r>
      <w:r w:rsidR="00F96517" w:rsidRPr="00D37A73">
        <w:rPr>
          <w:sz w:val="22"/>
          <w:szCs w:val="22"/>
        </w:rPr>
        <w:t xml:space="preserve"> “Santa Ana Alta”</w:t>
      </w:r>
      <w:r w:rsidR="00D62654">
        <w:rPr>
          <w:sz w:val="22"/>
          <w:szCs w:val="22"/>
        </w:rPr>
        <w:t xml:space="preserve"> </w:t>
      </w:r>
      <w:r w:rsidR="00D62654" w:rsidRPr="00D37A73">
        <w:rPr>
          <w:sz w:val="22"/>
          <w:szCs w:val="22"/>
        </w:rPr>
        <w:t>Etapa II</w:t>
      </w:r>
      <w:r w:rsidR="00D62654">
        <w:rPr>
          <w:sz w:val="22"/>
          <w:szCs w:val="22"/>
        </w:rPr>
        <w:t xml:space="preserve">, </w:t>
      </w:r>
      <w:r w:rsidR="0027642B">
        <w:rPr>
          <w:sz w:val="22"/>
          <w:szCs w:val="22"/>
        </w:rPr>
        <w:t>con</w:t>
      </w:r>
      <w:r w:rsidR="00F96517" w:rsidRPr="00D37A73">
        <w:rPr>
          <w:sz w:val="22"/>
          <w:szCs w:val="22"/>
        </w:rPr>
        <w:t xml:space="preserve"> un </w:t>
      </w:r>
      <w:r w:rsidR="00F96517" w:rsidRPr="00D37A73">
        <w:rPr>
          <w:i/>
          <w:sz w:val="22"/>
          <w:szCs w:val="22"/>
          <w:u w:val="single"/>
        </w:rPr>
        <w:t>Riesgo Moderado</w:t>
      </w:r>
      <w:r w:rsidR="00F96517" w:rsidRPr="00D37A73">
        <w:rPr>
          <w:i/>
          <w:sz w:val="22"/>
          <w:szCs w:val="22"/>
        </w:rPr>
        <w:t xml:space="preserve"> </w:t>
      </w:r>
      <w:r w:rsidR="00F96517" w:rsidRPr="00D37A73">
        <w:rPr>
          <w:sz w:val="22"/>
          <w:szCs w:val="22"/>
        </w:rPr>
        <w:t>para los lotes expuestos frente a movimientos en masa</w:t>
      </w:r>
      <w:r w:rsidR="00740727" w:rsidRPr="007B302E">
        <w:rPr>
          <w:bCs/>
          <w:sz w:val="22"/>
          <w:szCs w:val="22"/>
        </w:rPr>
        <w:t>;</w:t>
      </w:r>
      <w:r w:rsidR="00FA1421" w:rsidRPr="007B302E">
        <w:rPr>
          <w:bCs/>
          <w:sz w:val="22"/>
          <w:szCs w:val="22"/>
        </w:rPr>
        <w:t xml:space="preserve"> </w:t>
      </w:r>
      <w:r w:rsidR="00740727" w:rsidRPr="007B302E">
        <w:rPr>
          <w:bCs/>
          <w:sz w:val="22"/>
          <w:szCs w:val="22"/>
        </w:rPr>
        <w:t>y</w:t>
      </w:r>
      <w:r w:rsidR="00FA1421" w:rsidRPr="007B302E">
        <w:rPr>
          <w:bCs/>
          <w:sz w:val="22"/>
          <w:szCs w:val="22"/>
        </w:rPr>
        <w:t>,</w:t>
      </w:r>
      <w:r w:rsidR="00740727" w:rsidRPr="007B302E">
        <w:rPr>
          <w:bCs/>
          <w:sz w:val="22"/>
          <w:szCs w:val="22"/>
        </w:rPr>
        <w:t xml:space="preserve"> l</w:t>
      </w:r>
      <w:r w:rsidR="00975599" w:rsidRPr="007B302E">
        <w:rPr>
          <w:bCs/>
          <w:sz w:val="22"/>
          <w:szCs w:val="22"/>
        </w:rPr>
        <w:t xml:space="preserve">as constantes en el Oficio </w:t>
      </w:r>
      <w:r w:rsidR="00F96517" w:rsidRPr="00D37A73">
        <w:rPr>
          <w:rFonts w:eastAsiaTheme="minorHAnsi"/>
          <w:sz w:val="22"/>
          <w:szCs w:val="22"/>
          <w:lang w:val="es-EC" w:eastAsia="en-US"/>
        </w:rPr>
        <w:t>GADDMQ-SGSG-DMGR-2019-1005-OF</w:t>
      </w:r>
      <w:r w:rsidR="00F96517" w:rsidRPr="001278F3">
        <w:rPr>
          <w:rFonts w:eastAsiaTheme="minorHAnsi"/>
          <w:sz w:val="22"/>
          <w:szCs w:val="22"/>
          <w:lang w:val="es-EC" w:eastAsia="en-US"/>
        </w:rPr>
        <w:t>, de 03 de diciembre de 2019, emitido por el Director Metropolitano de Gestión de Riesgo, de la Secretaría General de Seguridad y Gobernabilidad,</w:t>
      </w:r>
      <w:r w:rsidR="00F96517" w:rsidRPr="001278F3">
        <w:rPr>
          <w:sz w:val="22"/>
          <w:szCs w:val="22"/>
        </w:rPr>
        <w:t xml:space="preserve"> </w:t>
      </w:r>
      <w:r w:rsidR="00F96517" w:rsidRPr="001278F3">
        <w:rPr>
          <w:rFonts w:eastAsiaTheme="minorHAnsi"/>
          <w:sz w:val="22"/>
          <w:szCs w:val="22"/>
          <w:lang w:val="es-EC" w:eastAsia="en-US"/>
        </w:rPr>
        <w:t xml:space="preserve">se </w:t>
      </w:r>
      <w:r w:rsidR="00F96517">
        <w:rPr>
          <w:rFonts w:eastAsiaTheme="minorHAnsi"/>
          <w:sz w:val="22"/>
          <w:szCs w:val="22"/>
          <w:lang w:val="es-EC" w:eastAsia="en-US"/>
        </w:rPr>
        <w:t xml:space="preserve">ratifica en la calificación del nivel del riesgo frente a movimientos en masa, indicando que el </w:t>
      </w:r>
      <w:r w:rsidR="00B61E77">
        <w:rPr>
          <w:sz w:val="22"/>
          <w:szCs w:val="22"/>
        </w:rPr>
        <w:t>asentamiento humano de hecho y consolidado de interés social denominado</w:t>
      </w:r>
      <w:r w:rsidR="00F96517">
        <w:rPr>
          <w:rFonts w:eastAsiaTheme="minorHAnsi"/>
          <w:sz w:val="22"/>
          <w:szCs w:val="22"/>
          <w:lang w:val="es-EC" w:eastAsia="en-US"/>
        </w:rPr>
        <w:t xml:space="preserve"> “Santa Ana Alta de </w:t>
      </w:r>
      <w:proofErr w:type="spellStart"/>
      <w:r w:rsidR="00F96517">
        <w:rPr>
          <w:rFonts w:eastAsiaTheme="minorHAnsi"/>
          <w:sz w:val="22"/>
          <w:szCs w:val="22"/>
          <w:lang w:val="es-EC" w:eastAsia="en-US"/>
        </w:rPr>
        <w:t>Cotocollao</w:t>
      </w:r>
      <w:proofErr w:type="spellEnd"/>
      <w:r w:rsidR="00F96517">
        <w:rPr>
          <w:rFonts w:eastAsiaTheme="minorHAnsi"/>
          <w:sz w:val="22"/>
          <w:szCs w:val="22"/>
          <w:lang w:val="es-EC" w:eastAsia="en-US"/>
        </w:rPr>
        <w:t xml:space="preserve"> Etapa II” en general presenta un Riesgo Moderado, sin embargo se debe rectificar indicando que el nivel de riesgo es Mitigable, en tal virtud y con las observaciones realizadas, la Dirección Metropolitana de Gestión de Riesgos indica que el </w:t>
      </w:r>
      <w:r w:rsidR="00B61E77">
        <w:rPr>
          <w:sz w:val="22"/>
          <w:szCs w:val="22"/>
        </w:rPr>
        <w:t>asentamiento humano de hecho y consolidado de interés social denominado</w:t>
      </w:r>
      <w:r w:rsidR="00B61E77">
        <w:rPr>
          <w:rFonts w:eastAsiaTheme="minorHAnsi"/>
          <w:sz w:val="22"/>
          <w:szCs w:val="22"/>
          <w:lang w:val="es-EC" w:eastAsia="en-US"/>
        </w:rPr>
        <w:t xml:space="preserve"> </w:t>
      </w:r>
      <w:r w:rsidR="00F96517">
        <w:rPr>
          <w:rFonts w:eastAsiaTheme="minorHAnsi"/>
          <w:sz w:val="22"/>
          <w:szCs w:val="22"/>
          <w:lang w:val="es-EC" w:eastAsia="en-US"/>
        </w:rPr>
        <w:t>“Santa Ana Alta”</w:t>
      </w:r>
      <w:r w:rsidR="0027642B">
        <w:rPr>
          <w:rFonts w:eastAsiaTheme="minorHAnsi"/>
          <w:sz w:val="22"/>
          <w:szCs w:val="22"/>
          <w:lang w:val="es-EC" w:eastAsia="en-US"/>
        </w:rPr>
        <w:t xml:space="preserve"> Etapa II, </w:t>
      </w:r>
      <w:r w:rsidR="00F96517">
        <w:rPr>
          <w:rFonts w:eastAsiaTheme="minorHAnsi"/>
          <w:sz w:val="22"/>
          <w:szCs w:val="22"/>
          <w:lang w:val="es-EC" w:eastAsia="en-US"/>
        </w:rPr>
        <w:t xml:space="preserve">presenta un </w:t>
      </w:r>
      <w:r w:rsidR="00F96517">
        <w:rPr>
          <w:rFonts w:eastAsiaTheme="minorHAnsi"/>
          <w:b/>
          <w:bCs/>
          <w:sz w:val="22"/>
          <w:szCs w:val="22"/>
          <w:lang w:val="es-EC" w:eastAsia="en-US"/>
        </w:rPr>
        <w:t xml:space="preserve">Riesgo Moderado Mitigable </w:t>
      </w:r>
      <w:r w:rsidR="00F96517" w:rsidRPr="0027642B">
        <w:rPr>
          <w:rFonts w:eastAsiaTheme="minorHAnsi"/>
          <w:bCs/>
          <w:sz w:val="22"/>
          <w:szCs w:val="22"/>
          <w:lang w:val="es-EC" w:eastAsia="en-US"/>
        </w:rPr>
        <w:t>para</w:t>
      </w:r>
      <w:r w:rsidR="00F96517" w:rsidRPr="0027642B">
        <w:rPr>
          <w:rFonts w:eastAsiaTheme="minorHAnsi"/>
          <w:sz w:val="22"/>
          <w:szCs w:val="22"/>
          <w:lang w:val="es-EC" w:eastAsia="en-US"/>
        </w:rPr>
        <w:t xml:space="preserve"> </w:t>
      </w:r>
      <w:r w:rsidR="00F96517" w:rsidRPr="0027642B">
        <w:rPr>
          <w:rFonts w:eastAsiaTheme="minorHAnsi"/>
          <w:bCs/>
          <w:sz w:val="22"/>
          <w:szCs w:val="22"/>
          <w:lang w:val="es-EC" w:eastAsia="en-US"/>
        </w:rPr>
        <w:t>todos los lotes</w:t>
      </w:r>
      <w:r w:rsidR="0027642B" w:rsidRPr="0027642B">
        <w:rPr>
          <w:rFonts w:eastAsiaTheme="minorHAnsi"/>
          <w:bCs/>
          <w:sz w:val="22"/>
          <w:szCs w:val="22"/>
          <w:lang w:val="es-EC" w:eastAsia="en-US"/>
        </w:rPr>
        <w:t>.</w:t>
      </w:r>
    </w:p>
    <w:p w:rsidR="006C3481" w:rsidRPr="006C3481" w:rsidRDefault="006C3481" w:rsidP="00EB540C">
      <w:pPr>
        <w:autoSpaceDE w:val="0"/>
        <w:autoSpaceDN w:val="0"/>
        <w:adjustRightInd w:val="0"/>
        <w:spacing w:before="240" w:line="276" w:lineRule="auto"/>
        <w:jc w:val="both"/>
        <w:rPr>
          <w:sz w:val="22"/>
          <w:szCs w:val="22"/>
        </w:rPr>
      </w:pPr>
      <w:r w:rsidRPr="00B01331">
        <w:rPr>
          <w:iCs/>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9E5A56" w:rsidRDefault="009E5A56" w:rsidP="009E5A56">
      <w:pPr>
        <w:spacing w:line="276" w:lineRule="auto"/>
        <w:jc w:val="both"/>
        <w:rPr>
          <w:sz w:val="22"/>
          <w:szCs w:val="22"/>
        </w:rPr>
      </w:pPr>
    </w:p>
    <w:p w:rsidR="00D62654" w:rsidRPr="00570EDF" w:rsidRDefault="00D62654" w:rsidP="00D62654">
      <w:pPr>
        <w:spacing w:after="240" w:line="276" w:lineRule="auto"/>
        <w:jc w:val="both"/>
        <w:rPr>
          <w:sz w:val="22"/>
          <w:szCs w:val="22"/>
        </w:rPr>
      </w:pPr>
      <w:r w:rsidRPr="00570EDF">
        <w:rPr>
          <w:bCs/>
          <w:sz w:val="22"/>
          <w:szCs w:val="22"/>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w:t>
      </w:r>
      <w:r w:rsidRPr="00570EDF">
        <w:rPr>
          <w:bCs/>
          <w:sz w:val="22"/>
          <w:szCs w:val="22"/>
        </w:rPr>
        <w:lastRenderedPageBreak/>
        <w:t>Seguridad Ciudadana de la Adm</w:t>
      </w:r>
      <w:r>
        <w:rPr>
          <w:bCs/>
          <w:sz w:val="22"/>
          <w:szCs w:val="22"/>
        </w:rPr>
        <w:t>inistración Zonal La Delicia,</w:t>
      </w:r>
      <w:r w:rsidRPr="00570EDF">
        <w:rPr>
          <w:bCs/>
          <w:sz w:val="22"/>
          <w:szCs w:val="22"/>
        </w:rPr>
        <w:t xml:space="preserve"> para su seguimiento y control respectivo. En el caso de no haberse presentado el cronograma de obras referido, </w:t>
      </w:r>
      <w:r w:rsidRPr="00570EDF">
        <w:rPr>
          <w:sz w:val="22"/>
          <w:szCs w:val="22"/>
        </w:rPr>
        <w:t>el Concejo Metropolitano podrá revocar la presente ordenanza, notificándose del particular a la Agencia Metropolitana de Control, para que se inicie las acciones pertinentes.</w:t>
      </w:r>
    </w:p>
    <w:p w:rsidR="00D62654" w:rsidRPr="00570EDF" w:rsidRDefault="00D62654" w:rsidP="00D62654">
      <w:pPr>
        <w:spacing w:after="240" w:line="276" w:lineRule="auto"/>
        <w:jc w:val="both"/>
        <w:rPr>
          <w:sz w:val="22"/>
          <w:szCs w:val="22"/>
        </w:rPr>
      </w:pPr>
      <w:r w:rsidRPr="00570EDF">
        <w:rPr>
          <w:sz w:val="22"/>
          <w:szCs w:val="22"/>
        </w:rPr>
        <w:t xml:space="preserve">La Agencia Metropolitana de Control será notificada con el cronograma de obras de mitigación y realizará el seguimiento en la ejecución y avance de las obras de mitigación hasta la terminación de las mismas. </w:t>
      </w:r>
    </w:p>
    <w:p w:rsidR="00D62654" w:rsidRPr="00570EDF" w:rsidRDefault="00D62654" w:rsidP="00D62654">
      <w:pPr>
        <w:jc w:val="both"/>
        <w:rPr>
          <w:bCs/>
          <w:iCs/>
          <w:sz w:val="22"/>
          <w:szCs w:val="22"/>
        </w:rPr>
      </w:pPr>
      <w:r w:rsidRPr="00570ED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D62654" w:rsidRDefault="00D62654" w:rsidP="0050154C">
      <w:pPr>
        <w:spacing w:after="240" w:line="276" w:lineRule="auto"/>
        <w:contextualSpacing/>
        <w:jc w:val="both"/>
        <w:rPr>
          <w:b/>
          <w:sz w:val="22"/>
          <w:szCs w:val="22"/>
        </w:rPr>
      </w:pPr>
    </w:p>
    <w:p w:rsidR="00596910" w:rsidRPr="00A24D81" w:rsidRDefault="00361728" w:rsidP="0050154C">
      <w:pPr>
        <w:spacing w:after="240" w:line="276" w:lineRule="auto"/>
        <w:contextualSpacing/>
        <w:jc w:val="both"/>
        <w:rPr>
          <w:sz w:val="22"/>
          <w:szCs w:val="22"/>
        </w:rPr>
      </w:pPr>
      <w:r w:rsidRPr="00A24D81">
        <w:rPr>
          <w:b/>
          <w:sz w:val="22"/>
          <w:szCs w:val="22"/>
        </w:rPr>
        <w:t xml:space="preserve">Articulo </w:t>
      </w:r>
      <w:r w:rsidR="00433A3F">
        <w:rPr>
          <w:b/>
          <w:sz w:val="22"/>
          <w:szCs w:val="22"/>
        </w:rPr>
        <w:t>12</w:t>
      </w:r>
      <w:r w:rsidRPr="00A24D81">
        <w:rPr>
          <w:b/>
          <w:sz w:val="22"/>
          <w:szCs w:val="22"/>
        </w:rPr>
        <w:t>.-</w:t>
      </w:r>
      <w:r w:rsidRPr="00A24D81">
        <w:rPr>
          <w:sz w:val="22"/>
          <w:szCs w:val="22"/>
        </w:rPr>
        <w:t xml:space="preserve"> </w:t>
      </w:r>
      <w:r w:rsidRPr="00A24D81">
        <w:rPr>
          <w:b/>
          <w:bCs/>
          <w:sz w:val="22"/>
          <w:szCs w:val="22"/>
        </w:rPr>
        <w:t>De</w:t>
      </w:r>
      <w:r w:rsidR="00650446">
        <w:rPr>
          <w:b/>
          <w:bCs/>
          <w:sz w:val="22"/>
          <w:szCs w:val="22"/>
        </w:rPr>
        <w:t xml:space="preserve"> l</w:t>
      </w:r>
      <w:r w:rsidR="008A42B1">
        <w:rPr>
          <w:b/>
          <w:bCs/>
          <w:sz w:val="22"/>
          <w:szCs w:val="22"/>
        </w:rPr>
        <w:t>o</w:t>
      </w:r>
      <w:r w:rsidR="00650446">
        <w:rPr>
          <w:b/>
          <w:bCs/>
          <w:sz w:val="22"/>
          <w:szCs w:val="22"/>
        </w:rPr>
        <w:t xml:space="preserve">s </w:t>
      </w:r>
      <w:r w:rsidR="008A42B1">
        <w:rPr>
          <w:b/>
          <w:bCs/>
          <w:sz w:val="22"/>
          <w:szCs w:val="22"/>
        </w:rPr>
        <w:t>Pasajes</w:t>
      </w:r>
      <w:r w:rsidR="0081387B" w:rsidRPr="00A24D81">
        <w:rPr>
          <w:b/>
          <w:bCs/>
          <w:sz w:val="22"/>
          <w:szCs w:val="22"/>
        </w:rPr>
        <w:t>. -</w:t>
      </w:r>
      <w:r w:rsidRPr="00A24D81">
        <w:rPr>
          <w:b/>
          <w:bCs/>
          <w:sz w:val="22"/>
          <w:szCs w:val="22"/>
        </w:rPr>
        <w:t xml:space="preserve"> </w:t>
      </w:r>
      <w:r w:rsidRPr="00A24D81">
        <w:rPr>
          <w:sz w:val="22"/>
          <w:szCs w:val="22"/>
        </w:rPr>
        <w:t xml:space="preserve">El </w:t>
      </w:r>
      <w:r w:rsidR="002918F7" w:rsidRPr="00A24D81">
        <w:rPr>
          <w:sz w:val="22"/>
          <w:szCs w:val="22"/>
        </w:rPr>
        <w:t>asentamiento humano de hecho y consolidado de interés social</w:t>
      </w:r>
      <w:r w:rsidRPr="00A24D81">
        <w:rPr>
          <w:bCs/>
          <w:iCs/>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AA4F40" w:rsidRPr="00A24D81">
        <w:rPr>
          <w:bCs/>
          <w:sz w:val="22"/>
          <w:szCs w:val="22"/>
        </w:rPr>
        <w:t xml:space="preserve">, </w:t>
      </w:r>
      <w:r w:rsidR="00D61E64" w:rsidRPr="00A24D81">
        <w:rPr>
          <w:bCs/>
          <w:sz w:val="22"/>
          <w:szCs w:val="22"/>
        </w:rPr>
        <w:t xml:space="preserve"> </w:t>
      </w:r>
      <w:r w:rsidRPr="00A24D81">
        <w:rPr>
          <w:sz w:val="22"/>
          <w:szCs w:val="22"/>
        </w:rPr>
        <w:t xml:space="preserve">contempla un sistema vial de uso público, debido a que éste es un </w:t>
      </w:r>
      <w:r w:rsidR="002918F7" w:rsidRPr="00A24D81">
        <w:rPr>
          <w:sz w:val="22"/>
          <w:szCs w:val="22"/>
        </w:rPr>
        <w:t>asentamiento humano de hecho y consolidado de interés social</w:t>
      </w:r>
      <w:r w:rsidRPr="00A24D81">
        <w:rPr>
          <w:sz w:val="22"/>
          <w:szCs w:val="22"/>
        </w:rPr>
        <w:t xml:space="preserve"> de </w:t>
      </w:r>
      <w:r w:rsidR="005014AE">
        <w:rPr>
          <w:sz w:val="22"/>
          <w:szCs w:val="22"/>
        </w:rPr>
        <w:t>38</w:t>
      </w:r>
      <w:r w:rsidRPr="00A24D81">
        <w:rPr>
          <w:sz w:val="22"/>
          <w:szCs w:val="22"/>
        </w:rPr>
        <w:t xml:space="preserve"> años de existencia, con </w:t>
      </w:r>
      <w:r w:rsidR="00F96517">
        <w:rPr>
          <w:sz w:val="22"/>
          <w:szCs w:val="22"/>
        </w:rPr>
        <w:t>100</w:t>
      </w:r>
      <w:r w:rsidR="00727CDD" w:rsidRPr="00A24D81">
        <w:rPr>
          <w:sz w:val="22"/>
          <w:szCs w:val="22"/>
        </w:rPr>
        <w:t>%</w:t>
      </w:r>
      <w:r w:rsidR="001E1CA2" w:rsidRPr="00A24D81">
        <w:rPr>
          <w:sz w:val="22"/>
          <w:szCs w:val="22"/>
        </w:rPr>
        <w:t xml:space="preserve"> </w:t>
      </w:r>
      <w:r w:rsidRPr="00A24D81">
        <w:rPr>
          <w:sz w:val="22"/>
          <w:szCs w:val="22"/>
        </w:rPr>
        <w:t xml:space="preserve">de consolidación de viviendas y se encuentra ejecutando obras </w:t>
      </w:r>
      <w:r w:rsidR="00107A55" w:rsidRPr="00A24D81">
        <w:rPr>
          <w:sz w:val="22"/>
          <w:szCs w:val="22"/>
        </w:rPr>
        <w:t>civiles</w:t>
      </w:r>
      <w:r w:rsidRPr="00A24D81">
        <w:rPr>
          <w:sz w:val="22"/>
          <w:szCs w:val="22"/>
        </w:rPr>
        <w:t xml:space="preserve">, </w:t>
      </w:r>
      <w:r w:rsidR="00596910" w:rsidRPr="00A24D81">
        <w:rPr>
          <w:sz w:val="22"/>
          <w:szCs w:val="22"/>
        </w:rPr>
        <w:t xml:space="preserve">razón por la cual los anchos viales se sujetarán al plano adjunto a la presente ordenanza. </w:t>
      </w:r>
    </w:p>
    <w:p w:rsidR="00596910" w:rsidRPr="00A24D81" w:rsidRDefault="00596910" w:rsidP="00086F22">
      <w:pPr>
        <w:pStyle w:val="Textoindependiente"/>
        <w:spacing w:line="276" w:lineRule="auto"/>
        <w:jc w:val="both"/>
        <w:rPr>
          <w:sz w:val="22"/>
          <w:szCs w:val="22"/>
        </w:rPr>
      </w:pPr>
      <w:r w:rsidRPr="00A24D81">
        <w:rPr>
          <w:sz w:val="22"/>
          <w:szCs w:val="22"/>
        </w:rPr>
        <w:t xml:space="preserve">Se </w:t>
      </w:r>
      <w:r w:rsidR="003F5AD0" w:rsidRPr="00A24D81">
        <w:rPr>
          <w:sz w:val="22"/>
          <w:szCs w:val="22"/>
        </w:rPr>
        <w:t>regulariza</w:t>
      </w:r>
      <w:r w:rsidRPr="00A24D81">
        <w:rPr>
          <w:sz w:val="22"/>
          <w:szCs w:val="22"/>
        </w:rPr>
        <w:t xml:space="preserve"> </w:t>
      </w:r>
      <w:r w:rsidR="00F96517">
        <w:rPr>
          <w:sz w:val="22"/>
          <w:szCs w:val="22"/>
        </w:rPr>
        <w:t>e</w:t>
      </w:r>
      <w:r w:rsidR="008A42B1">
        <w:rPr>
          <w:sz w:val="22"/>
          <w:szCs w:val="22"/>
        </w:rPr>
        <w:t>l</w:t>
      </w:r>
      <w:r w:rsidR="00AA4F40" w:rsidRPr="00A24D81">
        <w:rPr>
          <w:sz w:val="22"/>
          <w:szCs w:val="22"/>
        </w:rPr>
        <w:t xml:space="preserve"> </w:t>
      </w:r>
      <w:r w:rsidR="008A42B1">
        <w:rPr>
          <w:sz w:val="22"/>
          <w:szCs w:val="22"/>
        </w:rPr>
        <w:t>pasaje</w:t>
      </w:r>
      <w:r w:rsidR="00AA4F40" w:rsidRPr="00A24D81">
        <w:rPr>
          <w:sz w:val="22"/>
          <w:szCs w:val="22"/>
        </w:rPr>
        <w:t xml:space="preserve"> </w:t>
      </w:r>
      <w:r w:rsidRPr="00A24D81">
        <w:rPr>
          <w:sz w:val="22"/>
          <w:szCs w:val="22"/>
        </w:rPr>
        <w:t>con l</w:t>
      </w:r>
      <w:r w:rsidR="008A42B1">
        <w:rPr>
          <w:sz w:val="22"/>
          <w:szCs w:val="22"/>
        </w:rPr>
        <w:t>os</w:t>
      </w:r>
      <w:r w:rsidRPr="00A24D81">
        <w:rPr>
          <w:sz w:val="22"/>
          <w:szCs w:val="22"/>
        </w:rPr>
        <w:t xml:space="preserve"> siguiente</w:t>
      </w:r>
      <w:r w:rsidR="008A42B1">
        <w:rPr>
          <w:sz w:val="22"/>
          <w:szCs w:val="22"/>
        </w:rPr>
        <w:t>s</w:t>
      </w:r>
      <w:r w:rsidRPr="00A24D81">
        <w:rPr>
          <w:sz w:val="22"/>
          <w:szCs w:val="22"/>
        </w:rPr>
        <w:t xml:space="preserve"> ancho</w:t>
      </w:r>
      <w:r w:rsidR="008A42B1">
        <w:rPr>
          <w:sz w:val="22"/>
          <w:szCs w:val="22"/>
        </w:rPr>
        <w:t>s</w:t>
      </w:r>
      <w:r w:rsidRPr="00A24D81">
        <w:rPr>
          <w:sz w:val="22"/>
          <w:szCs w:val="22"/>
        </w:rPr>
        <w:t>:</w:t>
      </w:r>
    </w:p>
    <w:tbl>
      <w:tblPr>
        <w:tblStyle w:val="Tablaconcuadrcula"/>
        <w:tblW w:w="8784" w:type="dxa"/>
        <w:tblLook w:val="04A0" w:firstRow="1" w:lastRow="0" w:firstColumn="1" w:lastColumn="0" w:noHBand="0" w:noVBand="1"/>
      </w:tblPr>
      <w:tblGrid>
        <w:gridCol w:w="3964"/>
        <w:gridCol w:w="4820"/>
      </w:tblGrid>
      <w:tr w:rsidR="00975599" w:rsidRPr="00A24D81" w:rsidTr="00EB540C">
        <w:trPr>
          <w:trHeight w:val="232"/>
        </w:trPr>
        <w:tc>
          <w:tcPr>
            <w:tcW w:w="3964" w:type="dxa"/>
          </w:tcPr>
          <w:p w:rsidR="00975599" w:rsidRPr="008A136A" w:rsidRDefault="008A42B1" w:rsidP="00F96517">
            <w:pPr>
              <w:contextualSpacing/>
              <w:jc w:val="both"/>
              <w:rPr>
                <w:color w:val="000000" w:themeColor="text1"/>
                <w:sz w:val="22"/>
                <w:szCs w:val="22"/>
              </w:rPr>
            </w:pPr>
            <w:r w:rsidRPr="008A136A">
              <w:rPr>
                <w:sz w:val="22"/>
                <w:szCs w:val="22"/>
              </w:rPr>
              <w:t>Pasaje Oe1</w:t>
            </w:r>
            <w:r w:rsidR="00F96517">
              <w:rPr>
                <w:sz w:val="22"/>
                <w:szCs w:val="22"/>
              </w:rPr>
              <w:t>2C</w:t>
            </w:r>
          </w:p>
        </w:tc>
        <w:tc>
          <w:tcPr>
            <w:tcW w:w="4820" w:type="dxa"/>
          </w:tcPr>
          <w:p w:rsidR="00975599" w:rsidRPr="008A136A" w:rsidRDefault="00F96517" w:rsidP="00EB540C">
            <w:pPr>
              <w:spacing w:line="276" w:lineRule="auto"/>
              <w:jc w:val="both"/>
              <w:rPr>
                <w:color w:val="000000" w:themeColor="text1"/>
                <w:sz w:val="22"/>
                <w:szCs w:val="22"/>
              </w:rPr>
            </w:pPr>
            <w:r>
              <w:rPr>
                <w:sz w:val="22"/>
                <w:szCs w:val="22"/>
              </w:rPr>
              <w:t>3,00</w:t>
            </w:r>
            <w:r w:rsidR="008A42B1" w:rsidRPr="008A136A">
              <w:rPr>
                <w:sz w:val="22"/>
                <w:szCs w:val="22"/>
              </w:rPr>
              <w:t xml:space="preserve">m </w:t>
            </w:r>
          </w:p>
        </w:tc>
      </w:tr>
    </w:tbl>
    <w:p w:rsidR="0094723F" w:rsidRPr="00A24D81" w:rsidRDefault="002578F2" w:rsidP="00086F22">
      <w:pPr>
        <w:tabs>
          <w:tab w:val="left" w:pos="4935"/>
        </w:tabs>
        <w:spacing w:line="276" w:lineRule="auto"/>
        <w:jc w:val="both"/>
        <w:rPr>
          <w:sz w:val="22"/>
          <w:szCs w:val="22"/>
        </w:rPr>
      </w:pPr>
      <w:r w:rsidRPr="00A24D81">
        <w:rPr>
          <w:sz w:val="22"/>
          <w:szCs w:val="22"/>
        </w:rPr>
        <w:tab/>
      </w:r>
    </w:p>
    <w:p w:rsidR="00975599" w:rsidRPr="00A24D81" w:rsidRDefault="00DA36A8" w:rsidP="00EB540C">
      <w:pPr>
        <w:spacing w:line="276" w:lineRule="auto"/>
        <w:jc w:val="both"/>
        <w:rPr>
          <w:sz w:val="22"/>
          <w:szCs w:val="22"/>
        </w:rPr>
      </w:pPr>
      <w:r w:rsidRPr="00A24D81">
        <w:rPr>
          <w:b/>
          <w:bCs/>
          <w:sz w:val="22"/>
          <w:szCs w:val="22"/>
        </w:rPr>
        <w:t xml:space="preserve">Artículo </w:t>
      </w:r>
      <w:r w:rsidR="00A74511">
        <w:rPr>
          <w:b/>
          <w:bCs/>
          <w:sz w:val="22"/>
          <w:szCs w:val="22"/>
        </w:rPr>
        <w:t>12</w:t>
      </w:r>
      <w:r w:rsidRPr="00A24D81">
        <w:rPr>
          <w:b/>
          <w:bCs/>
          <w:sz w:val="22"/>
          <w:szCs w:val="22"/>
        </w:rPr>
        <w:t xml:space="preserve">.- De las obras a </w:t>
      </w:r>
      <w:r w:rsidR="0088568C" w:rsidRPr="00A24D81">
        <w:rPr>
          <w:b/>
          <w:bCs/>
          <w:sz w:val="22"/>
          <w:szCs w:val="22"/>
        </w:rPr>
        <w:t>ejecutarse. -</w:t>
      </w:r>
      <w:r w:rsidRPr="00A24D81">
        <w:rPr>
          <w:b/>
          <w:bCs/>
          <w:sz w:val="22"/>
          <w:szCs w:val="22"/>
        </w:rPr>
        <w:t xml:space="preserve"> </w:t>
      </w:r>
      <w:r w:rsidR="00975599" w:rsidRPr="00A24D81">
        <w:rPr>
          <w:sz w:val="22"/>
          <w:szCs w:val="22"/>
        </w:rPr>
        <w:t>La</w:t>
      </w:r>
      <w:r w:rsidR="00F96517">
        <w:rPr>
          <w:sz w:val="22"/>
          <w:szCs w:val="22"/>
        </w:rPr>
        <w:t>s</w:t>
      </w:r>
      <w:r w:rsidR="00975599" w:rsidRPr="00A24D81">
        <w:rPr>
          <w:sz w:val="22"/>
          <w:szCs w:val="22"/>
        </w:rPr>
        <w:t xml:space="preserve"> obra</w:t>
      </w:r>
      <w:r w:rsidR="00F96517">
        <w:rPr>
          <w:sz w:val="22"/>
          <w:szCs w:val="22"/>
        </w:rPr>
        <w:t>s</w:t>
      </w:r>
      <w:r w:rsidR="00975599" w:rsidRPr="00A24D81">
        <w:rPr>
          <w:sz w:val="22"/>
          <w:szCs w:val="22"/>
        </w:rPr>
        <w:t xml:space="preserve"> </w:t>
      </w:r>
      <w:r w:rsidR="00975599" w:rsidRPr="00A24D81">
        <w:rPr>
          <w:color w:val="000000" w:themeColor="text1"/>
          <w:sz w:val="22"/>
          <w:szCs w:val="22"/>
        </w:rPr>
        <w:t>civil</w:t>
      </w:r>
      <w:r w:rsidR="00F96517">
        <w:rPr>
          <w:color w:val="000000" w:themeColor="text1"/>
          <w:sz w:val="22"/>
          <w:szCs w:val="22"/>
        </w:rPr>
        <w:t>es</w:t>
      </w:r>
      <w:r w:rsidR="00975599" w:rsidRPr="00A24D81">
        <w:rPr>
          <w:color w:val="000000" w:themeColor="text1"/>
          <w:sz w:val="22"/>
          <w:szCs w:val="22"/>
        </w:rPr>
        <w:t xml:space="preserve"> </w:t>
      </w:r>
      <w:r w:rsidR="00975599" w:rsidRPr="00A24D81">
        <w:rPr>
          <w:sz w:val="22"/>
          <w:szCs w:val="22"/>
        </w:rPr>
        <w:t xml:space="preserve">a ejecutarse en el </w:t>
      </w:r>
      <w:r w:rsidR="002918F7" w:rsidRPr="00A24D81">
        <w:rPr>
          <w:sz w:val="22"/>
          <w:szCs w:val="22"/>
        </w:rPr>
        <w:t>asentamiento humano de hecho y consolidado de interés social</w:t>
      </w:r>
      <w:r w:rsidR="00975599" w:rsidRPr="00A24D81">
        <w:rPr>
          <w:sz w:val="22"/>
          <w:szCs w:val="22"/>
        </w:rPr>
        <w:t>, s</w:t>
      </w:r>
      <w:r w:rsidR="00F96517">
        <w:rPr>
          <w:sz w:val="22"/>
          <w:szCs w:val="22"/>
        </w:rPr>
        <w:t>on</w:t>
      </w:r>
      <w:r w:rsidR="00975599" w:rsidRPr="00A24D81">
        <w:rPr>
          <w:sz w:val="22"/>
          <w:szCs w:val="22"/>
        </w:rPr>
        <w:t> la</w:t>
      </w:r>
      <w:r w:rsidR="00F96517">
        <w:rPr>
          <w:sz w:val="22"/>
          <w:szCs w:val="22"/>
        </w:rPr>
        <w:t>s</w:t>
      </w:r>
      <w:r w:rsidR="00975599" w:rsidRPr="00A24D81">
        <w:rPr>
          <w:sz w:val="22"/>
          <w:szCs w:val="22"/>
        </w:rPr>
        <w:t xml:space="preserve"> siguiente</w:t>
      </w:r>
      <w:r w:rsidR="00F96517">
        <w:rPr>
          <w:sz w:val="22"/>
          <w:szCs w:val="22"/>
        </w:rPr>
        <w:t>s</w:t>
      </w:r>
      <w:r w:rsidR="00975599" w:rsidRPr="00A24D81">
        <w:rPr>
          <w:sz w:val="22"/>
          <w:szCs w:val="22"/>
        </w:rPr>
        <w:t xml:space="preserve">: </w:t>
      </w:r>
    </w:p>
    <w:tbl>
      <w:tblPr>
        <w:tblStyle w:val="Tablaconcuadrcula"/>
        <w:tblW w:w="8784" w:type="dxa"/>
        <w:tblLook w:val="04A0" w:firstRow="1" w:lastRow="0" w:firstColumn="1" w:lastColumn="0" w:noHBand="0" w:noVBand="1"/>
      </w:tblPr>
      <w:tblGrid>
        <w:gridCol w:w="3964"/>
        <w:gridCol w:w="4820"/>
      </w:tblGrid>
      <w:tr w:rsidR="00975599" w:rsidRPr="00A24D81" w:rsidTr="00671862">
        <w:tc>
          <w:tcPr>
            <w:tcW w:w="3964" w:type="dxa"/>
          </w:tcPr>
          <w:p w:rsidR="00975599" w:rsidRPr="00A24D81" w:rsidRDefault="00975599" w:rsidP="006C3481">
            <w:pPr>
              <w:spacing w:line="276" w:lineRule="auto"/>
              <w:jc w:val="both"/>
              <w:rPr>
                <w:sz w:val="22"/>
                <w:szCs w:val="22"/>
              </w:rPr>
            </w:pPr>
            <w:r w:rsidRPr="00A24D81">
              <w:rPr>
                <w:sz w:val="22"/>
                <w:szCs w:val="22"/>
              </w:rPr>
              <w:t>Calzadas</w:t>
            </w:r>
          </w:p>
        </w:tc>
        <w:tc>
          <w:tcPr>
            <w:tcW w:w="4820" w:type="dxa"/>
          </w:tcPr>
          <w:p w:rsidR="00975599" w:rsidRPr="00A24D81" w:rsidRDefault="00975599" w:rsidP="006C3481">
            <w:pPr>
              <w:spacing w:line="276" w:lineRule="auto"/>
              <w:jc w:val="both"/>
              <w:rPr>
                <w:sz w:val="22"/>
                <w:szCs w:val="22"/>
              </w:rPr>
            </w:pPr>
            <w:r w:rsidRPr="00A24D81">
              <w:rPr>
                <w:sz w:val="22"/>
                <w:szCs w:val="22"/>
              </w:rPr>
              <w:t>100%</w:t>
            </w:r>
          </w:p>
        </w:tc>
      </w:tr>
      <w:tr w:rsidR="00F96517" w:rsidRPr="00A24D81" w:rsidTr="00671862">
        <w:tc>
          <w:tcPr>
            <w:tcW w:w="3964" w:type="dxa"/>
          </w:tcPr>
          <w:p w:rsidR="00F96517" w:rsidRPr="00A24D81" w:rsidRDefault="00F96517" w:rsidP="006C3481">
            <w:pPr>
              <w:spacing w:line="276" w:lineRule="auto"/>
              <w:jc w:val="both"/>
              <w:rPr>
                <w:sz w:val="22"/>
                <w:szCs w:val="22"/>
              </w:rPr>
            </w:pPr>
            <w:r>
              <w:rPr>
                <w:sz w:val="22"/>
                <w:szCs w:val="22"/>
              </w:rPr>
              <w:t>Bordillos</w:t>
            </w:r>
          </w:p>
        </w:tc>
        <w:tc>
          <w:tcPr>
            <w:tcW w:w="4820" w:type="dxa"/>
          </w:tcPr>
          <w:p w:rsidR="00F96517" w:rsidRPr="00A24D81" w:rsidRDefault="00F96517" w:rsidP="006C3481">
            <w:pPr>
              <w:spacing w:line="276" w:lineRule="auto"/>
              <w:jc w:val="both"/>
              <w:rPr>
                <w:sz w:val="22"/>
                <w:szCs w:val="22"/>
              </w:rPr>
            </w:pPr>
            <w:r>
              <w:rPr>
                <w:sz w:val="22"/>
                <w:szCs w:val="22"/>
              </w:rPr>
              <w:t>100%</w:t>
            </w:r>
          </w:p>
        </w:tc>
      </w:tr>
    </w:tbl>
    <w:p w:rsidR="00596910" w:rsidRPr="00A24D81" w:rsidRDefault="00DA36A8" w:rsidP="00706EBA">
      <w:pPr>
        <w:pStyle w:val="Textoindependiente"/>
        <w:spacing w:before="240" w:after="0" w:line="276" w:lineRule="auto"/>
        <w:jc w:val="both"/>
        <w:rPr>
          <w:iCs/>
          <w:sz w:val="22"/>
          <w:szCs w:val="22"/>
        </w:rPr>
      </w:pPr>
      <w:r w:rsidRPr="00A24D81">
        <w:rPr>
          <w:b/>
          <w:bCs/>
          <w:sz w:val="22"/>
          <w:szCs w:val="22"/>
        </w:rPr>
        <w:t xml:space="preserve">Artículo </w:t>
      </w:r>
      <w:r w:rsidR="00A74511">
        <w:rPr>
          <w:b/>
          <w:bCs/>
          <w:sz w:val="22"/>
          <w:szCs w:val="22"/>
        </w:rPr>
        <w:t>13</w:t>
      </w:r>
      <w:r w:rsidRPr="00A24D81">
        <w:rPr>
          <w:b/>
          <w:bCs/>
          <w:sz w:val="22"/>
          <w:szCs w:val="22"/>
        </w:rPr>
        <w:t>.- Del plazo de ejecución de las obras.-</w:t>
      </w:r>
      <w:r w:rsidRPr="00A24D81">
        <w:rPr>
          <w:sz w:val="22"/>
          <w:szCs w:val="22"/>
        </w:rPr>
        <w:t xml:space="preserve"> </w:t>
      </w:r>
      <w:r w:rsidR="00596910" w:rsidRPr="00A24D81">
        <w:rPr>
          <w:sz w:val="22"/>
          <w:szCs w:val="22"/>
          <w:lang w:val="es-EC"/>
        </w:rPr>
        <w:t>El plazo de ejecución de la totalidad de las obras civiles</w:t>
      </w:r>
      <w:r w:rsidR="00596910" w:rsidRPr="007D01F8">
        <w:rPr>
          <w:sz w:val="22"/>
          <w:szCs w:val="22"/>
          <w:lang w:val="es-EC"/>
        </w:rPr>
        <w:t xml:space="preserve">, será de </w:t>
      </w:r>
      <w:r w:rsidR="007F443B" w:rsidRPr="007D01F8">
        <w:rPr>
          <w:sz w:val="22"/>
          <w:szCs w:val="22"/>
          <w:lang w:val="es-EC"/>
        </w:rPr>
        <w:t xml:space="preserve">hasta </w:t>
      </w:r>
      <w:r w:rsidR="00A4184B" w:rsidRPr="007D01F8">
        <w:rPr>
          <w:sz w:val="22"/>
          <w:szCs w:val="22"/>
          <w:lang w:val="es-EC"/>
        </w:rPr>
        <w:t>cinco</w:t>
      </w:r>
      <w:r w:rsidR="00596910" w:rsidRPr="007D01F8">
        <w:rPr>
          <w:sz w:val="22"/>
          <w:szCs w:val="22"/>
          <w:lang w:val="es-EC"/>
        </w:rPr>
        <w:t xml:space="preserve"> (</w:t>
      </w:r>
      <w:r w:rsidR="00D1200A" w:rsidRPr="007D01F8">
        <w:rPr>
          <w:sz w:val="22"/>
          <w:szCs w:val="22"/>
          <w:lang w:val="es-EC"/>
        </w:rPr>
        <w:t>5</w:t>
      </w:r>
      <w:r w:rsidR="00596910" w:rsidRPr="007D01F8">
        <w:rPr>
          <w:sz w:val="22"/>
          <w:szCs w:val="22"/>
          <w:lang w:val="es-EC"/>
        </w:rPr>
        <w:t xml:space="preserve">) años, </w:t>
      </w:r>
      <w:r w:rsidR="00596910" w:rsidRPr="007D01F8">
        <w:rPr>
          <w:iCs/>
          <w:sz w:val="22"/>
          <w:szCs w:val="22"/>
        </w:rPr>
        <w:t>de</w:t>
      </w:r>
      <w:r w:rsidR="00596910" w:rsidRPr="00A24D81">
        <w:rPr>
          <w:iCs/>
          <w:sz w:val="22"/>
          <w:szCs w:val="22"/>
        </w:rPr>
        <w:t xml:space="preserve"> conformidad al cronograma de obras presentado por </w:t>
      </w:r>
      <w:r w:rsidR="00596910" w:rsidRPr="00A24D81">
        <w:rPr>
          <w:sz w:val="22"/>
          <w:szCs w:val="22"/>
        </w:rPr>
        <w:t>los cop</w:t>
      </w:r>
      <w:r w:rsidR="00F14104" w:rsidRPr="00A24D81">
        <w:rPr>
          <w:sz w:val="22"/>
          <w:szCs w:val="22"/>
        </w:rPr>
        <w:t>ropietarios</w:t>
      </w:r>
      <w:r w:rsidR="00596910" w:rsidRPr="00A24D81">
        <w:rPr>
          <w:sz w:val="22"/>
          <w:szCs w:val="22"/>
        </w:rPr>
        <w:t xml:space="preserve"> del inmueble donde se ubica el </w:t>
      </w:r>
      <w:r w:rsidR="002918F7" w:rsidRPr="00A24D81">
        <w:rPr>
          <w:sz w:val="22"/>
          <w:szCs w:val="22"/>
        </w:rPr>
        <w:t>asentamiento humano de hecho y consolidado de interés social</w:t>
      </w:r>
      <w:r w:rsidR="00596910" w:rsidRPr="00A24D81">
        <w:rPr>
          <w:b/>
          <w:sz w:val="22"/>
          <w:szCs w:val="22"/>
        </w:rPr>
        <w:t>,</w:t>
      </w:r>
      <w:r w:rsidR="00F14104" w:rsidRPr="00A24D81">
        <w:rPr>
          <w:b/>
          <w:sz w:val="22"/>
          <w:szCs w:val="22"/>
        </w:rPr>
        <w:t xml:space="preserve"> </w:t>
      </w:r>
      <w:r w:rsidR="00F14104" w:rsidRPr="00A24D81">
        <w:rPr>
          <w:sz w:val="22"/>
          <w:szCs w:val="22"/>
        </w:rPr>
        <w:t>y aprobado por la mesa institucional</w:t>
      </w:r>
      <w:r w:rsidR="00F14104" w:rsidRPr="00A24D81">
        <w:rPr>
          <w:b/>
          <w:sz w:val="22"/>
          <w:szCs w:val="22"/>
        </w:rPr>
        <w:t>,</w:t>
      </w:r>
      <w:r w:rsidR="00596910" w:rsidRPr="00A24D81">
        <w:rPr>
          <w:b/>
          <w:sz w:val="22"/>
          <w:szCs w:val="22"/>
        </w:rPr>
        <w:t xml:space="preserve"> </w:t>
      </w:r>
      <w:r w:rsidR="00596910" w:rsidRPr="00A24D81">
        <w:rPr>
          <w:iCs/>
          <w:sz w:val="22"/>
          <w:szCs w:val="22"/>
        </w:rPr>
        <w:t>plazo que se contará a partir de la fecha de inscripción de la presente Ordenanza en el Registro de la Propiedad del Distrito Metropolitano de Quito.</w:t>
      </w:r>
    </w:p>
    <w:p w:rsidR="00DA36A8" w:rsidRPr="00A24D81" w:rsidRDefault="00DA36A8" w:rsidP="00706EBA">
      <w:pPr>
        <w:pStyle w:val="Textoindependiente"/>
        <w:spacing w:before="240" w:after="0" w:line="276" w:lineRule="auto"/>
        <w:jc w:val="both"/>
        <w:rPr>
          <w:sz w:val="22"/>
          <w:szCs w:val="22"/>
        </w:rPr>
      </w:pPr>
      <w:r w:rsidRPr="00A24D81">
        <w:rPr>
          <w:b/>
          <w:bCs/>
          <w:sz w:val="22"/>
          <w:szCs w:val="22"/>
        </w:rPr>
        <w:t xml:space="preserve">Artículo </w:t>
      </w:r>
      <w:r w:rsidR="00A74511">
        <w:rPr>
          <w:b/>
          <w:bCs/>
          <w:sz w:val="22"/>
          <w:szCs w:val="22"/>
        </w:rPr>
        <w:t>14</w:t>
      </w:r>
      <w:r w:rsidRPr="00A24D81">
        <w:rPr>
          <w:b/>
          <w:bCs/>
          <w:sz w:val="22"/>
          <w:szCs w:val="22"/>
          <w:lang w:val="es-ES_tradnl"/>
        </w:rPr>
        <w:t xml:space="preserve">.- Del control de ejecución de las </w:t>
      </w:r>
      <w:r w:rsidR="00AE4AEE" w:rsidRPr="00A24D81">
        <w:rPr>
          <w:b/>
          <w:bCs/>
          <w:sz w:val="22"/>
          <w:szCs w:val="22"/>
          <w:lang w:val="es-ES_tradnl"/>
        </w:rPr>
        <w:t>obras. -</w:t>
      </w:r>
      <w:r w:rsidRPr="00A24D81">
        <w:rPr>
          <w:b/>
          <w:bCs/>
          <w:sz w:val="22"/>
          <w:szCs w:val="22"/>
          <w:lang w:val="es-ES_tradnl"/>
        </w:rPr>
        <w:t xml:space="preserve"> </w:t>
      </w:r>
      <w:r w:rsidRPr="00A24D81">
        <w:rPr>
          <w:sz w:val="22"/>
          <w:szCs w:val="22"/>
        </w:rPr>
        <w:t xml:space="preserve">La </w:t>
      </w:r>
      <w:r w:rsidR="00D31DEB" w:rsidRPr="00A24D81">
        <w:rPr>
          <w:sz w:val="22"/>
          <w:szCs w:val="22"/>
        </w:rPr>
        <w:t xml:space="preserve">Administración Zonal </w:t>
      </w:r>
      <w:r w:rsidR="007645B7">
        <w:rPr>
          <w:sz w:val="22"/>
          <w:szCs w:val="22"/>
        </w:rPr>
        <w:t>La Delicia</w:t>
      </w:r>
      <w:r w:rsidRPr="00A24D81">
        <w:rPr>
          <w:sz w:val="22"/>
          <w:szCs w:val="22"/>
        </w:rPr>
        <w:t xml:space="preserve"> </w:t>
      </w:r>
      <w:r w:rsidRPr="00A24D81">
        <w:rPr>
          <w:iCs/>
          <w:sz w:val="22"/>
          <w:szCs w:val="22"/>
          <w:lang w:val="es-EC"/>
        </w:rPr>
        <w:t>r</w:t>
      </w:r>
      <w:r w:rsidRPr="00A24D81">
        <w:rPr>
          <w:sz w:val="22"/>
          <w:szCs w:val="22"/>
          <w:lang w:val="es-EC"/>
        </w:rPr>
        <w:t>ealizará</w:t>
      </w:r>
      <w:r w:rsidR="00F14104" w:rsidRPr="00A24D81">
        <w:rPr>
          <w:sz w:val="22"/>
          <w:szCs w:val="22"/>
          <w:lang w:val="es-EC"/>
        </w:rPr>
        <w:t xml:space="preserve"> de oficio,</w:t>
      </w:r>
      <w:r w:rsidRPr="00A24D81">
        <w:rPr>
          <w:sz w:val="22"/>
          <w:szCs w:val="22"/>
          <w:lang w:val="es-EC"/>
        </w:rPr>
        <w:t xml:space="preserve"> el seguimiento en la ejecución y avance de las obr</w:t>
      </w:r>
      <w:r w:rsidR="00B074F7" w:rsidRPr="00A24D81">
        <w:rPr>
          <w:sz w:val="22"/>
          <w:szCs w:val="22"/>
          <w:lang w:val="es-EC"/>
        </w:rPr>
        <w:t>as civiles hasta la terminación de las mismas,</w:t>
      </w:r>
      <w:r w:rsidRPr="00A24D81">
        <w:rPr>
          <w:sz w:val="22"/>
          <w:szCs w:val="22"/>
          <w:lang w:val="es-EC"/>
        </w:rPr>
        <w:t xml:space="preserve"> </w:t>
      </w:r>
      <w:r w:rsidRPr="00A24D81">
        <w:rPr>
          <w:sz w:val="22"/>
          <w:szCs w:val="22"/>
        </w:rPr>
        <w:t xml:space="preserve">para lo cual se emitirá un informe técnico </w:t>
      </w:r>
      <w:r w:rsidR="00AE4AEE" w:rsidRPr="00A24D81">
        <w:rPr>
          <w:sz w:val="22"/>
          <w:szCs w:val="22"/>
        </w:rPr>
        <w:t xml:space="preserve">tanto </w:t>
      </w:r>
      <w:r w:rsidRPr="00A24D81">
        <w:rPr>
          <w:sz w:val="22"/>
          <w:szCs w:val="22"/>
        </w:rPr>
        <w:t xml:space="preserve">del departamento de fiscalización como del departamento de obras públicas cada semestre. Su informe favorable </w:t>
      </w:r>
      <w:r w:rsidR="0096352A" w:rsidRPr="00A24D81">
        <w:rPr>
          <w:sz w:val="22"/>
          <w:szCs w:val="22"/>
        </w:rPr>
        <w:t>conforme a la normativa vigente</w:t>
      </w:r>
      <w:r w:rsidR="00F14104" w:rsidRPr="00A24D81">
        <w:rPr>
          <w:sz w:val="22"/>
          <w:szCs w:val="22"/>
        </w:rPr>
        <w:t xml:space="preserve">, expedido por la Administración Zonal </w:t>
      </w:r>
      <w:r w:rsidR="007645B7">
        <w:rPr>
          <w:sz w:val="22"/>
          <w:szCs w:val="22"/>
        </w:rPr>
        <w:t>La Delicia</w:t>
      </w:r>
      <w:r w:rsidR="00F14104" w:rsidRPr="00A24D81">
        <w:rPr>
          <w:sz w:val="22"/>
          <w:szCs w:val="22"/>
        </w:rPr>
        <w:t>,</w:t>
      </w:r>
      <w:r w:rsidRPr="00A24D81">
        <w:rPr>
          <w:sz w:val="22"/>
          <w:szCs w:val="22"/>
        </w:rPr>
        <w:t xml:space="preserve"> será indispensable para cancelar la hipoteca.</w:t>
      </w:r>
    </w:p>
    <w:p w:rsidR="00DA36A8" w:rsidRPr="00A24D81" w:rsidRDefault="00DA36A8" w:rsidP="00706EBA">
      <w:pPr>
        <w:pStyle w:val="Textoindependiente"/>
        <w:spacing w:before="240" w:after="0" w:line="276" w:lineRule="auto"/>
        <w:jc w:val="both"/>
        <w:rPr>
          <w:sz w:val="22"/>
          <w:szCs w:val="22"/>
        </w:rPr>
      </w:pPr>
      <w:r w:rsidRPr="00A24D81">
        <w:rPr>
          <w:b/>
          <w:bCs/>
          <w:sz w:val="22"/>
          <w:szCs w:val="22"/>
        </w:rPr>
        <w:lastRenderedPageBreak/>
        <w:t>Artículo</w:t>
      </w:r>
      <w:r w:rsidRPr="00A24D81">
        <w:rPr>
          <w:b/>
          <w:bCs/>
          <w:sz w:val="22"/>
          <w:szCs w:val="22"/>
          <w:lang w:val="es-ES_tradnl"/>
        </w:rPr>
        <w:t xml:space="preserve"> </w:t>
      </w:r>
      <w:r w:rsidR="00A74511">
        <w:rPr>
          <w:b/>
          <w:bCs/>
          <w:sz w:val="22"/>
          <w:szCs w:val="22"/>
          <w:lang w:val="es-ES_tradnl"/>
        </w:rPr>
        <w:t>15</w:t>
      </w:r>
      <w:r w:rsidRPr="00A24D81">
        <w:rPr>
          <w:b/>
          <w:bCs/>
          <w:sz w:val="22"/>
          <w:szCs w:val="22"/>
          <w:lang w:val="es-ES_tradnl"/>
        </w:rPr>
        <w:t xml:space="preserve">.- De la multa por retraso en ejecución de obras.- </w:t>
      </w:r>
      <w:r w:rsidRPr="00A24D81">
        <w:rPr>
          <w:sz w:val="22"/>
          <w:szCs w:val="22"/>
          <w:lang w:val="es-ES_tradnl"/>
        </w:rPr>
        <w:t xml:space="preserve">En caso de retraso en la ejecución de las obras </w:t>
      </w:r>
      <w:r w:rsidRPr="00A24D81">
        <w:rPr>
          <w:sz w:val="22"/>
          <w:szCs w:val="22"/>
          <w:lang w:val="es-EC"/>
        </w:rPr>
        <w:t>civiles</w:t>
      </w:r>
      <w:r w:rsidRPr="00A24D81">
        <w:rPr>
          <w:sz w:val="22"/>
          <w:szCs w:val="22"/>
          <w:lang w:val="es-ES_tradnl"/>
        </w:rPr>
        <w:t>,</w:t>
      </w:r>
      <w:r w:rsidRPr="00A24D81">
        <w:rPr>
          <w:sz w:val="22"/>
          <w:szCs w:val="22"/>
        </w:rPr>
        <w:t xml:space="preserve"> los copropietarios del inmueble sobre el cual se ubica el </w:t>
      </w:r>
      <w:r w:rsidR="002918F7" w:rsidRPr="00A24D81">
        <w:rPr>
          <w:sz w:val="22"/>
          <w:szCs w:val="22"/>
        </w:rPr>
        <w:t>asentamiento humano de hecho y consolidado de interés social</w:t>
      </w:r>
      <w:r w:rsidRPr="00A24D81">
        <w:rPr>
          <w:b/>
          <w:sz w:val="22"/>
          <w:szCs w:val="22"/>
        </w:rPr>
        <w:t xml:space="preserve"> </w:t>
      </w:r>
      <w:r w:rsidRPr="00A24D81">
        <w:rPr>
          <w:sz w:val="22"/>
          <w:szCs w:val="22"/>
        </w:rPr>
        <w:t xml:space="preserve">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E6477A" w:rsidRPr="00A24D81">
        <w:rPr>
          <w:bCs/>
          <w:sz w:val="22"/>
          <w:szCs w:val="22"/>
        </w:rPr>
        <w:t>,</w:t>
      </w:r>
      <w:r w:rsidR="00D61E64" w:rsidRPr="00A24D81">
        <w:rPr>
          <w:bCs/>
          <w:sz w:val="22"/>
          <w:szCs w:val="22"/>
        </w:rPr>
        <w:t xml:space="preserve"> </w:t>
      </w:r>
      <w:r w:rsidRPr="00A24D81">
        <w:rPr>
          <w:bCs/>
          <w:sz w:val="22"/>
          <w:szCs w:val="22"/>
        </w:rPr>
        <w:t>se sujetará a las sanciones contempladas en el Ordenamiento Jurídico Nacional y Metropolitano.</w:t>
      </w:r>
    </w:p>
    <w:p w:rsidR="00C708ED" w:rsidRPr="00A24D81" w:rsidRDefault="00DA36A8" w:rsidP="00706EBA">
      <w:pPr>
        <w:pStyle w:val="Textoindependiente"/>
        <w:spacing w:before="240" w:after="0" w:line="276" w:lineRule="auto"/>
        <w:jc w:val="both"/>
        <w:rPr>
          <w:sz w:val="22"/>
          <w:szCs w:val="22"/>
        </w:rPr>
      </w:pPr>
      <w:r w:rsidRPr="00A24D81">
        <w:rPr>
          <w:b/>
          <w:bCs/>
          <w:iCs/>
          <w:sz w:val="22"/>
          <w:szCs w:val="22"/>
        </w:rPr>
        <w:t xml:space="preserve">Artículo </w:t>
      </w:r>
      <w:r w:rsidR="00A74511">
        <w:rPr>
          <w:b/>
          <w:bCs/>
          <w:iCs/>
          <w:sz w:val="22"/>
          <w:szCs w:val="22"/>
        </w:rPr>
        <w:t>16</w:t>
      </w:r>
      <w:r w:rsidRPr="00A24D81">
        <w:rPr>
          <w:b/>
          <w:bCs/>
          <w:iCs/>
          <w:sz w:val="22"/>
          <w:szCs w:val="22"/>
        </w:rPr>
        <w:t xml:space="preserve">.- De la garantía de ejecución de las obras.- </w:t>
      </w:r>
      <w:r w:rsidRPr="00A24D81">
        <w:rPr>
          <w:sz w:val="22"/>
          <w:szCs w:val="22"/>
        </w:rPr>
        <w:t>Los lotes producto del fraccionamiento</w:t>
      </w:r>
      <w:r w:rsidR="004615C3" w:rsidRPr="00A24D81">
        <w:rPr>
          <w:sz w:val="22"/>
          <w:szCs w:val="22"/>
        </w:rPr>
        <w:t xml:space="preserve"> donde se encuentra ubicado el </w:t>
      </w:r>
      <w:r w:rsidR="002918F7" w:rsidRPr="00A24D81">
        <w:rPr>
          <w:sz w:val="22"/>
          <w:szCs w:val="22"/>
        </w:rPr>
        <w:t>asentamiento humano de hecho y consolidado de interés social</w:t>
      </w:r>
      <w:r w:rsidRPr="00A24D81">
        <w:rPr>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E6477A" w:rsidRPr="00A24D81">
        <w:rPr>
          <w:bCs/>
          <w:sz w:val="22"/>
          <w:szCs w:val="22"/>
        </w:rPr>
        <w:t xml:space="preserve">, </w:t>
      </w:r>
      <w:r w:rsidR="007E6331" w:rsidRPr="00A24D81">
        <w:rPr>
          <w:sz w:val="22"/>
          <w:szCs w:val="22"/>
        </w:rPr>
        <w:t>quedan gravados con primera, especial y preferente hipoteca a favor del Municipio del Distrito Metropolitano de Quito, gravamen que regirá una vez que se adjudiquen los lotes a sus respectivos beneficiarios y que se podrá levantar con el cumplimiento de las obras civiles conforme a la normativa vigente. El gravamen constituido a favor de la Municipalidad deberá constar en cada escritura individualizada.</w:t>
      </w:r>
    </w:p>
    <w:p w:rsidR="00361728" w:rsidRPr="00A24D81" w:rsidRDefault="00361728" w:rsidP="00706EBA">
      <w:pPr>
        <w:pStyle w:val="Textoindependiente"/>
        <w:spacing w:before="240" w:after="0" w:line="276" w:lineRule="auto"/>
        <w:jc w:val="both"/>
        <w:rPr>
          <w:sz w:val="22"/>
          <w:szCs w:val="22"/>
          <w:lang w:val="es-ES_tradnl"/>
        </w:rPr>
      </w:pPr>
      <w:r w:rsidRPr="00A24D81">
        <w:rPr>
          <w:b/>
          <w:bCs/>
          <w:sz w:val="22"/>
          <w:szCs w:val="22"/>
        </w:rPr>
        <w:t>Artículo</w:t>
      </w:r>
      <w:r w:rsidRPr="00A24D81">
        <w:rPr>
          <w:b/>
          <w:bCs/>
          <w:sz w:val="22"/>
          <w:szCs w:val="22"/>
          <w:lang w:val="es-ES_tradnl"/>
        </w:rPr>
        <w:t xml:space="preserve"> </w:t>
      </w:r>
      <w:r w:rsidR="00A74511">
        <w:rPr>
          <w:b/>
          <w:bCs/>
          <w:sz w:val="22"/>
          <w:szCs w:val="22"/>
          <w:lang w:val="es-ES_tradnl"/>
        </w:rPr>
        <w:t>17</w:t>
      </w:r>
      <w:r w:rsidRPr="00A24D81">
        <w:rPr>
          <w:b/>
          <w:bCs/>
          <w:sz w:val="22"/>
          <w:szCs w:val="22"/>
          <w:lang w:val="es-ES_tradnl"/>
        </w:rPr>
        <w:t xml:space="preserve">.- De la Protocolización e inscripción de la </w:t>
      </w:r>
      <w:r w:rsidR="003A2B74" w:rsidRPr="00A24D81">
        <w:rPr>
          <w:b/>
          <w:bCs/>
          <w:sz w:val="22"/>
          <w:szCs w:val="22"/>
          <w:lang w:val="es-ES_tradnl"/>
        </w:rPr>
        <w:t>Ordenanza. -</w:t>
      </w:r>
      <w:r w:rsidRPr="00A24D81">
        <w:rPr>
          <w:b/>
          <w:bCs/>
          <w:sz w:val="22"/>
          <w:szCs w:val="22"/>
          <w:lang w:val="es-ES_tradnl"/>
        </w:rPr>
        <w:t xml:space="preserve">  </w:t>
      </w:r>
      <w:r w:rsidRPr="00A24D81">
        <w:rPr>
          <w:sz w:val="22"/>
          <w:szCs w:val="22"/>
          <w:lang w:val="es-EC"/>
        </w:rPr>
        <w:t xml:space="preserve">Los copropietarios del predio del </w:t>
      </w:r>
      <w:r w:rsidR="002918F7" w:rsidRPr="00A24D81">
        <w:rPr>
          <w:sz w:val="22"/>
          <w:szCs w:val="22"/>
        </w:rPr>
        <w:t>asentamiento humano de hecho y consolidado de interés social</w:t>
      </w:r>
      <w:r w:rsidR="007E6037" w:rsidRPr="00A24D81">
        <w:rPr>
          <w:bCs/>
          <w:sz w:val="22"/>
          <w:szCs w:val="22"/>
        </w:rPr>
        <w:t xml:space="preserve"> denominado</w:t>
      </w:r>
      <w:r w:rsidR="00922C0D" w:rsidRPr="00A24D81">
        <w:rPr>
          <w:bCs/>
          <w:sz w:val="22"/>
          <w:szCs w:val="22"/>
        </w:rPr>
        <w:t xml:space="preserve">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E6477A" w:rsidRPr="00A24D81">
        <w:rPr>
          <w:bCs/>
          <w:sz w:val="22"/>
          <w:szCs w:val="22"/>
        </w:rPr>
        <w:t xml:space="preserve">, </w:t>
      </w:r>
      <w:r w:rsidR="00C94AA7" w:rsidRPr="00A24D81">
        <w:rPr>
          <w:sz w:val="22"/>
          <w:szCs w:val="22"/>
          <w:lang w:val="es-ES_tradnl"/>
        </w:rPr>
        <w:t>deberán</w:t>
      </w:r>
      <w:r w:rsidRPr="00A24D81">
        <w:rPr>
          <w:sz w:val="22"/>
          <w:szCs w:val="22"/>
          <w:lang w:val="es-ES_tradnl"/>
        </w:rPr>
        <w:t xml:space="preserve"> </w:t>
      </w:r>
      <w:r w:rsidRPr="00A24D81">
        <w:rPr>
          <w:sz w:val="22"/>
          <w:szCs w:val="22"/>
          <w:lang w:val="es-EC"/>
        </w:rPr>
        <w:t xml:space="preserve">protocolizar la presente Ordenanza ante Notario Público e inscribirla en el Registro de la Propiedad del Distrito Metropolitano de Quito, </w:t>
      </w:r>
      <w:r w:rsidRPr="00A24D81">
        <w:rPr>
          <w:sz w:val="22"/>
          <w:szCs w:val="22"/>
          <w:lang w:val="es-ES_tradnl"/>
        </w:rPr>
        <w:t xml:space="preserve">con todos sus documentos </w:t>
      </w:r>
      <w:r w:rsidR="003A2B74" w:rsidRPr="00A24D81">
        <w:rPr>
          <w:sz w:val="22"/>
          <w:szCs w:val="22"/>
          <w:lang w:val="es-ES_tradnl"/>
        </w:rPr>
        <w:t>habilitantes</w:t>
      </w:r>
      <w:r w:rsidR="003A2B74" w:rsidRPr="00A24D81">
        <w:rPr>
          <w:sz w:val="22"/>
          <w:szCs w:val="22"/>
          <w:lang w:val="es-EC"/>
        </w:rPr>
        <w:t>;</w:t>
      </w:r>
      <w:r w:rsidR="00BE22D3" w:rsidRPr="00A24D81">
        <w:rPr>
          <w:sz w:val="22"/>
          <w:szCs w:val="22"/>
          <w:lang w:val="es-ES_tradnl"/>
        </w:rPr>
        <w:t xml:space="preserve"> </w:t>
      </w:r>
    </w:p>
    <w:p w:rsidR="00A23E01" w:rsidRDefault="00A23E01" w:rsidP="00706EBA">
      <w:pPr>
        <w:pStyle w:val="Textoindependiente"/>
        <w:spacing w:before="240" w:after="0" w:line="276" w:lineRule="auto"/>
        <w:jc w:val="both"/>
        <w:rPr>
          <w:rFonts w:eastAsiaTheme="minorHAnsi"/>
          <w:sz w:val="22"/>
          <w:szCs w:val="22"/>
          <w:lang w:val="es-EC" w:eastAsia="en-US"/>
        </w:rPr>
      </w:pPr>
      <w:r w:rsidRPr="00A24D81">
        <w:rPr>
          <w:sz w:val="22"/>
          <w:szCs w:val="22"/>
          <w:lang w:val="es-ES_tradnl"/>
        </w:rPr>
        <w:t xml:space="preserve">En caso de no inscribir la presente ordenanza, ésta caducará en el plazo de tres (03) años de conformidad con lo dispuesto en el artículo </w:t>
      </w:r>
      <w:r w:rsidRPr="00A24D81">
        <w:rPr>
          <w:rFonts w:eastAsiaTheme="minorHAnsi"/>
          <w:sz w:val="22"/>
          <w:szCs w:val="22"/>
          <w:lang w:val="es-EC" w:eastAsia="en-US"/>
        </w:rPr>
        <w:t>IV.7.64 de la Ordenanza No. 001 de 29 de marzo de 2019.</w:t>
      </w:r>
    </w:p>
    <w:p w:rsidR="00A21130" w:rsidRPr="00A24D81" w:rsidRDefault="00A21130" w:rsidP="00706EBA">
      <w:pPr>
        <w:pStyle w:val="Textoindependiente"/>
        <w:spacing w:before="240" w:after="0" w:line="276" w:lineRule="auto"/>
        <w:jc w:val="both"/>
        <w:rPr>
          <w:rFonts w:eastAsiaTheme="minorHAnsi"/>
          <w:sz w:val="22"/>
          <w:szCs w:val="22"/>
          <w:lang w:val="es-EC" w:eastAsia="en-US"/>
        </w:rPr>
      </w:pPr>
      <w:r w:rsidRPr="00755625">
        <w:rPr>
          <w:sz w:val="22"/>
          <w:szCs w:val="22"/>
          <w:lang w:val="es-ES_tradnl"/>
        </w:rPr>
        <w:t xml:space="preserve">La inscripción de la presente ordenanza servirá como título de dominio para efectos de la transferencia de áreas </w:t>
      </w:r>
      <w:r>
        <w:rPr>
          <w:sz w:val="22"/>
          <w:szCs w:val="22"/>
          <w:lang w:val="es-ES_tradnl"/>
        </w:rPr>
        <w:t>municipales</w:t>
      </w:r>
      <w:r w:rsidRPr="00755625">
        <w:rPr>
          <w:sz w:val="22"/>
          <w:szCs w:val="22"/>
          <w:lang w:val="es-ES_tradnl"/>
        </w:rPr>
        <w:t>.</w:t>
      </w:r>
    </w:p>
    <w:p w:rsidR="009E010D" w:rsidRPr="00A24D81" w:rsidRDefault="00361728" w:rsidP="00706EBA">
      <w:pPr>
        <w:pStyle w:val="Textoindependiente"/>
        <w:spacing w:before="240" w:after="0" w:line="276" w:lineRule="auto"/>
        <w:jc w:val="both"/>
        <w:rPr>
          <w:sz w:val="22"/>
          <w:szCs w:val="22"/>
          <w:lang w:val="es-ES_tradnl"/>
        </w:rPr>
      </w:pPr>
      <w:r w:rsidRPr="00A24D81">
        <w:rPr>
          <w:b/>
          <w:sz w:val="22"/>
          <w:szCs w:val="22"/>
          <w:lang w:val="es-ES_tradnl"/>
        </w:rPr>
        <w:t xml:space="preserve">Artículo </w:t>
      </w:r>
      <w:r w:rsidR="00A74511">
        <w:rPr>
          <w:b/>
          <w:sz w:val="22"/>
          <w:szCs w:val="22"/>
          <w:lang w:val="es-ES_tradnl"/>
        </w:rPr>
        <w:t>18</w:t>
      </w:r>
      <w:r w:rsidRPr="00A24D81">
        <w:rPr>
          <w:b/>
          <w:sz w:val="22"/>
          <w:szCs w:val="22"/>
          <w:lang w:val="es-ES_tradnl"/>
        </w:rPr>
        <w:t>.- De la partición y adjudicación.-</w:t>
      </w:r>
      <w:r w:rsidRPr="00A24D81">
        <w:rPr>
          <w:sz w:val="22"/>
          <w:szCs w:val="22"/>
          <w:lang w:val="es-ES_tradnl"/>
        </w:rPr>
        <w:t xml:space="preserve"> </w:t>
      </w:r>
      <w:r w:rsidR="005F405A" w:rsidRPr="00A24D81">
        <w:rPr>
          <w:sz w:val="22"/>
          <w:szCs w:val="22"/>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r w:rsidRPr="00A24D81">
        <w:rPr>
          <w:sz w:val="22"/>
          <w:szCs w:val="22"/>
          <w:lang w:val="es-ES_tradnl"/>
        </w:rPr>
        <w:t xml:space="preserve"> </w:t>
      </w:r>
    </w:p>
    <w:p w:rsidR="00F87EDD" w:rsidRPr="00A24D81" w:rsidRDefault="009E010D" w:rsidP="00706EBA">
      <w:pPr>
        <w:pStyle w:val="Textoindependiente"/>
        <w:spacing w:before="240" w:after="0" w:line="276" w:lineRule="auto"/>
        <w:jc w:val="both"/>
        <w:rPr>
          <w:sz w:val="22"/>
          <w:szCs w:val="22"/>
          <w:lang w:val="es-ES_tradnl"/>
        </w:rPr>
      </w:pPr>
      <w:r w:rsidRPr="00A24D81">
        <w:rPr>
          <w:b/>
          <w:sz w:val="22"/>
          <w:szCs w:val="22"/>
          <w:lang w:val="es-ES_tradnl"/>
        </w:rPr>
        <w:t xml:space="preserve">Artículo </w:t>
      </w:r>
      <w:r w:rsidR="00A74511">
        <w:rPr>
          <w:b/>
          <w:sz w:val="22"/>
          <w:szCs w:val="22"/>
          <w:lang w:val="es-ES_tradnl"/>
        </w:rPr>
        <w:t>19</w:t>
      </w:r>
      <w:r w:rsidRPr="00A24D81">
        <w:rPr>
          <w:b/>
          <w:sz w:val="22"/>
          <w:szCs w:val="22"/>
          <w:lang w:val="es-ES_tradnl"/>
        </w:rPr>
        <w:t xml:space="preserve">.- Solicitudes de ampliación de plazo.- </w:t>
      </w:r>
      <w:r w:rsidRPr="00A24D81">
        <w:rPr>
          <w:sz w:val="22"/>
          <w:szCs w:val="22"/>
          <w:lang w:val="es-ES_tradnl"/>
        </w:rPr>
        <w:t>Las solicitudes de ampliación de plazo para ejecución de obr</w:t>
      </w:r>
      <w:r w:rsidR="00C5601A" w:rsidRPr="00A24D81">
        <w:rPr>
          <w:sz w:val="22"/>
          <w:szCs w:val="22"/>
          <w:lang w:val="es-ES_tradnl"/>
        </w:rPr>
        <w:t>as civiles</w:t>
      </w:r>
      <w:r w:rsidR="00F87EDD" w:rsidRPr="00A24D81">
        <w:rPr>
          <w:sz w:val="22"/>
          <w:szCs w:val="22"/>
          <w:lang w:val="es-ES_tradnl"/>
        </w:rPr>
        <w:t xml:space="preserve"> </w:t>
      </w:r>
      <w:r w:rsidR="00673D81" w:rsidRPr="00A24D81">
        <w:rPr>
          <w:sz w:val="22"/>
          <w:szCs w:val="22"/>
          <w:lang w:val="es-EC"/>
        </w:rPr>
        <w:t>serán</w:t>
      </w:r>
      <w:r w:rsidR="00673D81" w:rsidRPr="00A24D81">
        <w:rPr>
          <w:sz w:val="22"/>
          <w:szCs w:val="22"/>
          <w:lang w:val="es-ES_tradnl"/>
        </w:rPr>
        <w:t xml:space="preserve"> </w:t>
      </w:r>
      <w:r w:rsidR="00F87EDD" w:rsidRPr="00A24D81">
        <w:rPr>
          <w:sz w:val="22"/>
          <w:szCs w:val="22"/>
          <w:lang w:val="es-ES_tradnl"/>
        </w:rPr>
        <w:t>resueltas por la Administración Zonal correspondiente.</w:t>
      </w:r>
      <w:r w:rsidR="00C5601A" w:rsidRPr="00A24D81">
        <w:rPr>
          <w:sz w:val="22"/>
          <w:szCs w:val="22"/>
          <w:lang w:val="es-ES_tradnl"/>
        </w:rPr>
        <w:t xml:space="preserve"> </w:t>
      </w:r>
    </w:p>
    <w:p w:rsidR="001E2E3A" w:rsidRPr="00A24D81" w:rsidRDefault="001E2E3A" w:rsidP="00706EBA">
      <w:pPr>
        <w:pStyle w:val="Textoindependiente"/>
        <w:spacing w:before="240" w:after="0" w:line="276" w:lineRule="auto"/>
        <w:jc w:val="both"/>
        <w:rPr>
          <w:sz w:val="22"/>
          <w:szCs w:val="22"/>
          <w:lang w:val="es-ES_tradnl"/>
        </w:rPr>
      </w:pPr>
      <w:r w:rsidRPr="00A24D81">
        <w:rPr>
          <w:sz w:val="22"/>
          <w:szCs w:val="22"/>
          <w:lang w:val="es-ES_tradnl"/>
        </w:rPr>
        <w:t xml:space="preserve">La Administración Zonal </w:t>
      </w:r>
      <w:r w:rsidR="00755625" w:rsidRPr="00A24D81">
        <w:rPr>
          <w:sz w:val="22"/>
          <w:szCs w:val="22"/>
          <w:lang w:val="es-ES_tradnl"/>
        </w:rPr>
        <w:t>La Delicia</w:t>
      </w:r>
      <w:r w:rsidR="00E6477A" w:rsidRPr="00A24D81">
        <w:rPr>
          <w:sz w:val="22"/>
          <w:szCs w:val="22"/>
          <w:lang w:val="es-ES_tradnl"/>
        </w:rPr>
        <w:t xml:space="preserve"> </w:t>
      </w:r>
      <w:r w:rsidRPr="00A24D81">
        <w:rPr>
          <w:sz w:val="22"/>
          <w:szCs w:val="22"/>
          <w:lang w:val="es-ES_tradnl"/>
        </w:rPr>
        <w:t>deberá notificar a los copropietarios del asentamiento 6 meses antes a la conclusión del plazo establecido.</w:t>
      </w:r>
    </w:p>
    <w:p w:rsidR="001E2E3A" w:rsidRPr="00A24D81" w:rsidRDefault="003663CF" w:rsidP="00706EBA">
      <w:pPr>
        <w:pStyle w:val="Textoindependiente"/>
        <w:spacing w:before="240" w:after="0" w:line="276" w:lineRule="auto"/>
        <w:jc w:val="both"/>
        <w:rPr>
          <w:sz w:val="22"/>
          <w:szCs w:val="22"/>
          <w:lang w:val="es-ES_tradnl"/>
        </w:rPr>
      </w:pPr>
      <w:r w:rsidRPr="00A24D81">
        <w:rPr>
          <w:sz w:val="22"/>
          <w:szCs w:val="22"/>
          <w:lang w:val="es-ES_tradnl"/>
        </w:rPr>
        <w:t>Dicha solicitud para ser evaluada, deberá ser presentada</w:t>
      </w:r>
      <w:r w:rsidR="001E2E3A" w:rsidRPr="00A24D81">
        <w:rPr>
          <w:sz w:val="22"/>
          <w:szCs w:val="22"/>
          <w:lang w:val="es-ES_tradnl"/>
        </w:rPr>
        <w:t xml:space="preserve"> con al menos tres meses de anticipación a la conclusión del plazo establecido para la ejecución de las obras referidas y debidamente justificadas.</w:t>
      </w:r>
    </w:p>
    <w:p w:rsidR="00606374" w:rsidRPr="00A24D81" w:rsidRDefault="005F405A" w:rsidP="00706EBA">
      <w:pPr>
        <w:pStyle w:val="Textoindependiente"/>
        <w:spacing w:before="240" w:after="0" w:line="276" w:lineRule="auto"/>
        <w:jc w:val="both"/>
        <w:rPr>
          <w:sz w:val="22"/>
          <w:szCs w:val="22"/>
          <w:lang w:val="es-ES_tradnl"/>
        </w:rPr>
      </w:pPr>
      <w:r w:rsidRPr="00A24D81">
        <w:rPr>
          <w:b/>
          <w:sz w:val="22"/>
          <w:szCs w:val="22"/>
          <w:lang w:val="es-ES_tradnl"/>
        </w:rPr>
        <w:lastRenderedPageBreak/>
        <w:t xml:space="preserve">Artículo </w:t>
      </w:r>
      <w:r w:rsidR="00A74511">
        <w:rPr>
          <w:b/>
          <w:sz w:val="22"/>
          <w:szCs w:val="22"/>
          <w:lang w:val="es-ES_tradnl"/>
        </w:rPr>
        <w:t>20</w:t>
      </w:r>
      <w:r w:rsidR="00361728" w:rsidRPr="00A24D81">
        <w:rPr>
          <w:b/>
          <w:sz w:val="22"/>
          <w:szCs w:val="22"/>
          <w:lang w:val="es-ES_tradnl"/>
        </w:rPr>
        <w:t>.- Potestad de ejecución.-</w:t>
      </w:r>
      <w:r w:rsidR="00361728" w:rsidRPr="00A24D81">
        <w:rPr>
          <w:sz w:val="22"/>
          <w:szCs w:val="22"/>
          <w:lang w:val="es-ES_tradnl"/>
        </w:rPr>
        <w:t xml:space="preserve"> </w:t>
      </w:r>
      <w:r w:rsidRPr="00A24D81">
        <w:rPr>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A24D81">
        <w:rPr>
          <w:b/>
          <w:sz w:val="22"/>
          <w:szCs w:val="22"/>
          <w:lang w:val="es-ES_tradnl"/>
        </w:rPr>
        <w:t xml:space="preserve"> </w:t>
      </w:r>
    </w:p>
    <w:p w:rsidR="007B5E67" w:rsidRPr="00A24D81" w:rsidRDefault="007B5E67" w:rsidP="007B5E67">
      <w:pPr>
        <w:rPr>
          <w:sz w:val="22"/>
          <w:szCs w:val="22"/>
          <w:lang w:val="es-ES_tradnl"/>
        </w:rPr>
      </w:pPr>
    </w:p>
    <w:p w:rsidR="005F405A" w:rsidRPr="00A24D81" w:rsidRDefault="005F405A" w:rsidP="00086F22">
      <w:pPr>
        <w:pStyle w:val="Ttulo3"/>
        <w:spacing w:line="276" w:lineRule="auto"/>
        <w:jc w:val="center"/>
        <w:rPr>
          <w:rFonts w:ascii="Times New Roman" w:hAnsi="Times New Roman" w:cs="Times New Roman"/>
          <w:sz w:val="22"/>
          <w:szCs w:val="22"/>
          <w:lang w:val="es-ES_tradnl"/>
        </w:rPr>
      </w:pPr>
      <w:r w:rsidRPr="00A24D81">
        <w:rPr>
          <w:rFonts w:ascii="Times New Roman" w:hAnsi="Times New Roman" w:cs="Times New Roman"/>
          <w:sz w:val="22"/>
          <w:szCs w:val="22"/>
          <w:lang w:val="es-ES_tradnl"/>
        </w:rPr>
        <w:t>Disposiciones Generales</w:t>
      </w:r>
    </w:p>
    <w:p w:rsidR="00086F22" w:rsidRPr="00A24D81" w:rsidRDefault="00086F22" w:rsidP="00086F22">
      <w:pPr>
        <w:rPr>
          <w:sz w:val="22"/>
          <w:szCs w:val="22"/>
          <w:lang w:val="es-ES_tradnl"/>
        </w:rPr>
      </w:pPr>
    </w:p>
    <w:p w:rsidR="005F405A" w:rsidRPr="00A24D81" w:rsidRDefault="005F405A" w:rsidP="00086F22">
      <w:pPr>
        <w:pStyle w:val="Textoindependiente"/>
        <w:spacing w:line="276" w:lineRule="auto"/>
        <w:jc w:val="both"/>
        <w:rPr>
          <w:b/>
          <w:sz w:val="22"/>
          <w:szCs w:val="22"/>
          <w:lang w:val="es-ES_tradnl"/>
        </w:rPr>
      </w:pPr>
      <w:r w:rsidRPr="00A24D81">
        <w:rPr>
          <w:b/>
          <w:sz w:val="22"/>
          <w:szCs w:val="22"/>
          <w:lang w:val="es-ES_tradnl"/>
        </w:rPr>
        <w:t xml:space="preserve">Primera.- </w:t>
      </w:r>
      <w:r w:rsidRPr="00A24D81">
        <w:rPr>
          <w:sz w:val="22"/>
          <w:szCs w:val="22"/>
          <w:lang w:val="es-ES_tradnl"/>
        </w:rPr>
        <w:t>Todos los anexos adjuntos al proyecto de regularización son documentos habilitantes de esta Ordenanza</w:t>
      </w:r>
      <w:r w:rsidRPr="00A24D81">
        <w:rPr>
          <w:b/>
          <w:sz w:val="22"/>
          <w:szCs w:val="22"/>
          <w:lang w:val="es-ES_tradnl"/>
        </w:rPr>
        <w:t>.</w:t>
      </w:r>
    </w:p>
    <w:p w:rsidR="005F405A" w:rsidRPr="00A24D81" w:rsidRDefault="005F405A" w:rsidP="00086F22">
      <w:pPr>
        <w:pStyle w:val="Textoindependiente"/>
        <w:spacing w:line="276" w:lineRule="auto"/>
        <w:jc w:val="both"/>
        <w:rPr>
          <w:sz w:val="22"/>
          <w:szCs w:val="22"/>
          <w:lang w:val="es-ES_tradnl"/>
        </w:rPr>
      </w:pPr>
      <w:r w:rsidRPr="00A24D81">
        <w:rPr>
          <w:b/>
          <w:sz w:val="22"/>
          <w:szCs w:val="22"/>
          <w:lang w:val="es-ES_tradnl"/>
        </w:rPr>
        <w:t xml:space="preserve">Segunda.-  </w:t>
      </w:r>
      <w:r w:rsidR="00755625" w:rsidRPr="00A24D81">
        <w:rPr>
          <w:sz w:val="22"/>
          <w:szCs w:val="22"/>
          <w:lang w:val="es-ES_tradnl"/>
        </w:rPr>
        <w:t xml:space="preserve">De acuerdo al Oficio No. </w:t>
      </w:r>
      <w:r w:rsidR="00F918B2" w:rsidRPr="00D37A73">
        <w:rPr>
          <w:rFonts w:eastAsiaTheme="minorHAnsi"/>
          <w:sz w:val="22"/>
          <w:szCs w:val="22"/>
          <w:lang w:val="es-EC" w:eastAsia="en-US"/>
        </w:rPr>
        <w:t>GADDMQ-SGSG-DMGR-2019-1005-OF</w:t>
      </w:r>
      <w:r w:rsidR="00F918B2" w:rsidRPr="001278F3">
        <w:rPr>
          <w:rFonts w:eastAsiaTheme="minorHAnsi"/>
          <w:sz w:val="22"/>
          <w:szCs w:val="22"/>
          <w:lang w:val="es-EC" w:eastAsia="en-US"/>
        </w:rPr>
        <w:t>, de 03 de diciembre de 2019</w:t>
      </w:r>
      <w:r w:rsidR="00755625" w:rsidRPr="00A24D81">
        <w:rPr>
          <w:sz w:val="22"/>
          <w:szCs w:val="22"/>
          <w:lang w:val="es-ES_tradnl"/>
        </w:rPr>
        <w:t xml:space="preserve">, se deberán cumplir las siguientes disposiciones, además de las recomendaciones generales y normativa legal vigente contenida en este mismo oficio y las del informe </w:t>
      </w:r>
      <w:r w:rsidR="00933A9C" w:rsidRPr="00A24D81">
        <w:rPr>
          <w:sz w:val="22"/>
          <w:szCs w:val="22"/>
        </w:rPr>
        <w:t xml:space="preserve">No. </w:t>
      </w:r>
      <w:r w:rsidR="00F918B2" w:rsidRPr="00D37A73">
        <w:rPr>
          <w:bCs/>
          <w:sz w:val="22"/>
          <w:szCs w:val="22"/>
        </w:rPr>
        <w:t>295-AT-DMGR-2018, de 10 de octubre de 2018</w:t>
      </w:r>
      <w:r w:rsidR="00755625" w:rsidRPr="00A24D81">
        <w:rPr>
          <w:sz w:val="22"/>
          <w:szCs w:val="22"/>
          <w:lang w:val="es-ES_tradnl"/>
        </w:rPr>
        <w:t>.</w:t>
      </w:r>
    </w:p>
    <w:p w:rsidR="00755625" w:rsidRPr="00F94CCE" w:rsidRDefault="00464939" w:rsidP="00F94CCE">
      <w:pPr>
        <w:pStyle w:val="Prrafodelista"/>
        <w:numPr>
          <w:ilvl w:val="0"/>
          <w:numId w:val="24"/>
        </w:numPr>
        <w:autoSpaceDE w:val="0"/>
        <w:autoSpaceDN w:val="0"/>
        <w:adjustRightInd w:val="0"/>
        <w:jc w:val="both"/>
        <w:rPr>
          <w:sz w:val="22"/>
          <w:szCs w:val="22"/>
          <w:lang w:val="es-ES_tradnl"/>
        </w:rPr>
      </w:pPr>
      <w:r w:rsidRPr="0073413B">
        <w:rPr>
          <w:sz w:val="22"/>
          <w:szCs w:val="22"/>
          <w:lang w:val="es-ES_tradnl"/>
        </w:rPr>
        <w:t xml:space="preserve">Se dispone que, </w:t>
      </w:r>
      <w:r w:rsidR="00F94CCE">
        <w:rPr>
          <w:sz w:val="22"/>
          <w:szCs w:val="22"/>
          <w:lang w:val="es-ES_tradnl"/>
        </w:rPr>
        <w:t>l</w:t>
      </w:r>
      <w:r w:rsidR="00F94CCE" w:rsidRPr="00F94CCE">
        <w:rPr>
          <w:sz w:val="22"/>
          <w:szCs w:val="22"/>
          <w:lang w:val="es-ES_tradnl"/>
        </w:rPr>
        <w:t>os propietarios/posesionarios de los lotes de “Santa Ana Alta</w:t>
      </w:r>
      <w:r w:rsidR="002671E8">
        <w:rPr>
          <w:sz w:val="22"/>
          <w:szCs w:val="22"/>
          <w:lang w:val="es-ES_tradnl"/>
        </w:rPr>
        <w:t>”</w:t>
      </w:r>
      <w:r w:rsidR="00476410">
        <w:rPr>
          <w:sz w:val="22"/>
          <w:szCs w:val="22"/>
          <w:lang w:val="es-ES_tradnl"/>
        </w:rPr>
        <w:t xml:space="preserve"> Etapa II, </w:t>
      </w:r>
      <w:r w:rsidR="002671E8">
        <w:rPr>
          <w:sz w:val="22"/>
          <w:szCs w:val="22"/>
          <w:lang w:val="es-ES_tradnl"/>
        </w:rPr>
        <w:t xml:space="preserve">no </w:t>
      </w:r>
      <w:r w:rsidR="0029483B">
        <w:rPr>
          <w:sz w:val="22"/>
          <w:szCs w:val="22"/>
          <w:lang w:val="es-ES_tradnl"/>
        </w:rPr>
        <w:t>realicen</w:t>
      </w:r>
      <w:r w:rsidR="00A74511">
        <w:rPr>
          <w:sz w:val="22"/>
          <w:szCs w:val="22"/>
          <w:lang w:val="es-ES_tradnl"/>
        </w:rPr>
        <w:t xml:space="preserve"> </w:t>
      </w:r>
      <w:r w:rsidR="00F94CCE" w:rsidRPr="00F94CCE">
        <w:rPr>
          <w:sz w:val="22"/>
          <w:szCs w:val="22"/>
          <w:lang w:val="es-ES_tradnl"/>
        </w:rPr>
        <w:t xml:space="preserve">excavaciones en el terreno (desbanques de tierra) hasta que culmine el proceso de regularización y se establezca su normativa de edificabilidad específica. </w:t>
      </w:r>
    </w:p>
    <w:p w:rsidR="0073413B" w:rsidRPr="00A24D81" w:rsidRDefault="0073413B" w:rsidP="0073413B">
      <w:pPr>
        <w:autoSpaceDE w:val="0"/>
        <w:autoSpaceDN w:val="0"/>
        <w:adjustRightInd w:val="0"/>
        <w:rPr>
          <w:sz w:val="22"/>
          <w:szCs w:val="22"/>
          <w:lang w:val="es-ES_tradnl"/>
        </w:rPr>
      </w:pPr>
    </w:p>
    <w:p w:rsidR="00F94CCE" w:rsidRPr="00F94CCE" w:rsidRDefault="00464939" w:rsidP="00F94CCE">
      <w:pPr>
        <w:pStyle w:val="Prrafodelista"/>
        <w:numPr>
          <w:ilvl w:val="0"/>
          <w:numId w:val="22"/>
        </w:numPr>
        <w:spacing w:after="240" w:line="276" w:lineRule="auto"/>
        <w:jc w:val="both"/>
        <w:rPr>
          <w:sz w:val="22"/>
          <w:szCs w:val="22"/>
          <w:lang w:val="es-ES_tradnl"/>
        </w:rPr>
      </w:pPr>
      <w:r>
        <w:rPr>
          <w:sz w:val="22"/>
          <w:szCs w:val="22"/>
          <w:lang w:val="es-ES_tradnl"/>
        </w:rPr>
        <w:t>S</w:t>
      </w:r>
      <w:r w:rsidR="0073413B">
        <w:rPr>
          <w:sz w:val="22"/>
          <w:szCs w:val="22"/>
          <w:lang w:val="es-ES_tradnl"/>
        </w:rPr>
        <w:t xml:space="preserve">e dispone que, </w:t>
      </w:r>
      <w:r w:rsidR="00F94CCE" w:rsidRPr="00F94CCE">
        <w:rPr>
          <w:sz w:val="22"/>
          <w:szCs w:val="22"/>
          <w:lang w:val="es-ES_tradnl"/>
        </w:rPr>
        <w:t>los</w:t>
      </w:r>
      <w:r w:rsidR="00476410">
        <w:rPr>
          <w:sz w:val="22"/>
          <w:szCs w:val="22"/>
          <w:lang w:val="es-ES_tradnl"/>
        </w:rPr>
        <w:t xml:space="preserve"> propietarios y/o posesionarios, </w:t>
      </w:r>
      <w:r w:rsidR="00F94CCE" w:rsidRPr="00F94CCE">
        <w:rPr>
          <w:sz w:val="22"/>
          <w:szCs w:val="22"/>
          <w:lang w:val="es-ES_tradnl"/>
        </w:rPr>
        <w:t xml:space="preserve">no construyan más viviendas en el </w:t>
      </w:r>
      <w:proofErr w:type="spellStart"/>
      <w:r w:rsidR="00F94CCE" w:rsidRPr="00F94CCE">
        <w:rPr>
          <w:sz w:val="22"/>
          <w:szCs w:val="22"/>
          <w:lang w:val="es-ES_tradnl"/>
        </w:rPr>
        <w:t>macrolote</w:t>
      </w:r>
      <w:proofErr w:type="spellEnd"/>
      <w:r w:rsidR="00F94CCE" w:rsidRPr="00F94CCE">
        <w:rPr>
          <w:sz w:val="22"/>
          <w:szCs w:val="22"/>
          <w:lang w:val="es-ES_tradnl"/>
        </w:rPr>
        <w:t xml:space="preserv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rsidR="0073413B" w:rsidRPr="00F918B2" w:rsidRDefault="00F94CCE" w:rsidP="00A74511">
      <w:pPr>
        <w:spacing w:after="240" w:line="276" w:lineRule="auto"/>
        <w:jc w:val="both"/>
        <w:rPr>
          <w:sz w:val="22"/>
          <w:szCs w:val="22"/>
          <w:lang w:val="es-ES_tradnl"/>
        </w:rPr>
      </w:pPr>
      <w:r w:rsidRPr="00F918B2">
        <w:rPr>
          <w:sz w:val="22"/>
          <w:szCs w:val="22"/>
          <w:lang w:val="es-ES_tradnl"/>
        </w:rPr>
        <w:t xml:space="preserve">La Unidad Especial </w:t>
      </w:r>
      <w:r w:rsidR="00F918B2">
        <w:rPr>
          <w:sz w:val="22"/>
          <w:szCs w:val="22"/>
          <w:lang w:val="es-ES_tradnl"/>
        </w:rPr>
        <w:t>“</w:t>
      </w:r>
      <w:r w:rsidRPr="00F918B2">
        <w:rPr>
          <w:sz w:val="22"/>
          <w:szCs w:val="22"/>
          <w:lang w:val="es-ES_tradnl"/>
        </w:rPr>
        <w:t>Regula Tu Barrio</w:t>
      </w:r>
      <w:r w:rsidR="00F918B2">
        <w:rPr>
          <w:sz w:val="22"/>
          <w:szCs w:val="22"/>
          <w:lang w:val="es-ES_tradnl"/>
        </w:rPr>
        <w:t>”</w:t>
      </w:r>
      <w:r w:rsidRPr="00F918B2">
        <w:rPr>
          <w:sz w:val="22"/>
          <w:szCs w:val="22"/>
          <w:lang w:val="es-ES_tradnl"/>
        </w:rPr>
        <w:t xml:space="preserve"> deberá comunicar a la comunidad del</w:t>
      </w:r>
      <w:r w:rsidR="00F918B2" w:rsidRPr="00F918B2">
        <w:rPr>
          <w:sz w:val="22"/>
          <w:szCs w:val="22"/>
          <w:lang w:val="es-ES_tradnl"/>
        </w:rPr>
        <w:t xml:space="preserve"> </w:t>
      </w:r>
      <w:r w:rsidR="00B61E77">
        <w:rPr>
          <w:sz w:val="22"/>
          <w:szCs w:val="22"/>
        </w:rPr>
        <w:t>asentamiento humano de hecho y consolidado de interés social denominado</w:t>
      </w:r>
      <w:r w:rsidR="00B61E77" w:rsidRPr="00F918B2">
        <w:rPr>
          <w:sz w:val="22"/>
          <w:szCs w:val="22"/>
          <w:lang w:val="es-ES_tradnl"/>
        </w:rPr>
        <w:t xml:space="preserve"> </w:t>
      </w:r>
      <w:r w:rsidRPr="00F918B2">
        <w:rPr>
          <w:sz w:val="22"/>
          <w:szCs w:val="22"/>
          <w:lang w:val="es-ES_tradnl"/>
        </w:rPr>
        <w:t>“Santa Ana Alta”</w:t>
      </w:r>
      <w:r w:rsidR="00476410">
        <w:rPr>
          <w:sz w:val="22"/>
          <w:szCs w:val="22"/>
          <w:lang w:val="es-ES_tradnl"/>
        </w:rPr>
        <w:t xml:space="preserve"> </w:t>
      </w:r>
      <w:r w:rsidR="00476410" w:rsidRPr="00F918B2">
        <w:rPr>
          <w:sz w:val="22"/>
          <w:szCs w:val="22"/>
          <w:lang w:val="es-ES_tradnl"/>
        </w:rPr>
        <w:t>Etapa II</w:t>
      </w:r>
      <w:r w:rsidR="00476410">
        <w:rPr>
          <w:sz w:val="22"/>
          <w:szCs w:val="22"/>
          <w:lang w:val="es-ES_tradnl"/>
        </w:rPr>
        <w:t xml:space="preserve">, </w:t>
      </w:r>
      <w:r w:rsidRPr="00F918B2">
        <w:rPr>
          <w:sz w:val="22"/>
          <w:szCs w:val="22"/>
          <w:lang w:val="es-ES_tradnl"/>
        </w:rPr>
        <w:t>lo descrito en el presente informe,</w:t>
      </w:r>
      <w:r w:rsidR="00F918B2" w:rsidRPr="00F918B2">
        <w:rPr>
          <w:sz w:val="22"/>
          <w:szCs w:val="22"/>
          <w:lang w:val="es-ES_tradnl"/>
        </w:rPr>
        <w:t xml:space="preserve"> </w:t>
      </w:r>
      <w:r w:rsidRPr="00F918B2">
        <w:rPr>
          <w:sz w:val="22"/>
          <w:szCs w:val="22"/>
          <w:lang w:val="es-ES_tradnl"/>
        </w:rPr>
        <w:t>especialmente la calificación del riesgo ante las diferentes amenazas analizadas y</w:t>
      </w:r>
      <w:r w:rsidR="00F918B2" w:rsidRPr="00F918B2">
        <w:rPr>
          <w:sz w:val="22"/>
          <w:szCs w:val="22"/>
          <w:lang w:val="es-ES_tradnl"/>
        </w:rPr>
        <w:t xml:space="preserve"> </w:t>
      </w:r>
      <w:r w:rsidRPr="00F918B2">
        <w:rPr>
          <w:sz w:val="22"/>
          <w:szCs w:val="22"/>
          <w:lang w:val="es-ES_tradnl"/>
        </w:rPr>
        <w:t>las respectivas recomendaciones técnicas.</w:t>
      </w:r>
    </w:p>
    <w:p w:rsidR="00F918B2" w:rsidRPr="00F918B2" w:rsidRDefault="00F918B2" w:rsidP="00F918B2">
      <w:pPr>
        <w:autoSpaceDE w:val="0"/>
        <w:autoSpaceDN w:val="0"/>
        <w:adjustRightInd w:val="0"/>
        <w:rPr>
          <w:rFonts w:eastAsiaTheme="minorHAnsi"/>
          <w:i/>
          <w:iCs/>
          <w:sz w:val="22"/>
          <w:szCs w:val="22"/>
          <w:lang w:val="es-EC" w:eastAsia="en-US"/>
        </w:rPr>
      </w:pPr>
    </w:p>
    <w:p w:rsidR="00361728" w:rsidRPr="00A24D81" w:rsidRDefault="00361728" w:rsidP="00086F22">
      <w:pPr>
        <w:pStyle w:val="Textoindependiente"/>
        <w:spacing w:line="276" w:lineRule="auto"/>
        <w:jc w:val="both"/>
        <w:rPr>
          <w:sz w:val="22"/>
          <w:szCs w:val="22"/>
          <w:lang w:val="es-ES_tradnl"/>
        </w:rPr>
      </w:pPr>
      <w:r w:rsidRPr="00A24D81">
        <w:rPr>
          <w:b/>
          <w:sz w:val="22"/>
          <w:szCs w:val="22"/>
          <w:lang w:val="es-ES_tradnl"/>
        </w:rPr>
        <w:t xml:space="preserve">Disposición Final.- </w:t>
      </w:r>
      <w:r w:rsidRPr="00A24D81">
        <w:rPr>
          <w:sz w:val="22"/>
          <w:szCs w:val="22"/>
          <w:lang w:val="es-ES_tradnl"/>
        </w:rPr>
        <w:t xml:space="preserve"> Esta ordenanza entrará en vigencia a partir de la fecha de su sanción, sin perjuicio de su publicación </w:t>
      </w:r>
      <w:r w:rsidR="00D701A9" w:rsidRPr="00A24D81">
        <w:rPr>
          <w:sz w:val="22"/>
          <w:szCs w:val="22"/>
          <w:lang w:val="es-ES_tradnl"/>
        </w:rPr>
        <w:t xml:space="preserve">en el Registro Oficial, Gaceta Municipal o </w:t>
      </w:r>
      <w:r w:rsidRPr="00A24D81">
        <w:rPr>
          <w:sz w:val="22"/>
          <w:szCs w:val="22"/>
          <w:lang w:val="es-ES_tradnl"/>
        </w:rPr>
        <w:t>la página web institucional de la Municipalidad.</w:t>
      </w:r>
    </w:p>
    <w:p w:rsidR="00562DB6" w:rsidRPr="00A24D81" w:rsidRDefault="00562DB6" w:rsidP="00086F22">
      <w:pPr>
        <w:pStyle w:val="Textoindependiente"/>
        <w:spacing w:line="276" w:lineRule="auto"/>
        <w:jc w:val="both"/>
        <w:rPr>
          <w:sz w:val="10"/>
          <w:szCs w:val="10"/>
          <w:lang w:val="es-ES_tradnl"/>
        </w:rPr>
      </w:pPr>
    </w:p>
    <w:p w:rsidR="0049591B" w:rsidRPr="00A24D81" w:rsidRDefault="0049591B" w:rsidP="00086F22">
      <w:pPr>
        <w:pStyle w:val="Textoindependiente"/>
        <w:spacing w:line="276" w:lineRule="auto"/>
        <w:jc w:val="both"/>
        <w:rPr>
          <w:sz w:val="22"/>
          <w:szCs w:val="22"/>
        </w:rPr>
      </w:pPr>
      <w:r w:rsidRPr="00A24D81">
        <w:rPr>
          <w:sz w:val="22"/>
          <w:szCs w:val="22"/>
        </w:rPr>
        <w:t xml:space="preserve">Dada, en la Sala de Sesiones del Concejo Metropolitano de Quito, </w:t>
      </w:r>
      <w:proofErr w:type="gramStart"/>
      <w:r w:rsidRPr="00A24D81">
        <w:rPr>
          <w:sz w:val="22"/>
          <w:szCs w:val="22"/>
        </w:rPr>
        <w:t>el.……</w:t>
      </w:r>
      <w:proofErr w:type="gramEnd"/>
      <w:r w:rsidRPr="00A24D81">
        <w:rPr>
          <w:sz w:val="22"/>
          <w:szCs w:val="22"/>
        </w:rPr>
        <w:t xml:space="preserve"> de …………. del 20</w:t>
      </w:r>
      <w:r w:rsidR="007645B7">
        <w:rPr>
          <w:sz w:val="22"/>
          <w:szCs w:val="22"/>
        </w:rPr>
        <w:t>20</w:t>
      </w:r>
    </w:p>
    <w:p w:rsidR="00532C34" w:rsidRPr="00A24D81" w:rsidRDefault="00532C34" w:rsidP="0049591B">
      <w:pPr>
        <w:jc w:val="both"/>
        <w:rPr>
          <w:sz w:val="22"/>
          <w:szCs w:val="22"/>
        </w:rPr>
      </w:pPr>
    </w:p>
    <w:p w:rsidR="00532C34" w:rsidRPr="00A24D81" w:rsidRDefault="00532C34" w:rsidP="0049591B">
      <w:pPr>
        <w:jc w:val="both"/>
        <w:rPr>
          <w:sz w:val="22"/>
          <w:szCs w:val="22"/>
        </w:rPr>
      </w:pPr>
    </w:p>
    <w:p w:rsidR="008E56CC" w:rsidRPr="00A24D81" w:rsidRDefault="008E56CC" w:rsidP="008E56CC">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Abg. Damaris Priscila </w:t>
      </w:r>
      <w:proofErr w:type="spellStart"/>
      <w:r w:rsidRPr="00A24D81">
        <w:rPr>
          <w:rFonts w:ascii="Times New Roman" w:eastAsia="MS Mincho" w:hAnsi="Times New Roman"/>
          <w:sz w:val="22"/>
          <w:szCs w:val="22"/>
        </w:rPr>
        <w:t>Ortíz</w:t>
      </w:r>
      <w:proofErr w:type="spellEnd"/>
      <w:r w:rsidRPr="00A24D81">
        <w:rPr>
          <w:rFonts w:ascii="Times New Roman" w:eastAsia="MS Mincho" w:hAnsi="Times New Roman"/>
          <w:sz w:val="22"/>
          <w:szCs w:val="22"/>
        </w:rPr>
        <w:t xml:space="preserve"> </w:t>
      </w:r>
      <w:proofErr w:type="spellStart"/>
      <w:r w:rsidRPr="00A24D81">
        <w:rPr>
          <w:rFonts w:ascii="Times New Roman" w:eastAsia="MS Mincho" w:hAnsi="Times New Roman"/>
          <w:sz w:val="22"/>
          <w:szCs w:val="22"/>
        </w:rPr>
        <w:t>Pasuy</w:t>
      </w:r>
      <w:proofErr w:type="spellEnd"/>
    </w:p>
    <w:p w:rsidR="008E56CC" w:rsidRPr="00A24D81" w:rsidRDefault="008E56CC" w:rsidP="008E56CC">
      <w:pPr>
        <w:pStyle w:val="Textosinformato"/>
        <w:spacing w:after="240"/>
        <w:jc w:val="center"/>
        <w:rPr>
          <w:rFonts w:ascii="Times New Roman" w:eastAsia="MS Mincho" w:hAnsi="Times New Roman"/>
          <w:b/>
          <w:bCs/>
          <w:sz w:val="22"/>
          <w:szCs w:val="22"/>
        </w:rPr>
      </w:pPr>
      <w:r w:rsidRPr="00A24D81">
        <w:rPr>
          <w:rFonts w:ascii="Times New Roman" w:eastAsia="MS Mincho" w:hAnsi="Times New Roman"/>
          <w:b/>
          <w:bCs/>
          <w:sz w:val="22"/>
          <w:szCs w:val="22"/>
        </w:rPr>
        <w:t>SECRETARIA GENERAL DEL CONCEJO METROPOLITANO DE QUITO (E)</w:t>
      </w:r>
    </w:p>
    <w:p w:rsidR="0049591B" w:rsidRPr="00A24D81" w:rsidRDefault="0049591B" w:rsidP="00086F22">
      <w:pPr>
        <w:pStyle w:val="Ttulo1"/>
        <w:jc w:val="center"/>
        <w:rPr>
          <w:rFonts w:ascii="Times New Roman" w:eastAsia="MS Mincho" w:hAnsi="Times New Roman" w:cs="Times New Roman"/>
          <w:color w:val="auto"/>
          <w:sz w:val="22"/>
          <w:szCs w:val="22"/>
        </w:rPr>
      </w:pPr>
      <w:r w:rsidRPr="00A24D81">
        <w:rPr>
          <w:rFonts w:ascii="Times New Roman" w:eastAsia="MS Mincho" w:hAnsi="Times New Roman" w:cs="Times New Roman"/>
          <w:color w:val="auto"/>
          <w:sz w:val="22"/>
          <w:szCs w:val="22"/>
        </w:rPr>
        <w:lastRenderedPageBreak/>
        <w:t>CERTIFICADO DE DISCUSIÓN</w:t>
      </w:r>
    </w:p>
    <w:p w:rsidR="0049591B" w:rsidRPr="00A24D81" w:rsidRDefault="0049591B" w:rsidP="00086F22">
      <w:pPr>
        <w:jc w:val="center"/>
        <w:rPr>
          <w:rFonts w:eastAsia="MS Mincho"/>
          <w:sz w:val="22"/>
          <w:szCs w:val="22"/>
        </w:rPr>
      </w:pPr>
    </w:p>
    <w:p w:rsidR="0049591B" w:rsidRPr="00A24D81" w:rsidRDefault="0049591B" w:rsidP="00086F22">
      <w:pPr>
        <w:pStyle w:val="Textoindependiente"/>
        <w:rPr>
          <w:rFonts w:eastAsia="MS Mincho"/>
          <w:sz w:val="22"/>
          <w:szCs w:val="22"/>
        </w:rPr>
      </w:pPr>
      <w:r w:rsidRPr="00A24D81">
        <w:rPr>
          <w:rFonts w:eastAsia="MS Mincho"/>
          <w:sz w:val="22"/>
          <w:szCs w:val="22"/>
        </w:rPr>
        <w:t>La infrascrita Secretaria General del Concejo Metropolitano de Quito, certifica que la presente ordenanza fue discutida y aprobada en dos debates, en sesiones de …</w:t>
      </w:r>
      <w:proofErr w:type="gramStart"/>
      <w:r w:rsidRPr="00A24D81">
        <w:rPr>
          <w:rFonts w:eastAsia="MS Mincho"/>
          <w:sz w:val="22"/>
          <w:szCs w:val="22"/>
        </w:rPr>
        <w:t>..de</w:t>
      </w:r>
      <w:proofErr w:type="gramEnd"/>
      <w:r w:rsidRPr="00A24D81">
        <w:rPr>
          <w:rFonts w:eastAsia="MS Mincho"/>
          <w:sz w:val="22"/>
          <w:szCs w:val="22"/>
        </w:rPr>
        <w:t xml:space="preserve"> ……..  </w:t>
      </w:r>
      <w:proofErr w:type="gramStart"/>
      <w:r w:rsidRPr="00A24D81">
        <w:rPr>
          <w:rFonts w:eastAsia="MS Mincho"/>
          <w:sz w:val="22"/>
          <w:szCs w:val="22"/>
        </w:rPr>
        <w:t>y</w:t>
      </w:r>
      <w:proofErr w:type="gramEnd"/>
      <w:r w:rsidRPr="00A24D81">
        <w:rPr>
          <w:rFonts w:eastAsia="MS Mincho"/>
          <w:sz w:val="22"/>
          <w:szCs w:val="22"/>
        </w:rPr>
        <w:t xml:space="preserve"> ….. </w:t>
      </w:r>
      <w:proofErr w:type="gramStart"/>
      <w:r w:rsidRPr="00A24D81">
        <w:rPr>
          <w:rFonts w:eastAsia="MS Mincho"/>
          <w:sz w:val="22"/>
          <w:szCs w:val="22"/>
        </w:rPr>
        <w:t>de</w:t>
      </w:r>
      <w:proofErr w:type="gramEnd"/>
      <w:r w:rsidRPr="00A24D81">
        <w:rPr>
          <w:rFonts w:eastAsia="MS Mincho"/>
          <w:sz w:val="22"/>
          <w:szCs w:val="22"/>
        </w:rPr>
        <w:t xml:space="preserve"> …………. de 20</w:t>
      </w:r>
      <w:r w:rsidR="007645B7">
        <w:rPr>
          <w:rFonts w:eastAsia="MS Mincho"/>
          <w:sz w:val="22"/>
          <w:szCs w:val="22"/>
        </w:rPr>
        <w:t>20</w:t>
      </w:r>
      <w:r w:rsidRPr="00A24D81">
        <w:rPr>
          <w:rFonts w:eastAsia="MS Mincho"/>
          <w:sz w:val="22"/>
          <w:szCs w:val="22"/>
        </w:rPr>
        <w:t>.- Quito,</w:t>
      </w:r>
    </w:p>
    <w:p w:rsidR="0049591B" w:rsidRPr="00A24D81" w:rsidRDefault="0049591B" w:rsidP="00086F22">
      <w:pPr>
        <w:rPr>
          <w:rFonts w:eastAsia="MS Mincho"/>
          <w:sz w:val="22"/>
          <w:szCs w:val="22"/>
        </w:rPr>
      </w:pPr>
    </w:p>
    <w:p w:rsidR="0049591B" w:rsidRPr="00A24D81" w:rsidRDefault="0049591B" w:rsidP="00841CD8">
      <w:pPr>
        <w:rPr>
          <w:rFonts w:eastAsia="MS Mincho"/>
          <w:sz w:val="22"/>
          <w:szCs w:val="22"/>
        </w:rPr>
      </w:pPr>
    </w:p>
    <w:p w:rsidR="00625B20" w:rsidRPr="00A24D81" w:rsidRDefault="00755625" w:rsidP="00625B20">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Abg. Damaris Priscila Orti</w:t>
      </w:r>
      <w:r w:rsidR="00625B20" w:rsidRPr="00A24D81">
        <w:rPr>
          <w:rFonts w:ascii="Times New Roman" w:eastAsia="MS Mincho" w:hAnsi="Times New Roman"/>
          <w:sz w:val="22"/>
          <w:szCs w:val="22"/>
        </w:rPr>
        <w:t xml:space="preserve">z </w:t>
      </w:r>
      <w:proofErr w:type="spellStart"/>
      <w:r w:rsidR="00625B20" w:rsidRPr="00A24D81">
        <w:rPr>
          <w:rFonts w:ascii="Times New Roman" w:eastAsia="MS Mincho" w:hAnsi="Times New Roman"/>
          <w:sz w:val="22"/>
          <w:szCs w:val="22"/>
        </w:rPr>
        <w:t>Pasuy</w:t>
      </w:r>
      <w:proofErr w:type="spellEnd"/>
    </w:p>
    <w:p w:rsidR="00625B20" w:rsidRPr="00A24D81" w:rsidRDefault="00625B20" w:rsidP="00625B20">
      <w:pPr>
        <w:pStyle w:val="Textosinformato"/>
        <w:spacing w:after="240"/>
        <w:jc w:val="center"/>
        <w:rPr>
          <w:rFonts w:ascii="Times New Roman" w:eastAsia="MS Mincho" w:hAnsi="Times New Roman"/>
          <w:b/>
          <w:bCs/>
          <w:sz w:val="22"/>
          <w:szCs w:val="22"/>
        </w:rPr>
      </w:pPr>
      <w:r w:rsidRPr="00A24D81">
        <w:rPr>
          <w:rFonts w:ascii="Times New Roman" w:eastAsia="MS Mincho" w:hAnsi="Times New Roman"/>
          <w:b/>
          <w:bCs/>
          <w:sz w:val="22"/>
          <w:szCs w:val="22"/>
        </w:rPr>
        <w:t>SECRETARIA GENERAL DEL CONCEJO METROPOLITANO DE QUITO (E)</w:t>
      </w:r>
    </w:p>
    <w:p w:rsidR="0049591B" w:rsidRPr="00A24D81" w:rsidRDefault="0049591B" w:rsidP="00841CD8">
      <w:pPr>
        <w:rPr>
          <w:rFonts w:eastAsia="MS Mincho"/>
          <w:sz w:val="22"/>
          <w:szCs w:val="22"/>
        </w:rPr>
      </w:pPr>
    </w:p>
    <w:p w:rsidR="0049591B" w:rsidRPr="00A24D81" w:rsidRDefault="0049591B" w:rsidP="00086F22">
      <w:pPr>
        <w:pStyle w:val="Ttulo3"/>
        <w:jc w:val="center"/>
        <w:rPr>
          <w:rFonts w:ascii="Times New Roman" w:eastAsia="MS Mincho" w:hAnsi="Times New Roman" w:cs="Times New Roman"/>
          <w:sz w:val="22"/>
          <w:szCs w:val="22"/>
        </w:rPr>
      </w:pPr>
      <w:r w:rsidRPr="00A24D81">
        <w:rPr>
          <w:rFonts w:ascii="Times New Roman" w:eastAsia="MS Mincho" w:hAnsi="Times New Roman" w:cs="Times New Roman"/>
          <w:sz w:val="22"/>
          <w:szCs w:val="22"/>
        </w:rPr>
        <w:t>ALCALDÍA</w:t>
      </w:r>
      <w:r w:rsidR="00086F22" w:rsidRPr="00A24D81">
        <w:rPr>
          <w:rFonts w:ascii="Times New Roman" w:eastAsia="MS Mincho" w:hAnsi="Times New Roman" w:cs="Times New Roman"/>
          <w:sz w:val="22"/>
          <w:szCs w:val="22"/>
        </w:rPr>
        <w:t xml:space="preserve"> DEL DISTRITO METROPOLITANO.- </w:t>
      </w:r>
      <w:r w:rsidRPr="00A24D81">
        <w:rPr>
          <w:rFonts w:ascii="Times New Roman" w:eastAsia="MS Mincho" w:hAnsi="Times New Roman" w:cs="Times New Roman"/>
          <w:sz w:val="22"/>
          <w:szCs w:val="22"/>
        </w:rPr>
        <w:t>Distrito Metropolitano de Quito,</w:t>
      </w:r>
    </w:p>
    <w:p w:rsidR="00086F22" w:rsidRPr="00A24D81" w:rsidRDefault="00086F22" w:rsidP="00086F22">
      <w:pPr>
        <w:pStyle w:val="Ttulo1"/>
        <w:jc w:val="center"/>
        <w:rPr>
          <w:rFonts w:ascii="Times New Roman" w:eastAsia="MS Mincho" w:hAnsi="Times New Roman" w:cs="Times New Roman"/>
          <w:color w:val="auto"/>
          <w:sz w:val="22"/>
          <w:szCs w:val="22"/>
        </w:rPr>
      </w:pPr>
    </w:p>
    <w:p w:rsidR="0049591B" w:rsidRPr="00A24D81" w:rsidRDefault="0049591B" w:rsidP="00086F22">
      <w:pPr>
        <w:pStyle w:val="Ttulo1"/>
        <w:jc w:val="center"/>
        <w:rPr>
          <w:rFonts w:ascii="Times New Roman" w:eastAsia="MS Mincho" w:hAnsi="Times New Roman" w:cs="Times New Roman"/>
          <w:color w:val="auto"/>
          <w:sz w:val="22"/>
          <w:szCs w:val="22"/>
        </w:rPr>
      </w:pPr>
      <w:r w:rsidRPr="00A24D81">
        <w:rPr>
          <w:rFonts w:ascii="Times New Roman" w:eastAsia="MS Mincho" w:hAnsi="Times New Roman" w:cs="Times New Roman"/>
          <w:color w:val="auto"/>
          <w:sz w:val="22"/>
          <w:szCs w:val="22"/>
        </w:rPr>
        <w:t>EJECÚTESE:</w:t>
      </w:r>
    </w:p>
    <w:p w:rsidR="0049591B" w:rsidRPr="00A24D81" w:rsidRDefault="0049591B" w:rsidP="00086F22">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Dr. Jorge </w:t>
      </w:r>
      <w:proofErr w:type="spellStart"/>
      <w:r w:rsidRPr="00A24D81">
        <w:rPr>
          <w:rFonts w:ascii="Times New Roman" w:eastAsia="MS Mincho" w:hAnsi="Times New Roman"/>
          <w:sz w:val="22"/>
          <w:szCs w:val="22"/>
        </w:rPr>
        <w:t>Yunda</w:t>
      </w:r>
      <w:proofErr w:type="spellEnd"/>
      <w:r w:rsidRPr="00A24D81">
        <w:rPr>
          <w:rFonts w:ascii="Times New Roman" w:eastAsia="MS Mincho" w:hAnsi="Times New Roman"/>
          <w:sz w:val="22"/>
          <w:szCs w:val="22"/>
        </w:rPr>
        <w:t xml:space="preserve"> Machado</w:t>
      </w:r>
    </w:p>
    <w:p w:rsidR="0049591B" w:rsidRPr="00A24D81" w:rsidRDefault="0049591B" w:rsidP="00086F22">
      <w:pPr>
        <w:pStyle w:val="Textosinformato"/>
        <w:jc w:val="center"/>
        <w:rPr>
          <w:rFonts w:ascii="Times New Roman" w:eastAsia="MS Mincho" w:hAnsi="Times New Roman"/>
          <w:b/>
          <w:bCs/>
          <w:sz w:val="22"/>
          <w:szCs w:val="22"/>
        </w:rPr>
      </w:pPr>
      <w:r w:rsidRPr="00A24D81">
        <w:rPr>
          <w:rFonts w:ascii="Times New Roman" w:eastAsia="MS Mincho" w:hAnsi="Times New Roman"/>
          <w:b/>
          <w:bCs/>
          <w:sz w:val="22"/>
          <w:szCs w:val="22"/>
        </w:rPr>
        <w:t>ALCALDE DEL DISTRITO METROPOLITANO DE QUITO</w:t>
      </w:r>
    </w:p>
    <w:p w:rsidR="0049591B" w:rsidRPr="00A24D81" w:rsidRDefault="0049591B" w:rsidP="00841CD8">
      <w:pPr>
        <w:rPr>
          <w:rFonts w:eastAsia="MS Mincho"/>
          <w:sz w:val="22"/>
          <w:szCs w:val="22"/>
        </w:rPr>
      </w:pPr>
    </w:p>
    <w:p w:rsidR="0049591B" w:rsidRPr="00A24D81" w:rsidRDefault="0049591B" w:rsidP="00841CD8">
      <w:pPr>
        <w:rPr>
          <w:rFonts w:eastAsia="MS Mincho"/>
          <w:sz w:val="22"/>
          <w:szCs w:val="22"/>
        </w:rPr>
      </w:pPr>
    </w:p>
    <w:p w:rsidR="0049591B" w:rsidRPr="00A24D81" w:rsidRDefault="0049591B" w:rsidP="0049591B">
      <w:pPr>
        <w:pStyle w:val="Textosinformato"/>
        <w:jc w:val="center"/>
        <w:rPr>
          <w:rFonts w:ascii="Times New Roman" w:eastAsia="MS Mincho" w:hAnsi="Times New Roman"/>
          <w:sz w:val="22"/>
          <w:szCs w:val="22"/>
        </w:rPr>
      </w:pPr>
      <w:r w:rsidRPr="00A24D81">
        <w:rPr>
          <w:rFonts w:ascii="Times New Roman" w:eastAsia="MS Mincho" w:hAnsi="Times New Roman"/>
          <w:b/>
          <w:bCs/>
          <w:sz w:val="22"/>
          <w:szCs w:val="22"/>
        </w:rPr>
        <w:t>CERTIFICO,</w:t>
      </w:r>
      <w:r w:rsidRPr="00A24D81">
        <w:rPr>
          <w:rFonts w:ascii="Times New Roman" w:eastAsia="MS Mincho" w:hAnsi="Times New Roman"/>
          <w:sz w:val="22"/>
          <w:szCs w:val="22"/>
        </w:rPr>
        <w:t xml:space="preserve"> que la presente ordenanza fue sancionada por el Dr. Jorge </w:t>
      </w:r>
      <w:proofErr w:type="spellStart"/>
      <w:r w:rsidRPr="00A24D81">
        <w:rPr>
          <w:rFonts w:ascii="Times New Roman" w:eastAsia="MS Mincho" w:hAnsi="Times New Roman"/>
          <w:sz w:val="22"/>
          <w:szCs w:val="22"/>
        </w:rPr>
        <w:t>Yunda</w:t>
      </w:r>
      <w:proofErr w:type="spellEnd"/>
      <w:r w:rsidRPr="00A24D81">
        <w:rPr>
          <w:rFonts w:ascii="Times New Roman" w:eastAsia="MS Mincho" w:hAnsi="Times New Roman"/>
          <w:sz w:val="22"/>
          <w:szCs w:val="22"/>
        </w:rPr>
        <w:t xml:space="preserve"> Machado</w:t>
      </w:r>
    </w:p>
    <w:p w:rsidR="0049591B" w:rsidRPr="00A24D81" w:rsidRDefault="0049591B" w:rsidP="0049591B">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 Alcalde </w:t>
      </w:r>
      <w:r w:rsidR="00CC69B0" w:rsidRPr="00A24D81">
        <w:rPr>
          <w:rFonts w:ascii="Times New Roman" w:eastAsia="MS Mincho" w:hAnsi="Times New Roman"/>
          <w:sz w:val="22"/>
          <w:szCs w:val="22"/>
        </w:rPr>
        <w:t xml:space="preserve">  </w:t>
      </w:r>
      <w:r w:rsidRPr="00A24D81">
        <w:rPr>
          <w:rFonts w:ascii="Times New Roman" w:eastAsia="MS Mincho" w:hAnsi="Times New Roman"/>
          <w:sz w:val="22"/>
          <w:szCs w:val="22"/>
        </w:rPr>
        <w:t xml:space="preserve"> del Distrito Metropolitano de Quito, el</w:t>
      </w:r>
    </w:p>
    <w:p w:rsidR="00AD3778" w:rsidRPr="00A24D81" w:rsidRDefault="0049591B" w:rsidP="00A24D81">
      <w:pPr>
        <w:pStyle w:val="Textosinformato"/>
        <w:tabs>
          <w:tab w:val="right" w:pos="8504"/>
        </w:tabs>
        <w:spacing w:line="276" w:lineRule="auto"/>
        <w:jc w:val="center"/>
        <w:rPr>
          <w:rFonts w:ascii="Times New Roman" w:hAnsi="Times New Roman"/>
          <w:sz w:val="22"/>
          <w:szCs w:val="22"/>
        </w:rPr>
      </w:pPr>
      <w:r w:rsidRPr="00A24D81">
        <w:rPr>
          <w:rFonts w:ascii="Times New Roman" w:eastAsia="MS Mincho" w:hAnsi="Times New Roman"/>
          <w:sz w:val="22"/>
          <w:szCs w:val="22"/>
        </w:rPr>
        <w:t>.- Distrito Metropolitano de Quito,</w:t>
      </w:r>
    </w:p>
    <w:sectPr w:rsidR="00AD3778" w:rsidRPr="00A24D81" w:rsidSect="0027642B">
      <w:headerReference w:type="even" r:id="rId13"/>
      <w:headerReference w:type="default" r:id="rId14"/>
      <w:footerReference w:type="default" r:id="rId15"/>
      <w:headerReference w:type="first" r:id="rId16"/>
      <w:pgSz w:w="11906" w:h="16838"/>
      <w:pgMar w:top="3402" w:right="1274" w:bottom="993"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1F1" w:rsidRDefault="000471F1">
      <w:r>
        <w:separator/>
      </w:r>
    </w:p>
  </w:endnote>
  <w:endnote w:type="continuationSeparator" w:id="0">
    <w:p w:rsidR="000471F1" w:rsidRDefault="0004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6C348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46B1D">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46B1D">
      <w:rPr>
        <w:b/>
        <w:noProof/>
      </w:rPr>
      <w:t>13</w:t>
    </w:r>
    <w:r>
      <w:rPr>
        <w:b/>
        <w:sz w:val="24"/>
        <w:szCs w:val="24"/>
      </w:rPr>
      <w:fldChar w:fldCharType="end"/>
    </w:r>
  </w:p>
  <w:p w:rsidR="006C3481" w:rsidRDefault="006C34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6C348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46B1D">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46B1D">
      <w:rPr>
        <w:b/>
        <w:noProof/>
      </w:rPr>
      <w:t>13</w:t>
    </w:r>
    <w:r>
      <w:rPr>
        <w:b/>
        <w:sz w:val="24"/>
        <w:szCs w:val="24"/>
      </w:rPr>
      <w:fldChar w:fldCharType="end"/>
    </w:r>
  </w:p>
  <w:p w:rsidR="006C3481" w:rsidRDefault="006C34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6C348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46B1D">
      <w:rPr>
        <w:b/>
        <w:noProof/>
      </w:rPr>
      <w:t>13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46B1D">
      <w:rPr>
        <w:b/>
        <w:noProof/>
      </w:rPr>
      <w:t>13</w:t>
    </w:r>
    <w:r>
      <w:rPr>
        <w:b/>
        <w:sz w:val="24"/>
        <w:szCs w:val="24"/>
      </w:rPr>
      <w:fldChar w:fldCharType="end"/>
    </w:r>
  </w:p>
  <w:p w:rsidR="006C3481" w:rsidRDefault="006C34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1F1" w:rsidRDefault="000471F1">
      <w:r>
        <w:separator/>
      </w:r>
    </w:p>
  </w:footnote>
  <w:footnote w:type="continuationSeparator" w:id="0">
    <w:p w:rsidR="000471F1" w:rsidRDefault="00047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02" w:rsidRDefault="000471F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532" o:spid="_x0000_s2050" type="#_x0000_t136" style="position:absolute;margin-left:0;margin-top:0;width:844.5pt;height:31.5pt;rotation:315;z-index:-251655168;mso-position-horizontal:center;mso-position-horizontal-relative:margin;mso-position-vertical:center;mso-position-vertical-relative:margin" o:allowincell="f" fillcolor="#393737 [814]" stroked="f">
          <v:fill opacity=".5"/>
          <v:textpath style="font-family:&quot;Arial&quot;;font-size:28pt" string="Proyecto Ordenanza Aprobada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0471F1">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533" o:spid="_x0000_s2051" type="#_x0000_t136" style="position:absolute;margin-left:0;margin-top:0;width:844.5pt;height:31.5pt;rotation:315;z-index:-251653120;mso-position-horizontal:center;mso-position-horizontal-relative:margin;mso-position-vertical:center;mso-position-vertical-relative:margin" o:allowincell="f" fillcolor="#393737 [814]" stroked="f">
          <v:fill opacity=".5"/>
          <v:textpath style="font-family:&quot;Arial&quot;;font-size:28pt" string="Proyecto Ordenanza Aprobada Comisión de Ordenamiento Territorial"/>
          <w10:wrap anchorx="margin" anchory="margin"/>
        </v:shape>
      </w:pict>
    </w:r>
  </w:p>
  <w:p w:rsidR="006C3481" w:rsidRDefault="006C3481">
    <w:pPr>
      <w:pStyle w:val="Encabezado"/>
      <w:rPr>
        <w:lang w:val="es-EC"/>
      </w:rPr>
    </w:pPr>
  </w:p>
  <w:p w:rsidR="006C3481" w:rsidRDefault="006C3481">
    <w:pPr>
      <w:pStyle w:val="Encabezado"/>
      <w:rPr>
        <w:lang w:val="es-EC"/>
      </w:rPr>
    </w:pPr>
  </w:p>
  <w:p w:rsidR="006C3481" w:rsidRDefault="006C3481">
    <w:pPr>
      <w:pStyle w:val="Encabezado"/>
      <w:rPr>
        <w:lang w:val="es-EC"/>
      </w:rPr>
    </w:pP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Pr="00476B21" w:rsidRDefault="006C3481"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rsidR="006C3481" w:rsidRPr="00150606" w:rsidRDefault="006C3481">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02" w:rsidRDefault="000471F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531" o:spid="_x0000_s2049" type="#_x0000_t136" style="position:absolute;margin-left:0;margin-top:0;width:844.5pt;height:31.5pt;rotation:315;z-index:-251657216;mso-position-horizontal:center;mso-position-horizontal-relative:margin;mso-position-vertical:center;mso-position-vertical-relative:margin" o:allowincell="f" fillcolor="#393737 [814]" stroked="f">
          <v:fill opacity=".5"/>
          <v:textpath style="font-family:&quot;Arial&quot;;font-size:28pt" string="Proyecto Ordenanza Aprobada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0471F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535" o:spid="_x0000_s2053" type="#_x0000_t136" style="position:absolute;margin-left:0;margin-top:0;width:844.5pt;height:31.5pt;rotation:315;z-index:-251649024;mso-position-horizontal:center;mso-position-horizontal-relative:margin;mso-position-vertical:center;mso-position-vertical-relative:margin" o:allowincell="f" fillcolor="#393737 [814]" stroked="f">
          <v:fill opacity=".5"/>
          <v:textpath style="font-family:&quot;Arial&quot;;font-size:28pt" string="Proyecto Ordenanza Aprobada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0471F1" w:rsidP="009243E2">
    <w:pPr>
      <w:pStyle w:val="a"/>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536" o:spid="_x0000_s2054" type="#_x0000_t136" style="position:absolute;margin-left:0;margin-top:0;width:844.5pt;height:31.5pt;rotation:315;z-index:-251646976;mso-position-horizontal:center;mso-position-horizontal-relative:margin;mso-position-vertical:center;mso-position-vertical-relative:margin" o:allowincell="f" fillcolor="#393737 [814]" stroked="f">
          <v:fill opacity=".5"/>
          <v:textpath style="font-family:&quot;Arial&quot;;font-size:28pt" string="Proyecto Ordenanza Aprobada Comisión de Ordenamiento Territorial"/>
          <w10:wrap anchorx="margin" anchory="margin"/>
        </v:shape>
      </w:pict>
    </w: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Default="006C3481" w:rsidP="009243E2">
    <w:pPr>
      <w:pStyle w:val="Puesto"/>
    </w:pPr>
  </w:p>
  <w:p w:rsidR="006C3481" w:rsidRPr="009243E2" w:rsidRDefault="006C3481" w:rsidP="009243E2"/>
  <w:p w:rsidR="006C3481" w:rsidRPr="009243E2" w:rsidRDefault="006C3481"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0471F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534" o:spid="_x0000_s2052" type="#_x0000_t136" style="position:absolute;margin-left:0;margin-top:0;width:844.5pt;height:31.5pt;rotation:315;z-index:-251651072;mso-position-horizontal:center;mso-position-horizontal-relative:margin;mso-position-vertical:center;mso-position-vertical-relative:margin" o:allowincell="f" fillcolor="#393737 [814]" stroked="f">
          <v:fill opacity=".5"/>
          <v:textpath style="font-family:&quot;Arial&quot;;font-size:28pt" string="Proyecto Ordenanza Aprobada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1"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4AD0737"/>
    <w:multiLevelType w:val="hybridMultilevel"/>
    <w:tmpl w:val="82F8EE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4EB94A16"/>
    <w:multiLevelType w:val="hybridMultilevel"/>
    <w:tmpl w:val="DF0A03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1"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9806B46"/>
    <w:multiLevelType w:val="hybridMultilevel"/>
    <w:tmpl w:val="8EC6C8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19"/>
  </w:num>
  <w:num w:numId="6">
    <w:abstractNumId w:val="12"/>
  </w:num>
  <w:num w:numId="7">
    <w:abstractNumId w:val="17"/>
  </w:num>
  <w:num w:numId="8">
    <w:abstractNumId w:val="0"/>
  </w:num>
  <w:num w:numId="9">
    <w:abstractNumId w:val="2"/>
  </w:num>
  <w:num w:numId="10">
    <w:abstractNumId w:val="3"/>
  </w:num>
  <w:num w:numId="11">
    <w:abstractNumId w:val="21"/>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10"/>
  </w:num>
  <w:num w:numId="18">
    <w:abstractNumId w:val="5"/>
  </w:num>
  <w:num w:numId="19">
    <w:abstractNumId w:val="9"/>
  </w:num>
  <w:num w:numId="20">
    <w:abstractNumId w:val="11"/>
  </w:num>
  <w:num w:numId="21">
    <w:abstractNumId w:val="14"/>
  </w:num>
  <w:num w:numId="22">
    <w:abstractNumId w:val="13"/>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1E72"/>
    <w:rsid w:val="00005E6E"/>
    <w:rsid w:val="0002035D"/>
    <w:rsid w:val="00022E75"/>
    <w:rsid w:val="00023FAD"/>
    <w:rsid w:val="000314C0"/>
    <w:rsid w:val="00032D16"/>
    <w:rsid w:val="00032FD6"/>
    <w:rsid w:val="00042667"/>
    <w:rsid w:val="000471F1"/>
    <w:rsid w:val="00047340"/>
    <w:rsid w:val="00051340"/>
    <w:rsid w:val="00052BB1"/>
    <w:rsid w:val="00060266"/>
    <w:rsid w:val="00063281"/>
    <w:rsid w:val="00065734"/>
    <w:rsid w:val="0007425E"/>
    <w:rsid w:val="00080BA1"/>
    <w:rsid w:val="00085165"/>
    <w:rsid w:val="00086F22"/>
    <w:rsid w:val="00093383"/>
    <w:rsid w:val="00094F57"/>
    <w:rsid w:val="000B7E01"/>
    <w:rsid w:val="000C0196"/>
    <w:rsid w:val="000C069F"/>
    <w:rsid w:val="000D39A4"/>
    <w:rsid w:val="000D6B06"/>
    <w:rsid w:val="000E3F3B"/>
    <w:rsid w:val="00107A55"/>
    <w:rsid w:val="001278F3"/>
    <w:rsid w:val="00130E73"/>
    <w:rsid w:val="00137EFC"/>
    <w:rsid w:val="001479B2"/>
    <w:rsid w:val="0015428B"/>
    <w:rsid w:val="001550EF"/>
    <w:rsid w:val="0016024C"/>
    <w:rsid w:val="001603B6"/>
    <w:rsid w:val="001647DE"/>
    <w:rsid w:val="00164A30"/>
    <w:rsid w:val="001732B0"/>
    <w:rsid w:val="00173584"/>
    <w:rsid w:val="00176D80"/>
    <w:rsid w:val="001824A5"/>
    <w:rsid w:val="00192470"/>
    <w:rsid w:val="001A5E4E"/>
    <w:rsid w:val="001B4536"/>
    <w:rsid w:val="001B65D5"/>
    <w:rsid w:val="001C179D"/>
    <w:rsid w:val="001C6677"/>
    <w:rsid w:val="001D7099"/>
    <w:rsid w:val="001E1CA2"/>
    <w:rsid w:val="001E2E3A"/>
    <w:rsid w:val="001E41B8"/>
    <w:rsid w:val="001F3FD8"/>
    <w:rsid w:val="001F4C88"/>
    <w:rsid w:val="00202D96"/>
    <w:rsid w:val="002062DE"/>
    <w:rsid w:val="00213D93"/>
    <w:rsid w:val="00223CF8"/>
    <w:rsid w:val="00235024"/>
    <w:rsid w:val="0024191F"/>
    <w:rsid w:val="00242929"/>
    <w:rsid w:val="0024609D"/>
    <w:rsid w:val="00253A5D"/>
    <w:rsid w:val="002578F2"/>
    <w:rsid w:val="00264F1D"/>
    <w:rsid w:val="00266076"/>
    <w:rsid w:val="00266627"/>
    <w:rsid w:val="002671E8"/>
    <w:rsid w:val="00271C6D"/>
    <w:rsid w:val="0027642B"/>
    <w:rsid w:val="002918F7"/>
    <w:rsid w:val="002930CE"/>
    <w:rsid w:val="0029483B"/>
    <w:rsid w:val="00296C41"/>
    <w:rsid w:val="002B2BD8"/>
    <w:rsid w:val="002B5970"/>
    <w:rsid w:val="002B6181"/>
    <w:rsid w:val="002B6340"/>
    <w:rsid w:val="002C58A7"/>
    <w:rsid w:val="002D5A0F"/>
    <w:rsid w:val="002D7709"/>
    <w:rsid w:val="002F5FCE"/>
    <w:rsid w:val="0030415D"/>
    <w:rsid w:val="00316263"/>
    <w:rsid w:val="00316973"/>
    <w:rsid w:val="00321C5A"/>
    <w:rsid w:val="00325915"/>
    <w:rsid w:val="00332708"/>
    <w:rsid w:val="003329E7"/>
    <w:rsid w:val="00335B5A"/>
    <w:rsid w:val="00342FD0"/>
    <w:rsid w:val="00345ED7"/>
    <w:rsid w:val="003576E8"/>
    <w:rsid w:val="00361728"/>
    <w:rsid w:val="00363A17"/>
    <w:rsid w:val="003663CF"/>
    <w:rsid w:val="00371F4A"/>
    <w:rsid w:val="00380220"/>
    <w:rsid w:val="00383E53"/>
    <w:rsid w:val="00385DE9"/>
    <w:rsid w:val="00385E8D"/>
    <w:rsid w:val="00387489"/>
    <w:rsid w:val="00397AF9"/>
    <w:rsid w:val="003A2B74"/>
    <w:rsid w:val="003A6890"/>
    <w:rsid w:val="003A73F7"/>
    <w:rsid w:val="003B1F9D"/>
    <w:rsid w:val="003B5EDB"/>
    <w:rsid w:val="003C2823"/>
    <w:rsid w:val="003D125D"/>
    <w:rsid w:val="003E3B0F"/>
    <w:rsid w:val="003E617D"/>
    <w:rsid w:val="003F00C9"/>
    <w:rsid w:val="003F5AD0"/>
    <w:rsid w:val="004014B1"/>
    <w:rsid w:val="00410912"/>
    <w:rsid w:val="004154D3"/>
    <w:rsid w:val="00417042"/>
    <w:rsid w:val="0042085C"/>
    <w:rsid w:val="004257E3"/>
    <w:rsid w:val="004279DF"/>
    <w:rsid w:val="00433171"/>
    <w:rsid w:val="00433A3F"/>
    <w:rsid w:val="0044083A"/>
    <w:rsid w:val="00441695"/>
    <w:rsid w:val="00443190"/>
    <w:rsid w:val="00445C00"/>
    <w:rsid w:val="00446B1D"/>
    <w:rsid w:val="0045087F"/>
    <w:rsid w:val="00455334"/>
    <w:rsid w:val="00455836"/>
    <w:rsid w:val="00455DBB"/>
    <w:rsid w:val="00456156"/>
    <w:rsid w:val="004615C3"/>
    <w:rsid w:val="00464939"/>
    <w:rsid w:val="00464F07"/>
    <w:rsid w:val="00471681"/>
    <w:rsid w:val="004754F0"/>
    <w:rsid w:val="00476410"/>
    <w:rsid w:val="004773DB"/>
    <w:rsid w:val="00483933"/>
    <w:rsid w:val="00485180"/>
    <w:rsid w:val="00495059"/>
    <w:rsid w:val="0049591B"/>
    <w:rsid w:val="004A0020"/>
    <w:rsid w:val="004A7E87"/>
    <w:rsid w:val="004B23E3"/>
    <w:rsid w:val="004C26CE"/>
    <w:rsid w:val="004C50AE"/>
    <w:rsid w:val="004D2BC1"/>
    <w:rsid w:val="004E327F"/>
    <w:rsid w:val="004F380C"/>
    <w:rsid w:val="004F6D8E"/>
    <w:rsid w:val="005002EB"/>
    <w:rsid w:val="005014AE"/>
    <w:rsid w:val="0050154C"/>
    <w:rsid w:val="00502131"/>
    <w:rsid w:val="005179D9"/>
    <w:rsid w:val="00520190"/>
    <w:rsid w:val="0053116D"/>
    <w:rsid w:val="00532C34"/>
    <w:rsid w:val="005479C2"/>
    <w:rsid w:val="00547C69"/>
    <w:rsid w:val="00550771"/>
    <w:rsid w:val="00551EC3"/>
    <w:rsid w:val="00554427"/>
    <w:rsid w:val="00554E19"/>
    <w:rsid w:val="00561828"/>
    <w:rsid w:val="00562DB6"/>
    <w:rsid w:val="00566D24"/>
    <w:rsid w:val="0057335B"/>
    <w:rsid w:val="00576A9F"/>
    <w:rsid w:val="00577318"/>
    <w:rsid w:val="005830F1"/>
    <w:rsid w:val="00590276"/>
    <w:rsid w:val="00590C70"/>
    <w:rsid w:val="005938DA"/>
    <w:rsid w:val="00593B61"/>
    <w:rsid w:val="00595523"/>
    <w:rsid w:val="00596889"/>
    <w:rsid w:val="00596910"/>
    <w:rsid w:val="005A36B6"/>
    <w:rsid w:val="005A753B"/>
    <w:rsid w:val="005B4E47"/>
    <w:rsid w:val="005C20B8"/>
    <w:rsid w:val="005C3577"/>
    <w:rsid w:val="005C53D8"/>
    <w:rsid w:val="005D1D84"/>
    <w:rsid w:val="005E4505"/>
    <w:rsid w:val="005E493C"/>
    <w:rsid w:val="005E753F"/>
    <w:rsid w:val="005F3126"/>
    <w:rsid w:val="005F405A"/>
    <w:rsid w:val="005F52E9"/>
    <w:rsid w:val="005F7459"/>
    <w:rsid w:val="00606374"/>
    <w:rsid w:val="0061073C"/>
    <w:rsid w:val="0062109A"/>
    <w:rsid w:val="00622C77"/>
    <w:rsid w:val="006250BC"/>
    <w:rsid w:val="00625B20"/>
    <w:rsid w:val="00630196"/>
    <w:rsid w:val="00637640"/>
    <w:rsid w:val="00640D3D"/>
    <w:rsid w:val="006411D2"/>
    <w:rsid w:val="00642CAB"/>
    <w:rsid w:val="0064351E"/>
    <w:rsid w:val="00644C2D"/>
    <w:rsid w:val="00650446"/>
    <w:rsid w:val="0065581E"/>
    <w:rsid w:val="00657C26"/>
    <w:rsid w:val="00664F79"/>
    <w:rsid w:val="00671862"/>
    <w:rsid w:val="00673C25"/>
    <w:rsid w:val="00673D81"/>
    <w:rsid w:val="00675482"/>
    <w:rsid w:val="0068550F"/>
    <w:rsid w:val="006954C8"/>
    <w:rsid w:val="00696669"/>
    <w:rsid w:val="006A4617"/>
    <w:rsid w:val="006A5B77"/>
    <w:rsid w:val="006A68E9"/>
    <w:rsid w:val="006B6BAE"/>
    <w:rsid w:val="006C1482"/>
    <w:rsid w:val="006C2134"/>
    <w:rsid w:val="006C27BF"/>
    <w:rsid w:val="006C3481"/>
    <w:rsid w:val="006C3D0D"/>
    <w:rsid w:val="006C4142"/>
    <w:rsid w:val="006C53B2"/>
    <w:rsid w:val="006C713F"/>
    <w:rsid w:val="006D0D23"/>
    <w:rsid w:val="006D1751"/>
    <w:rsid w:val="006D176D"/>
    <w:rsid w:val="006D36F7"/>
    <w:rsid w:val="006D3A42"/>
    <w:rsid w:val="006D5B53"/>
    <w:rsid w:val="006D69D0"/>
    <w:rsid w:val="006E0F9E"/>
    <w:rsid w:val="006F1341"/>
    <w:rsid w:val="00700ACA"/>
    <w:rsid w:val="00706EBA"/>
    <w:rsid w:val="007100FB"/>
    <w:rsid w:val="0071397E"/>
    <w:rsid w:val="00713EB4"/>
    <w:rsid w:val="00721932"/>
    <w:rsid w:val="00727CDD"/>
    <w:rsid w:val="007317A4"/>
    <w:rsid w:val="0073413B"/>
    <w:rsid w:val="00736F50"/>
    <w:rsid w:val="00740727"/>
    <w:rsid w:val="0074203E"/>
    <w:rsid w:val="00742540"/>
    <w:rsid w:val="00745F5F"/>
    <w:rsid w:val="00746AD5"/>
    <w:rsid w:val="007502F8"/>
    <w:rsid w:val="00751C41"/>
    <w:rsid w:val="00752AF6"/>
    <w:rsid w:val="00755625"/>
    <w:rsid w:val="00761B65"/>
    <w:rsid w:val="007645B7"/>
    <w:rsid w:val="00766CB0"/>
    <w:rsid w:val="007720D0"/>
    <w:rsid w:val="00773ECA"/>
    <w:rsid w:val="00781D48"/>
    <w:rsid w:val="00782806"/>
    <w:rsid w:val="00783C8A"/>
    <w:rsid w:val="00795BEF"/>
    <w:rsid w:val="007A292B"/>
    <w:rsid w:val="007B302E"/>
    <w:rsid w:val="007B5E67"/>
    <w:rsid w:val="007C06DC"/>
    <w:rsid w:val="007C1822"/>
    <w:rsid w:val="007C4233"/>
    <w:rsid w:val="007C7247"/>
    <w:rsid w:val="007D01F8"/>
    <w:rsid w:val="007D535A"/>
    <w:rsid w:val="007D7DF9"/>
    <w:rsid w:val="007E237E"/>
    <w:rsid w:val="007E2D75"/>
    <w:rsid w:val="007E33D1"/>
    <w:rsid w:val="007E5AD9"/>
    <w:rsid w:val="007E6037"/>
    <w:rsid w:val="007E6331"/>
    <w:rsid w:val="007E6816"/>
    <w:rsid w:val="007F443B"/>
    <w:rsid w:val="007F5B17"/>
    <w:rsid w:val="007F64B8"/>
    <w:rsid w:val="007F6ADE"/>
    <w:rsid w:val="00803017"/>
    <w:rsid w:val="008113B3"/>
    <w:rsid w:val="008119EA"/>
    <w:rsid w:val="0081387B"/>
    <w:rsid w:val="00815311"/>
    <w:rsid w:val="00815646"/>
    <w:rsid w:val="00815F6F"/>
    <w:rsid w:val="00823280"/>
    <w:rsid w:val="008254C4"/>
    <w:rsid w:val="00837892"/>
    <w:rsid w:val="00841CD8"/>
    <w:rsid w:val="00842489"/>
    <w:rsid w:val="008440FD"/>
    <w:rsid w:val="0084467A"/>
    <w:rsid w:val="00857037"/>
    <w:rsid w:val="00857330"/>
    <w:rsid w:val="00867AD0"/>
    <w:rsid w:val="00882965"/>
    <w:rsid w:val="0088568C"/>
    <w:rsid w:val="0089127D"/>
    <w:rsid w:val="008970EF"/>
    <w:rsid w:val="0089798F"/>
    <w:rsid w:val="008A136A"/>
    <w:rsid w:val="008A42B1"/>
    <w:rsid w:val="008B126B"/>
    <w:rsid w:val="008C5326"/>
    <w:rsid w:val="008C57B8"/>
    <w:rsid w:val="008C62CE"/>
    <w:rsid w:val="008D35AE"/>
    <w:rsid w:val="008D4A2E"/>
    <w:rsid w:val="008D4CD5"/>
    <w:rsid w:val="008E4517"/>
    <w:rsid w:val="008E56CC"/>
    <w:rsid w:val="00900ED9"/>
    <w:rsid w:val="00904797"/>
    <w:rsid w:val="00911E00"/>
    <w:rsid w:val="00920EB9"/>
    <w:rsid w:val="00922B82"/>
    <w:rsid w:val="00922C0D"/>
    <w:rsid w:val="009243E2"/>
    <w:rsid w:val="009269DF"/>
    <w:rsid w:val="00933A9C"/>
    <w:rsid w:val="009342B6"/>
    <w:rsid w:val="0094723F"/>
    <w:rsid w:val="00956DF6"/>
    <w:rsid w:val="00957006"/>
    <w:rsid w:val="0096352A"/>
    <w:rsid w:val="00964756"/>
    <w:rsid w:val="009713DC"/>
    <w:rsid w:val="00975599"/>
    <w:rsid w:val="009856E7"/>
    <w:rsid w:val="009858EA"/>
    <w:rsid w:val="0099341B"/>
    <w:rsid w:val="00996C98"/>
    <w:rsid w:val="009A0164"/>
    <w:rsid w:val="009A75E7"/>
    <w:rsid w:val="009B0E5E"/>
    <w:rsid w:val="009B714B"/>
    <w:rsid w:val="009C04E3"/>
    <w:rsid w:val="009C5339"/>
    <w:rsid w:val="009D7773"/>
    <w:rsid w:val="009D7D5B"/>
    <w:rsid w:val="009E010D"/>
    <w:rsid w:val="009E072B"/>
    <w:rsid w:val="009E5A56"/>
    <w:rsid w:val="009E7A1E"/>
    <w:rsid w:val="00A00E1B"/>
    <w:rsid w:val="00A0361F"/>
    <w:rsid w:val="00A0567F"/>
    <w:rsid w:val="00A063D6"/>
    <w:rsid w:val="00A07E75"/>
    <w:rsid w:val="00A11E3C"/>
    <w:rsid w:val="00A15C64"/>
    <w:rsid w:val="00A16448"/>
    <w:rsid w:val="00A21130"/>
    <w:rsid w:val="00A23E01"/>
    <w:rsid w:val="00A24D81"/>
    <w:rsid w:val="00A27C79"/>
    <w:rsid w:val="00A31CF3"/>
    <w:rsid w:val="00A37108"/>
    <w:rsid w:val="00A4184B"/>
    <w:rsid w:val="00A4709D"/>
    <w:rsid w:val="00A66EEB"/>
    <w:rsid w:val="00A674D5"/>
    <w:rsid w:val="00A74511"/>
    <w:rsid w:val="00A75696"/>
    <w:rsid w:val="00A7613E"/>
    <w:rsid w:val="00A774F3"/>
    <w:rsid w:val="00A85D9B"/>
    <w:rsid w:val="00A90817"/>
    <w:rsid w:val="00A92141"/>
    <w:rsid w:val="00AA4F40"/>
    <w:rsid w:val="00AA61AB"/>
    <w:rsid w:val="00AB3AA4"/>
    <w:rsid w:val="00AC4D7D"/>
    <w:rsid w:val="00AC5082"/>
    <w:rsid w:val="00AC767C"/>
    <w:rsid w:val="00AD3778"/>
    <w:rsid w:val="00AD42FC"/>
    <w:rsid w:val="00AD5A83"/>
    <w:rsid w:val="00AE4123"/>
    <w:rsid w:val="00AE4AEE"/>
    <w:rsid w:val="00AE6BF9"/>
    <w:rsid w:val="00AE7433"/>
    <w:rsid w:val="00AF5285"/>
    <w:rsid w:val="00B01331"/>
    <w:rsid w:val="00B074F7"/>
    <w:rsid w:val="00B1225C"/>
    <w:rsid w:val="00B14402"/>
    <w:rsid w:val="00B15BE8"/>
    <w:rsid w:val="00B23AE5"/>
    <w:rsid w:val="00B25919"/>
    <w:rsid w:val="00B32E48"/>
    <w:rsid w:val="00B415E5"/>
    <w:rsid w:val="00B4214D"/>
    <w:rsid w:val="00B422A1"/>
    <w:rsid w:val="00B4254D"/>
    <w:rsid w:val="00B463A0"/>
    <w:rsid w:val="00B60EDC"/>
    <w:rsid w:val="00B61E77"/>
    <w:rsid w:val="00B657B1"/>
    <w:rsid w:val="00B734AD"/>
    <w:rsid w:val="00B85902"/>
    <w:rsid w:val="00B90DB6"/>
    <w:rsid w:val="00B922BF"/>
    <w:rsid w:val="00BA227F"/>
    <w:rsid w:val="00BA6ECD"/>
    <w:rsid w:val="00BA7F8D"/>
    <w:rsid w:val="00BB09F3"/>
    <w:rsid w:val="00BB0DEA"/>
    <w:rsid w:val="00BB16B7"/>
    <w:rsid w:val="00BB58B0"/>
    <w:rsid w:val="00BC1F00"/>
    <w:rsid w:val="00BC7A74"/>
    <w:rsid w:val="00BE22D3"/>
    <w:rsid w:val="00BE4CA3"/>
    <w:rsid w:val="00BE4EAB"/>
    <w:rsid w:val="00BE7ACD"/>
    <w:rsid w:val="00BF5886"/>
    <w:rsid w:val="00BF709F"/>
    <w:rsid w:val="00BF73D8"/>
    <w:rsid w:val="00C00975"/>
    <w:rsid w:val="00C02B72"/>
    <w:rsid w:val="00C04852"/>
    <w:rsid w:val="00C07688"/>
    <w:rsid w:val="00C112CC"/>
    <w:rsid w:val="00C137E4"/>
    <w:rsid w:val="00C1419F"/>
    <w:rsid w:val="00C174B4"/>
    <w:rsid w:val="00C21944"/>
    <w:rsid w:val="00C37879"/>
    <w:rsid w:val="00C530DB"/>
    <w:rsid w:val="00C5601A"/>
    <w:rsid w:val="00C708ED"/>
    <w:rsid w:val="00C70A83"/>
    <w:rsid w:val="00C70D8A"/>
    <w:rsid w:val="00C81EF6"/>
    <w:rsid w:val="00C876E8"/>
    <w:rsid w:val="00C94AA7"/>
    <w:rsid w:val="00CA0DCA"/>
    <w:rsid w:val="00CA41CE"/>
    <w:rsid w:val="00CA598F"/>
    <w:rsid w:val="00CA6F0F"/>
    <w:rsid w:val="00CA72BC"/>
    <w:rsid w:val="00CB5CCD"/>
    <w:rsid w:val="00CC33DF"/>
    <w:rsid w:val="00CC4462"/>
    <w:rsid w:val="00CC520A"/>
    <w:rsid w:val="00CC69B0"/>
    <w:rsid w:val="00CD23C8"/>
    <w:rsid w:val="00CE2FEF"/>
    <w:rsid w:val="00CE68F8"/>
    <w:rsid w:val="00CF2925"/>
    <w:rsid w:val="00CF4531"/>
    <w:rsid w:val="00D00F9F"/>
    <w:rsid w:val="00D02D19"/>
    <w:rsid w:val="00D04ABD"/>
    <w:rsid w:val="00D1200A"/>
    <w:rsid w:val="00D12135"/>
    <w:rsid w:val="00D13ABD"/>
    <w:rsid w:val="00D15792"/>
    <w:rsid w:val="00D2437B"/>
    <w:rsid w:val="00D26964"/>
    <w:rsid w:val="00D30B6A"/>
    <w:rsid w:val="00D31DEB"/>
    <w:rsid w:val="00D37443"/>
    <w:rsid w:val="00D37A73"/>
    <w:rsid w:val="00D42378"/>
    <w:rsid w:val="00D47AF9"/>
    <w:rsid w:val="00D6173B"/>
    <w:rsid w:val="00D61E64"/>
    <w:rsid w:val="00D625C6"/>
    <w:rsid w:val="00D62654"/>
    <w:rsid w:val="00D6614C"/>
    <w:rsid w:val="00D701A9"/>
    <w:rsid w:val="00D909F8"/>
    <w:rsid w:val="00DA36A8"/>
    <w:rsid w:val="00DB18BC"/>
    <w:rsid w:val="00DB3F61"/>
    <w:rsid w:val="00DB4424"/>
    <w:rsid w:val="00DB4645"/>
    <w:rsid w:val="00DB73D5"/>
    <w:rsid w:val="00DC65EF"/>
    <w:rsid w:val="00DC7010"/>
    <w:rsid w:val="00DD2256"/>
    <w:rsid w:val="00DD3442"/>
    <w:rsid w:val="00DD4D97"/>
    <w:rsid w:val="00DD59DA"/>
    <w:rsid w:val="00DE02B6"/>
    <w:rsid w:val="00DE39BA"/>
    <w:rsid w:val="00DE452C"/>
    <w:rsid w:val="00DF68CD"/>
    <w:rsid w:val="00DF6A8C"/>
    <w:rsid w:val="00E07818"/>
    <w:rsid w:val="00E15EFC"/>
    <w:rsid w:val="00E3109E"/>
    <w:rsid w:val="00E356C0"/>
    <w:rsid w:val="00E44878"/>
    <w:rsid w:val="00E47333"/>
    <w:rsid w:val="00E51E44"/>
    <w:rsid w:val="00E60C17"/>
    <w:rsid w:val="00E61A98"/>
    <w:rsid w:val="00E62A62"/>
    <w:rsid w:val="00E62FDF"/>
    <w:rsid w:val="00E6477A"/>
    <w:rsid w:val="00E65C9A"/>
    <w:rsid w:val="00E752E2"/>
    <w:rsid w:val="00E765B3"/>
    <w:rsid w:val="00E82890"/>
    <w:rsid w:val="00E902B7"/>
    <w:rsid w:val="00E928E4"/>
    <w:rsid w:val="00E92AC1"/>
    <w:rsid w:val="00EA415E"/>
    <w:rsid w:val="00EA7B08"/>
    <w:rsid w:val="00EB46F9"/>
    <w:rsid w:val="00EB540C"/>
    <w:rsid w:val="00EC5B30"/>
    <w:rsid w:val="00ED0BD6"/>
    <w:rsid w:val="00ED7620"/>
    <w:rsid w:val="00ED7DF9"/>
    <w:rsid w:val="00EE23F4"/>
    <w:rsid w:val="00EF33AF"/>
    <w:rsid w:val="00EF740B"/>
    <w:rsid w:val="00EF79AD"/>
    <w:rsid w:val="00F0764C"/>
    <w:rsid w:val="00F07E13"/>
    <w:rsid w:val="00F11003"/>
    <w:rsid w:val="00F14104"/>
    <w:rsid w:val="00F2151C"/>
    <w:rsid w:val="00F36FD8"/>
    <w:rsid w:val="00F5123A"/>
    <w:rsid w:val="00F52799"/>
    <w:rsid w:val="00F54BCA"/>
    <w:rsid w:val="00F57C55"/>
    <w:rsid w:val="00F62CE2"/>
    <w:rsid w:val="00F67723"/>
    <w:rsid w:val="00F70EB7"/>
    <w:rsid w:val="00F72905"/>
    <w:rsid w:val="00F75497"/>
    <w:rsid w:val="00F84C16"/>
    <w:rsid w:val="00F850C7"/>
    <w:rsid w:val="00F87EDD"/>
    <w:rsid w:val="00F87FE6"/>
    <w:rsid w:val="00F9008F"/>
    <w:rsid w:val="00F918B2"/>
    <w:rsid w:val="00F94CCE"/>
    <w:rsid w:val="00F95C87"/>
    <w:rsid w:val="00F96517"/>
    <w:rsid w:val="00FA1421"/>
    <w:rsid w:val="00FA411B"/>
    <w:rsid w:val="00FB1571"/>
    <w:rsid w:val="00FB42DF"/>
    <w:rsid w:val="00FC191E"/>
    <w:rsid w:val="00FC1938"/>
    <w:rsid w:val="00FC2512"/>
    <w:rsid w:val="00FC5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88693E0-79C4-4C93-8C3F-D4C072E6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FA1421"/>
    <w:pPr>
      <w:spacing w:before="100" w:beforeAutospacing="1" w:after="100" w:afterAutospacing="1"/>
    </w:pPr>
    <w:rPr>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5146">
      <w:bodyDiv w:val="1"/>
      <w:marLeft w:val="0"/>
      <w:marRight w:val="0"/>
      <w:marTop w:val="0"/>
      <w:marBottom w:val="0"/>
      <w:divBdr>
        <w:top w:val="none" w:sz="0" w:space="0" w:color="auto"/>
        <w:left w:val="none" w:sz="0" w:space="0" w:color="auto"/>
        <w:bottom w:val="none" w:sz="0" w:space="0" w:color="auto"/>
        <w:right w:val="none" w:sz="0" w:space="0" w:color="auto"/>
      </w:divBdr>
    </w:div>
    <w:div w:id="513885851">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729184498">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36C1-3EFF-4CB6-9B95-7A5F2649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5210</Words>
  <Characters>28659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2019-12-12T15:47:00Z</cp:lastPrinted>
  <dcterms:created xsi:type="dcterms:W3CDTF">2020-12-22T16:11:00Z</dcterms:created>
  <dcterms:modified xsi:type="dcterms:W3CDTF">2020-12-22T16:11:00Z</dcterms:modified>
</cp:coreProperties>
</file>