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A2" w:rsidRPr="008359C2" w:rsidRDefault="00626AA2" w:rsidP="00626AA2">
      <w:pPr>
        <w:spacing w:after="0" w:line="276" w:lineRule="auto"/>
        <w:ind w:left="708" w:hanging="708"/>
        <w:jc w:val="center"/>
        <w:rPr>
          <w:rFonts w:ascii="Palatino Linotype" w:hAnsi="Palatino Linotype"/>
          <w:b/>
        </w:rPr>
      </w:pPr>
      <w:bookmarkStart w:id="0" w:name="_GoBack"/>
      <w:bookmarkEnd w:id="0"/>
      <w:r w:rsidRPr="008359C2">
        <w:rPr>
          <w:rFonts w:ascii="Palatino Linotype" w:hAnsi="Palatino Linotype"/>
          <w:b/>
        </w:rPr>
        <w:t>EXPOSICIÓN DE MOTIVOS</w:t>
      </w:r>
    </w:p>
    <w:p w:rsidR="00626AA2" w:rsidRPr="008359C2" w:rsidRDefault="00626AA2" w:rsidP="00626AA2">
      <w:pPr>
        <w:spacing w:after="0" w:line="276" w:lineRule="auto"/>
        <w:jc w:val="center"/>
        <w:rPr>
          <w:rFonts w:ascii="Palatino Linotype" w:hAnsi="Palatino Linotype"/>
          <w:b/>
        </w:rPr>
      </w:pP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 xml:space="preserve">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 </w:t>
      </w:r>
    </w:p>
    <w:p w:rsidR="00626AA2" w:rsidRPr="008359C2" w:rsidRDefault="00626AA2" w:rsidP="00626AA2">
      <w:pPr>
        <w:spacing w:after="240" w:line="276" w:lineRule="auto"/>
        <w:jc w:val="both"/>
        <w:rPr>
          <w:rFonts w:ascii="Palatino Linotype" w:hAnsi="Palatino Linotype"/>
          <w:i/>
        </w:rPr>
      </w:pPr>
      <w:r w:rsidRPr="008359C2">
        <w:rPr>
          <w:rFonts w:ascii="Palatino Linotype" w:hAnsi="Palatino Linotype"/>
          <w:highlight w:val="white"/>
        </w:rPr>
        <w:t>La política de regularización de Ocupación Informal del Suelo en Quito, data desde hace más de cuatro décadas. M</w:t>
      </w:r>
      <w:r w:rsidRPr="008359C2">
        <w:rPr>
          <w:rFonts w:ascii="Palatino Linotype" w:hAnsi="Palatino Linotype"/>
        </w:rPr>
        <w:t>ediante Resolución A-070 y Ordenanzas Metropolitanas No. 311, 331, 147 y 055, y actualmente plasmado en la Ordenanza Metropolitana No 001 que contiene el Código Municipal (09/21) Titulo II en su Libro IV.7 del Ordenamiento Territorial,</w:t>
      </w:r>
      <w:r w:rsidRPr="008359C2">
        <w:rPr>
          <w:rFonts w:ascii="Palatino Linotype" w:hAnsi="Palatino Linotype"/>
          <w:i/>
        </w:rPr>
        <w:t xml:space="preserve"> </w:t>
      </w:r>
      <w:r w:rsidRPr="008359C2">
        <w:rPr>
          <w:rFonts w:ascii="Palatino Linotype" w:hAnsi="Palatino Linotype"/>
        </w:rPr>
        <w:t>relacionado</w:t>
      </w:r>
      <w:r w:rsidRPr="008359C2">
        <w:rPr>
          <w:rFonts w:ascii="Palatino Linotype" w:hAnsi="Palatino Linotype"/>
          <w:i/>
        </w:rPr>
        <w:t xml:space="preserve"> </w:t>
      </w:r>
      <w:r w:rsidRPr="008359C2">
        <w:rPr>
          <w:rFonts w:ascii="Palatino Linotype" w:hAnsi="Palatino Linotype"/>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rsidR="00626AA2" w:rsidRPr="008359C2" w:rsidRDefault="00626AA2" w:rsidP="00626AA2">
      <w:pPr>
        <w:spacing w:line="276" w:lineRule="auto"/>
        <w:jc w:val="both"/>
        <w:rPr>
          <w:rFonts w:ascii="Palatino Linotype" w:hAnsi="Palatino Linotype"/>
          <w:i/>
        </w:rPr>
      </w:pPr>
      <w:r w:rsidRPr="008359C2">
        <w:rPr>
          <w:rFonts w:ascii="Palatino Linotype" w:hAnsi="Palatino Linotype"/>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sidRPr="008359C2">
        <w:rPr>
          <w:rFonts w:ascii="Palatino Linotype" w:hAnsi="Palatino Linotype"/>
          <w:i/>
        </w:rPr>
        <w:t>“derecho a un hábitat seguro y saludable, y a una vivienda adecuada y digna, con independencia de su situación social y económica”.</w:t>
      </w:r>
    </w:p>
    <w:p w:rsidR="00626AA2" w:rsidRPr="008359C2" w:rsidRDefault="00626AA2" w:rsidP="00626AA2">
      <w:pPr>
        <w:spacing w:line="276" w:lineRule="auto"/>
        <w:jc w:val="both"/>
        <w:rPr>
          <w:rFonts w:ascii="Palatino Linotype" w:hAnsi="Palatino Linotype"/>
          <w:highlight w:val="yellow"/>
        </w:rPr>
      </w:pPr>
      <w:r w:rsidRPr="008359C2">
        <w:rPr>
          <w:rFonts w:ascii="Palatino Linotype" w:hAnsi="Palatino Linotype"/>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del término</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 xml:space="preserve">La Comisión de Ordenamiento Territorial en sesión No 044 del 19 de marzo 2021, emitió la Resolución No. 016-COT-2021, relacionado al tratamiento de la </w:t>
      </w:r>
      <w:r w:rsidRPr="008359C2">
        <w:rPr>
          <w:rFonts w:ascii="Palatino Linotype" w:hAnsi="Palatino Linotype"/>
          <w:i/>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sidRPr="008359C2">
        <w:rPr>
          <w:rFonts w:ascii="Palatino Linotype" w:hAnsi="Palatino Linotype"/>
        </w:rPr>
        <w:t xml:space="preserve">ual la Secretaría General de Coordinación Territorial y Participación Ciudadana mediante oficio GADDMQ-SGCTYPC-2021-0503-O de 2 de mayo del 2021, </w:t>
      </w:r>
      <w:r w:rsidRPr="008359C2">
        <w:rPr>
          <w:rFonts w:ascii="Palatino Linotype" w:hAnsi="Palatino Linotype"/>
        </w:rPr>
        <w:lastRenderedPageBreak/>
        <w:t>sobre la base de mesas de trabajo del 5 y 6 de mayo del 2021, y de referencia a Resoluciones 015-COT-2020 y 016-COT-2020, se informa sobre las condiciones de los AHHyC que se refieren en el siguiente cuadro:</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b/>
              </w:rPr>
            </w:pPr>
            <w:r w:rsidRPr="008359C2">
              <w:rPr>
                <w:rFonts w:ascii="Palatino Linotype" w:hAnsi="Palatino Linotype"/>
                <w:b/>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CANTIDAD</w:t>
            </w:r>
          </w:p>
        </w:tc>
      </w:tr>
      <w:tr w:rsidR="00626AA2" w:rsidRPr="008359C2" w:rsidTr="00F7430E">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243</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293</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21</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Asentamientos que ha vencido el término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202</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24</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No tienen término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28</w:t>
            </w:r>
          </w:p>
        </w:tc>
      </w:tr>
      <w:tr w:rsidR="00626AA2" w:rsidRPr="008359C2" w:rsidTr="00F7430E">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b/>
              </w:rPr>
            </w:pPr>
            <w:r w:rsidRPr="008359C2">
              <w:rPr>
                <w:rFonts w:ascii="Palatino Linotype" w:hAnsi="Palatino Linotype"/>
                <w:b/>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536</w:t>
            </w:r>
          </w:p>
        </w:tc>
      </w:tr>
    </w:tbl>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rPr>
        <w:t>De la matriz que se anexa al informe referido, se puede identificar de los asentamientos humanos de hecho y consolidados y urbanizaciones de interés social y desarrollo progresivo, la siguiente información:</w:t>
      </w:r>
    </w:p>
    <w:tbl>
      <w:tblPr>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626AA2" w:rsidRPr="008359C2" w:rsidTr="00F7430E">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REGISTRO DE ASENTAMIENTOS HUMANOS DE HECHO Y CONSOLIDADOS EN ADMINISTRACIONES ZONALES (DATOS HASTA ENERO 2021)</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b/>
              </w:rPr>
            </w:pPr>
            <w:r w:rsidRPr="008359C2">
              <w:rPr>
                <w:rFonts w:ascii="Palatino Linotype" w:hAnsi="Palatino Linotype"/>
                <w:b/>
              </w:rPr>
              <w:t>ADMINISTRACIÓN ZONAL</w:t>
            </w:r>
          </w:p>
        </w:tc>
        <w:tc>
          <w:tcPr>
            <w:tcW w:w="1965" w:type="dxa"/>
            <w:tcBorders>
              <w:top w:val="nil"/>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NÚMERO DE ASENTAMIENTOS</w:t>
            </w:r>
          </w:p>
        </w:tc>
        <w:tc>
          <w:tcPr>
            <w:tcW w:w="1455" w:type="dxa"/>
            <w:tcBorders>
              <w:top w:val="nil"/>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AÑOS DESDE - HASTA</w:t>
            </w:r>
          </w:p>
        </w:tc>
        <w:tc>
          <w:tcPr>
            <w:tcW w:w="1455" w:type="dxa"/>
            <w:tcBorders>
              <w:top w:val="nil"/>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AHHYC CON 100% OBRAS EN TIEMPO</w:t>
            </w:r>
          </w:p>
        </w:tc>
        <w:tc>
          <w:tcPr>
            <w:tcW w:w="1350" w:type="dxa"/>
            <w:tcBorders>
              <w:top w:val="nil"/>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SIN HIPOTECAS 100%</w:t>
            </w:r>
          </w:p>
        </w:tc>
      </w:tr>
      <w:tr w:rsidR="00626AA2" w:rsidRPr="008359C2" w:rsidTr="00F7430E">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167</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1996 - 2021</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30</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9</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2010 - 2021</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28</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2010 - 2020</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lastRenderedPageBreak/>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202</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1984 - 2021</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41</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Sin datos</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54</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2012 - 2017</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46</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2010 - 2020</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56</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2010 - 2021</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0</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rPr>
            </w:pPr>
            <w:r w:rsidRPr="008359C2">
              <w:rPr>
                <w:rFonts w:ascii="Palatino Linotype" w:hAnsi="Palatino Linotype"/>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39</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2011 - 2020</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18</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rPr>
            </w:pPr>
            <w:r w:rsidRPr="008359C2">
              <w:rPr>
                <w:rFonts w:ascii="Palatino Linotype" w:hAnsi="Palatino Linotype"/>
              </w:rPr>
              <w:t>7</w:t>
            </w:r>
          </w:p>
        </w:tc>
      </w:tr>
      <w:tr w:rsidR="00626AA2" w:rsidRPr="008359C2" w:rsidTr="00F7430E">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both"/>
              <w:rPr>
                <w:rFonts w:ascii="Palatino Linotype" w:hAnsi="Palatino Linotype"/>
                <w:b/>
              </w:rPr>
            </w:pPr>
            <w:r w:rsidRPr="008359C2">
              <w:rPr>
                <w:rFonts w:ascii="Palatino Linotype" w:hAnsi="Palatino Linotype"/>
                <w:b/>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601</w:t>
            </w: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b/>
              </w:rPr>
            </w:pPr>
          </w:p>
        </w:tc>
        <w:tc>
          <w:tcPr>
            <w:tcW w:w="1455"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b/>
              </w:rPr>
            </w:pPr>
            <w:r w:rsidRPr="008359C2">
              <w:rPr>
                <w:rFonts w:ascii="Palatino Linotype" w:hAnsi="Palatino Linotype"/>
                <w:b/>
              </w:rPr>
              <w:t>92</w:t>
            </w:r>
          </w:p>
        </w:tc>
        <w:tc>
          <w:tcPr>
            <w:tcW w:w="1350" w:type="dxa"/>
            <w:tcBorders>
              <w:top w:val="single" w:sz="8" w:space="0" w:color="000000"/>
              <w:left w:val="single" w:sz="8" w:space="0" w:color="000000"/>
              <w:bottom w:val="single" w:sz="8" w:space="0" w:color="000000"/>
              <w:right w:val="single" w:sz="8" w:space="0" w:color="000000"/>
            </w:tcBorders>
          </w:tcPr>
          <w:p w:rsidR="00626AA2" w:rsidRPr="008359C2" w:rsidRDefault="00626AA2" w:rsidP="00F7430E">
            <w:pPr>
              <w:spacing w:line="276" w:lineRule="auto"/>
              <w:jc w:val="center"/>
              <w:rPr>
                <w:rFonts w:ascii="Palatino Linotype" w:hAnsi="Palatino Linotype"/>
                <w:b/>
              </w:rPr>
            </w:pPr>
          </w:p>
        </w:tc>
      </w:tr>
    </w:tbl>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rPr>
        <w:t xml:space="preserve">En la información expuesta, se presentan 21 asentamientos que han levantado su hipoteca, 92 han concluido con el 100% de obras dentro del tiempo (15%), 147 aún se encuentran en el tiempo de ejecución de obras (5 por ordenanza + 2 ampliación del término / 2023 - 2029), 62 no contienen en sus ordenanzas término para ejecución de obras, por lo que 408 (68%) tiene conflictos por multas y levantamiento de hipotecas.  </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El director de la UERB, mediante oficio No. GADDMQ-SGCTYPC-UERB-2020-0910-O, de 21 de agosto de 2020, enmarca las dificultades que se presentan en la escrituración individual en los asentamientos regularizados, destacándose de ellos que: “</w:t>
      </w:r>
      <w:r w:rsidRPr="008359C2">
        <w:rPr>
          <w:rFonts w:ascii="Palatino Linotype" w:hAnsi="Palatino Linotype"/>
          <w:i/>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sidRPr="008359C2">
        <w:rPr>
          <w:rFonts w:ascii="Palatino Linotype" w:hAnsi="Palatino Linotype"/>
        </w:rPr>
        <w:t>”, adicionalmente, respecto a la determinación de multas por incumplimiento dl término en la ejecución de obras, “</w:t>
      </w:r>
      <w:r w:rsidRPr="008359C2">
        <w:rPr>
          <w:rFonts w:ascii="Palatino Linotype" w:hAnsi="Palatino Linotype"/>
          <w:i/>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sidRPr="008359C2">
        <w:rPr>
          <w:rFonts w:ascii="Palatino Linotype" w:hAnsi="Palatino Linotype"/>
        </w:rPr>
        <w:t>”.</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 xml:space="preserve">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término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w:t>
      </w:r>
      <w:r w:rsidRPr="008359C2">
        <w:rPr>
          <w:rFonts w:ascii="Palatino Linotype" w:hAnsi="Palatino Linotype"/>
        </w:rPr>
        <w:lastRenderedPageBreak/>
        <w:t>el cumplimiento de las obras establecidas bajo el cronograma correspondiente, que en algunos casos no tienen parámetros valorativos validados por entidades municipales (EPMMOP) o no cuentan con los mismos, lo que imposibilita definir su cumplimiento.</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con el levantamiento de hipotecas. </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rsidR="00626AA2" w:rsidRPr="008359C2" w:rsidRDefault="00626AA2" w:rsidP="00626AA2">
      <w:pPr>
        <w:spacing w:line="276" w:lineRule="auto"/>
        <w:jc w:val="both"/>
        <w:rPr>
          <w:rFonts w:ascii="Palatino Linotype" w:hAnsi="Palatino Linotype"/>
        </w:rPr>
      </w:pPr>
      <w:r w:rsidRPr="008359C2">
        <w:rPr>
          <w:rFonts w:ascii="Palatino Linotype" w:hAnsi="Palatino Linotype"/>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rsidR="00626AA2" w:rsidRPr="008359C2" w:rsidRDefault="00626AA2" w:rsidP="00626AA2">
      <w:pPr>
        <w:spacing w:after="0" w:line="276" w:lineRule="auto"/>
        <w:jc w:val="both"/>
        <w:rPr>
          <w:rFonts w:ascii="Palatino Linotype" w:hAnsi="Palatino Linotype"/>
        </w:rPr>
      </w:pPr>
      <w:r w:rsidRPr="008359C2">
        <w:rPr>
          <w:rFonts w:ascii="Palatino Linotype" w:hAnsi="Palatino Linotype"/>
        </w:rPr>
        <w:t>Debido al vacío normativo, así como la falta de notificación por parte de él o los copropietarios de los predios en los que se encuentran gravados la hipoteca para el cumplimiento de obras civiles o de infraestructuras ha generado que las Administración  Zonales no hayan procedido con la cancelación de dicha hipoteca, generando con esto la imposibilidad del cálculo de multas y que en la actualidad una gran cantidad de organizaciones vecinales se encuentren en esta situación sin la posibilidad de encontrar un procedimiento normado desde el Municipio del Distrito Metropolitano de Quito que solvente esta situación y que establezca lineamientos regulatorios para solventar inconvenientes futuros.</w:t>
      </w:r>
    </w:p>
    <w:p w:rsidR="00626AA2" w:rsidRPr="008359C2" w:rsidRDefault="00626AA2" w:rsidP="00626AA2">
      <w:pPr>
        <w:spacing w:after="0" w:line="276" w:lineRule="auto"/>
        <w:jc w:val="both"/>
        <w:rPr>
          <w:rFonts w:ascii="Palatino Linotype" w:hAnsi="Palatino Linotype"/>
        </w:rPr>
      </w:pPr>
    </w:p>
    <w:p w:rsidR="00626AA2" w:rsidRPr="008359C2" w:rsidRDefault="00626AA2" w:rsidP="00626AA2">
      <w:pPr>
        <w:rPr>
          <w:rFonts w:ascii="Palatino Linotype" w:hAnsi="Palatino Linotype"/>
          <w:b/>
        </w:rPr>
      </w:pPr>
      <w:r w:rsidRPr="008359C2">
        <w:rPr>
          <w:rFonts w:ascii="Palatino Linotype" w:hAnsi="Palatino Linotype"/>
          <w:b/>
        </w:rPr>
        <w:br w:type="page"/>
      </w:r>
    </w:p>
    <w:p w:rsidR="00626AA2" w:rsidRPr="008359C2" w:rsidRDefault="00626AA2" w:rsidP="00626AA2">
      <w:pPr>
        <w:spacing w:after="0" w:line="276" w:lineRule="auto"/>
        <w:jc w:val="center"/>
        <w:rPr>
          <w:rFonts w:ascii="Palatino Linotype" w:hAnsi="Palatino Linotype"/>
          <w:b/>
        </w:rPr>
      </w:pPr>
      <w:r w:rsidRPr="008359C2">
        <w:rPr>
          <w:rFonts w:ascii="Palatino Linotype" w:hAnsi="Palatino Linotype"/>
          <w:b/>
        </w:rPr>
        <w:lastRenderedPageBreak/>
        <w:t>CONSIDERANDO</w:t>
      </w:r>
    </w:p>
    <w:p w:rsidR="00626AA2" w:rsidRPr="008359C2" w:rsidRDefault="00626AA2" w:rsidP="00626AA2">
      <w:pPr>
        <w:spacing w:after="0" w:line="276" w:lineRule="auto"/>
        <w:jc w:val="both"/>
        <w:rPr>
          <w:rFonts w:ascii="Palatino Linotype" w:hAnsi="Palatino Linotype"/>
          <w:b/>
        </w:rPr>
      </w:pP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 xml:space="preserve">Que, </w:t>
      </w:r>
      <w:r w:rsidRPr="008359C2">
        <w:rPr>
          <w:rFonts w:ascii="Palatino Linotype" w:hAnsi="Palatino Linotype"/>
          <w:b/>
        </w:rPr>
        <w:tab/>
      </w:r>
      <w:r w:rsidRPr="008359C2">
        <w:rPr>
          <w:rFonts w:ascii="Palatino Linotype" w:hAnsi="Palatino Linotype"/>
        </w:rPr>
        <w:t>el artículo 30 de la Constitución de la República del Ecuador, en adelante, Constitución, establece que: “Las personas tienen derecho a un hábitat seguro y saludable, y a una vivienda adecuada y digna, con independencia de su situación social y económica.”;</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 xml:space="preserve">Que, </w:t>
      </w:r>
      <w:r w:rsidRPr="008359C2">
        <w:rPr>
          <w:rFonts w:ascii="Palatino Linotype" w:hAnsi="Palatino Linotype"/>
          <w:b/>
        </w:rPr>
        <w:tab/>
      </w:r>
      <w:r w:rsidRPr="008359C2">
        <w:rPr>
          <w:rFonts w:ascii="Palatino Linotype" w:hAnsi="Palatino Linotype"/>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626AA2" w:rsidRPr="008359C2" w:rsidRDefault="00626AA2" w:rsidP="00626AA2">
      <w:pPr>
        <w:spacing w:after="0" w:line="276" w:lineRule="auto"/>
        <w:ind w:left="720" w:hanging="720"/>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rsidR="00626AA2" w:rsidRPr="008359C2" w:rsidRDefault="00626AA2" w:rsidP="00626AA2">
      <w:pPr>
        <w:spacing w:after="0" w:line="276" w:lineRule="auto"/>
        <w:ind w:left="709"/>
        <w:jc w:val="both"/>
        <w:rPr>
          <w:rFonts w:ascii="Palatino Linotype" w:hAnsi="Palatino Linotype"/>
        </w:rPr>
      </w:pP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el artículo 240 de la Constitución establece que: “Los gobiernos autónomos descentralizados de las regiones, distritos metropolitanos, provincias y cantones tendrán facultades legislativas en el ámbito de sus competencias y jurisdicciones territoriales (…)”;</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626AA2" w:rsidRPr="008359C2" w:rsidRDefault="00626AA2" w:rsidP="00626AA2">
      <w:pPr>
        <w:spacing w:after="240" w:line="276" w:lineRule="auto"/>
        <w:ind w:left="709"/>
        <w:jc w:val="both"/>
        <w:rPr>
          <w:rFonts w:ascii="Palatino Linotype" w:hAnsi="Palatino Linotype"/>
        </w:rPr>
      </w:pPr>
      <w:r w:rsidRPr="008359C2">
        <w:rPr>
          <w:rFonts w:ascii="Palatino Linotype" w:hAnsi="Palatino Linotype"/>
        </w:rPr>
        <w:t>En el ámbito de sus competencias y territorio, y en uso de sus facultades, expedirán ordenanzas distritales.”;</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el artículo 321 de la Constitución establece que: “El Estado reconoce y garantiza el derecho a la propiedad en sus formas pública, privada, comunitaria, estatal, asociativa, cooperativa, mixta, y que deberá cumplir su función social y ambiental.”</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el numeral 13 del artículo 4 de Ley Orgánica de Ordenamiento Territorial, Uso y Gestión de Suelo, en adelante LOOTUGS, establece que los: “Sistemas públicos de soporte. Son las infraestructuras para la dotación de servicios básicos y los </w:t>
      </w:r>
      <w:r w:rsidRPr="008359C2">
        <w:rPr>
          <w:rFonts w:ascii="Palatino Linotype" w:hAnsi="Palatino Linotype"/>
        </w:rPr>
        <w:lastRenderedPageBreak/>
        <w:t>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rsidR="00626AA2" w:rsidRPr="008359C2" w:rsidRDefault="00626AA2" w:rsidP="00626AA2">
      <w:pPr>
        <w:spacing w:after="0" w:line="276" w:lineRule="auto"/>
        <w:ind w:left="709" w:hanging="709"/>
        <w:jc w:val="both"/>
        <w:rPr>
          <w:rFonts w:ascii="Palatino Linotype" w:hAnsi="Palatino Linotype"/>
          <w:i/>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el literal d) del numeral 14 del artículo 4 de la LOOTUGS, establece que </w:t>
      </w:r>
      <w:r w:rsidRPr="008359C2">
        <w:rPr>
          <w:rFonts w:ascii="Palatino Linotype" w:hAnsi="Palatino Linotype"/>
          <w:i/>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w:t>
      </w:r>
      <w:r w:rsidRPr="008359C2">
        <w:rPr>
          <w:rFonts w:ascii="Palatino Linotype" w:hAnsi="Palatino Linotype"/>
        </w:rPr>
        <w:t xml:space="preserve"> </w:t>
      </w:r>
      <w:r w:rsidRPr="008359C2">
        <w:rPr>
          <w:rFonts w:ascii="Palatino Linotype" w:hAnsi="Palatino Linotype"/>
          <w:i/>
        </w:rPr>
        <w:t>de procesos de reordenamiento físico­ espacial, regularización predial o urbanización.”</w:t>
      </w:r>
    </w:p>
    <w:p w:rsidR="00626AA2" w:rsidRPr="008359C2" w:rsidRDefault="00626AA2" w:rsidP="00626AA2">
      <w:pPr>
        <w:spacing w:after="0" w:line="276" w:lineRule="auto"/>
        <w:ind w:left="709"/>
        <w:jc w:val="both"/>
        <w:rPr>
          <w:rFonts w:ascii="Palatino Linotype" w:hAnsi="Palatino Linotype"/>
        </w:rPr>
      </w:pP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rsidR="00626AA2" w:rsidRPr="008359C2" w:rsidRDefault="00626AA2" w:rsidP="00626AA2">
      <w:pPr>
        <w:spacing w:after="240" w:line="276" w:lineRule="auto"/>
        <w:ind w:left="709"/>
        <w:jc w:val="both"/>
        <w:rPr>
          <w:rFonts w:ascii="Palatino Linotype" w:hAnsi="Palatino Linotype"/>
        </w:rPr>
      </w:pPr>
      <w:r w:rsidRPr="008359C2">
        <w:rPr>
          <w:rFonts w:ascii="Palatino Linotype" w:hAnsi="Palatino Linotype"/>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w:t>
      </w:r>
      <w:r w:rsidRPr="008359C2">
        <w:rPr>
          <w:rFonts w:ascii="Palatino Linotype" w:hAnsi="Palatino Linotype"/>
        </w:rPr>
        <w:lastRenderedPageBreak/>
        <w:t>regulado en el Código Orgánico de Organización Territorial, Autonomía y Descentralización, con la finalidad de que el Gobierno Central proceda a hacerlo directamente. (...)”</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rsidR="00626AA2" w:rsidRPr="008359C2" w:rsidRDefault="00626AA2" w:rsidP="00626AA2">
      <w:pPr>
        <w:spacing w:after="240" w:line="276" w:lineRule="auto"/>
        <w:ind w:left="709"/>
        <w:jc w:val="both"/>
        <w:rPr>
          <w:rFonts w:ascii="Palatino Linotype" w:hAnsi="Palatino Linotype"/>
        </w:rPr>
      </w:pPr>
      <w:r w:rsidRPr="008359C2">
        <w:rPr>
          <w:rFonts w:ascii="Palatino Linotype" w:hAnsi="Palatino Linotype"/>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rsidR="00626AA2" w:rsidRPr="008359C2" w:rsidRDefault="00626AA2" w:rsidP="00626AA2">
      <w:pPr>
        <w:spacing w:after="240" w:line="276" w:lineRule="auto"/>
        <w:ind w:left="709" w:hanging="709"/>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rsidR="00626AA2" w:rsidRPr="008359C2" w:rsidRDefault="00626AA2" w:rsidP="00626AA2">
      <w:pPr>
        <w:spacing w:line="276" w:lineRule="auto"/>
        <w:ind w:left="708" w:hanging="708"/>
        <w:jc w:val="both"/>
        <w:rPr>
          <w:rFonts w:ascii="Palatino Linotype" w:hAnsi="Palatino Linotype"/>
          <w:color w:val="000000"/>
        </w:rPr>
      </w:pPr>
      <w:r w:rsidRPr="008359C2">
        <w:rPr>
          <w:rFonts w:ascii="Palatino Linotype" w:hAnsi="Palatino Linotype"/>
          <w:b/>
          <w:color w:val="000000"/>
        </w:rPr>
        <w:t xml:space="preserve">Que,  </w:t>
      </w:r>
      <w:r w:rsidRPr="008359C2">
        <w:rPr>
          <w:rFonts w:ascii="Palatino Linotype" w:hAnsi="Palatino Linotype"/>
          <w:b/>
          <w:color w:val="000000"/>
        </w:rPr>
        <w:tab/>
      </w:r>
      <w:r w:rsidRPr="008359C2">
        <w:rPr>
          <w:rFonts w:ascii="Palatino Linotype" w:hAnsi="Palatino Linotype"/>
          <w:color w:val="000000"/>
        </w:rPr>
        <w:t>el artículo</w:t>
      </w:r>
      <w:r w:rsidRPr="008359C2">
        <w:rPr>
          <w:rFonts w:ascii="Palatino Linotype" w:hAnsi="Palatino Linotype"/>
          <w:b/>
        </w:rPr>
        <w:t xml:space="preserve"> </w:t>
      </w:r>
      <w:r w:rsidRPr="008359C2">
        <w:rPr>
          <w:rFonts w:ascii="Palatino Linotype" w:hAnsi="Palatino Linotype"/>
        </w:rPr>
        <w:t>569 del COOTAD</w:t>
      </w:r>
      <w:r w:rsidRPr="008359C2" w:rsidDel="00CD36C8">
        <w:rPr>
          <w:rFonts w:ascii="Palatino Linotype" w:hAnsi="Palatino Linotype"/>
        </w:rPr>
        <w:t xml:space="preserve"> </w:t>
      </w:r>
      <w:r w:rsidRPr="008359C2">
        <w:rPr>
          <w:rFonts w:ascii="Palatino Linotype" w:hAnsi="Palatino Linotype"/>
        </w:rPr>
        <w:t>, establece: “</w:t>
      </w:r>
      <w:r w:rsidRPr="008359C2">
        <w:rPr>
          <w:rFonts w:ascii="Palatino Linotype" w:hAnsi="Palatino Linotype"/>
          <w:i/>
        </w:rPr>
        <w:t>Objeto.- El objeto de la contribución especial de mejoras es el beneficio real o presuntivo proporcionado a las propiedades inmuebles por la construcción de cualquier obra pública municipal o metropolitana.</w:t>
      </w:r>
      <w:r w:rsidRPr="008359C2">
        <w:rPr>
          <w:rFonts w:ascii="Palatino Linotype" w:hAnsi="Palatino Linotype"/>
          <w:i/>
        </w:rPr>
        <w:br/>
        <w:t>Los concejos municipales o distritales podrán disminuir o exonerar el pago de la contribución especial de mejoras en consideración de la situación social y económica de los contribuyentes</w:t>
      </w:r>
      <w:r w:rsidRPr="008359C2">
        <w:rPr>
          <w:rFonts w:ascii="Palatino Linotype" w:hAnsi="Palatino Linotype"/>
        </w:rPr>
        <w:t>”.</w:t>
      </w:r>
    </w:p>
    <w:p w:rsidR="00626AA2" w:rsidRPr="008359C2" w:rsidRDefault="00626AA2" w:rsidP="00626AA2">
      <w:pPr>
        <w:spacing w:line="276" w:lineRule="auto"/>
        <w:ind w:left="708" w:hanging="708"/>
        <w:jc w:val="both"/>
        <w:rPr>
          <w:rFonts w:ascii="Palatino Linotype" w:hAnsi="Palatino Linotype"/>
          <w:i/>
        </w:rPr>
      </w:pPr>
      <w:r w:rsidRPr="008359C2">
        <w:rPr>
          <w:rFonts w:ascii="Palatino Linotype" w:hAnsi="Palatino Linotype"/>
          <w:b/>
          <w:color w:val="000000"/>
        </w:rPr>
        <w:t xml:space="preserve">Que, </w:t>
      </w:r>
      <w:r w:rsidRPr="008359C2">
        <w:rPr>
          <w:rFonts w:ascii="Palatino Linotype" w:hAnsi="Palatino Linotype"/>
          <w:b/>
          <w:color w:val="000000"/>
        </w:rPr>
        <w:tab/>
      </w:r>
      <w:r w:rsidRPr="008359C2">
        <w:rPr>
          <w:rFonts w:ascii="Palatino Linotype" w:hAnsi="Palatino Linotype"/>
          <w:color w:val="000000"/>
        </w:rPr>
        <w:t>el artículo</w:t>
      </w:r>
      <w:r w:rsidRPr="008359C2">
        <w:rPr>
          <w:rFonts w:ascii="Palatino Linotype" w:hAnsi="Palatino Linotype"/>
          <w:b/>
        </w:rPr>
        <w:t xml:space="preserve"> </w:t>
      </w:r>
      <w:r w:rsidRPr="008359C2">
        <w:rPr>
          <w:rFonts w:ascii="Palatino Linotype" w:hAnsi="Palatino Linotype"/>
        </w:rPr>
        <w:t>596 del Código Orgánico de Organización Territorial, Autonomía y Descentralización, indica: “</w:t>
      </w:r>
      <w:r w:rsidRPr="008359C2">
        <w:rPr>
          <w:rFonts w:ascii="Palatino Linotype" w:hAnsi="Palatino Linotype"/>
          <w:i/>
        </w:rPr>
        <w:t xml:space="preserve">Expropiación especial para regularización de </w:t>
      </w:r>
      <w:r w:rsidRPr="008359C2">
        <w:rPr>
          <w:rFonts w:ascii="Palatino Linotype" w:hAnsi="Palatino Linotype"/>
          <w:i/>
        </w:rPr>
        <w:lastRenderedPageBreak/>
        <w:t>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rsidR="00626AA2" w:rsidRPr="008359C2" w:rsidRDefault="00626AA2" w:rsidP="00626AA2">
      <w:pPr>
        <w:spacing w:line="276" w:lineRule="auto"/>
        <w:ind w:left="708"/>
        <w:jc w:val="both"/>
        <w:rPr>
          <w:rFonts w:ascii="Palatino Linotype" w:hAnsi="Palatino Linotype"/>
          <w:i/>
        </w:rPr>
      </w:pPr>
      <w:r w:rsidRPr="008359C2">
        <w:rPr>
          <w:rFonts w:ascii="Palatino Linotype" w:hAnsi="Palatino Linotype"/>
          <w:i/>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rsidR="00626AA2" w:rsidRPr="008359C2" w:rsidRDefault="00626AA2" w:rsidP="00626AA2">
      <w:pPr>
        <w:spacing w:before="240" w:line="276" w:lineRule="auto"/>
        <w:ind w:left="720" w:hanging="720"/>
        <w:jc w:val="both"/>
        <w:rPr>
          <w:rFonts w:ascii="Palatino Linotype" w:hAnsi="Palatino Linotype"/>
          <w:i/>
        </w:rPr>
      </w:pPr>
      <w:r w:rsidRPr="008359C2">
        <w:rPr>
          <w:rFonts w:ascii="Palatino Linotype" w:hAnsi="Palatino Linotype"/>
          <w:b/>
        </w:rPr>
        <w:t>Que</w:t>
      </w:r>
      <w:r w:rsidRPr="008359C2">
        <w:rPr>
          <w:rFonts w:ascii="Palatino Linotype" w:hAnsi="Palatino Linotype"/>
          <w:b/>
          <w:i/>
        </w:rPr>
        <w:t>,</w:t>
      </w:r>
      <w:r w:rsidRPr="008359C2">
        <w:rPr>
          <w:rFonts w:ascii="Palatino Linotype" w:hAnsi="Palatino Linotype"/>
          <w:i/>
        </w:rPr>
        <w:t xml:space="preserve"> </w:t>
      </w:r>
      <w:r w:rsidRPr="008359C2">
        <w:rPr>
          <w:rFonts w:ascii="Palatino Linotype" w:hAnsi="Palatino Linotype"/>
          <w:i/>
        </w:rPr>
        <w:tab/>
        <w:t>el artículo 2016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rsidR="00626AA2" w:rsidRPr="008359C2" w:rsidRDefault="00626AA2" w:rsidP="00626AA2">
      <w:pPr>
        <w:pBdr>
          <w:top w:val="nil"/>
          <w:left w:val="nil"/>
          <w:bottom w:val="nil"/>
          <w:right w:val="nil"/>
          <w:between w:val="nil"/>
        </w:pBdr>
        <w:spacing w:before="240" w:after="0" w:line="276" w:lineRule="auto"/>
        <w:ind w:left="720" w:hanging="720"/>
        <w:jc w:val="both"/>
        <w:rPr>
          <w:rFonts w:ascii="Palatino Linotype" w:hAnsi="Palatino Linotype"/>
          <w:color w:val="000000"/>
        </w:rPr>
      </w:pPr>
      <w:r w:rsidRPr="008359C2">
        <w:rPr>
          <w:rFonts w:ascii="Palatino Linotype" w:hAnsi="Palatino Linotype"/>
          <w:b/>
          <w:color w:val="000000"/>
        </w:rPr>
        <w:t>Que,</w:t>
      </w:r>
      <w:r w:rsidRPr="008359C2">
        <w:rPr>
          <w:rFonts w:ascii="Palatino Linotype" w:hAnsi="Palatino Linotype"/>
          <w:color w:val="000000"/>
        </w:rPr>
        <w:t xml:space="preserve"> </w:t>
      </w:r>
      <w:r w:rsidRPr="008359C2">
        <w:rPr>
          <w:rFonts w:ascii="Palatino Linotype" w:hAnsi="Palatino Linotype"/>
          <w:color w:val="000000"/>
        </w:rPr>
        <w:tab/>
        <w:t xml:space="preserve">el artículo 2531 del Código Municipal establece: </w:t>
      </w:r>
      <w:r>
        <w:rPr>
          <w:rFonts w:ascii="Palatino Linotype" w:hAnsi="Palatino Linotype"/>
          <w:i/>
          <w:color w:val="000000"/>
        </w:rPr>
        <w:t>“</w:t>
      </w:r>
      <w:r w:rsidRPr="008359C2">
        <w:rPr>
          <w:rFonts w:ascii="Palatino Linotype" w:hAnsi="Palatino Linotype"/>
          <w:i/>
          <w:color w:val="000000"/>
        </w:rPr>
        <w:t>Garantías.- 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r w:rsidRPr="008359C2">
        <w:rPr>
          <w:rFonts w:ascii="Palatino Linotype" w:hAnsi="Palatino Linotype"/>
          <w:color w:val="000000"/>
        </w:rPr>
        <w:t xml:space="preserve"> </w:t>
      </w:r>
    </w:p>
    <w:p w:rsidR="00626AA2" w:rsidRPr="008359C2" w:rsidRDefault="00626AA2" w:rsidP="00626AA2">
      <w:pPr>
        <w:pBdr>
          <w:top w:val="nil"/>
          <w:left w:val="nil"/>
          <w:bottom w:val="nil"/>
          <w:right w:val="nil"/>
          <w:between w:val="nil"/>
        </w:pBdr>
        <w:spacing w:before="240" w:after="0" w:line="276" w:lineRule="auto"/>
        <w:ind w:left="720"/>
        <w:jc w:val="both"/>
        <w:rPr>
          <w:rFonts w:ascii="Palatino Linotype" w:hAnsi="Palatino Linotype"/>
          <w:i/>
          <w:color w:val="000000"/>
        </w:rPr>
      </w:pPr>
      <w:r w:rsidRPr="008359C2">
        <w:rPr>
          <w:rFonts w:ascii="Palatino Linotype" w:hAnsi="Palatino Linotype"/>
          <w:i/>
          <w:color w:val="000000"/>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rsidR="00626AA2" w:rsidRPr="008359C2" w:rsidRDefault="00626AA2" w:rsidP="00626AA2">
      <w:pPr>
        <w:pStyle w:val="Default"/>
        <w:ind w:left="720" w:hanging="720"/>
        <w:jc w:val="both"/>
        <w:rPr>
          <w:rFonts w:ascii="Palatino Linotype" w:hAnsi="Palatino Linotype"/>
          <w:i/>
          <w:sz w:val="22"/>
          <w:szCs w:val="22"/>
        </w:rPr>
      </w:pPr>
    </w:p>
    <w:p w:rsidR="00626AA2" w:rsidRPr="008359C2" w:rsidRDefault="00626AA2" w:rsidP="00626AA2">
      <w:pPr>
        <w:pStyle w:val="Default"/>
        <w:ind w:left="720" w:hanging="720"/>
        <w:jc w:val="both"/>
        <w:rPr>
          <w:rFonts w:ascii="Palatino Linotype" w:hAnsi="Palatino Linotype"/>
          <w:color w:val="auto"/>
          <w:sz w:val="22"/>
          <w:szCs w:val="22"/>
        </w:rPr>
      </w:pPr>
      <w:r w:rsidRPr="008359C2">
        <w:rPr>
          <w:rFonts w:ascii="Palatino Linotype" w:hAnsi="Palatino Linotype"/>
          <w:b/>
          <w:sz w:val="22"/>
          <w:szCs w:val="22"/>
        </w:rPr>
        <w:t xml:space="preserve">Que, </w:t>
      </w:r>
      <w:r w:rsidRPr="008359C2">
        <w:rPr>
          <w:rFonts w:ascii="Palatino Linotype" w:hAnsi="Palatino Linotype"/>
          <w:b/>
          <w:sz w:val="22"/>
          <w:szCs w:val="22"/>
        </w:rPr>
        <w:tab/>
      </w:r>
      <w:r w:rsidRPr="008359C2">
        <w:rPr>
          <w:rFonts w:ascii="Palatino Linotype" w:hAnsi="Palatino Linotype"/>
          <w:color w:val="auto"/>
          <w:sz w:val="22"/>
          <w:szCs w:val="22"/>
        </w:rPr>
        <w:t>el artículo 2533 d</w:t>
      </w:r>
      <w:r>
        <w:rPr>
          <w:rFonts w:ascii="Palatino Linotype" w:hAnsi="Palatino Linotype"/>
          <w:color w:val="auto"/>
          <w:sz w:val="22"/>
          <w:szCs w:val="22"/>
        </w:rPr>
        <w:t>el Código Municipal establece: “</w:t>
      </w:r>
      <w:r w:rsidRPr="008359C2">
        <w:rPr>
          <w:rFonts w:ascii="Palatino Linotype" w:hAnsi="Palatino Linotype"/>
          <w:color w:val="auto"/>
          <w:sz w:val="22"/>
          <w:szCs w:val="22"/>
        </w:rPr>
        <w:t>Subrogación.-</w:t>
      </w:r>
      <w:r>
        <w:rPr>
          <w:rFonts w:ascii="Palatino Linotype" w:hAnsi="Palatino Linotype"/>
          <w:color w:val="auto"/>
          <w:sz w:val="22"/>
          <w:szCs w:val="22"/>
        </w:rPr>
        <w:t xml:space="preserve"> </w:t>
      </w:r>
      <w:r w:rsidRPr="008359C2">
        <w:rPr>
          <w:rFonts w:ascii="Palatino Linotype" w:hAnsi="Palatino Linotype"/>
          <w:color w:val="auto"/>
          <w:sz w:val="22"/>
          <w:szCs w:val="22"/>
        </w:rPr>
        <w:t>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previa solicitud de parte, siempre y cuando el comprador se subrogue a las obligaciones y garantías constituid</w:t>
      </w:r>
      <w:r>
        <w:rPr>
          <w:rFonts w:ascii="Palatino Linotype" w:hAnsi="Palatino Linotype"/>
          <w:color w:val="auto"/>
          <w:sz w:val="22"/>
          <w:szCs w:val="22"/>
        </w:rPr>
        <w:t>as a favor de la municipalidad.</w:t>
      </w:r>
      <w:r w:rsidRPr="008359C2">
        <w:rPr>
          <w:rFonts w:ascii="Palatino Linotype" w:hAnsi="Palatino Linotype"/>
          <w:color w:val="auto"/>
          <w:sz w:val="22"/>
          <w:szCs w:val="22"/>
        </w:rPr>
        <w:t>”.</w:t>
      </w:r>
    </w:p>
    <w:p w:rsidR="00626AA2" w:rsidRPr="008359C2" w:rsidRDefault="00626AA2" w:rsidP="00626AA2">
      <w:pPr>
        <w:pBdr>
          <w:top w:val="nil"/>
          <w:left w:val="nil"/>
          <w:bottom w:val="nil"/>
          <w:right w:val="nil"/>
          <w:between w:val="nil"/>
        </w:pBdr>
        <w:spacing w:after="0" w:line="276" w:lineRule="auto"/>
        <w:ind w:left="720"/>
        <w:jc w:val="both"/>
        <w:rPr>
          <w:rFonts w:ascii="Palatino Linotype" w:hAnsi="Palatino Linotype"/>
          <w:i/>
          <w:color w:val="000000"/>
        </w:rPr>
      </w:pPr>
    </w:p>
    <w:p w:rsidR="00626AA2" w:rsidRPr="008359C2" w:rsidRDefault="00626AA2" w:rsidP="00626AA2">
      <w:pPr>
        <w:pBdr>
          <w:top w:val="nil"/>
          <w:left w:val="nil"/>
          <w:bottom w:val="nil"/>
          <w:right w:val="nil"/>
          <w:between w:val="nil"/>
        </w:pBdr>
        <w:spacing w:after="0" w:line="276" w:lineRule="auto"/>
        <w:ind w:left="720" w:hanging="720"/>
        <w:jc w:val="both"/>
        <w:rPr>
          <w:rFonts w:ascii="Palatino Linotype" w:hAnsi="Palatino Linotype"/>
          <w:i/>
        </w:rPr>
      </w:pPr>
      <w:r w:rsidRPr="008359C2">
        <w:rPr>
          <w:rFonts w:ascii="Palatino Linotype" w:hAnsi="Palatino Linotype"/>
          <w:b/>
        </w:rPr>
        <w:t>Que,</w:t>
      </w:r>
      <w:r w:rsidRPr="008359C2">
        <w:rPr>
          <w:rFonts w:ascii="Palatino Linotype" w:hAnsi="Palatino Linotype"/>
          <w:i/>
        </w:rPr>
        <w:t xml:space="preserve"> </w:t>
      </w:r>
      <w:r w:rsidRPr="008359C2">
        <w:rPr>
          <w:rFonts w:ascii="Palatino Linotype" w:hAnsi="Palatino Linotype"/>
          <w:i/>
        </w:rPr>
        <w:tab/>
      </w:r>
      <w:r w:rsidRPr="008359C2">
        <w:rPr>
          <w:rFonts w:ascii="Palatino Linotype" w:hAnsi="Palatino Linotype"/>
        </w:rPr>
        <w:t>el Articulo 2531.-Garantías, del Código Municipal para el Distrito Metropolitano de Quito señala</w:t>
      </w:r>
      <w:r w:rsidRPr="008359C2">
        <w:rPr>
          <w:rFonts w:ascii="Palatino Linotype" w:hAnsi="Palatino Linotype"/>
          <w:i/>
        </w:rPr>
        <w:t xml:space="preserve"> “Las obras de infraestructura determinadas en las cargas locales del plan parcial que deben ejecutarse, constituyen una obligación solidaria de los beneficiarios y deberán constar en el instrumento que aprueba el proyecto de regularización (…)”. “En caso de que el asentamiento humano de hecho y consolidado, en garantía de las obras de infraestructura, deba hipotecar los predios en favor de la municipalidad, se podrá aceptar la garantía (…)”. Las obras de infraestructura determinadas como cargas generales no están sujetas al levantamiento de hipotecas por cargas locales”.  </w:t>
      </w:r>
    </w:p>
    <w:p w:rsidR="00626AA2" w:rsidRPr="008359C2" w:rsidRDefault="00626AA2" w:rsidP="00626AA2">
      <w:pPr>
        <w:pBdr>
          <w:top w:val="nil"/>
          <w:left w:val="nil"/>
          <w:bottom w:val="nil"/>
          <w:right w:val="nil"/>
          <w:between w:val="nil"/>
        </w:pBdr>
        <w:spacing w:after="0" w:line="276" w:lineRule="auto"/>
        <w:ind w:left="720" w:hanging="720"/>
        <w:jc w:val="both"/>
        <w:rPr>
          <w:rFonts w:ascii="Palatino Linotype" w:hAnsi="Palatino Linotype"/>
          <w:i/>
        </w:rPr>
      </w:pPr>
    </w:p>
    <w:p w:rsidR="00626AA2" w:rsidRPr="008359C2" w:rsidRDefault="00626AA2" w:rsidP="00626AA2">
      <w:pPr>
        <w:pBdr>
          <w:top w:val="nil"/>
          <w:left w:val="nil"/>
          <w:bottom w:val="nil"/>
          <w:right w:val="nil"/>
          <w:between w:val="nil"/>
        </w:pBdr>
        <w:spacing w:after="0" w:line="276" w:lineRule="auto"/>
        <w:ind w:left="720" w:hanging="720"/>
        <w:jc w:val="both"/>
        <w:rPr>
          <w:rFonts w:ascii="Palatino Linotype" w:hAnsi="Palatino Linotype"/>
          <w:i/>
        </w:rPr>
      </w:pPr>
      <w:r w:rsidRPr="008359C2">
        <w:rPr>
          <w:rFonts w:ascii="Palatino Linotype" w:hAnsi="Palatino Linotype"/>
          <w:b/>
          <w:color w:val="000000"/>
        </w:rPr>
        <w:t>Que,</w:t>
      </w:r>
      <w:r w:rsidRPr="008359C2">
        <w:rPr>
          <w:rFonts w:ascii="Palatino Linotype" w:hAnsi="Palatino Linotype"/>
          <w:color w:val="000000"/>
        </w:rPr>
        <w:t xml:space="preserve"> </w:t>
      </w:r>
      <w:r w:rsidRPr="008359C2">
        <w:rPr>
          <w:rFonts w:ascii="Palatino Linotype" w:hAnsi="Palatino Linotype"/>
          <w:color w:val="000000"/>
        </w:rPr>
        <w:tab/>
        <w:t>en las ordenanzas de regularización de los asentamientos humanos de hecho y consolidados se establecen en relación a tema de multas e hipotecas, los artículos siguientes (o similares en anteriores ordenanzas):</w:t>
      </w:r>
    </w:p>
    <w:p w:rsidR="00626AA2" w:rsidRPr="008359C2" w:rsidRDefault="00626AA2" w:rsidP="00626AA2">
      <w:pPr>
        <w:pBdr>
          <w:top w:val="nil"/>
          <w:left w:val="nil"/>
          <w:bottom w:val="nil"/>
          <w:right w:val="nil"/>
          <w:between w:val="nil"/>
        </w:pBdr>
        <w:spacing w:before="240" w:after="0" w:line="276" w:lineRule="auto"/>
        <w:ind w:left="1440"/>
        <w:jc w:val="both"/>
        <w:rPr>
          <w:rFonts w:ascii="Palatino Linotype" w:hAnsi="Palatino Linotype"/>
          <w:i/>
          <w:color w:val="000000"/>
        </w:rPr>
      </w:pPr>
      <w:r w:rsidRPr="008359C2">
        <w:rPr>
          <w:rFonts w:ascii="Palatino Linotype" w:hAnsi="Palatino Linotype"/>
          <w:b/>
          <w:i/>
          <w:color w:val="000000"/>
        </w:rPr>
        <w:t>Del plazo de ejecución de las obras</w:t>
      </w:r>
      <w:r w:rsidRPr="008359C2">
        <w:rPr>
          <w:rFonts w:ascii="Palatino Linotype" w:hAnsi="Palatino Linotype"/>
          <w:i/>
          <w:color w:val="000000"/>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rsidR="00626AA2" w:rsidRPr="008359C2" w:rsidRDefault="00626AA2" w:rsidP="00626AA2">
      <w:pPr>
        <w:pBdr>
          <w:top w:val="nil"/>
          <w:left w:val="nil"/>
          <w:bottom w:val="nil"/>
          <w:right w:val="nil"/>
          <w:between w:val="nil"/>
        </w:pBdr>
        <w:spacing w:before="240" w:after="0" w:line="276" w:lineRule="auto"/>
        <w:ind w:left="1440"/>
        <w:jc w:val="both"/>
        <w:rPr>
          <w:rFonts w:ascii="Palatino Linotype" w:hAnsi="Palatino Linotype"/>
          <w:i/>
          <w:color w:val="000000"/>
        </w:rPr>
      </w:pPr>
      <w:r w:rsidRPr="008359C2">
        <w:rPr>
          <w:rFonts w:ascii="Palatino Linotype" w:hAnsi="Palatino Linotype"/>
          <w:i/>
          <w:color w:val="000000"/>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rsidR="00626AA2" w:rsidRPr="008359C2" w:rsidRDefault="00626AA2" w:rsidP="00626AA2">
      <w:pPr>
        <w:pBdr>
          <w:top w:val="nil"/>
          <w:left w:val="nil"/>
          <w:bottom w:val="nil"/>
          <w:right w:val="nil"/>
          <w:between w:val="nil"/>
        </w:pBdr>
        <w:spacing w:after="0" w:line="276" w:lineRule="auto"/>
        <w:ind w:left="720"/>
        <w:jc w:val="both"/>
        <w:rPr>
          <w:rFonts w:ascii="Palatino Linotype" w:hAnsi="Palatino Linotype"/>
          <w:i/>
          <w:color w:val="000000"/>
        </w:rPr>
      </w:pPr>
    </w:p>
    <w:p w:rsidR="00626AA2" w:rsidRPr="008359C2" w:rsidRDefault="00626AA2" w:rsidP="00626AA2">
      <w:pPr>
        <w:pBdr>
          <w:top w:val="nil"/>
          <w:left w:val="nil"/>
          <w:bottom w:val="nil"/>
          <w:right w:val="nil"/>
          <w:between w:val="nil"/>
        </w:pBdr>
        <w:spacing w:after="240" w:line="276" w:lineRule="auto"/>
        <w:ind w:left="1440"/>
        <w:jc w:val="both"/>
        <w:rPr>
          <w:rFonts w:ascii="Palatino Linotype" w:hAnsi="Palatino Linotype"/>
          <w:i/>
          <w:color w:val="000000"/>
        </w:rPr>
      </w:pPr>
      <w:r w:rsidRPr="008359C2">
        <w:rPr>
          <w:rFonts w:ascii="Palatino Linotype" w:hAnsi="Palatino Linotype"/>
          <w:b/>
          <w:i/>
          <w:color w:val="000000"/>
        </w:rPr>
        <w:t>Del control de ejecución de las obras.-</w:t>
      </w:r>
      <w:r w:rsidRPr="008359C2">
        <w:rPr>
          <w:rFonts w:ascii="Palatino Linotype" w:hAnsi="Palatino Linotype"/>
          <w:i/>
          <w:color w:val="000000"/>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rsidR="00626AA2" w:rsidRPr="008359C2" w:rsidRDefault="00626AA2" w:rsidP="00626AA2">
      <w:pPr>
        <w:pBdr>
          <w:top w:val="nil"/>
          <w:left w:val="nil"/>
          <w:bottom w:val="nil"/>
          <w:right w:val="nil"/>
          <w:between w:val="nil"/>
        </w:pBdr>
        <w:spacing w:after="0" w:line="276" w:lineRule="auto"/>
        <w:ind w:left="1440"/>
        <w:jc w:val="both"/>
        <w:rPr>
          <w:rFonts w:ascii="Palatino Linotype" w:hAnsi="Palatino Linotype"/>
          <w:i/>
          <w:color w:val="000000"/>
        </w:rPr>
      </w:pPr>
      <w:r w:rsidRPr="008359C2">
        <w:rPr>
          <w:rFonts w:ascii="Palatino Linotype" w:hAnsi="Palatino Linotype"/>
          <w:b/>
          <w:i/>
          <w:color w:val="000000"/>
        </w:rPr>
        <w:t>De la multa por retraso en ejecución de obras.-</w:t>
      </w:r>
      <w:r w:rsidRPr="008359C2">
        <w:rPr>
          <w:rFonts w:ascii="Palatino Linotype" w:hAnsi="Palatino Linotype"/>
          <w:i/>
          <w:color w:val="000000"/>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rsidR="00626AA2" w:rsidRPr="008359C2" w:rsidRDefault="00626AA2" w:rsidP="00626AA2">
      <w:pPr>
        <w:pBdr>
          <w:top w:val="nil"/>
          <w:left w:val="nil"/>
          <w:bottom w:val="nil"/>
          <w:right w:val="nil"/>
          <w:between w:val="nil"/>
        </w:pBdr>
        <w:spacing w:after="0" w:line="276" w:lineRule="auto"/>
        <w:ind w:left="720"/>
        <w:jc w:val="both"/>
        <w:rPr>
          <w:rFonts w:ascii="Palatino Linotype" w:hAnsi="Palatino Linotype"/>
          <w:i/>
          <w:color w:val="000000"/>
        </w:rPr>
      </w:pPr>
    </w:p>
    <w:p w:rsidR="00626AA2" w:rsidRPr="008359C2" w:rsidRDefault="00626AA2" w:rsidP="00626AA2">
      <w:pPr>
        <w:pBdr>
          <w:top w:val="nil"/>
          <w:left w:val="nil"/>
          <w:bottom w:val="nil"/>
          <w:right w:val="nil"/>
          <w:between w:val="nil"/>
        </w:pBdr>
        <w:spacing w:after="0" w:line="276" w:lineRule="auto"/>
        <w:ind w:left="1440"/>
        <w:jc w:val="both"/>
        <w:rPr>
          <w:rFonts w:ascii="Palatino Linotype" w:hAnsi="Palatino Linotype"/>
          <w:i/>
          <w:color w:val="000000"/>
        </w:rPr>
      </w:pPr>
      <w:r w:rsidRPr="008359C2">
        <w:rPr>
          <w:rFonts w:ascii="Palatino Linotype" w:hAnsi="Palatino Linotype"/>
          <w:b/>
          <w:i/>
          <w:color w:val="000000"/>
        </w:rPr>
        <w:t>De la garantía de ejecución de las obras.-</w:t>
      </w:r>
      <w:r w:rsidRPr="008359C2">
        <w:rPr>
          <w:rFonts w:ascii="Palatino Linotype" w:hAnsi="Palatino Linotype"/>
          <w:i/>
          <w:color w:val="000000"/>
        </w:rPr>
        <w:t> Los lotes producto del fraccionamiento donde se encuentra el asentamiento humano de hecho y consolidado de interés social denominado (…),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rsidR="00626AA2" w:rsidRPr="008359C2" w:rsidRDefault="00626AA2" w:rsidP="00626AA2">
      <w:pPr>
        <w:pBdr>
          <w:top w:val="nil"/>
          <w:left w:val="nil"/>
          <w:bottom w:val="nil"/>
          <w:right w:val="nil"/>
          <w:between w:val="nil"/>
        </w:pBdr>
        <w:spacing w:before="240" w:after="0" w:line="276" w:lineRule="auto"/>
        <w:ind w:left="720"/>
        <w:jc w:val="both"/>
        <w:rPr>
          <w:rFonts w:ascii="Palatino Linotype" w:hAnsi="Palatino Linotype"/>
          <w:i/>
          <w:color w:val="000000"/>
        </w:rPr>
      </w:pPr>
      <w:r w:rsidRPr="008359C2">
        <w:rPr>
          <w:rFonts w:ascii="Palatino Linotype" w:hAnsi="Palatino Linotype"/>
          <w:color w:val="000000"/>
        </w:rPr>
        <w:t>De</w:t>
      </w:r>
      <w:r w:rsidRPr="008359C2">
        <w:rPr>
          <w:rFonts w:ascii="Palatino Linotype" w:hAnsi="Palatino Linotype"/>
          <w:i/>
          <w:color w:val="000000"/>
        </w:rPr>
        <w:t xml:space="preserve"> </w:t>
      </w:r>
      <w:r w:rsidRPr="008359C2">
        <w:rPr>
          <w:rFonts w:ascii="Palatino Linotype" w:hAnsi="Palatino Linotype"/>
          <w:color w:val="000000"/>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rsidR="00626AA2" w:rsidRPr="008359C2" w:rsidRDefault="00626AA2" w:rsidP="00626AA2">
      <w:pPr>
        <w:pBdr>
          <w:top w:val="nil"/>
          <w:left w:val="nil"/>
          <w:bottom w:val="nil"/>
          <w:right w:val="nil"/>
          <w:between w:val="nil"/>
        </w:pBdr>
        <w:spacing w:before="240" w:after="0" w:line="276" w:lineRule="auto"/>
        <w:ind w:left="720" w:hanging="720"/>
        <w:jc w:val="both"/>
        <w:rPr>
          <w:rFonts w:ascii="Palatino Linotype" w:hAnsi="Palatino Linotype"/>
          <w:color w:val="000000"/>
        </w:rPr>
      </w:pPr>
      <w:r w:rsidRPr="008359C2">
        <w:rPr>
          <w:rFonts w:ascii="Palatino Linotype" w:hAnsi="Palatino Linotype"/>
          <w:b/>
          <w:color w:val="000000"/>
        </w:rPr>
        <w:t xml:space="preserve">Que, </w:t>
      </w:r>
      <w:r w:rsidRPr="008359C2">
        <w:rPr>
          <w:rFonts w:ascii="Palatino Linotype" w:hAnsi="Palatino Linotype"/>
          <w:b/>
          <w:color w:val="000000"/>
        </w:rPr>
        <w:tab/>
      </w:r>
      <w:r w:rsidRPr="008359C2">
        <w:rPr>
          <w:rFonts w:ascii="Palatino Linotype" w:hAnsi="Palatino Linotype"/>
          <w:color w:val="000000"/>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rsidR="00626AA2" w:rsidRPr="008359C2" w:rsidRDefault="00626AA2" w:rsidP="00626AA2">
      <w:pPr>
        <w:spacing w:before="240" w:line="276" w:lineRule="auto"/>
        <w:ind w:left="705" w:hanging="705"/>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rsidR="00626AA2" w:rsidRPr="008359C2" w:rsidRDefault="00626AA2" w:rsidP="00626AA2">
      <w:pPr>
        <w:spacing w:line="276" w:lineRule="auto"/>
        <w:ind w:left="705" w:hanging="705"/>
        <w:jc w:val="both"/>
        <w:rPr>
          <w:rFonts w:ascii="Palatino Linotype" w:hAnsi="Palatino Linotype"/>
          <w:i/>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 xml:space="preserve">mediante Resolución del COE Nacional del jueves 17 de febrero del 2022, resolvió </w:t>
      </w:r>
      <w:r w:rsidRPr="008359C2">
        <w:rPr>
          <w:rFonts w:ascii="Palatino Linotype" w:hAnsi="Palatino Linotype"/>
          <w:i/>
        </w:rPr>
        <w:t xml:space="preserve">“(…)con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rsidR="00626AA2" w:rsidRPr="008359C2" w:rsidRDefault="00626AA2" w:rsidP="00626AA2">
      <w:pPr>
        <w:spacing w:after="0" w:line="276" w:lineRule="auto"/>
        <w:ind w:left="720" w:hanging="720"/>
        <w:jc w:val="both"/>
        <w:rPr>
          <w:rFonts w:ascii="Palatino Linotype" w:hAnsi="Palatino Linotype"/>
        </w:rPr>
      </w:pPr>
      <w:r w:rsidRPr="008359C2">
        <w:rPr>
          <w:rFonts w:ascii="Palatino Linotype" w:hAnsi="Palatino Linotype"/>
          <w:b/>
        </w:rPr>
        <w:t>Que,</w:t>
      </w:r>
      <w:r w:rsidRPr="008359C2">
        <w:rPr>
          <w:rFonts w:ascii="Palatino Linotype" w:hAnsi="Palatino Linotype"/>
        </w:rPr>
        <w:t xml:space="preserve"> </w:t>
      </w:r>
      <w:r w:rsidRPr="008359C2">
        <w:rPr>
          <w:rFonts w:ascii="Palatino Linotype" w:hAnsi="Palatino Linotype"/>
        </w:rPr>
        <w:tab/>
        <w:t>es necesario plantear una propuesta que recoja con claridad y certeza los procedimientos posteriores a la Regularización de AHHyC y UIS, así como solventar varios temas que resuelvan las problemáticas de los asentamientos principalmente:</w:t>
      </w:r>
    </w:p>
    <w:p w:rsidR="00626AA2" w:rsidRPr="008359C2" w:rsidRDefault="00626AA2" w:rsidP="00626AA2">
      <w:pPr>
        <w:numPr>
          <w:ilvl w:val="0"/>
          <w:numId w:val="1"/>
        </w:numPr>
        <w:pBdr>
          <w:top w:val="nil"/>
          <w:left w:val="nil"/>
          <w:bottom w:val="nil"/>
          <w:right w:val="nil"/>
          <w:between w:val="nil"/>
        </w:pBdr>
        <w:spacing w:before="240" w:after="0" w:line="276" w:lineRule="auto"/>
        <w:jc w:val="both"/>
        <w:rPr>
          <w:rFonts w:ascii="Palatino Linotype" w:hAnsi="Palatino Linotype"/>
          <w:color w:val="000000"/>
        </w:rPr>
      </w:pPr>
      <w:r w:rsidRPr="008359C2">
        <w:rPr>
          <w:rFonts w:ascii="Palatino Linotype" w:hAnsi="Palatino Linotype"/>
          <w:color w:val="000000"/>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rsidR="00626AA2" w:rsidRPr="008359C2" w:rsidRDefault="00626AA2" w:rsidP="00626AA2">
      <w:pPr>
        <w:numPr>
          <w:ilvl w:val="0"/>
          <w:numId w:val="1"/>
        </w:numPr>
        <w:pBdr>
          <w:top w:val="nil"/>
          <w:left w:val="nil"/>
          <w:bottom w:val="nil"/>
          <w:right w:val="nil"/>
          <w:between w:val="nil"/>
        </w:pBdr>
        <w:spacing w:after="240" w:line="276" w:lineRule="auto"/>
        <w:jc w:val="both"/>
        <w:rPr>
          <w:rFonts w:ascii="Palatino Linotype" w:hAnsi="Palatino Linotype"/>
          <w:color w:val="000000"/>
        </w:rPr>
      </w:pPr>
      <w:r w:rsidRPr="008359C2">
        <w:rPr>
          <w:rFonts w:ascii="Palatino Linotype" w:hAnsi="Palatino Linotype"/>
          <w:color w:val="000000"/>
        </w:rPr>
        <w:t>Considerar las actuaciones de la posibilidad de ejecución de obras de infraestructura, civiles y de mitigación de riesgos según establece normativa, y su análisis de cargas impositivas por su término de ejecución,</w:t>
      </w:r>
    </w:p>
    <w:p w:rsidR="00626AA2" w:rsidRPr="008359C2" w:rsidRDefault="00626AA2" w:rsidP="00626AA2">
      <w:pPr>
        <w:spacing w:before="240" w:after="240" w:line="276" w:lineRule="auto"/>
        <w:ind w:left="936" w:hanging="227"/>
        <w:jc w:val="both"/>
        <w:rPr>
          <w:rFonts w:ascii="Palatino Linotype" w:hAnsi="Palatino Linotype"/>
        </w:rPr>
      </w:pPr>
      <w:r w:rsidRPr="008359C2">
        <w:rPr>
          <w:rFonts w:ascii="Palatino Linotype" w:hAnsi="Palatino Linotype"/>
        </w:rPr>
        <w:t>3. Normar el procedimiento de levantamiento de hipotecas sobre los predios en los que actualmente pesa ese gravamen, sin permitirles el uso y usufructos de su patrimonio, por ejemplo, a través de préstamos hipotecarios.</w:t>
      </w:r>
    </w:p>
    <w:p w:rsidR="00626AA2" w:rsidRPr="008359C2" w:rsidRDefault="00626AA2" w:rsidP="00626AA2">
      <w:pPr>
        <w:spacing w:after="0" w:line="276" w:lineRule="auto"/>
        <w:jc w:val="both"/>
        <w:rPr>
          <w:rFonts w:ascii="Palatino Linotype" w:hAnsi="Palatino Linotype"/>
        </w:rPr>
      </w:pPr>
    </w:p>
    <w:p w:rsidR="00626AA2" w:rsidRPr="008359C2" w:rsidRDefault="00626AA2" w:rsidP="00626AA2">
      <w:pPr>
        <w:spacing w:after="0" w:line="276" w:lineRule="auto"/>
        <w:jc w:val="both"/>
        <w:rPr>
          <w:rFonts w:ascii="Palatino Linotype" w:hAnsi="Palatino Linotype"/>
        </w:rPr>
      </w:pPr>
      <w:r w:rsidRPr="008359C2">
        <w:rPr>
          <w:rFonts w:ascii="Palatino Linotype" w:hAnsi="Palatino Linotype"/>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rsidR="00626AA2" w:rsidRPr="008359C2" w:rsidRDefault="00626AA2" w:rsidP="00626AA2">
      <w:pPr>
        <w:spacing w:after="0" w:line="276" w:lineRule="auto"/>
        <w:jc w:val="both"/>
        <w:rPr>
          <w:rFonts w:ascii="Palatino Linotype" w:hAnsi="Palatino Linotype"/>
        </w:rPr>
      </w:pPr>
    </w:p>
    <w:p w:rsidR="00626AA2" w:rsidRPr="008359C2" w:rsidRDefault="00626AA2" w:rsidP="00626AA2">
      <w:pPr>
        <w:spacing w:line="276" w:lineRule="auto"/>
        <w:jc w:val="center"/>
        <w:rPr>
          <w:rFonts w:ascii="Palatino Linotype" w:hAnsi="Palatino Linotype"/>
          <w:b/>
          <w:i/>
        </w:rPr>
      </w:pPr>
      <w:r w:rsidRPr="008359C2">
        <w:rPr>
          <w:rFonts w:ascii="Palatino Linotype" w:hAnsi="Palatino Linotype"/>
          <w:b/>
          <w:i/>
        </w:rPr>
        <w:t>ORDENANZA METROPOLITANA REFORMATORIA AL LIBRO IV.7 SOBRE ORDENAMIENTO TERRITORIAL DEL CÓDIGO MUNICIPAL, QUE AGREGA PROCEDIMIENTOS DE POST-REGULARIZACIÓN Y LEVANTAMIENTO DE HIPOTECAS EN ASENTAMIENTOS HUMANOS DE HECHO Y CONSOLIDADO Y URBANIZACIONES DE INTERÉS SOCIAL Y DESARROLLO PROGRESIVO EN EL DISTRITO METROPOLITANO DE QUITO</w:t>
      </w:r>
    </w:p>
    <w:p w:rsidR="00626AA2" w:rsidRPr="008359C2" w:rsidRDefault="00626AA2" w:rsidP="00626AA2">
      <w:pPr>
        <w:spacing w:line="276" w:lineRule="auto"/>
        <w:jc w:val="center"/>
        <w:rPr>
          <w:rFonts w:ascii="Palatino Linotype" w:hAnsi="Palatino Linotype"/>
          <w:b/>
          <w:i/>
        </w:rPr>
      </w:pPr>
    </w:p>
    <w:p w:rsidR="00626AA2" w:rsidRPr="008359C2" w:rsidRDefault="00626AA2" w:rsidP="00626AA2">
      <w:pPr>
        <w:jc w:val="both"/>
        <w:rPr>
          <w:rFonts w:ascii="Palatino Linotype" w:hAnsi="Palatino Linotype"/>
        </w:rPr>
      </w:pPr>
      <w:r w:rsidRPr="008359C2">
        <w:rPr>
          <w:rFonts w:ascii="Palatino Linotype" w:hAnsi="Palatino Linotype"/>
          <w:b/>
        </w:rPr>
        <w:t>Artículo Único.-</w:t>
      </w:r>
      <w:r w:rsidRPr="008359C2">
        <w:rPr>
          <w:rFonts w:ascii="Palatino Linotype" w:hAnsi="Palatino Linotype"/>
        </w:rPr>
        <w:t xml:space="preserve"> A continuación del Título I, del Libro IV.7, sobre Ordenamiento Territorial, del Código Municipal para el Distrito Metropolitano de Quito, incorpórese el siguiente Título.</w:t>
      </w:r>
    </w:p>
    <w:p w:rsidR="00626AA2" w:rsidRPr="008359C2" w:rsidRDefault="00626AA2" w:rsidP="00626AA2">
      <w:pPr>
        <w:jc w:val="both"/>
        <w:rPr>
          <w:rFonts w:ascii="Palatino Linotype" w:hAnsi="Palatino Linotype"/>
        </w:rPr>
      </w:pPr>
    </w:p>
    <w:p w:rsidR="00626AA2" w:rsidRPr="008359C2" w:rsidRDefault="00626AA2" w:rsidP="00626AA2">
      <w:pPr>
        <w:jc w:val="center"/>
        <w:rPr>
          <w:rFonts w:ascii="Palatino Linotype" w:hAnsi="Palatino Linotype"/>
          <w:b/>
        </w:rPr>
      </w:pPr>
      <w:r w:rsidRPr="008359C2">
        <w:rPr>
          <w:rFonts w:ascii="Palatino Linotype" w:hAnsi="Palatino Linotype"/>
          <w:b/>
        </w:rPr>
        <w:t>TÍTULO INNUMERADO XXX</w:t>
      </w:r>
    </w:p>
    <w:p w:rsidR="00626AA2" w:rsidRPr="008359C2" w:rsidRDefault="00626AA2" w:rsidP="00626AA2">
      <w:pPr>
        <w:tabs>
          <w:tab w:val="left" w:pos="1891"/>
        </w:tabs>
        <w:spacing w:after="0"/>
        <w:jc w:val="center"/>
        <w:rPr>
          <w:rFonts w:ascii="Palatino Linotype" w:hAnsi="Palatino Linotype"/>
          <w:b/>
        </w:rPr>
      </w:pPr>
    </w:p>
    <w:p w:rsidR="00626AA2" w:rsidRPr="008359C2" w:rsidRDefault="00626AA2" w:rsidP="00626AA2">
      <w:pPr>
        <w:tabs>
          <w:tab w:val="left" w:pos="1891"/>
        </w:tabs>
        <w:spacing w:after="0"/>
        <w:jc w:val="center"/>
        <w:rPr>
          <w:rFonts w:ascii="Palatino Linotype" w:hAnsi="Palatino Linotype"/>
          <w:b/>
        </w:rPr>
      </w:pPr>
      <w:r w:rsidRPr="008359C2">
        <w:rPr>
          <w:rFonts w:ascii="Palatino Linotype" w:hAnsi="Palatino Linotype"/>
          <w:b/>
        </w:rPr>
        <w:t>“DEL PROCEDIMIENTO PARA EL LEVANTAMIENTO DEL GRAVAMEN DE HIPOTECA POR OBRAS EN LOS LOTES PRODUCTO DEL FRACCIONAMIENTO DE LOS PREDIOS EN LOS QUE SE ENCUENTRAN LOS ASENTAMIENTOS HUMANOS DE HECHO Y CONSOLIDADOS DE INTERÉS SOCIAL Y URBANIZACIONES DE INTERÉS SOCIAL Y DESARROLLO PROGRESIVO, REGULARIZADOS DENTRO DEL DISTRITO METROPOLITANO DE QUITO”</w:t>
      </w:r>
    </w:p>
    <w:p w:rsidR="00626AA2" w:rsidRPr="008359C2" w:rsidRDefault="00626AA2" w:rsidP="00626AA2">
      <w:pPr>
        <w:tabs>
          <w:tab w:val="left" w:pos="1891"/>
        </w:tabs>
        <w:spacing w:after="0"/>
        <w:jc w:val="center"/>
        <w:rPr>
          <w:rFonts w:ascii="Palatino Linotype" w:hAnsi="Palatino Linotype"/>
          <w:b/>
        </w:rPr>
      </w:pPr>
    </w:p>
    <w:p w:rsidR="00626AA2" w:rsidRPr="008359C2" w:rsidRDefault="00626AA2" w:rsidP="00626AA2">
      <w:pPr>
        <w:tabs>
          <w:tab w:val="left" w:pos="1891"/>
        </w:tabs>
        <w:spacing w:after="0"/>
        <w:jc w:val="center"/>
        <w:rPr>
          <w:rFonts w:ascii="Palatino Linotype" w:hAnsi="Palatino Linotype"/>
          <w:b/>
        </w:rPr>
      </w:pPr>
      <w:r w:rsidRPr="008359C2">
        <w:rPr>
          <w:rFonts w:ascii="Palatino Linotype" w:hAnsi="Palatino Linotype"/>
          <w:b/>
        </w:rPr>
        <w:t>CAPÍTULO I</w:t>
      </w:r>
    </w:p>
    <w:p w:rsidR="00626AA2" w:rsidRPr="008359C2" w:rsidRDefault="00626AA2" w:rsidP="00626AA2">
      <w:pPr>
        <w:tabs>
          <w:tab w:val="left" w:pos="1891"/>
        </w:tabs>
        <w:spacing w:after="0"/>
        <w:jc w:val="center"/>
        <w:rPr>
          <w:rFonts w:ascii="Palatino Linotype" w:hAnsi="Palatino Linotype"/>
          <w:b/>
        </w:rPr>
      </w:pPr>
      <w:r w:rsidRPr="008359C2">
        <w:rPr>
          <w:rFonts w:ascii="Palatino Linotype" w:hAnsi="Palatino Linotype"/>
          <w:b/>
        </w:rPr>
        <w:t>GENERALIDADES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Artículo Innumerado 1.- Objeto.-</w:t>
      </w:r>
      <w:r w:rsidRPr="008359C2">
        <w:rPr>
          <w:rFonts w:ascii="Palatino Linotype" w:hAnsi="Palatino Linotype"/>
        </w:rPr>
        <w:t xml:space="preserve"> Esta normativa define el procedimiento a seguir una vez culminado el proceso de regularización de asentamientos humanos de hecho y consolidados y cuando corresponda, en urbanizaciones de interés social y desarrollo progresivo en el Distrito Metropolitano de Quito, que incluye la titularización individual de los predios y el levantamiento de hipotecas a favor del Municipio del Distrito Metropolitano de Quito instituidas en garantía para el cumplimiento de obras en los citados casos.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 xml:space="preserve"> Artículo Innumerado 2.- Ámbito. – </w:t>
      </w:r>
      <w:r w:rsidRPr="008359C2">
        <w:rPr>
          <w:rFonts w:ascii="Palatino Linotype" w:hAnsi="Palatino Linotype"/>
        </w:rPr>
        <w:t xml:space="preserve">El presente Título aplicará a los asentamientos humanos de hecho y consolidados y urbanizaciones de interés social y desarrollo progresivo, aprobadas mediante ordenanza, que iniciaron su proceso con el régimen jurídico anterior de la vigencia de la PMDOT-PUGS No 001-2021. </w:t>
      </w:r>
    </w:p>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b/>
        </w:rPr>
        <w:t xml:space="preserve">Artículo Innumerado 3.- Definiciones. -  </w:t>
      </w:r>
      <w:r w:rsidRPr="008359C2">
        <w:rPr>
          <w:rFonts w:ascii="Palatino Linotype" w:hAnsi="Palatino Linotype"/>
        </w:rPr>
        <w:t xml:space="preserve">A efectos de la aplicación de esta normativa, se tendrán en cuenta las siguientes definiciones: </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Asentamiento humano de hecho y consolidado. -</w:t>
      </w:r>
      <w:r w:rsidRPr="008359C2">
        <w:rPr>
          <w:rFonts w:ascii="Palatino Linotype" w:hAnsi="Palatino Linotype"/>
          <w:color w:val="000000"/>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y déficit de infraestructuras, equipamientos y servicios básicos. </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Protocolización notarial e inscripción en el Registro de la Propiedad.-</w:t>
      </w:r>
      <w:r w:rsidRPr="008359C2">
        <w:rPr>
          <w:rFonts w:ascii="Palatino Linotype" w:hAnsi="Palatino Linotype"/>
          <w:color w:val="000000"/>
        </w:rPr>
        <w:t xml:space="preserve"> Es el acto mediante el cual los asentamientos humanos de hecho y consolidados y urbanizaciones de interés social y desarrollo progresivo procederán con la protocolización y la Unidad Técnica Especializada en Procesos de Regularización, procederá con la inscripción de la Ordenanza sancionada, planos y documentos habilitantes, en cualquier notaría y Registro de la Propiedad respectivamente.</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Titularización Individual de los predios. -</w:t>
      </w:r>
      <w:r w:rsidRPr="008359C2">
        <w:rPr>
          <w:rFonts w:ascii="Palatino Linotype" w:hAnsi="Palatino Linotype"/>
          <w:color w:val="000000"/>
        </w:rPr>
        <w:t xml:space="preserve"> Es el proceso mediante el cual, según el caso, se realiza la titularización de los lotes a través de escrituras individuales de cada predio o a través de Resolución administrativa de partición y adjudicación.</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Obras de urbanización</w:t>
      </w:r>
      <w:r w:rsidRPr="008359C2">
        <w:rPr>
          <w:rFonts w:ascii="Palatino Linotype" w:hAnsi="Palatino Linotype"/>
          <w:color w:val="000000"/>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Inspección</w:t>
      </w:r>
      <w:r w:rsidRPr="008359C2">
        <w:rPr>
          <w:rFonts w:ascii="Palatino Linotype" w:hAnsi="Palatino Linotype"/>
          <w:color w:val="000000"/>
        </w:rPr>
        <w:t>: Es la verificación técnica del avance de obras exigidas en cada ordenanza de regularización de asentamientos humanos de hecho o consolidados y aprobación de urbanizaciones de interés social y desarrollo progresivo.</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Informe de avance de obras</w:t>
      </w:r>
      <w:r w:rsidRPr="008359C2">
        <w:rPr>
          <w:rFonts w:ascii="Palatino Linotype" w:hAnsi="Palatino Linotype"/>
          <w:color w:val="000000"/>
        </w:rPr>
        <w:t>: Informe realizado por el técnico designado por la Administración Zonal correspondiente, en el cual se detalla el avance de obras, en base a la inspección realizada, en los formatos aprobados por la entidad municipal encargada de la coordinación territorial.</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Hipoteca</w:t>
      </w:r>
      <w:r w:rsidRPr="008359C2">
        <w:rPr>
          <w:rFonts w:ascii="Palatino Linotype" w:hAnsi="Palatino Linotype"/>
          <w:color w:val="000000"/>
        </w:rPr>
        <w:t xml:space="preserve">: El gravamen en favor del Municipio del Distrito Metropolitano de Quito, </w:t>
      </w:r>
      <w:r w:rsidRPr="008359C2">
        <w:rPr>
          <w:rFonts w:ascii="Palatino Linotype" w:hAnsi="Palatino Linotype"/>
        </w:rPr>
        <w:t xml:space="preserve">sobre </w:t>
      </w:r>
      <w:r w:rsidRPr="008359C2">
        <w:rPr>
          <w:rFonts w:ascii="Palatino Linotype" w:hAnsi="Palatino Linotype"/>
          <w:color w:val="000000"/>
        </w:rPr>
        <w:t>los asentamientos humano de hecho o consolidados, y urbanizaciones de interés social y desarrollo progresivo</w:t>
      </w:r>
      <w:r w:rsidRPr="008359C2">
        <w:rPr>
          <w:rStyle w:val="Refdenotaalpie"/>
          <w:rFonts w:ascii="Palatino Linotype" w:hAnsi="Palatino Linotype"/>
          <w:color w:val="000000"/>
        </w:rPr>
        <w:footnoteReference w:id="1"/>
      </w:r>
      <w:r w:rsidRPr="008359C2">
        <w:rPr>
          <w:rFonts w:ascii="Palatino Linotype" w:hAnsi="Palatino Linotype"/>
          <w:color w:val="000000"/>
        </w:rPr>
        <w:t xml:space="preserve"> como garantía del cumplimiento de obras de urbanización.</w:t>
      </w:r>
    </w:p>
    <w:p w:rsidR="00626AA2" w:rsidRPr="008359C2" w:rsidRDefault="00626AA2" w:rsidP="00626AA2">
      <w:pPr>
        <w:numPr>
          <w:ilvl w:val="0"/>
          <w:numId w:val="2"/>
        </w:numPr>
        <w:pBdr>
          <w:top w:val="nil"/>
          <w:left w:val="nil"/>
          <w:bottom w:val="nil"/>
          <w:right w:val="nil"/>
          <w:between w:val="nil"/>
        </w:pBdr>
        <w:spacing w:after="0" w:line="276" w:lineRule="auto"/>
        <w:jc w:val="both"/>
        <w:rPr>
          <w:rFonts w:ascii="Palatino Linotype" w:hAnsi="Palatino Linotype"/>
          <w:color w:val="000000"/>
        </w:rPr>
      </w:pPr>
      <w:r w:rsidRPr="008359C2">
        <w:rPr>
          <w:rFonts w:ascii="Palatino Linotype" w:hAnsi="Palatino Linotype"/>
          <w:b/>
          <w:color w:val="000000"/>
        </w:rPr>
        <w:t>Desarrollo progresivo.</w:t>
      </w:r>
      <w:r w:rsidRPr="008359C2">
        <w:rPr>
          <w:rFonts w:ascii="Palatino Linotype" w:hAnsi="Palatino Linotype"/>
          <w:color w:val="000000"/>
        </w:rPr>
        <w:t xml:space="preserve"> – El Desarrollo progresivo son las medidas que se adoptan de manera constante y consistente que promueven la plena efectividad de los derechos.</w:t>
      </w:r>
    </w:p>
    <w:p w:rsidR="00626AA2" w:rsidRPr="008359C2" w:rsidRDefault="00626AA2" w:rsidP="00626AA2">
      <w:pPr>
        <w:spacing w:before="240" w:line="276" w:lineRule="auto"/>
        <w:jc w:val="center"/>
        <w:rPr>
          <w:rFonts w:ascii="Palatino Linotype" w:hAnsi="Palatino Linotype"/>
          <w:b/>
        </w:rPr>
      </w:pPr>
      <w:r w:rsidRPr="008359C2">
        <w:rPr>
          <w:rFonts w:ascii="Palatino Linotype" w:hAnsi="Palatino Linotype"/>
          <w:b/>
        </w:rPr>
        <w:t>CAPÍTULO II</w:t>
      </w:r>
    </w:p>
    <w:p w:rsidR="00626AA2" w:rsidRPr="008359C2" w:rsidRDefault="00626AA2" w:rsidP="00626AA2">
      <w:pPr>
        <w:spacing w:after="0" w:line="240" w:lineRule="auto"/>
        <w:jc w:val="center"/>
        <w:rPr>
          <w:rFonts w:ascii="Palatino Linotype" w:hAnsi="Palatino Linotype"/>
          <w:b/>
        </w:rPr>
      </w:pPr>
      <w:r w:rsidRPr="008359C2">
        <w:rPr>
          <w:rFonts w:ascii="Palatino Linotype" w:hAnsi="Palatino Linotype"/>
          <w:b/>
        </w:rPr>
        <w:t>SECCIÓN I</w:t>
      </w:r>
    </w:p>
    <w:p w:rsidR="00626AA2" w:rsidRPr="008359C2" w:rsidRDefault="00626AA2" w:rsidP="00626AA2">
      <w:pPr>
        <w:spacing w:after="0" w:line="240" w:lineRule="auto"/>
        <w:jc w:val="center"/>
        <w:rPr>
          <w:rFonts w:ascii="Palatino Linotype" w:hAnsi="Palatino Linotype"/>
          <w:b/>
        </w:rPr>
      </w:pPr>
      <w:r w:rsidRPr="008359C2">
        <w:rPr>
          <w:rFonts w:ascii="Palatino Linotype" w:hAnsi="Palatino Linotype"/>
          <w:b/>
        </w:rPr>
        <w:t>INSCRIPCIÓN EN EL REGISTRO DE LA PROPIEDAD Y NOTIFICACIÓN</w:t>
      </w:r>
    </w:p>
    <w:p w:rsidR="00626AA2" w:rsidRPr="008359C2" w:rsidRDefault="00626AA2" w:rsidP="00626AA2">
      <w:pPr>
        <w:spacing w:after="0" w:line="240" w:lineRule="auto"/>
        <w:jc w:val="center"/>
        <w:rPr>
          <w:rFonts w:ascii="Palatino Linotype" w:hAnsi="Palatino Linotype"/>
          <w:b/>
        </w:rPr>
      </w:pP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Artículo Innumerado 4.- Inscripción en el Registro de la Propiedad. -</w:t>
      </w:r>
      <w:r w:rsidRPr="008359C2">
        <w:rPr>
          <w:rFonts w:ascii="Palatino Linotype" w:hAnsi="Palatino Linotype"/>
        </w:rPr>
        <w:t xml:space="preserve"> Una vez protocolizada la Ordenanza y planos correspondientes, la Unidad Técnica Especializada en Procesos de Regularización realizará la inscripción en el Registro de la Propiedad.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El Registro de la Propiedad, además de entregar el acta de inscripción a la o el representante, remitirá vía digital la Inscripción de la Ordenanza a la Secretaría del Concejo Metropolitano de Quito para su respectivo archivo, así como a la Unidad Técnica Especializada en Procesos de Regularización.</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 xml:space="preserve">El plazo para la inscripción de la Ordenanza Metropolitana en el Registro de la Propiedad será hasta 1 año a partir de la fecha de su expedición.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rsidR="00626AA2" w:rsidRPr="008359C2" w:rsidRDefault="00626AA2" w:rsidP="00626AA2">
      <w:pPr>
        <w:spacing w:after="0" w:line="276" w:lineRule="auto"/>
        <w:jc w:val="both"/>
        <w:rPr>
          <w:rFonts w:ascii="Palatino Linotype" w:hAnsi="Palatino Linotype"/>
          <w:b/>
        </w:rPr>
      </w:pPr>
    </w:p>
    <w:p w:rsidR="00626AA2" w:rsidRPr="008359C2" w:rsidRDefault="00626AA2" w:rsidP="00626AA2">
      <w:pPr>
        <w:spacing w:after="0" w:line="276" w:lineRule="auto"/>
        <w:jc w:val="both"/>
        <w:rPr>
          <w:rFonts w:ascii="Palatino Linotype" w:hAnsi="Palatino Linotype"/>
        </w:rPr>
      </w:pPr>
      <w:r w:rsidRPr="008359C2">
        <w:rPr>
          <w:rFonts w:ascii="Palatino Linotype" w:hAnsi="Palatino Linotype"/>
          <w:b/>
        </w:rPr>
        <w:t>Artículo Innumerado 5.- Notificación. -</w:t>
      </w:r>
      <w:r w:rsidRPr="008359C2">
        <w:rPr>
          <w:rFonts w:ascii="Palatino Linotype" w:hAnsi="Palatino Linotype"/>
        </w:rPr>
        <w:t xml:space="preserve">  Una vez inscrita en el registro de propiedad la Ordenanza Metropolitana de regularización de los asentamientos humanos de hecho y consolidados, y urbanizaciones de interés social y desarrollo progresivo, el representante legal de dicho asentamiento entregará a la Secretaría General del Concejo Metropolitano de Quito, en un término no mayor a treinta días, y notificará de manera física y digital a las siguientes dependencias municipales: Unidad Técnica Especializada en procesos de Regularización, Secretaría de Hábitat y Ordenamiento Territorial, Dirección Metropolitana de Gestión de Riesgos, Dirección Metropolitana de Gestión de Bienes Inmuebles, Empresa Pública Metropolitana de Agua Potable y Saneamiento, Empresa Pública Metropolitana de Movilidad y Obras Públicas,  Procuraduría Metropolitana, a la Administración Zonal correspondiente, y además a la Empresa Eléctrica de Quito.</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La fecha de esta notificación se tomará en cuenta para efectos de calcular el término para la realización de obras establecidas en la ordenanza conforme a la planificación y recursos financieros de cada entidad.</w:t>
      </w:r>
    </w:p>
    <w:p w:rsidR="00626AA2" w:rsidRPr="008359C2" w:rsidRDefault="00626AA2" w:rsidP="00626AA2">
      <w:pPr>
        <w:spacing w:before="240" w:after="0" w:line="276" w:lineRule="auto"/>
        <w:jc w:val="both"/>
        <w:rPr>
          <w:rFonts w:ascii="Palatino Linotype" w:hAnsi="Palatino Linotype"/>
        </w:rPr>
      </w:pPr>
    </w:p>
    <w:p w:rsidR="00626AA2" w:rsidRPr="008359C2" w:rsidRDefault="00626AA2" w:rsidP="00626AA2">
      <w:pPr>
        <w:spacing w:before="240" w:after="0" w:line="276" w:lineRule="auto"/>
        <w:jc w:val="center"/>
        <w:rPr>
          <w:rFonts w:ascii="Palatino Linotype" w:hAnsi="Palatino Linotype"/>
          <w:b/>
        </w:rPr>
      </w:pPr>
      <w:r w:rsidRPr="008359C2">
        <w:rPr>
          <w:rFonts w:ascii="Palatino Linotype" w:hAnsi="Palatino Linotype"/>
          <w:b/>
        </w:rPr>
        <w:t>SECCIÓN II</w:t>
      </w:r>
    </w:p>
    <w:p w:rsidR="00626AA2" w:rsidRPr="008359C2" w:rsidRDefault="00626AA2" w:rsidP="00626AA2">
      <w:pPr>
        <w:spacing w:after="0" w:line="276" w:lineRule="auto"/>
        <w:jc w:val="center"/>
        <w:rPr>
          <w:rFonts w:ascii="Palatino Linotype" w:hAnsi="Palatino Linotype"/>
          <w:b/>
        </w:rPr>
      </w:pPr>
      <w:r w:rsidRPr="008359C2">
        <w:rPr>
          <w:rFonts w:ascii="Palatino Linotype" w:hAnsi="Palatino Linotype"/>
          <w:b/>
        </w:rPr>
        <w:t>TITULARIZACIÓN INDIVIDUAL DE LOS PREDIOS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Artículo Innumerado 6.-</w:t>
      </w:r>
      <w:r w:rsidRPr="008359C2">
        <w:rPr>
          <w:rFonts w:ascii="Palatino Linotype" w:hAnsi="Palatino Linotype"/>
        </w:rPr>
        <w:t xml:space="preserve"> </w:t>
      </w:r>
      <w:r w:rsidRPr="008359C2">
        <w:rPr>
          <w:rFonts w:ascii="Palatino Linotype" w:hAnsi="Palatino Linotype"/>
          <w:b/>
        </w:rPr>
        <w:t>Liquidación de tributos, tasas y contribuciones.</w:t>
      </w:r>
      <w:r w:rsidRPr="008359C2">
        <w:rPr>
          <w:rFonts w:ascii="Palatino Linotype" w:hAnsi="Palatino Linotype"/>
        </w:rPr>
        <w:t xml:space="preserve"> - </w:t>
      </w:r>
      <w:r w:rsidRPr="008359C2">
        <w:rPr>
          <w:rFonts w:ascii="Palatino Linotype" w:hAnsi="Palatino Linotype" w:cstheme="minorHAnsi"/>
        </w:rPr>
        <w:t>En el ámbito de aplicación del presente Título, el pago de impuestos municipales, así como la liquidación de obras de alcance distrital y local se realizará conforme la normativa establecida en el Código Municipal para el Distrito Metropolitano de Quito.</w:t>
      </w:r>
    </w:p>
    <w:p w:rsidR="00626AA2" w:rsidRPr="008359C2" w:rsidRDefault="00626AA2" w:rsidP="00626AA2">
      <w:pPr>
        <w:spacing w:before="240" w:line="276" w:lineRule="auto"/>
        <w:jc w:val="both"/>
        <w:rPr>
          <w:rFonts w:ascii="Palatino Linotype" w:hAnsi="Palatino Linotype" w:cstheme="minorHAnsi"/>
        </w:rPr>
      </w:pPr>
      <w:bookmarkStart w:id="1" w:name="_gjdgxs" w:colFirst="0" w:colLast="0"/>
      <w:bookmarkEnd w:id="1"/>
      <w:r w:rsidRPr="008359C2">
        <w:rPr>
          <w:rFonts w:ascii="Palatino Linotype" w:hAnsi="Palatino Linotype"/>
          <w:b/>
        </w:rPr>
        <w:t>Artículo Innumerado 7.- Escrituras individuales.</w:t>
      </w:r>
      <w:r w:rsidRPr="008359C2">
        <w:rPr>
          <w:rFonts w:ascii="Palatino Linotype" w:hAnsi="Palatino Linotype"/>
        </w:rPr>
        <w:t xml:space="preserve">- </w:t>
      </w:r>
      <w:r w:rsidRPr="008359C2">
        <w:rPr>
          <w:rFonts w:ascii="Palatino Linotype" w:hAnsi="Palatino Linotype" w:cstheme="minorHAnsi"/>
        </w:rPr>
        <w:t>La Unidad Técnica Especializada en los procesos de regularización, efectuará los instrumentos legales correspondientes y brindará acompañamiento a los copropietarios de los procesos de regularización para la partición administrativa o escrituración individual de sus lotes , sin perjuicio de que los beneficiarios puedan recibir servicios legales de otras entidades públicas o privadas, con el fin de realizar los procesos de escrituración.</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En los casos de urbanización de interés social y desarrollo progresivo el proceso de escrituración individual lo llevará a cabo el o los copropietarios, sin embargo, en el caso de aplicar un proceso de partición administrativa, este proceso deberá realizarlo la Unidad Técnica Especializada en los procesos de regularización.</w:t>
      </w:r>
    </w:p>
    <w:p w:rsidR="00626AA2" w:rsidRPr="008359C2" w:rsidRDefault="00626AA2" w:rsidP="00626AA2">
      <w:pPr>
        <w:spacing w:before="240" w:line="276" w:lineRule="auto"/>
        <w:jc w:val="both"/>
        <w:rPr>
          <w:rFonts w:ascii="Palatino Linotype" w:hAnsi="Palatino Linotype" w:cstheme="minorHAnsi"/>
        </w:rPr>
      </w:pPr>
    </w:p>
    <w:p w:rsidR="00626AA2" w:rsidRPr="008359C2" w:rsidRDefault="00626AA2" w:rsidP="00626AA2">
      <w:pPr>
        <w:spacing w:after="0" w:line="276" w:lineRule="auto"/>
        <w:jc w:val="center"/>
        <w:rPr>
          <w:rFonts w:ascii="Palatino Linotype" w:hAnsi="Palatino Linotype"/>
          <w:b/>
        </w:rPr>
      </w:pPr>
      <w:r w:rsidRPr="008359C2">
        <w:rPr>
          <w:rFonts w:ascii="Palatino Linotype" w:hAnsi="Palatino Linotype"/>
          <w:b/>
        </w:rPr>
        <w:t>SECCIÓN III</w:t>
      </w:r>
    </w:p>
    <w:p w:rsidR="00626AA2" w:rsidRPr="008359C2" w:rsidRDefault="00626AA2" w:rsidP="00626AA2">
      <w:pPr>
        <w:spacing w:after="0" w:line="276" w:lineRule="auto"/>
        <w:jc w:val="center"/>
        <w:rPr>
          <w:rFonts w:ascii="Palatino Linotype" w:hAnsi="Palatino Linotype"/>
        </w:rPr>
      </w:pPr>
      <w:r w:rsidRPr="008359C2">
        <w:rPr>
          <w:rFonts w:ascii="Palatino Linotype" w:hAnsi="Palatino Linotype"/>
          <w:b/>
        </w:rPr>
        <w:t>EJECUCIÓN, TÉRMINO Y DESARROLLO DE LAS OBRAS QUE CONFORMAN EL SISTEMA PÚBLICO DE SOPORTE</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Artículo Innumerado 8.- De la ejecución de obras. -</w:t>
      </w:r>
      <w:r w:rsidRPr="008359C2">
        <w:rPr>
          <w:rFonts w:ascii="Palatino Linotype" w:hAnsi="Palatino Linotype"/>
        </w:rPr>
        <w:t xml:space="preserve"> La ejecución de obras en los asentamientos humanos de hecho y consolidados y urbanizaciones de interés social y desarrollo progresivo es la etapa de intervención tendiente a dotar de obras de infraestructura pública al asentamiento regularizado mediante cualquier tipo de gestión, con las siguientes modalidades: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a) Gestión pública: obra de infraestructura pública realizada por el GAD Provincial, Municipal,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 inversiones que se recuperan a través de la recaudación de la contribución especial de mejoras, conforme lo determinado en la Ley;</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 xml:space="preserve"> b) Gestión privada: obra de infraestructura pública, ejecutada con el aporte exclusivo de las o los beneficiarios de la obra, sin inversión del sector público, previa coordinación con las o los beneficiarios. La Administración Zonal correspondiente realizará el seguimiento y control de la ejecución de las obras, una vez concluidas serán entregadas a la Municipalidad, y estas no generarán pago de contribución especial de mejoras, conforme lo determinado en la Ley; </w:t>
      </w:r>
    </w:p>
    <w:p w:rsidR="00626AA2" w:rsidRPr="008359C2" w:rsidRDefault="00626AA2" w:rsidP="00626AA2">
      <w:pPr>
        <w:spacing w:before="240" w:after="0" w:line="276" w:lineRule="auto"/>
        <w:jc w:val="both"/>
        <w:rPr>
          <w:rFonts w:ascii="Palatino Linotype" w:hAnsi="Palatino Linotype"/>
          <w:b/>
        </w:rPr>
      </w:pPr>
      <w:r w:rsidRPr="008359C2">
        <w:rPr>
          <w:rFonts w:ascii="Palatino Linotype" w:hAnsi="Palatino Linotype"/>
        </w:rPr>
        <w:t xml:space="preserve">c) Cogestión: obra de infraestructura pública que cuenta con la participación de la comunidad con el GAD Provincial, Municipal o Parroquial, sea en aportación económica, materiales o mano de obra, previa la suscripción de un convenio de cogestión. La Administración Zonal correspondiente realizará el seguimiento y control de la ejecución de las obras, una vez concluidas serán entregadas a la Municipalidad, conforme lo determina la ley habrá derecho a la exención del pago de la contribución especial por mejoras en el porcentaje que corresponda.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Artículo Innumerado 9.- Fecha de inicio  de ejecución de obras. -</w:t>
      </w:r>
      <w:r w:rsidRPr="008359C2">
        <w:rPr>
          <w:rFonts w:ascii="Palatino Linotype" w:hAnsi="Palatino Linotype"/>
        </w:rPr>
        <w:t xml:space="preserve">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Los asentamientos humanos de hecho y consolidados y urbanizaciones de interés social y desarrollo progresivo deberán iniciar las obras conforme a la fecha determinada en las ordenanzas que los regulan y en sus anexos.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En los casos, que las ordenanzas metropolitanas no establezcan la fecha de inicio de ejecución de obras, se tomará la fecha de inscripción de la ordenanza en el Registro de la Propiedad, como fecha de inicio de ejecución de las obras.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El plazo establecido para la ejecución de obras de responsabilidad del asentamiento humano de hecho y consolidado solo empezará a correr una vez concluidas las obras de infraestructura que son responsabilidad de las entidades públicas competentes, y que estas notifiquen a la Administración Zonal correspondiente, la que a su vez notificará a los titulares de los predios individualizados. El plazo podrá ampliarse por una sola vez por el mismo tiempo otorgado en la Ordenanza de aprobación a petición de parte, siempre y cuando se encuentre en el plazo vigente de ejecución de obras.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 xml:space="preserve">En los casos de ordenanzas cuyo término de ejecución de obras estuvo vigente en el periodo entre el 14 de marzo del 2020 hasta el 20 de febrero del 2022 (22 meses), no será considerado en el cálculo de multas.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Para el cálculo de multas, se excluirá el período en el cual rigieron las Resoluciones expedidas por el COE Nacional y Metropolitano con motivo de la COVID-19</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b/>
        </w:rPr>
        <w:t xml:space="preserve">Artículo Innumerado 10.- Solicitud de inspección de obras.– </w:t>
      </w:r>
      <w:r w:rsidRPr="008359C2">
        <w:rPr>
          <w:rFonts w:ascii="Palatino Linotype" w:hAnsi="Palatino Linotype" w:cstheme="minorHAnsi"/>
        </w:rPr>
        <w:t>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conforme los lineamientos que se dicten para el efecto por la entidad correspondiente.</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Obras realizadas y/o contratadas por Entidades Públicas, suscrita por la entidad contratante y/o el contratista,</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Obras realizadas por autogestión del asentamiento humano, se deberá presentar el acta de recepción suscrita entre el Profesional Técnico encargado de la construcción y el presidente del asentamiento,</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Actas de entrega-recepción de las áreas verdes y equipamiento, si existieren.</w:t>
      </w:r>
    </w:p>
    <w:p w:rsidR="00626AA2" w:rsidRPr="008359C2" w:rsidRDefault="00626AA2" w:rsidP="00626AA2">
      <w:pPr>
        <w:spacing w:before="240" w:after="0" w:line="276" w:lineRule="auto"/>
        <w:jc w:val="both"/>
        <w:rPr>
          <w:rFonts w:ascii="Palatino Linotype" w:hAnsi="Palatino Linotype" w:cstheme="minorHAnsi"/>
        </w:rPr>
      </w:pPr>
      <w:r w:rsidRPr="008359C2">
        <w:rPr>
          <w:rFonts w:ascii="Palatino Linotype" w:hAnsi="Palatino Linotype"/>
          <w:b/>
        </w:rPr>
        <w:t>Artículo Innumerado 11.- Comunicación de obras por parte los asentamientos humanos de hecho y consolidados, y urbanizaciones de interés social y desarrollo progresivo.-</w:t>
      </w:r>
      <w:r w:rsidRPr="008359C2">
        <w:rPr>
          <w:rFonts w:ascii="Palatino Linotype" w:hAnsi="Palatino Linotype"/>
        </w:rPr>
        <w:t xml:space="preserve">  </w:t>
      </w:r>
      <w:r w:rsidRPr="008359C2">
        <w:rPr>
          <w:rFonts w:ascii="Palatino Linotype" w:hAnsi="Palatino Linotype" w:cstheme="minorHAnsi"/>
        </w:rPr>
        <w:t>Los asentamientos humanos de hecho y consolidados, y urbanizaciones de interés social y desarrollo progresivo que habiendo solicitado a la Administración Zonal correspondiente una inspección de obras civiles, no hayan sido atendidas en su petición en un término de 15 días, podrán comunicar a dicha Administración el avance o terminación de sus obras, anexando la información que respalde la ejecución de las mismas. Como información que justifique el avance o culminación de sus obras civiles, se admitirán:</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Fotografías de obras concluidas con su identificación y ubicación en el plano respectivo;</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Acta de entrega-recepción de las obras suscrita por el representante del asentamiento humano de hecho, urbanización de interés social y desarrollo progresivo, y la persona natural o jurídica, que realizó o se encuentra ejecutando la obra;</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Certificaciones emitidas por empresas municipales y otras que hayan participado en la ejecución de las obras según corresponda;</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Si las obras hubieren sido auto gestionadas, se deberá presentar el Acta de Recepción suscrita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 xml:space="preserve">Para el caso de obras por autogestión, se incluirá la aceptación de conformidad, por medio de acta de entrega-recepción, por parte del ente público o privado que patrocinó las obras; y, </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w:t>
      </w:r>
      <w:r w:rsidRPr="008359C2">
        <w:rPr>
          <w:rFonts w:ascii="Palatino Linotype" w:hAnsi="Palatino Linotype" w:cstheme="minorHAnsi"/>
        </w:rPr>
        <w:tab/>
        <w: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rsidR="00626AA2" w:rsidRPr="008359C2" w:rsidRDefault="00626AA2" w:rsidP="00626AA2">
      <w:pPr>
        <w:spacing w:line="276" w:lineRule="auto"/>
        <w:jc w:val="both"/>
        <w:rPr>
          <w:rFonts w:ascii="Palatino Linotype" w:hAnsi="Palatino Linotype" w:cstheme="minorHAnsi"/>
        </w:rPr>
      </w:pPr>
      <w:r w:rsidRPr="008359C2">
        <w:rPr>
          <w:rFonts w:ascii="Palatino Linotype" w:hAnsi="Palatino Linotype" w:cstheme="minorHAnsi"/>
        </w:rPr>
        <w:t xml:space="preserve">De existir presunción de haberse incluido información falsa en la comunicación de avance o finalización de obras, la Administración Zonal correspondiente, iniciará las acciones administrativas o penales correspondientes. </w:t>
      </w:r>
    </w:p>
    <w:p w:rsidR="00626AA2" w:rsidRPr="008359C2" w:rsidRDefault="00626AA2" w:rsidP="00626AA2">
      <w:pPr>
        <w:spacing w:before="240" w:line="276" w:lineRule="auto"/>
        <w:jc w:val="both"/>
        <w:rPr>
          <w:rFonts w:ascii="Palatino Linotype" w:hAnsi="Palatino Linotype"/>
          <w:b/>
        </w:rPr>
      </w:pPr>
    </w:p>
    <w:p w:rsidR="00626AA2" w:rsidRPr="008359C2" w:rsidRDefault="00626AA2" w:rsidP="00626AA2">
      <w:pPr>
        <w:spacing w:after="0" w:line="276" w:lineRule="auto"/>
        <w:jc w:val="center"/>
        <w:rPr>
          <w:rFonts w:ascii="Palatino Linotype" w:hAnsi="Palatino Linotype"/>
          <w:b/>
        </w:rPr>
      </w:pPr>
      <w:r w:rsidRPr="008359C2">
        <w:rPr>
          <w:rFonts w:ascii="Palatino Linotype" w:hAnsi="Palatino Linotype"/>
          <w:b/>
        </w:rPr>
        <w:t>CAPITULO III</w:t>
      </w:r>
    </w:p>
    <w:p w:rsidR="00626AA2" w:rsidRPr="008359C2" w:rsidRDefault="00626AA2" w:rsidP="00626AA2">
      <w:pPr>
        <w:spacing w:after="0" w:line="276" w:lineRule="auto"/>
        <w:jc w:val="center"/>
        <w:rPr>
          <w:rFonts w:ascii="Palatino Linotype" w:hAnsi="Palatino Linotype"/>
          <w:b/>
        </w:rPr>
      </w:pPr>
      <w:r w:rsidRPr="008359C2">
        <w:rPr>
          <w:rFonts w:ascii="Palatino Linotype" w:hAnsi="Palatino Linotype"/>
          <w:b/>
        </w:rPr>
        <w:t>SECCION I</w:t>
      </w:r>
    </w:p>
    <w:p w:rsidR="00626AA2" w:rsidRPr="008359C2" w:rsidRDefault="00626AA2" w:rsidP="00626AA2">
      <w:pPr>
        <w:spacing w:after="0" w:line="276" w:lineRule="auto"/>
        <w:jc w:val="center"/>
        <w:rPr>
          <w:rFonts w:ascii="Palatino Linotype" w:hAnsi="Palatino Linotype"/>
        </w:rPr>
      </w:pPr>
      <w:r w:rsidRPr="008359C2">
        <w:rPr>
          <w:rFonts w:ascii="Palatino Linotype" w:hAnsi="Palatino Linotype"/>
          <w:b/>
        </w:rPr>
        <w:t>DEL LEVANTAMIENTO DE HIPOTECAS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 xml:space="preserve">Artículo Innumerado 12.- Multas por incumplimiento. – </w:t>
      </w:r>
      <w:r w:rsidRPr="008359C2">
        <w:rPr>
          <w:rFonts w:ascii="Palatino Linotype" w:hAnsi="Palatino Linotype"/>
        </w:rPr>
        <w:t>Una vez que el asentamiento humano de hecho y consolidado, y urbanización de interés social y desarrollo progresivo, hayan notificado la finalización de obra, sin perjuicio de que la Administración Zonal realice el informe de avance o terminación de obras, ésta realizará inspecciones a fin de verificar que se han ejecutado las obras establecidas en la Ordenanza Metropolitana y se definirá con el informe respectivo, el cumplimiento o no del término de ejecución de obras.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 xml:space="preserve">Una vez que, mediante la inspección realizada por la Administración Zonal, se ha verificado que las obras de urbanización han sido culminadas en su totalidad fuera del término establecido en la Ordenanza Metropolitana, se fijará la multa conforme lo establecido en este cuerpo normativo. </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En caso de levantamientos parciales, la multa se calculará a la fecha de solicitud del levantamiento de hipoteca del último lote, y ese valor será dividido para todos los lotes pertenecientes al asentamiento humano de hecho y consolidado y urbanización de interés social y desarrollo progresivo, para lo cual se procederá con la emisión de la orden de pago correspondiente.</w:t>
      </w:r>
    </w:p>
    <w:p w:rsidR="00626AA2" w:rsidRPr="008359C2" w:rsidRDefault="00626AA2" w:rsidP="00626AA2">
      <w:pPr>
        <w:spacing w:before="240" w:after="0" w:line="276" w:lineRule="auto"/>
        <w:jc w:val="both"/>
        <w:rPr>
          <w:rFonts w:ascii="Palatino Linotype" w:hAnsi="Palatino Linotype"/>
        </w:rPr>
      </w:pPr>
    </w:p>
    <w:p w:rsidR="00626AA2" w:rsidRPr="008359C2" w:rsidRDefault="00626AA2" w:rsidP="00626AA2">
      <w:pPr>
        <w:pStyle w:val="Default"/>
        <w:jc w:val="both"/>
        <w:rPr>
          <w:rFonts w:ascii="Palatino Linotype" w:hAnsi="Palatino Linotype"/>
          <w:color w:val="auto"/>
          <w:sz w:val="22"/>
          <w:szCs w:val="22"/>
        </w:rPr>
      </w:pPr>
      <w:r w:rsidRPr="008359C2">
        <w:rPr>
          <w:rFonts w:ascii="Palatino Linotype" w:hAnsi="Palatino Linotype"/>
          <w:b/>
          <w:sz w:val="22"/>
          <w:szCs w:val="22"/>
        </w:rPr>
        <w:t xml:space="preserve">Artículo Innumerado 13.- Del cálculo de la multa. – </w:t>
      </w:r>
      <w:r w:rsidRPr="008359C2">
        <w:rPr>
          <w:rFonts w:ascii="Palatino Linotype" w:hAnsi="Palatino Linotype"/>
          <w:color w:val="auto"/>
          <w:sz w:val="22"/>
          <w:szCs w:val="22"/>
        </w:rPr>
        <w:t xml:space="preserve">Para efectos del cálculo de la multa, la fecha de ingreso de la solicitud para la inspección de obras, será considerada como la fecha de finalización de obras, con la respectiva validación e informe de la Administración Zonal respectiva. </w:t>
      </w:r>
    </w:p>
    <w:p w:rsidR="00626AA2" w:rsidRPr="008359C2" w:rsidRDefault="00626AA2" w:rsidP="00626AA2">
      <w:pPr>
        <w:pStyle w:val="Default"/>
        <w:jc w:val="both"/>
        <w:rPr>
          <w:rFonts w:ascii="Palatino Linotype" w:hAnsi="Palatino Linotype"/>
          <w:color w:val="auto"/>
          <w:sz w:val="22"/>
          <w:szCs w:val="22"/>
        </w:rPr>
      </w:pPr>
    </w:p>
    <w:p w:rsidR="00626AA2" w:rsidRPr="008359C2" w:rsidRDefault="00626AA2" w:rsidP="00626AA2">
      <w:pPr>
        <w:pStyle w:val="Default"/>
        <w:jc w:val="both"/>
        <w:rPr>
          <w:rFonts w:ascii="Palatino Linotype" w:hAnsi="Palatino Linotype"/>
          <w:color w:val="auto"/>
          <w:sz w:val="22"/>
          <w:szCs w:val="22"/>
        </w:rPr>
      </w:pPr>
      <w:r w:rsidRPr="008359C2">
        <w:rPr>
          <w:rFonts w:ascii="Palatino Linotype" w:hAnsi="Palatino Linotype"/>
          <w:color w:val="auto"/>
          <w:sz w:val="22"/>
          <w:szCs w:val="22"/>
        </w:rPr>
        <w:t>El incumplimiento de las obras a cargo de los titulares de los predios individuales, implicará el establecimiento de la multa correspondiente al 1% del monto de las obras faltantes, según el cronograma valorado de la ejecución de obras. Dichos valores serán cobrados vía coactiva.</w:t>
      </w:r>
    </w:p>
    <w:p w:rsidR="00626AA2" w:rsidRPr="008359C2" w:rsidRDefault="00626AA2" w:rsidP="00626AA2">
      <w:pPr>
        <w:pStyle w:val="Default"/>
        <w:jc w:val="both"/>
        <w:rPr>
          <w:rFonts w:ascii="Palatino Linotype" w:hAnsi="Palatino Linotype"/>
          <w:color w:val="auto"/>
          <w:sz w:val="22"/>
          <w:szCs w:val="22"/>
        </w:rPr>
      </w:pPr>
    </w:p>
    <w:p w:rsidR="00626AA2" w:rsidRPr="008359C2" w:rsidRDefault="00626AA2" w:rsidP="00626AA2">
      <w:pPr>
        <w:pStyle w:val="Default"/>
        <w:jc w:val="both"/>
        <w:rPr>
          <w:rFonts w:ascii="Palatino Linotype" w:hAnsi="Palatino Linotype"/>
          <w:color w:val="auto"/>
          <w:sz w:val="22"/>
          <w:szCs w:val="22"/>
        </w:rPr>
      </w:pPr>
      <w:r w:rsidRPr="008359C2">
        <w:rPr>
          <w:rFonts w:ascii="Palatino Linotype" w:hAnsi="Palatino Linotype"/>
          <w:color w:val="auto"/>
          <w:sz w:val="22"/>
          <w:szCs w:val="22"/>
        </w:rPr>
        <w:t>En el caso de los asentamientos humanos de hecho y consolidados y urbanizaciones de interés social y desarrollo progresivo que tengan culminadas las obras correspondientes conforme a lo señalado en la Ordenanza Metropolitana de su aprobación, y no hayan ingresado la solicitud por caso de fuerza mayor o fortuito, el representante legal podrá presentar una declaración juramentada donde manifieste bajo su responsabilidad la fecha de terminación de las obras, a través de un documento público debidamente notariado.</w:t>
      </w:r>
    </w:p>
    <w:p w:rsidR="00626AA2" w:rsidRPr="008359C2" w:rsidRDefault="00626AA2" w:rsidP="00626AA2">
      <w:pPr>
        <w:pStyle w:val="Default"/>
        <w:jc w:val="both"/>
        <w:rPr>
          <w:rFonts w:ascii="Palatino Linotype" w:hAnsi="Palatino Linotype"/>
          <w:color w:val="auto"/>
          <w:sz w:val="22"/>
          <w:szCs w:val="22"/>
        </w:rPr>
      </w:pPr>
    </w:p>
    <w:p w:rsidR="00626AA2" w:rsidRPr="008359C2" w:rsidRDefault="00626AA2" w:rsidP="00626AA2">
      <w:pPr>
        <w:pStyle w:val="Default"/>
        <w:jc w:val="both"/>
        <w:rPr>
          <w:rFonts w:ascii="Palatino Linotype" w:hAnsi="Palatino Linotype"/>
          <w:iCs/>
          <w:sz w:val="22"/>
          <w:szCs w:val="22"/>
        </w:rPr>
      </w:pPr>
      <w:r w:rsidRPr="008359C2">
        <w:rPr>
          <w:rFonts w:ascii="Palatino Linotype" w:hAnsi="Palatino Linotype"/>
          <w:iCs/>
          <w:sz w:val="22"/>
          <w:szCs w:val="22"/>
        </w:rPr>
        <w:t>En los casos en los que la Ordenanza Metropolitana no establezca multas por incumplimiento del término, o en el caso de que no cuenten con un cronograma valorado de avance de obras, la municipalidad no impondrá multa.</w:t>
      </w:r>
    </w:p>
    <w:p w:rsidR="00626AA2" w:rsidRPr="008359C2" w:rsidRDefault="00626AA2" w:rsidP="00626AA2">
      <w:pPr>
        <w:pStyle w:val="Default"/>
        <w:jc w:val="both"/>
        <w:rPr>
          <w:rFonts w:ascii="Palatino Linotype" w:hAnsi="Palatino Linotype"/>
          <w:iCs/>
          <w:sz w:val="22"/>
          <w:szCs w:val="22"/>
        </w:rPr>
      </w:pP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b/>
        </w:rPr>
        <w:t xml:space="preserve">Artículo Innumerado 14.- Levantamiento de hipotecas.- </w:t>
      </w:r>
      <w:r w:rsidRPr="008359C2">
        <w:rPr>
          <w:rFonts w:ascii="Palatino Linotype" w:hAnsi="Palatino Linotype"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 según corresponda, conforme los lineamientos que se dicten para el efecto por la entidad correspondiente.</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cstheme="minorHAnsi"/>
        </w:rPr>
        <w:t xml:space="preserve">Una vez receptados por parte de la Administración Zonal los requisitos señalados, el administrado, dentro del tiempo establecido, anexara el informe técnico final de obras, con lo cual emitirá la resolución respecto de la solicitud de levantamiento de hipoteca y de prohibición de enajenar en los casos que corresponda. </w:t>
      </w:r>
    </w:p>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cstheme="minorHAnsi"/>
        </w:rPr>
        <w:t>Esta resolución será entregada al peticionario y notificada al Registro de la Propiedad.</w:t>
      </w:r>
    </w:p>
    <w:p w:rsidR="00626AA2" w:rsidRPr="008359C2" w:rsidRDefault="00626AA2" w:rsidP="00626AA2">
      <w:pPr>
        <w:tabs>
          <w:tab w:val="left" w:pos="3828"/>
        </w:tabs>
        <w:spacing w:line="276" w:lineRule="auto"/>
        <w:jc w:val="both"/>
        <w:rPr>
          <w:rFonts w:ascii="Palatino Linotype" w:hAnsi="Palatino Linotype" w:cstheme="minorHAnsi"/>
        </w:rPr>
      </w:pPr>
      <w:r w:rsidRPr="008359C2">
        <w:rPr>
          <w:rFonts w:ascii="Palatino Linotype" w:hAnsi="Palatino Linotype"/>
          <w:b/>
        </w:rPr>
        <w:t xml:space="preserve">Artículo Innumerado 15.- Levantamiento parcial de hipotecas.- </w:t>
      </w:r>
      <w:r w:rsidRPr="008359C2">
        <w:rPr>
          <w:rFonts w:ascii="Palatino Linotype" w:hAnsi="Palatino Linotype" w:cstheme="minorHAnsi"/>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 según corresponda conforme los lineamientos que se dicten para el efecto por la entidad correspondiente.</w:t>
      </w:r>
    </w:p>
    <w:p w:rsidR="00626AA2" w:rsidRPr="008359C2" w:rsidRDefault="00626AA2" w:rsidP="00626AA2">
      <w:pPr>
        <w:tabs>
          <w:tab w:val="left" w:pos="3828"/>
        </w:tabs>
        <w:spacing w:line="276" w:lineRule="auto"/>
        <w:jc w:val="both"/>
        <w:rPr>
          <w:rFonts w:ascii="Palatino Linotype" w:hAnsi="Palatino Linotype" w:cstheme="minorHAnsi"/>
        </w:rPr>
      </w:pPr>
      <w:r w:rsidRPr="008359C2">
        <w:rPr>
          <w:rFonts w:ascii="Palatino Linotype" w:hAnsi="Palatino Linotype"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rsidR="00626AA2" w:rsidRPr="008359C2" w:rsidRDefault="00626AA2" w:rsidP="00626AA2">
      <w:pPr>
        <w:tabs>
          <w:tab w:val="left" w:pos="3828"/>
        </w:tabs>
        <w:spacing w:line="276" w:lineRule="auto"/>
        <w:jc w:val="both"/>
        <w:rPr>
          <w:rFonts w:ascii="Palatino Linotype" w:hAnsi="Palatino Linotype"/>
        </w:rPr>
      </w:pPr>
      <w:r w:rsidRPr="008359C2">
        <w:rPr>
          <w:rFonts w:ascii="Palatino Linotype" w:hAnsi="Palatino Linotype" w:cstheme="minorHAnsi"/>
        </w:rPr>
        <w:t xml:space="preserve">Cuando las obras de urbanización o de infraestructura básica, esto es agua potable, alcantarillado, vialidad y energía eléctrica se hayan ejecutado al 100% sobre la vía donde se encuentra el lote de terreno y 60% sobre la totalidad de las obras de  infraestructura básica indicadas en la Ordenanza Metropolitana,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b/>
        </w:rPr>
        <w:t>Artículo Innumerado 16- Subsidiaridad en la construcción de vías.</w:t>
      </w:r>
      <w:r w:rsidRPr="008359C2">
        <w:rPr>
          <w:rFonts w:ascii="Palatino Linotype" w:hAnsi="Palatino Linotype"/>
        </w:rPr>
        <w:t xml:space="preserve">- </w:t>
      </w:r>
      <w:r w:rsidRPr="008359C2">
        <w:rPr>
          <w:rFonts w:ascii="Palatino Linotype" w:hAnsi="Palatino Linotype" w:cstheme="minorHAnsi"/>
        </w:rPr>
        <w:t>Subsidiaridad en la construcción de vías.-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a cancelar por parte de sus copropietarios.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 xml:space="preserve">Artículo Innumerado 17.- Funcionabilidad y oportunidad de la obra. - </w:t>
      </w:r>
      <w:r w:rsidRPr="008359C2">
        <w:rPr>
          <w:rFonts w:ascii="Palatino Linotype" w:hAnsi="Palatino Linotype" w:cstheme="minorHAnsi"/>
        </w:rPr>
        <w:t>En el caso de obras previstas en la ordenanza de aprobación del asentamientos humanos de hecho y consolidados y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a través de la entidad competente a los asentamientos humanos de hecho y consolidados y de urbanizaciones de interés social y desarrollo progresivo, la reforma de la ordenanza del asentamiento humano de hecho y consolidado o urbanización de interés social y desarrollo progresivo, siguiendo el trámite normativo que corresponda.</w:t>
      </w:r>
    </w:p>
    <w:p w:rsidR="00626AA2" w:rsidRPr="008359C2" w:rsidRDefault="00626AA2" w:rsidP="00626AA2">
      <w:pPr>
        <w:spacing w:before="240" w:after="0" w:line="276" w:lineRule="auto"/>
        <w:jc w:val="center"/>
        <w:rPr>
          <w:rFonts w:ascii="Palatino Linotype" w:hAnsi="Palatino Linotype"/>
          <w:b/>
        </w:rPr>
      </w:pPr>
      <w:r w:rsidRPr="008359C2">
        <w:rPr>
          <w:rFonts w:ascii="Palatino Linotype" w:hAnsi="Palatino Linotype"/>
          <w:b/>
        </w:rPr>
        <w:t>DISPOSICIONES GENERALES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PRIMERA. -</w:t>
      </w:r>
      <w:r w:rsidRPr="008359C2">
        <w:rPr>
          <w:rFonts w:ascii="Palatino Linotype" w:hAnsi="Palatino Linotype"/>
        </w:rPr>
        <w:t xml:space="preserve"> En los asentamientos humanos de hecho y consolidados, la 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w:t>
      </w:r>
    </w:p>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b/>
        </w:rPr>
        <w:t xml:space="preserve">SEGUNDA.- </w:t>
      </w:r>
      <w:r w:rsidRPr="008359C2">
        <w:rPr>
          <w:rFonts w:ascii="Palatino Linotype" w:hAnsi="Palatino Linotype"/>
        </w:rPr>
        <w:t>Las disposiciones del presente Título serán aplicables a los asentamientos humanos de hecho y consolidados, y a urbanizaciones de interés social y desarrollo progresivo, en procesos de regularización posteriores a la expedición de este instrumento normativo, en lo que atañe al de multas.</w:t>
      </w:r>
    </w:p>
    <w:p w:rsidR="00626AA2" w:rsidRPr="008359C2" w:rsidRDefault="00626AA2" w:rsidP="00626AA2">
      <w:pPr>
        <w:spacing w:after="0" w:line="276" w:lineRule="auto"/>
        <w:jc w:val="both"/>
        <w:rPr>
          <w:rFonts w:ascii="Palatino Linotype" w:hAnsi="Palatino Linotype"/>
        </w:rPr>
      </w:pPr>
      <w:r w:rsidRPr="008359C2">
        <w:rPr>
          <w:rFonts w:ascii="Palatino Linotype" w:hAnsi="Palatino Linotype"/>
          <w:b/>
        </w:rPr>
        <w:t xml:space="preserve">TERCERA.- </w:t>
      </w:r>
      <w:r w:rsidRPr="008359C2">
        <w:rPr>
          <w:rFonts w:ascii="Palatino Linotype" w:hAnsi="Palatino Linotype"/>
        </w:rPr>
        <w:t>Los fondos que se recauden por concepto de imposición de multas en el contexto del presente Título, formará parte del presupuesto del Municipio del Distrito Metropolitano de Quito conforme lo dispuesto en el COOTAD.</w:t>
      </w:r>
      <w:r w:rsidRPr="008359C2">
        <w:rPr>
          <w:rFonts w:ascii="Palatino Linotype" w:hAnsi="Palatino Linotype"/>
          <w:b/>
        </w:rPr>
        <w:t xml:space="preserve"> </w:t>
      </w:r>
    </w:p>
    <w:p w:rsidR="00626AA2" w:rsidRPr="008359C2" w:rsidRDefault="00626AA2" w:rsidP="00626AA2">
      <w:pPr>
        <w:spacing w:before="240" w:after="0" w:line="276" w:lineRule="auto"/>
        <w:jc w:val="center"/>
        <w:rPr>
          <w:rFonts w:ascii="Palatino Linotype" w:hAnsi="Palatino Linotype"/>
          <w:b/>
        </w:rPr>
      </w:pPr>
      <w:r w:rsidRPr="008359C2">
        <w:rPr>
          <w:rFonts w:ascii="Palatino Linotype" w:hAnsi="Palatino Linotype"/>
          <w:b/>
        </w:rPr>
        <w:t>DISPOSICIONES TRANSITORIAS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PRIMERA. -</w:t>
      </w:r>
      <w:r w:rsidRPr="008359C2">
        <w:rPr>
          <w:rFonts w:ascii="Palatino Linotype" w:hAnsi="Palatino Linotype"/>
        </w:rPr>
        <w:t xml:space="preserve"> En el término de 90 días a partir de la aprobación de la presente ordenanza, la Secretaría de Hábitat y Ordenamiento Territorial instruirá a sus entidades adscritas la aplicación de la normativa, y su socialización a los asentamientos humanos de hecho y consolidados y urbanizaciones de interés social y desarrollo progresivo.</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rPr>
        <w:t>Respecto de las urbanizaciones de interés social y desarrollo progresivo, la socialización estará a cargo de la Secretaría de Hábitat y Ordenamiento Territorial a través de las unidades correspondientes.</w:t>
      </w:r>
    </w:p>
    <w:p w:rsidR="00626AA2" w:rsidRPr="008359C2" w:rsidRDefault="00626AA2" w:rsidP="00626AA2">
      <w:pPr>
        <w:spacing w:before="240" w:after="0" w:line="276" w:lineRule="auto"/>
        <w:jc w:val="both"/>
        <w:rPr>
          <w:rFonts w:ascii="Palatino Linotype" w:hAnsi="Palatino Linotype"/>
        </w:rPr>
      </w:pPr>
      <w:r w:rsidRPr="008359C2">
        <w:rPr>
          <w:rFonts w:ascii="Palatino Linotype" w:hAnsi="Palatino Linotype"/>
          <w:b/>
        </w:rPr>
        <w:t>SEGUNDA.-</w:t>
      </w:r>
      <w:r w:rsidRPr="008359C2">
        <w:rPr>
          <w:rFonts w:ascii="Palatino Linotype" w:hAnsi="Palatino Linotype"/>
        </w:rPr>
        <w:t xml:space="preserve"> En el término de 180 días contados a partir de la sanción de la presente ordenanza, se dispone a la Secretaría General de Coordinación Territorial y Participación Ciudadana y a la, Secretaría de Hábitat y Ordenamiento Territorial en el ejercicio de sus atribuciones, efectuar un levantamiento de información de los asentamientos humanos de hecho y consolidados y urbanizaciones de interés social y desarrollo progresivo respectivamente, para establecer una planificación de inspecciones a realizarse por parte de las Administraciones Zonales.</w:t>
      </w:r>
    </w:p>
    <w:p w:rsidR="00626AA2" w:rsidRPr="008359C2" w:rsidRDefault="00626AA2" w:rsidP="00626AA2">
      <w:pPr>
        <w:spacing w:before="240" w:line="276" w:lineRule="auto"/>
        <w:jc w:val="both"/>
        <w:rPr>
          <w:rFonts w:ascii="Palatino Linotype" w:hAnsi="Palatino Linotype" w:cstheme="minorHAnsi"/>
        </w:rPr>
      </w:pPr>
      <w:r w:rsidRPr="008359C2">
        <w:rPr>
          <w:rFonts w:ascii="Palatino Linotype" w:hAnsi="Palatino Linotype"/>
          <w:b/>
        </w:rPr>
        <w:t xml:space="preserve">TERCERA.- </w:t>
      </w:r>
      <w:r w:rsidRPr="008359C2">
        <w:rPr>
          <w:rFonts w:ascii="Palatino Linotype" w:hAnsi="Palatino Linotype"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rsidR="00626AA2" w:rsidRPr="008359C2" w:rsidRDefault="00626AA2" w:rsidP="00626AA2">
      <w:pPr>
        <w:spacing w:before="240" w:line="276" w:lineRule="auto"/>
        <w:jc w:val="both"/>
        <w:rPr>
          <w:rFonts w:ascii="Palatino Linotype" w:hAnsi="Palatino Linotype"/>
        </w:rPr>
      </w:pPr>
      <w:r w:rsidRPr="008359C2">
        <w:rPr>
          <w:rFonts w:ascii="Palatino Linotype" w:hAnsi="Palatino Linotype" w:cstheme="minorHAnsi"/>
        </w:rPr>
        <w:t>Con el informe señalado, la Administración Zonal autorizará el levantamiento de la hipoteca instituida para garantizar la ejecución de obras.</w:t>
      </w:r>
    </w:p>
    <w:p w:rsidR="00626AA2" w:rsidRPr="008359C2" w:rsidRDefault="00626AA2" w:rsidP="00626AA2">
      <w:pPr>
        <w:spacing w:line="276" w:lineRule="auto"/>
        <w:jc w:val="both"/>
        <w:rPr>
          <w:rFonts w:ascii="Palatino Linotype" w:hAnsi="Palatino Linotype" w:cstheme="minorHAnsi"/>
        </w:rPr>
      </w:pPr>
      <w:r w:rsidRPr="008359C2">
        <w:rPr>
          <w:rFonts w:ascii="Palatino Linotype" w:hAnsi="Palatino Linotype" w:cstheme="minorHAnsi"/>
          <w:b/>
        </w:rPr>
        <w:t xml:space="preserve">CUARTA. - </w:t>
      </w:r>
      <w:r w:rsidRPr="008359C2">
        <w:rPr>
          <w:rFonts w:ascii="Palatino Linotype" w:hAnsi="Palatino Linotype" w:cstheme="minorHAnsi"/>
        </w:rPr>
        <w:t>Se otorga el plazo de 3 años para que los AHHC entreguen las obras de infraestructura conforme lo establecido en las ordenanzas y planos aprobados para cada uno de los AHHC, sin perjuicio de la aplicación del régimen jurídico establecido en la presente Ordenanza.</w:t>
      </w:r>
    </w:p>
    <w:p w:rsidR="00626AA2" w:rsidRPr="008359C2" w:rsidRDefault="00626AA2" w:rsidP="00626AA2">
      <w:pPr>
        <w:spacing w:line="276" w:lineRule="auto"/>
        <w:jc w:val="both"/>
        <w:rPr>
          <w:rFonts w:ascii="Palatino Linotype" w:hAnsi="Palatino Linotype" w:cstheme="minorHAnsi"/>
        </w:rPr>
      </w:pPr>
      <w:r w:rsidRPr="008359C2">
        <w:rPr>
          <w:rFonts w:ascii="Palatino Linotype" w:hAnsi="Palatino Linotype" w:cstheme="minorHAnsi"/>
          <w:b/>
        </w:rPr>
        <w:t>QUINTA.-</w:t>
      </w:r>
      <w:r w:rsidRPr="008359C2">
        <w:rPr>
          <w:rFonts w:ascii="Palatino Linotype" w:hAnsi="Palatino Linotype" w:cstheme="minorHAnsi"/>
        </w:rPr>
        <w:t xml:space="preserve"> En el término de 30 días contados a partir de la sanción de la presente ordenanza, se dispone que la Secretaría General de Coordinación Territorial, Gobernabilidad y Participación</w:t>
      </w:r>
      <w:r>
        <w:rPr>
          <w:rFonts w:ascii="Palatino Linotype" w:hAnsi="Palatino Linotype" w:cstheme="minorHAnsi"/>
        </w:rPr>
        <w:t>,</w:t>
      </w:r>
      <w:r w:rsidRPr="008359C2">
        <w:rPr>
          <w:rFonts w:ascii="Palatino Linotype" w:hAnsi="Palatino Linotype" w:cstheme="minorHAnsi"/>
        </w:rPr>
        <w:t xml:space="preserve"> elabore los lineamientos para el trámite de levantamiento de hipotecas.</w:t>
      </w:r>
    </w:p>
    <w:p w:rsidR="00626AA2" w:rsidRPr="008359C2" w:rsidRDefault="00626AA2" w:rsidP="00626AA2">
      <w:pPr>
        <w:spacing w:line="276" w:lineRule="auto"/>
        <w:jc w:val="both"/>
        <w:rPr>
          <w:rFonts w:ascii="Palatino Linotype" w:hAnsi="Palatino Linotype" w:cstheme="minorHAnsi"/>
        </w:rPr>
      </w:pPr>
      <w:r w:rsidRPr="008359C2">
        <w:rPr>
          <w:rFonts w:ascii="Palatino Linotype" w:hAnsi="Palatino Linotype" w:cstheme="minorHAnsi"/>
          <w:b/>
        </w:rPr>
        <w:t>DISPOSICIÓN REFORMATORIA ÚNICA:</w:t>
      </w:r>
      <w:r w:rsidRPr="008359C2">
        <w:rPr>
          <w:rFonts w:ascii="Palatino Linotype" w:hAnsi="Palatino Linotype" w:cstheme="minorHAnsi"/>
        </w:rPr>
        <w:t xml:space="preserve"> Refórmese el </w:t>
      </w:r>
      <w:r w:rsidRPr="00B72914">
        <w:rPr>
          <w:rFonts w:ascii="Palatino Linotype" w:hAnsi="Palatino Linotype" w:cstheme="minorHAnsi"/>
          <w:i/>
        </w:rPr>
        <w:t>“CAPÍTULO VII HABILITACIÓN DEL SUELO Y DE LA EDIFICACIÓN SECCIÓN I DE LA HABILITACIÓN DEL SUELO SUBPARÁGRAFO II DE LA URBANIZACIÓN”,</w:t>
      </w:r>
      <w:r w:rsidRPr="008359C2">
        <w:rPr>
          <w:rFonts w:ascii="Palatino Linotype" w:hAnsi="Palatino Linotype" w:cstheme="minorHAnsi"/>
        </w:rPr>
        <w:t xml:space="preserve"> inciso cuarto del artículo 2557, por el siguiente:</w:t>
      </w:r>
    </w:p>
    <w:p w:rsidR="00626AA2" w:rsidRPr="008359C2" w:rsidRDefault="00626AA2" w:rsidP="00626AA2">
      <w:pPr>
        <w:spacing w:line="276" w:lineRule="auto"/>
        <w:jc w:val="both"/>
        <w:rPr>
          <w:rFonts w:ascii="Palatino Linotype" w:hAnsi="Palatino Linotype" w:cstheme="minorHAnsi"/>
          <w:i/>
        </w:rPr>
      </w:pPr>
      <w:r w:rsidRPr="008359C2">
        <w:rPr>
          <w:rFonts w:ascii="Palatino Linotype" w:hAnsi="Palatino Linotype" w:cstheme="minorHAnsi"/>
          <w:i/>
        </w:rPr>
        <w:t>“La construcción de las obras de urbanización (infraestructura, vías, áreas verdes y comunitarias) y las obras de mitigación de riesgos, será de responsabilidad del propietario (persona natural o jurídica). En el caso de Urbanizaciones de interés social de desarrollo progresivo, la construcción de obras de urbanización, podrán ejecutarse mediante financiamiento bajo la modalidad de gestión pública y/o compartida, para el segundo caso se suscribirá un convenio de gestión de obra entre el propietario (persona natural o jurídica) con el Municipio del Distrito Metropolitano de Quito”.</w:t>
      </w:r>
    </w:p>
    <w:p w:rsidR="00626AA2" w:rsidRPr="008359C2" w:rsidRDefault="00626AA2" w:rsidP="00626AA2">
      <w:pPr>
        <w:spacing w:after="0" w:line="276" w:lineRule="auto"/>
        <w:jc w:val="both"/>
        <w:rPr>
          <w:rFonts w:ascii="Palatino Linotype" w:hAnsi="Palatino Linotype"/>
        </w:rPr>
      </w:pPr>
      <w:r w:rsidRPr="008359C2">
        <w:rPr>
          <w:rFonts w:ascii="Palatino Linotype" w:hAnsi="Palatino Linotype"/>
          <w:b/>
        </w:rPr>
        <w:t xml:space="preserve">Disposición Final. - </w:t>
      </w:r>
      <w:r w:rsidRPr="008359C2">
        <w:rPr>
          <w:rFonts w:ascii="Palatino Linotype" w:hAnsi="Palatino Linotype"/>
        </w:rPr>
        <w:t>Esta ordenanza entrará en vigencia a partir de la fecha de su sanción, sin perjuicio de la publicación en la página web institucional de la Municipalidad.</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Dada, en la Sala de Sesiones del Concejo Metropolit</w:t>
      </w:r>
      <w:r>
        <w:rPr>
          <w:rFonts w:ascii="Palatino Linotype" w:hAnsi="Palatino Linotype"/>
          <w:b/>
        </w:rPr>
        <w:t>ano de Quito, el … de … del 2024</w:t>
      </w:r>
      <w:r w:rsidRPr="008359C2">
        <w:rPr>
          <w:rFonts w:ascii="Palatino Linotype" w:hAnsi="Palatino Linotype"/>
          <w:b/>
        </w:rPr>
        <w:t>.</w:t>
      </w:r>
    </w:p>
    <w:p w:rsidR="00626AA2" w:rsidRPr="008359C2" w:rsidRDefault="00626AA2" w:rsidP="00626AA2">
      <w:pPr>
        <w:adjustRightInd w:val="0"/>
        <w:rPr>
          <w:rFonts w:ascii="Palatino Linotype" w:hAnsi="Palatino Linotype"/>
        </w:rPr>
      </w:pPr>
    </w:p>
    <w:p w:rsidR="00626AA2" w:rsidRPr="008359C2" w:rsidRDefault="00626AA2" w:rsidP="00626AA2">
      <w:pPr>
        <w:adjustRightInd w:val="0"/>
        <w:jc w:val="center"/>
        <w:rPr>
          <w:rFonts w:ascii="Palatino Linotype" w:hAnsi="Palatino Linotype"/>
        </w:rPr>
      </w:pPr>
    </w:p>
    <w:p w:rsidR="00626AA2" w:rsidRPr="008359C2" w:rsidRDefault="00626AA2" w:rsidP="00626AA2">
      <w:pPr>
        <w:adjustRightInd w:val="0"/>
        <w:jc w:val="center"/>
        <w:rPr>
          <w:rFonts w:ascii="Palatino Linotype" w:hAnsi="Palatino Linotype"/>
        </w:rPr>
      </w:pPr>
      <w:r w:rsidRPr="008359C2">
        <w:rPr>
          <w:rFonts w:ascii="Palatino Linotype" w:hAnsi="Palatino Linotype"/>
        </w:rPr>
        <w:t>Dra. Libia Rivas Ordoñez</w:t>
      </w:r>
    </w:p>
    <w:p w:rsidR="00626AA2" w:rsidRPr="008359C2" w:rsidRDefault="00626AA2" w:rsidP="00626AA2">
      <w:pPr>
        <w:adjustRightInd w:val="0"/>
        <w:jc w:val="center"/>
        <w:rPr>
          <w:rFonts w:ascii="Palatino Linotype" w:hAnsi="Palatino Linotype"/>
          <w:b/>
        </w:rPr>
      </w:pPr>
      <w:r w:rsidRPr="008359C2">
        <w:rPr>
          <w:rFonts w:ascii="Palatino Linotype" w:hAnsi="Palatino Linotype"/>
          <w:b/>
        </w:rPr>
        <w:t>SECRETARIA GENERAL DEL CONCEJO METROPOLITANO DE QUITO</w:t>
      </w:r>
    </w:p>
    <w:p w:rsidR="00626AA2" w:rsidRPr="008359C2" w:rsidRDefault="00626AA2" w:rsidP="00626AA2">
      <w:pPr>
        <w:jc w:val="center"/>
        <w:rPr>
          <w:rFonts w:ascii="Palatino Linotype" w:hAnsi="Palatino Linotype"/>
        </w:rPr>
      </w:pPr>
    </w:p>
    <w:p w:rsidR="00626AA2" w:rsidRPr="008359C2" w:rsidRDefault="00626AA2" w:rsidP="00626AA2">
      <w:pPr>
        <w:jc w:val="center"/>
        <w:rPr>
          <w:rFonts w:ascii="Palatino Linotype" w:hAnsi="Palatino Linotype"/>
        </w:rPr>
      </w:pPr>
    </w:p>
    <w:p w:rsidR="00626AA2" w:rsidRPr="008359C2" w:rsidRDefault="00626AA2" w:rsidP="00626AA2">
      <w:pPr>
        <w:adjustRightInd w:val="0"/>
        <w:jc w:val="center"/>
        <w:rPr>
          <w:rFonts w:ascii="Palatino Linotype" w:hAnsi="Palatino Linotype"/>
          <w:b/>
        </w:rPr>
      </w:pPr>
      <w:r w:rsidRPr="008359C2">
        <w:rPr>
          <w:rFonts w:ascii="Palatino Linotype" w:hAnsi="Palatino Linotype"/>
          <w:b/>
        </w:rPr>
        <w:t>CERTIFICADO DE DISCUSIÓN</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El infrascrito Secretario General del Concejo Metropolitano de Quito, certifica que la presente ordenanza fue discutida y aprobada en … debates, en sesiones de .. y … de … de 2024.</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jc w:val="center"/>
        <w:rPr>
          <w:rFonts w:ascii="Palatino Linotype" w:hAnsi="Palatino Linotype"/>
        </w:rPr>
      </w:pPr>
      <w:r w:rsidRPr="008359C2">
        <w:rPr>
          <w:rFonts w:ascii="Palatino Linotype" w:hAnsi="Palatino Linotype"/>
        </w:rPr>
        <w:t>Dra. Libia Rivas Ordoñez</w:t>
      </w:r>
    </w:p>
    <w:p w:rsidR="00626AA2" w:rsidRPr="008359C2" w:rsidRDefault="00626AA2" w:rsidP="00626AA2">
      <w:pPr>
        <w:adjustRightInd w:val="0"/>
        <w:jc w:val="center"/>
        <w:rPr>
          <w:rFonts w:ascii="Palatino Linotype" w:hAnsi="Palatino Linotype"/>
          <w:b/>
        </w:rPr>
      </w:pPr>
      <w:r w:rsidRPr="008359C2">
        <w:rPr>
          <w:rFonts w:ascii="Palatino Linotype" w:hAnsi="Palatino Linotype"/>
          <w:b/>
        </w:rPr>
        <w:t xml:space="preserve">SECRETARIA GENERAL DEL CONCEJO METROPOLITANO DE QUITO </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ALCALDÍA DEL DISTRITO METROPOLITANO DE QUITO, ... de… del 2024.</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ab/>
      </w:r>
      <w:r w:rsidRPr="008359C2">
        <w:rPr>
          <w:rFonts w:ascii="Palatino Linotype" w:hAnsi="Palatino Linotype"/>
          <w:b/>
        </w:rPr>
        <w:tab/>
      </w:r>
      <w:r w:rsidRPr="008359C2">
        <w:rPr>
          <w:rFonts w:ascii="Palatino Linotype" w:hAnsi="Palatino Linotype"/>
          <w:b/>
        </w:rPr>
        <w:tab/>
      </w:r>
      <w:r w:rsidRPr="008359C2">
        <w:rPr>
          <w:rFonts w:ascii="Palatino Linotype" w:hAnsi="Palatino Linotype"/>
          <w:b/>
        </w:rPr>
        <w:tab/>
        <w:t xml:space="preserve">      EJECÚTESE</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ab/>
      </w:r>
      <w:r w:rsidRPr="008359C2">
        <w:rPr>
          <w:rFonts w:ascii="Palatino Linotype" w:hAnsi="Palatino Linotype"/>
          <w:b/>
        </w:rPr>
        <w:tab/>
      </w:r>
      <w:r w:rsidRPr="008359C2">
        <w:rPr>
          <w:rFonts w:ascii="Palatino Linotype" w:hAnsi="Palatino Linotype"/>
          <w:b/>
        </w:rPr>
        <w:tab/>
        <w:t xml:space="preserve">            Mgs. Pabel Muñoz López</w:t>
      </w:r>
    </w:p>
    <w:p w:rsidR="00626AA2" w:rsidRPr="008359C2" w:rsidRDefault="00626AA2" w:rsidP="00626AA2">
      <w:pPr>
        <w:adjustRightInd w:val="0"/>
        <w:rPr>
          <w:rFonts w:ascii="Palatino Linotype" w:hAnsi="Palatino Linotype"/>
          <w:b/>
        </w:rPr>
      </w:pPr>
      <w:r w:rsidRPr="008359C2">
        <w:rPr>
          <w:rFonts w:ascii="Palatino Linotype" w:hAnsi="Palatino Linotype"/>
          <w:b/>
        </w:rPr>
        <w:tab/>
      </w:r>
      <w:r w:rsidRPr="008359C2">
        <w:rPr>
          <w:rFonts w:ascii="Palatino Linotype" w:hAnsi="Palatino Linotype"/>
          <w:b/>
        </w:rPr>
        <w:tab/>
        <w:t>ALCALDE DEL DISTRITO METROPOLITANO DE QUITO</w:t>
      </w:r>
    </w:p>
    <w:p w:rsidR="00626AA2" w:rsidRPr="008359C2" w:rsidRDefault="00626AA2" w:rsidP="00626AA2">
      <w:pPr>
        <w:adjustRightInd w:val="0"/>
        <w:rPr>
          <w:rFonts w:ascii="Palatino Linotype" w:hAnsi="Palatino Linotype"/>
          <w:b/>
        </w:rPr>
      </w:pPr>
    </w:p>
    <w:p w:rsidR="00626AA2" w:rsidRPr="008359C2" w:rsidRDefault="00626AA2" w:rsidP="00626AA2">
      <w:pPr>
        <w:adjustRightInd w:val="0"/>
        <w:rPr>
          <w:rFonts w:ascii="Palatino Linotype" w:hAnsi="Palatino Linotype"/>
          <w:b/>
        </w:rPr>
      </w:pPr>
      <w:r w:rsidRPr="008359C2">
        <w:rPr>
          <w:rFonts w:ascii="Palatino Linotype" w:hAnsi="Palatino Linotype"/>
          <w:b/>
        </w:rPr>
        <w:t>CERTIFICO, que la presente ordenanza fue sancionada por el Mgs. Pabel Muñoz López, Alcalde del Distrito Metropolitano de Quito, el … de … de …2024.</w:t>
      </w:r>
    </w:p>
    <w:p w:rsidR="00626AA2" w:rsidRPr="008359C2" w:rsidRDefault="00626AA2" w:rsidP="00626AA2">
      <w:pPr>
        <w:adjustRightInd w:val="0"/>
        <w:jc w:val="center"/>
        <w:rPr>
          <w:rFonts w:ascii="Palatino Linotype" w:hAnsi="Palatino Linotype"/>
          <w:b/>
        </w:rPr>
      </w:pPr>
    </w:p>
    <w:p w:rsidR="00626AA2" w:rsidRPr="008359C2" w:rsidRDefault="00626AA2" w:rsidP="00626AA2">
      <w:pPr>
        <w:adjustRightInd w:val="0"/>
        <w:jc w:val="center"/>
        <w:rPr>
          <w:rFonts w:ascii="Palatino Linotype" w:hAnsi="Palatino Linotype"/>
          <w:b/>
        </w:rPr>
      </w:pPr>
    </w:p>
    <w:p w:rsidR="00626AA2" w:rsidRPr="008359C2" w:rsidRDefault="00626AA2" w:rsidP="00626AA2">
      <w:pPr>
        <w:adjustRightInd w:val="0"/>
        <w:jc w:val="center"/>
        <w:rPr>
          <w:rFonts w:ascii="Palatino Linotype" w:hAnsi="Palatino Linotype"/>
        </w:rPr>
      </w:pPr>
      <w:r w:rsidRPr="008359C2">
        <w:rPr>
          <w:rFonts w:ascii="Palatino Linotype" w:hAnsi="Palatino Linotype"/>
        </w:rPr>
        <w:t>Dra. Libia Rivas Ordoñez</w:t>
      </w:r>
    </w:p>
    <w:p w:rsidR="00626AA2" w:rsidRPr="008359C2" w:rsidRDefault="00626AA2" w:rsidP="00626AA2">
      <w:pPr>
        <w:adjustRightInd w:val="0"/>
        <w:jc w:val="center"/>
        <w:rPr>
          <w:rFonts w:ascii="Palatino Linotype" w:hAnsi="Palatino Linotype"/>
          <w:b/>
        </w:rPr>
      </w:pPr>
      <w:r w:rsidRPr="008359C2">
        <w:rPr>
          <w:rFonts w:ascii="Palatino Linotype" w:hAnsi="Palatino Linotype"/>
          <w:b/>
        </w:rPr>
        <w:t>SECRETARIA GENERAL DEL</w:t>
      </w:r>
      <w:r>
        <w:rPr>
          <w:rFonts w:ascii="Palatino Linotype" w:hAnsi="Palatino Linotype"/>
          <w:b/>
        </w:rPr>
        <w:t xml:space="preserve"> CONCEJO METROPOLITANO DE QUITO </w:t>
      </w:r>
    </w:p>
    <w:p w:rsidR="0079744B" w:rsidRDefault="0079744B"/>
    <w:sectPr w:rsidR="0079744B">
      <w:headerReference w:type="default" r:id="rId7"/>
      <w:footerReference w:type="default" r:id="rId8"/>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4D" w:rsidRDefault="000F4E4D" w:rsidP="00626AA2">
      <w:pPr>
        <w:spacing w:after="0" w:line="240" w:lineRule="auto"/>
      </w:pPr>
      <w:r>
        <w:separator/>
      </w:r>
    </w:p>
  </w:endnote>
  <w:endnote w:type="continuationSeparator" w:id="0">
    <w:p w:rsidR="000F4E4D" w:rsidRDefault="000F4E4D" w:rsidP="0062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C8" w:rsidRDefault="000F4E4D">
    <w:pPr>
      <w:pBdr>
        <w:top w:val="nil"/>
        <w:left w:val="nil"/>
        <w:bottom w:val="nil"/>
        <w:right w:val="nil"/>
        <w:between w:val="nil"/>
      </w:pBdr>
      <w:tabs>
        <w:tab w:val="center" w:pos="4680"/>
        <w:tab w:val="right" w:pos="9360"/>
      </w:tabs>
      <w:spacing w:after="0" w:line="240" w:lineRule="auto"/>
      <w:jc w:val="right"/>
      <w:rPr>
        <w:color w:val="000000"/>
      </w:rPr>
    </w:pPr>
  </w:p>
  <w:p w:rsidR="00CD36C8" w:rsidRDefault="000F4E4D">
    <w:pPr>
      <w:pBdr>
        <w:top w:val="nil"/>
        <w:left w:val="nil"/>
        <w:bottom w:val="nil"/>
        <w:right w:val="nil"/>
        <w:between w:val="nil"/>
      </w:pBdr>
      <w:tabs>
        <w:tab w:val="center" w:pos="4680"/>
        <w:tab w:val="right" w:pos="9360"/>
      </w:tabs>
      <w:spacing w:after="0" w:line="240" w:lineRule="auto"/>
      <w:jc w:val="right"/>
      <w:rPr>
        <w:color w:val="000000"/>
      </w:rPr>
    </w:pPr>
  </w:p>
  <w:p w:rsidR="00CD36C8" w:rsidRDefault="004F7F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230D4">
      <w:rPr>
        <w:noProof/>
        <w:color w:val="000000"/>
      </w:rPr>
      <w:t>7</w:t>
    </w:r>
    <w:r>
      <w:rPr>
        <w:color w:val="000000"/>
      </w:rPr>
      <w:fldChar w:fldCharType="end"/>
    </w:r>
  </w:p>
  <w:p w:rsidR="00CD36C8" w:rsidRDefault="000F4E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4D" w:rsidRDefault="000F4E4D" w:rsidP="00626AA2">
      <w:pPr>
        <w:spacing w:after="0" w:line="240" w:lineRule="auto"/>
      </w:pPr>
      <w:r>
        <w:separator/>
      </w:r>
    </w:p>
  </w:footnote>
  <w:footnote w:type="continuationSeparator" w:id="0">
    <w:p w:rsidR="000F4E4D" w:rsidRDefault="000F4E4D" w:rsidP="00626AA2">
      <w:pPr>
        <w:spacing w:after="0" w:line="240" w:lineRule="auto"/>
      </w:pPr>
      <w:r>
        <w:continuationSeparator/>
      </w:r>
    </w:p>
  </w:footnote>
  <w:footnote w:id="1">
    <w:p w:rsidR="00626AA2" w:rsidRDefault="00626AA2" w:rsidP="00626AA2">
      <w:pPr>
        <w:pStyle w:val="Textonotapie"/>
      </w:pPr>
      <w:r>
        <w:rPr>
          <w:rStyle w:val="Refdenotaalpie"/>
        </w:rPr>
        <w:footnoteRef/>
      </w:r>
      <w:r>
        <w:t xml:space="preserve"> </w:t>
      </w:r>
      <w:r w:rsidRPr="00B2333E">
        <w:rPr>
          <w:rFonts w:ascii="Arial" w:hAnsi="Arial" w:cs="Arial"/>
          <w:sz w:val="18"/>
          <w:szCs w:val="18"/>
        </w:rPr>
        <w:t xml:space="preserve">Artículos en </w:t>
      </w:r>
      <w:r>
        <w:rPr>
          <w:rFonts w:ascii="Arial" w:hAnsi="Arial" w:cs="Arial"/>
          <w:sz w:val="18"/>
          <w:szCs w:val="18"/>
        </w:rPr>
        <w:t xml:space="preserve">ordenanzas de </w:t>
      </w:r>
      <w:r w:rsidRPr="00B2333E">
        <w:rPr>
          <w:rFonts w:ascii="Arial" w:hAnsi="Arial" w:cs="Arial"/>
          <w:sz w:val="18"/>
          <w:szCs w:val="18"/>
        </w:rPr>
        <w:t>AHHYC y U</w:t>
      </w:r>
      <w:r>
        <w:rPr>
          <w:rFonts w:ascii="Arial" w:hAnsi="Arial" w:cs="Arial"/>
          <w:sz w:val="18"/>
          <w:szCs w:val="18"/>
        </w:rPr>
        <w:t>I</w:t>
      </w:r>
      <w:r w:rsidRPr="00B2333E">
        <w:rPr>
          <w:rFonts w:ascii="Arial" w:hAnsi="Arial" w:cs="Arial"/>
          <w:sz w:val="18"/>
          <w:szCs w:val="18"/>
        </w:rPr>
        <w:t xml:space="preserve">SDP </w:t>
      </w:r>
      <w:r>
        <w:rPr>
          <w:rFonts w:ascii="Arial" w:hAnsi="Arial" w:cs="Arial"/>
          <w:sz w:val="18"/>
          <w:szCs w:val="18"/>
        </w:rPr>
        <w:t>relacionados a:</w:t>
      </w:r>
      <w:r w:rsidRPr="00B2333E">
        <w:rPr>
          <w:rFonts w:ascii="Arial" w:hAnsi="Arial" w:cs="Arial"/>
          <w:sz w:val="18"/>
          <w:szCs w:val="18"/>
        </w:rPr>
        <w:t xml:space="preserve"> </w:t>
      </w:r>
      <w:r w:rsidRPr="00B2333E">
        <w:rPr>
          <w:rFonts w:ascii="Arial" w:hAnsi="Arial" w:cs="Arial"/>
          <w:i/>
          <w:sz w:val="18"/>
          <w:szCs w:val="18"/>
        </w:rPr>
        <w:t>“De la garantía de ejecución de las obras”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C8" w:rsidRDefault="000F4E4D">
    <w:pPr>
      <w:widowControl w:val="0"/>
      <w:pBdr>
        <w:top w:val="nil"/>
        <w:left w:val="nil"/>
        <w:bottom w:val="nil"/>
        <w:right w:val="nil"/>
        <w:between w:val="nil"/>
      </w:pBdr>
      <w:spacing w:after="0" w:line="276" w:lineRule="auto"/>
      <w:rPr>
        <w:sz w:val="24"/>
        <w:szCs w:val="24"/>
      </w:rPr>
    </w:pPr>
  </w:p>
  <w:tbl>
    <w:tblPr>
      <w:tblW w:w="8505" w:type="dxa"/>
      <w:tblLayout w:type="fixed"/>
      <w:tblLook w:val="0600" w:firstRow="0" w:lastRow="0" w:firstColumn="0" w:lastColumn="0" w:noHBand="1" w:noVBand="1"/>
    </w:tblPr>
    <w:tblGrid>
      <w:gridCol w:w="2835"/>
      <w:gridCol w:w="2835"/>
      <w:gridCol w:w="2835"/>
    </w:tblGrid>
    <w:tr w:rsidR="00CD36C8">
      <w:tc>
        <w:tcPr>
          <w:tcW w:w="2835" w:type="dxa"/>
        </w:tcPr>
        <w:p w:rsidR="00CD36C8" w:rsidRDefault="000F4E4D">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rsidR="00CD36C8" w:rsidRDefault="000F4E4D">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rsidR="00CD36C8" w:rsidRDefault="000F4E4D">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CD36C8" w:rsidRDefault="000F4E4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A2"/>
    <w:rsid w:val="000F4E4D"/>
    <w:rsid w:val="001230D4"/>
    <w:rsid w:val="00161A71"/>
    <w:rsid w:val="00230C35"/>
    <w:rsid w:val="00485D17"/>
    <w:rsid w:val="004F7F5E"/>
    <w:rsid w:val="00626AA2"/>
    <w:rsid w:val="00713B2F"/>
    <w:rsid w:val="0079744B"/>
    <w:rsid w:val="00F10D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7C8C-A312-476C-B38A-0A08364C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AA2"/>
    <w:rPr>
      <w:rFonts w:ascii="Calibri" w:eastAsia="Calibri" w:hAnsi="Calibri" w:cs="Calibri"/>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6AA2"/>
    <w:pPr>
      <w:autoSpaceDE w:val="0"/>
      <w:autoSpaceDN w:val="0"/>
      <w:adjustRightInd w:val="0"/>
      <w:spacing w:after="0" w:line="240" w:lineRule="auto"/>
    </w:pPr>
    <w:rPr>
      <w:rFonts w:ascii="Calibri" w:eastAsia="Calibri" w:hAnsi="Calibri" w:cs="Calibri"/>
      <w:color w:val="000000"/>
      <w:sz w:val="24"/>
      <w:szCs w:val="24"/>
      <w:lang w:eastAsia="es-EC"/>
    </w:rPr>
  </w:style>
  <w:style w:type="paragraph" w:styleId="Textonotapie">
    <w:name w:val="footnote text"/>
    <w:basedOn w:val="Normal"/>
    <w:link w:val="TextonotapieCar"/>
    <w:uiPriority w:val="99"/>
    <w:semiHidden/>
    <w:unhideWhenUsed/>
    <w:rsid w:val="00626A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6AA2"/>
    <w:rPr>
      <w:rFonts w:ascii="Calibri" w:eastAsia="Calibri" w:hAnsi="Calibri" w:cs="Calibri"/>
      <w:sz w:val="20"/>
      <w:szCs w:val="20"/>
      <w:lang w:eastAsia="es-EC"/>
    </w:rPr>
  </w:style>
  <w:style w:type="character" w:styleId="Refdenotaalpie">
    <w:name w:val="footnote reference"/>
    <w:basedOn w:val="Fuentedeprrafopredeter"/>
    <w:uiPriority w:val="99"/>
    <w:semiHidden/>
    <w:unhideWhenUsed/>
    <w:rsid w:val="00626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8302</Words>
  <Characters>45665</Characters>
  <Application>Microsoft Office Word</Application>
  <DocSecurity>0</DocSecurity>
  <Lines>380</Lines>
  <Paragraphs>107</Paragraphs>
  <ScaleCrop>false</ScaleCrop>
  <Company/>
  <LinksUpToDate>false</LinksUpToDate>
  <CharactersWithSpaces>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3</cp:revision>
  <dcterms:created xsi:type="dcterms:W3CDTF">2024-01-19T14:38:00Z</dcterms:created>
  <dcterms:modified xsi:type="dcterms:W3CDTF">2024-01-19T15:05:00Z</dcterms:modified>
</cp:coreProperties>
</file>