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26D0" w14:textId="693AAF33" w:rsidR="00BF3EC5" w:rsidRPr="00BF3EC5" w:rsidRDefault="00BF3EC5" w:rsidP="00BF3EC5">
      <w:pPr>
        <w:adjustRightInd w:val="0"/>
        <w:jc w:val="center"/>
        <w:rPr>
          <w:rFonts w:ascii="Palatino Linotype" w:hAnsi="Palatino Linotype" w:cs="Times New Roman"/>
          <w:b/>
          <w:sz w:val="22"/>
          <w:szCs w:val="22"/>
        </w:rPr>
      </w:pPr>
      <w:r w:rsidRPr="00BF3EC5">
        <w:rPr>
          <w:rFonts w:ascii="Palatino Linotype" w:hAnsi="Palatino Linotype" w:cs="Times New Roman"/>
          <w:b/>
          <w:sz w:val="22"/>
          <w:szCs w:val="22"/>
        </w:rPr>
        <w:t>EL CONCEJO METROPOLITANO DE QUITO</w:t>
      </w:r>
    </w:p>
    <w:p w14:paraId="2306D1FA" w14:textId="7E3B8382" w:rsidR="00AB093D" w:rsidRPr="00BF3EC5" w:rsidRDefault="00BF3EC5" w:rsidP="005F3F9E">
      <w:pPr>
        <w:jc w:val="center"/>
        <w:rPr>
          <w:rFonts w:ascii="Palatino Linotype" w:hAnsi="Palatino Linotype"/>
          <w:b/>
          <w:sz w:val="22"/>
          <w:szCs w:val="22"/>
        </w:rPr>
      </w:pPr>
      <w:r w:rsidRPr="00BF3EC5">
        <w:rPr>
          <w:rFonts w:ascii="Palatino Linotype" w:hAnsi="Palatino Linotype"/>
          <w:b/>
          <w:sz w:val="22"/>
          <w:szCs w:val="22"/>
        </w:rPr>
        <w:t>EXPOSICIÓ</w:t>
      </w:r>
      <w:r w:rsidR="00AB093D" w:rsidRPr="00BF3EC5">
        <w:rPr>
          <w:rFonts w:ascii="Palatino Linotype" w:hAnsi="Palatino Linotype"/>
          <w:b/>
          <w:sz w:val="22"/>
          <w:szCs w:val="22"/>
        </w:rPr>
        <w:t>N DE MOTIVOS</w:t>
      </w:r>
    </w:p>
    <w:p w14:paraId="663AE0E2" w14:textId="77777777"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Las operaciones de las redes de carreteras representan un enfoque estratégico a fin de maximizar la eficiencia de la infraestructura vial existente y futura. Esta estrategia se traduce en una mejora en vialidad con el objetivo de reducir los retrasos en el tránsito y una operación diaria más eficiente. </w:t>
      </w:r>
    </w:p>
    <w:p w14:paraId="46C200A7" w14:textId="379A12C2" w:rsidR="001A166D"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En la expansión de las zonas urbanas, los planes deben crear una red de calles con vías principales y calles secundarias que estén bien comunic</w:t>
      </w:r>
      <w:r>
        <w:rPr>
          <w:rFonts w:ascii="Palatino Linotype" w:hAnsi="Palatino Linotype"/>
          <w:sz w:val="22"/>
          <w:szCs w:val="22"/>
        </w:rPr>
        <w:t>adas a través de intersecciones.</w:t>
      </w:r>
    </w:p>
    <w:p w14:paraId="6D4B3355" w14:textId="77777777" w:rsidR="00686CA6" w:rsidRDefault="001A166D" w:rsidP="001A166D">
      <w:pPr>
        <w:spacing w:after="160" w:line="259" w:lineRule="auto"/>
        <w:rPr>
          <w:rFonts w:ascii="Palatino Linotype" w:hAnsi="Palatino Linotype"/>
          <w:sz w:val="22"/>
          <w:szCs w:val="22"/>
        </w:rPr>
      </w:pPr>
      <w:r w:rsidRPr="001A166D">
        <w:rPr>
          <w:rFonts w:ascii="Palatino Linotype" w:hAnsi="Palatino Linotype"/>
          <w:sz w:val="22"/>
          <w:szCs w:val="22"/>
        </w:rPr>
        <w:t xml:space="preserve">Los proyectos que aumentan la conectividad logran reducir la congestión y generan más dinamismo económico en la zona. La expansión y racionalización del espacio público urbano permite la movilidad, la accesibilidad y el desarrollo de las calles principales que se deben realizar en áreas urbanas nuevas y existentes. </w:t>
      </w:r>
    </w:p>
    <w:p w14:paraId="421DE598" w14:textId="4DC6E295" w:rsidR="00686CA6" w:rsidRDefault="00686CA6" w:rsidP="001A166D">
      <w:pPr>
        <w:spacing w:after="160" w:line="259" w:lineRule="auto"/>
        <w:rPr>
          <w:rFonts w:ascii="Palatino Linotype" w:hAnsi="Palatino Linotype"/>
          <w:sz w:val="22"/>
          <w:szCs w:val="22"/>
        </w:rPr>
      </w:pPr>
      <w:r>
        <w:rPr>
          <w:rFonts w:ascii="Palatino Linotype" w:hAnsi="Palatino Linotype"/>
          <w:sz w:val="22"/>
          <w:szCs w:val="22"/>
        </w:rPr>
        <w:t>El artículo</w:t>
      </w:r>
      <w:r w:rsidRPr="00686CA6">
        <w:rPr>
          <w:rFonts w:ascii="Palatino Linotype" w:hAnsi="Palatino Linotype"/>
          <w:sz w:val="22"/>
          <w:szCs w:val="22"/>
        </w:rPr>
        <w:t xml:space="preserve"> 55</w:t>
      </w:r>
      <w:r>
        <w:rPr>
          <w:rFonts w:ascii="Palatino Linotype" w:hAnsi="Palatino Linotype"/>
          <w:sz w:val="22"/>
          <w:szCs w:val="22"/>
        </w:rPr>
        <w:t xml:space="preserve"> del Código Orgánico de Organización Territorial, Autonomía y Descentralización COOTAD señala: “</w:t>
      </w:r>
      <w:r w:rsidRPr="00686CA6">
        <w:rPr>
          <w:rFonts w:ascii="Palatino Linotype" w:hAnsi="Palatino Linotype"/>
          <w:sz w:val="22"/>
          <w:szCs w:val="22"/>
        </w:rPr>
        <w:t xml:space="preserve">Competencias exclusivas del gobierno autónomo descentralizado municipal.- Los gobiernos autónomos descentralizados municipales tendrán las siguientes competencias exclusivas sin perjuicio de otras que determine la ley; a) Planificar, junto con otras instituciones del sector público y actores de la sociedad, el desarrollo cantonal y formular los correspondientes planes de ordenamiento territorial, de manera articulada con la planificación nacional, regional, provincial y parroquial, con el fin de regular el uso y la ocupación del suelo urbano y rural, en el marco de la interculturalidad y plurinacionalidad y el respeto a la diversidad; </w:t>
      </w:r>
    </w:p>
    <w:p w14:paraId="6A797FEE" w14:textId="0FFDD056"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b) Ejercer el control sobre el uso y ocupación del suelo en el cantón; </w:t>
      </w:r>
    </w:p>
    <w:p w14:paraId="172E3E19" w14:textId="77777777" w:rsidR="00686CA6"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c) Planificar, construir y mantener la vialidad urbana; </w:t>
      </w:r>
    </w:p>
    <w:p w14:paraId="17D9AFD1" w14:textId="77777777" w:rsidR="000F56EA" w:rsidRDefault="00686CA6" w:rsidP="001A166D">
      <w:pPr>
        <w:spacing w:after="160" w:line="259" w:lineRule="auto"/>
        <w:rPr>
          <w:rFonts w:ascii="Palatino Linotype" w:hAnsi="Palatino Linotype"/>
          <w:sz w:val="22"/>
          <w:szCs w:val="22"/>
        </w:rPr>
      </w:pPr>
      <w:r w:rsidRPr="00686CA6">
        <w:rPr>
          <w:rFonts w:ascii="Palatino Linotype" w:hAnsi="Palatino Linotype"/>
          <w:sz w:val="22"/>
          <w:szCs w:val="22"/>
        </w:rPr>
        <w:t xml:space="preserve">Esta Administración busca mejorar la accesibilidad y conexiones viales, la calidad de vida de los habitantes del sector Reino de Quito; en cumplimiento del </w:t>
      </w:r>
      <w:r>
        <w:rPr>
          <w:rFonts w:ascii="Palatino Linotype" w:hAnsi="Palatino Linotype"/>
          <w:sz w:val="22"/>
          <w:szCs w:val="22"/>
        </w:rPr>
        <w:t xml:space="preserve">artículo </w:t>
      </w:r>
      <w:r w:rsidRPr="00686CA6">
        <w:rPr>
          <w:rFonts w:ascii="Palatino Linotype" w:hAnsi="Palatino Linotype"/>
          <w:sz w:val="22"/>
          <w:szCs w:val="22"/>
        </w:rPr>
        <w:t>264, de la Constituci</w:t>
      </w:r>
      <w:r>
        <w:rPr>
          <w:rFonts w:ascii="Palatino Linotype" w:hAnsi="Palatino Linotype"/>
          <w:sz w:val="22"/>
          <w:szCs w:val="22"/>
        </w:rPr>
        <w:t>ó</w:t>
      </w:r>
      <w:r w:rsidRPr="00686CA6">
        <w:rPr>
          <w:rFonts w:ascii="Palatino Linotype" w:hAnsi="Palatino Linotype"/>
          <w:sz w:val="22"/>
          <w:szCs w:val="22"/>
        </w:rPr>
        <w:t xml:space="preserve">n </w:t>
      </w:r>
      <w:r>
        <w:rPr>
          <w:rFonts w:ascii="Palatino Linotype" w:hAnsi="Palatino Linotype"/>
          <w:sz w:val="22"/>
          <w:szCs w:val="22"/>
        </w:rPr>
        <w:t>de l</w:t>
      </w:r>
      <w:r w:rsidRPr="00686CA6">
        <w:rPr>
          <w:rFonts w:ascii="Palatino Linotype" w:hAnsi="Palatino Linotype"/>
          <w:sz w:val="22"/>
          <w:szCs w:val="22"/>
        </w:rPr>
        <w:t xml:space="preserve">a República </w:t>
      </w:r>
      <w:r>
        <w:rPr>
          <w:rFonts w:ascii="Palatino Linotype" w:hAnsi="Palatino Linotype"/>
          <w:sz w:val="22"/>
          <w:szCs w:val="22"/>
        </w:rPr>
        <w:t>d</w:t>
      </w:r>
      <w:r w:rsidRPr="00686CA6">
        <w:rPr>
          <w:rFonts w:ascii="Palatino Linotype" w:hAnsi="Palatino Linotype"/>
          <w:sz w:val="22"/>
          <w:szCs w:val="22"/>
        </w:rPr>
        <w:t>el Ecuador</w:t>
      </w:r>
      <w:r>
        <w:rPr>
          <w:rFonts w:ascii="Palatino Linotype" w:hAnsi="Palatino Linotype"/>
          <w:sz w:val="22"/>
          <w:szCs w:val="22"/>
        </w:rPr>
        <w:t>.</w:t>
      </w:r>
      <w:r w:rsidRPr="00686CA6">
        <w:rPr>
          <w:rFonts w:ascii="Palatino Linotype" w:hAnsi="Palatino Linotype"/>
          <w:sz w:val="22"/>
          <w:szCs w:val="22"/>
        </w:rPr>
        <w:t xml:space="preserve"> </w:t>
      </w:r>
    </w:p>
    <w:p w14:paraId="63759840" w14:textId="77777777" w:rsidR="000F56EA" w:rsidRDefault="000F56EA" w:rsidP="000F56EA">
      <w:pPr>
        <w:spacing w:after="160" w:line="259" w:lineRule="auto"/>
        <w:rPr>
          <w:rFonts w:ascii="Palatino Linotype" w:hAnsi="Palatino Linotype"/>
          <w:sz w:val="22"/>
          <w:szCs w:val="22"/>
        </w:rPr>
      </w:pPr>
      <w:r>
        <w:rPr>
          <w:rFonts w:ascii="Palatino Linotype" w:hAnsi="Palatino Linotype"/>
          <w:sz w:val="22"/>
          <w:szCs w:val="22"/>
        </w:rPr>
        <w:t xml:space="preserve">Los moradores del Barrio Reino de Quito, </w:t>
      </w:r>
      <w:r w:rsidRPr="000F56EA">
        <w:rPr>
          <w:rFonts w:ascii="Palatino Linotype" w:hAnsi="Palatino Linotype"/>
          <w:sz w:val="22"/>
          <w:szCs w:val="22"/>
        </w:rPr>
        <w:t xml:space="preserve">2 Etapa </w:t>
      </w:r>
      <w:r>
        <w:rPr>
          <w:rFonts w:ascii="Palatino Linotype" w:hAnsi="Palatino Linotype"/>
          <w:sz w:val="22"/>
          <w:szCs w:val="22"/>
        </w:rPr>
        <w:t>p</w:t>
      </w:r>
      <w:r w:rsidRPr="000F56EA">
        <w:rPr>
          <w:rFonts w:ascii="Palatino Linotype" w:hAnsi="Palatino Linotype"/>
          <w:sz w:val="22"/>
          <w:szCs w:val="22"/>
        </w:rPr>
        <w:t>arroquia La Mena</w:t>
      </w:r>
      <w:r>
        <w:rPr>
          <w:rFonts w:ascii="Palatino Linotype" w:hAnsi="Palatino Linotype"/>
          <w:sz w:val="22"/>
          <w:szCs w:val="22"/>
        </w:rPr>
        <w:t>, son un</w:t>
      </w:r>
      <w:r w:rsidRPr="000F56EA">
        <w:rPr>
          <w:rFonts w:ascii="Palatino Linotype" w:hAnsi="Palatino Linotype"/>
          <w:sz w:val="22"/>
          <w:szCs w:val="22"/>
        </w:rPr>
        <w:t xml:space="preserve"> Asentamiento Humano de Hecho ya consolidado por más de 20 años en el cual ya </w:t>
      </w:r>
      <w:r>
        <w:rPr>
          <w:rFonts w:ascii="Palatino Linotype" w:hAnsi="Palatino Linotype"/>
          <w:sz w:val="22"/>
          <w:szCs w:val="22"/>
        </w:rPr>
        <w:t>cuentan</w:t>
      </w:r>
      <w:r w:rsidRPr="000F56EA">
        <w:rPr>
          <w:rFonts w:ascii="Palatino Linotype" w:hAnsi="Palatino Linotype"/>
          <w:sz w:val="22"/>
          <w:szCs w:val="22"/>
        </w:rPr>
        <w:t xml:space="preserve"> con los servicios básicos como</w:t>
      </w:r>
      <w:r>
        <w:rPr>
          <w:rFonts w:ascii="Palatino Linotype" w:hAnsi="Palatino Linotype"/>
          <w:sz w:val="22"/>
          <w:szCs w:val="22"/>
        </w:rPr>
        <w:t xml:space="preserve"> son</w:t>
      </w:r>
      <w:r w:rsidRPr="000F56EA">
        <w:rPr>
          <w:rFonts w:ascii="Palatino Linotype" w:hAnsi="Palatino Linotype"/>
          <w:sz w:val="22"/>
          <w:szCs w:val="22"/>
        </w:rPr>
        <w:t xml:space="preserve"> agua, alcantarillado y </w:t>
      </w:r>
      <w:r>
        <w:rPr>
          <w:rFonts w:ascii="Palatino Linotype" w:hAnsi="Palatino Linotype"/>
          <w:sz w:val="22"/>
          <w:szCs w:val="22"/>
        </w:rPr>
        <w:t>energía</w:t>
      </w:r>
      <w:r w:rsidRPr="000F56EA">
        <w:rPr>
          <w:rFonts w:ascii="Palatino Linotype" w:hAnsi="Palatino Linotype"/>
          <w:sz w:val="22"/>
          <w:szCs w:val="22"/>
        </w:rPr>
        <w:t xml:space="preserve"> eléctrica.</w:t>
      </w:r>
    </w:p>
    <w:p w14:paraId="3EBEF513" w14:textId="77777777" w:rsidR="000F56EA" w:rsidRDefault="000F56EA" w:rsidP="000F56EA">
      <w:pPr>
        <w:spacing w:after="160" w:line="259" w:lineRule="auto"/>
        <w:rPr>
          <w:rFonts w:ascii="Palatino Linotype" w:hAnsi="Palatino Linotype"/>
          <w:sz w:val="22"/>
          <w:szCs w:val="22"/>
        </w:rPr>
      </w:pPr>
      <w:r w:rsidRPr="000F56EA">
        <w:rPr>
          <w:rFonts w:ascii="Palatino Linotype" w:hAnsi="Palatino Linotype"/>
          <w:sz w:val="22"/>
          <w:szCs w:val="22"/>
        </w:rPr>
        <w:t>P</w:t>
      </w:r>
      <w:r>
        <w:rPr>
          <w:rFonts w:ascii="Palatino Linotype" w:hAnsi="Palatino Linotype"/>
          <w:sz w:val="22"/>
          <w:szCs w:val="22"/>
        </w:rPr>
        <w:t>a</w:t>
      </w:r>
      <w:r w:rsidRPr="000F56EA">
        <w:rPr>
          <w:rFonts w:ascii="Palatino Linotype" w:hAnsi="Palatino Linotype"/>
          <w:sz w:val="22"/>
          <w:szCs w:val="22"/>
        </w:rPr>
        <w:t>r</w:t>
      </w:r>
      <w:r>
        <w:rPr>
          <w:rFonts w:ascii="Palatino Linotype" w:hAnsi="Palatino Linotype"/>
          <w:sz w:val="22"/>
          <w:szCs w:val="22"/>
        </w:rPr>
        <w:t>a</w:t>
      </w:r>
      <w:r w:rsidRPr="000F56EA">
        <w:rPr>
          <w:rFonts w:ascii="Palatino Linotype" w:hAnsi="Palatino Linotype"/>
          <w:sz w:val="22"/>
          <w:szCs w:val="22"/>
        </w:rPr>
        <w:t xml:space="preserve"> para mejorar</w:t>
      </w:r>
      <w:r>
        <w:rPr>
          <w:rFonts w:ascii="Palatino Linotype" w:hAnsi="Palatino Linotype"/>
          <w:sz w:val="22"/>
          <w:szCs w:val="22"/>
        </w:rPr>
        <w:t xml:space="preserve"> la</w:t>
      </w:r>
      <w:r w:rsidRPr="000F56EA">
        <w:rPr>
          <w:rFonts w:ascii="Palatino Linotype" w:hAnsi="Palatino Linotype"/>
          <w:sz w:val="22"/>
          <w:szCs w:val="22"/>
        </w:rPr>
        <w:t xml:space="preserve"> calidad de vida </w:t>
      </w:r>
      <w:r>
        <w:rPr>
          <w:rFonts w:ascii="Palatino Linotype" w:hAnsi="Palatino Linotype"/>
          <w:sz w:val="22"/>
          <w:szCs w:val="22"/>
        </w:rPr>
        <w:t>han</w:t>
      </w:r>
      <w:r w:rsidRPr="000F56EA">
        <w:rPr>
          <w:rFonts w:ascii="Palatino Linotype" w:hAnsi="Palatino Linotype"/>
          <w:sz w:val="22"/>
          <w:szCs w:val="22"/>
        </w:rPr>
        <w:t xml:space="preserve"> solicita</w:t>
      </w:r>
      <w:r>
        <w:rPr>
          <w:rFonts w:ascii="Palatino Linotype" w:hAnsi="Palatino Linotype"/>
          <w:sz w:val="22"/>
          <w:szCs w:val="22"/>
        </w:rPr>
        <w:t>do</w:t>
      </w:r>
      <w:r w:rsidRPr="000F56EA">
        <w:rPr>
          <w:rFonts w:ascii="Palatino Linotype" w:hAnsi="Palatino Linotype"/>
          <w:sz w:val="22"/>
          <w:szCs w:val="22"/>
        </w:rPr>
        <w:t xml:space="preserve"> </w:t>
      </w:r>
      <w:r>
        <w:rPr>
          <w:rFonts w:ascii="Palatino Linotype" w:hAnsi="Palatino Linotype"/>
          <w:sz w:val="22"/>
          <w:szCs w:val="22"/>
        </w:rPr>
        <w:t xml:space="preserve">a la Municipalidad de Quito, que les ayuden con el </w:t>
      </w:r>
      <w:r w:rsidRPr="000F56EA">
        <w:rPr>
          <w:rFonts w:ascii="Palatino Linotype" w:hAnsi="Palatino Linotype"/>
          <w:sz w:val="22"/>
          <w:szCs w:val="22"/>
        </w:rPr>
        <w:t>Levantamiento Topográfico del barrio y el trazado vial de todas calles del barrio Reino de Quito 2 etapa</w:t>
      </w:r>
      <w:r>
        <w:rPr>
          <w:rFonts w:ascii="Palatino Linotype" w:hAnsi="Palatino Linotype"/>
          <w:sz w:val="22"/>
          <w:szCs w:val="22"/>
        </w:rPr>
        <w:t>;</w:t>
      </w:r>
      <w:r w:rsidRPr="000F56EA">
        <w:rPr>
          <w:rFonts w:ascii="Palatino Linotype" w:hAnsi="Palatino Linotype"/>
          <w:sz w:val="22"/>
          <w:szCs w:val="22"/>
        </w:rPr>
        <w:t xml:space="preserve"> Arreglo y colocada de capa asfáltica de las calles</w:t>
      </w:r>
      <w:r>
        <w:rPr>
          <w:rFonts w:ascii="Palatino Linotype" w:hAnsi="Palatino Linotype"/>
          <w:sz w:val="22"/>
          <w:szCs w:val="22"/>
        </w:rPr>
        <w:t>;</w:t>
      </w:r>
      <w:r w:rsidRPr="000F56EA">
        <w:rPr>
          <w:rFonts w:ascii="Palatino Linotype" w:hAnsi="Palatino Linotype"/>
          <w:sz w:val="22"/>
          <w:szCs w:val="22"/>
        </w:rPr>
        <w:t xml:space="preserve"> Limpieza de las áreas verdes y bordes de quebrada</w:t>
      </w:r>
      <w:r>
        <w:rPr>
          <w:rFonts w:ascii="Palatino Linotype" w:hAnsi="Palatino Linotype"/>
          <w:sz w:val="22"/>
          <w:szCs w:val="22"/>
        </w:rPr>
        <w:t>.</w:t>
      </w:r>
    </w:p>
    <w:p w14:paraId="38FBE1DB" w14:textId="024830C0" w:rsidR="008908E6" w:rsidRDefault="000F56EA" w:rsidP="000F56EA">
      <w:pPr>
        <w:spacing w:after="160" w:line="259" w:lineRule="auto"/>
        <w:rPr>
          <w:rFonts w:ascii="Palatino Linotype" w:eastAsia="Arial" w:hAnsi="Palatino Linotype" w:cs="Arial"/>
          <w:b/>
          <w:bCs/>
          <w:sz w:val="22"/>
          <w:szCs w:val="22"/>
          <w:lang w:val="es-ES"/>
        </w:rPr>
      </w:pPr>
      <w:r w:rsidRPr="000F56EA">
        <w:rPr>
          <w:rFonts w:ascii="Palatino Linotype" w:hAnsi="Palatino Linotype"/>
          <w:sz w:val="22"/>
          <w:szCs w:val="22"/>
        </w:rPr>
        <w:lastRenderedPageBreak/>
        <w:t xml:space="preserve">Con el Mejoramiento total de las vías, la calidad de vida de todos los </w:t>
      </w:r>
      <w:r>
        <w:rPr>
          <w:rFonts w:ascii="Palatino Linotype" w:hAnsi="Palatino Linotype"/>
          <w:sz w:val="22"/>
          <w:szCs w:val="22"/>
        </w:rPr>
        <w:t>moradores</w:t>
      </w:r>
      <w:r w:rsidRPr="000F56EA">
        <w:rPr>
          <w:rFonts w:ascii="Palatino Linotype" w:hAnsi="Palatino Linotype"/>
          <w:sz w:val="22"/>
          <w:szCs w:val="22"/>
        </w:rPr>
        <w:t xml:space="preserve"> </w:t>
      </w:r>
      <w:r>
        <w:rPr>
          <w:rFonts w:ascii="Palatino Linotype" w:hAnsi="Palatino Linotype"/>
          <w:sz w:val="22"/>
          <w:szCs w:val="22"/>
        </w:rPr>
        <w:t>d</w:t>
      </w:r>
      <w:r w:rsidRPr="000F56EA">
        <w:rPr>
          <w:rFonts w:ascii="Palatino Linotype" w:hAnsi="Palatino Linotype"/>
          <w:sz w:val="22"/>
          <w:szCs w:val="22"/>
        </w:rPr>
        <w:t xml:space="preserve">el sector será óptima, ya que </w:t>
      </w:r>
      <w:r>
        <w:rPr>
          <w:rFonts w:ascii="Palatino Linotype" w:hAnsi="Palatino Linotype"/>
          <w:sz w:val="22"/>
          <w:szCs w:val="22"/>
        </w:rPr>
        <w:t xml:space="preserve">en la actualidad </w:t>
      </w:r>
      <w:r w:rsidRPr="000F56EA">
        <w:rPr>
          <w:rFonts w:ascii="Palatino Linotype" w:hAnsi="Palatino Linotype"/>
          <w:sz w:val="22"/>
          <w:szCs w:val="22"/>
        </w:rPr>
        <w:t>no p</w:t>
      </w:r>
      <w:r>
        <w:rPr>
          <w:rFonts w:ascii="Palatino Linotype" w:hAnsi="Palatino Linotype"/>
          <w:sz w:val="22"/>
          <w:szCs w:val="22"/>
        </w:rPr>
        <w:t>ueden</w:t>
      </w:r>
      <w:r w:rsidRPr="000F56EA">
        <w:rPr>
          <w:rFonts w:ascii="Palatino Linotype" w:hAnsi="Palatino Linotype"/>
          <w:sz w:val="22"/>
          <w:szCs w:val="22"/>
        </w:rPr>
        <w:t xml:space="preserve"> transitar</w:t>
      </w:r>
      <w:r>
        <w:rPr>
          <w:rFonts w:ascii="Palatino Linotype" w:hAnsi="Palatino Linotype"/>
          <w:sz w:val="22"/>
          <w:szCs w:val="22"/>
        </w:rPr>
        <w:t xml:space="preserve"> por el lugar</w:t>
      </w:r>
      <w:r w:rsidRPr="000F56EA">
        <w:rPr>
          <w:rFonts w:ascii="Palatino Linotype" w:hAnsi="Palatino Linotype"/>
          <w:sz w:val="22"/>
          <w:szCs w:val="22"/>
        </w:rPr>
        <w:t xml:space="preserve">, puesto que en verano es la polvareda y en invierno el lodo </w:t>
      </w:r>
      <w:r>
        <w:rPr>
          <w:rFonts w:ascii="Palatino Linotype" w:hAnsi="Palatino Linotype"/>
          <w:sz w:val="22"/>
          <w:szCs w:val="22"/>
        </w:rPr>
        <w:t>lo que les</w:t>
      </w:r>
      <w:r w:rsidRPr="000F56EA">
        <w:rPr>
          <w:rFonts w:ascii="Palatino Linotype" w:hAnsi="Palatino Linotype"/>
          <w:sz w:val="22"/>
          <w:szCs w:val="22"/>
        </w:rPr>
        <w:t xml:space="preserve"> dificulta la movilización. </w:t>
      </w:r>
    </w:p>
    <w:p w14:paraId="3EB6ACB5" w14:textId="48FF5B42" w:rsidR="00BF3EC5" w:rsidRDefault="005F3F9E" w:rsidP="008908E6">
      <w:pPr>
        <w:pStyle w:val="Ttulo1"/>
        <w:jc w:val="both"/>
        <w:rPr>
          <w:rFonts w:ascii="Palatino Linotype" w:hAnsi="Palatino Linotype"/>
          <w:sz w:val="22"/>
          <w:szCs w:val="22"/>
        </w:rPr>
      </w:pPr>
      <w:r w:rsidRPr="00BF3EC5">
        <w:rPr>
          <w:rFonts w:ascii="Palatino Linotype" w:hAnsi="Palatino Linotype"/>
          <w:sz w:val="22"/>
          <w:szCs w:val="22"/>
        </w:rPr>
        <w:t xml:space="preserve">                    </w:t>
      </w:r>
      <w:r w:rsidR="00BF3EC5">
        <w:rPr>
          <w:rFonts w:ascii="Palatino Linotype" w:hAnsi="Palatino Linotype"/>
          <w:sz w:val="22"/>
          <w:szCs w:val="22"/>
        </w:rPr>
        <w:t xml:space="preserve">                              </w:t>
      </w:r>
      <w:r w:rsidR="00BF3EC5" w:rsidRPr="00392270">
        <w:rPr>
          <w:rFonts w:ascii="Palatino Linotype" w:hAnsi="Palatino Linotype"/>
          <w:sz w:val="22"/>
          <w:szCs w:val="22"/>
        </w:rPr>
        <w:t>CONSIDERANDO:</w:t>
      </w:r>
    </w:p>
    <w:p w14:paraId="7ED3ED21" w14:textId="77777777" w:rsidR="00BF3EC5" w:rsidRPr="00392270" w:rsidRDefault="00BF3EC5" w:rsidP="00BF3EC5">
      <w:pPr>
        <w:pStyle w:val="Ttulo1"/>
        <w:ind w:left="1878"/>
        <w:rPr>
          <w:rFonts w:ascii="Palatino Linotype" w:hAnsi="Palatino Linotype"/>
          <w:sz w:val="22"/>
          <w:szCs w:val="22"/>
        </w:rPr>
      </w:pPr>
    </w:p>
    <w:p w14:paraId="6D919BAD"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 el artículo 240 de la Constitución de República del Ecuador, en adelante Constitución, establece: “Los</w:t>
      </w:r>
      <w:r w:rsidRPr="00BF3EC5">
        <w:rPr>
          <w:rFonts w:ascii="Palatino Linotype" w:hAnsi="Palatino Linotype"/>
          <w:i/>
          <w:iCs/>
          <w:sz w:val="22"/>
          <w:szCs w:val="22"/>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060E3CF4" w14:textId="77777777" w:rsidR="00352D87" w:rsidRPr="00BF3EC5" w:rsidRDefault="00352D87" w:rsidP="00352D87">
      <w:pPr>
        <w:autoSpaceDE w:val="0"/>
        <w:autoSpaceDN w:val="0"/>
        <w:adjustRightInd w:val="0"/>
        <w:ind w:left="705" w:hanging="705"/>
        <w:rPr>
          <w:rFonts w:ascii="Palatino Linotype" w:hAnsi="Palatino Linotype"/>
          <w:i/>
          <w:iCs/>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el artículo 241 de la Constitución, determina: “</w:t>
      </w:r>
      <w:r w:rsidRPr="00BF3EC5">
        <w:rPr>
          <w:rFonts w:ascii="Palatino Linotype" w:hAnsi="Palatino Linotype"/>
          <w:i/>
          <w:iCs/>
          <w:sz w:val="22"/>
          <w:szCs w:val="22"/>
        </w:rPr>
        <w:t xml:space="preserve">La planificación garantizará el ordenamiento territorial y será obligatoria en todos los gobiernos autónomos descentralizados” </w:t>
      </w:r>
    </w:p>
    <w:p w14:paraId="6B450EEA" w14:textId="3AF65F0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los numerales 1,2 y 3 del artículo 264 de la Constitución, determinan que serán competencias exclusivas de los gobiernos municipales, sin perjuicio de otras que determine la ley: </w:t>
      </w:r>
      <w:r w:rsidRPr="00BF3EC5">
        <w:rPr>
          <w:rFonts w:ascii="Palatino Linotype" w:hAnsi="Palatino Linotype" w:cs="Times New Roman"/>
          <w:i/>
          <w:sz w:val="22"/>
          <w:szCs w:val="22"/>
        </w:rPr>
        <w:t xml:space="preserve">"1. </w:t>
      </w:r>
      <w:r w:rsidRPr="00BF3EC5">
        <w:rPr>
          <w:rFonts w:ascii="Palatino Linotype" w:hAnsi="Palatino Linotype" w:cs="Times New Roman"/>
          <w:i/>
          <w:iCs/>
          <w:sz w:val="22"/>
          <w:szCs w:val="22"/>
        </w:rPr>
        <w:t>Planificar el desarrollo cantonal y formular los correspondientes planes de ordenamiento territorial, de manera articulada con la planificación nacional, regional, provincial y parroquial, con el fin de regular el uso y la ocupación del suelo urbano y rural. (...); 2. Ejercer el control sobre el uso y ocupación del suelo en el cantón. (…); 3. Planificar, construir y mantener la vialidad urbana.";</w:t>
      </w:r>
    </w:p>
    <w:p w14:paraId="535A22A3"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p>
    <w:p w14:paraId="43EFBC54" w14:textId="77777777" w:rsidR="00352D87" w:rsidRPr="00BF3EC5" w:rsidRDefault="00352D87" w:rsidP="00352D87">
      <w:pPr>
        <w:autoSpaceDE w:val="0"/>
        <w:autoSpaceDN w:val="0"/>
        <w:adjustRightInd w:val="0"/>
        <w:ind w:left="709" w:hanging="709"/>
        <w:rPr>
          <w:rFonts w:ascii="Palatino Linotype" w:hAnsi="Palatino Linotype"/>
          <w:sz w:val="22"/>
          <w:szCs w:val="22"/>
        </w:rPr>
      </w:pPr>
      <w:r w:rsidRPr="00BF3EC5">
        <w:rPr>
          <w:rFonts w:ascii="Palatino Linotype" w:hAnsi="Palatino Linotype"/>
          <w:sz w:val="22"/>
          <w:szCs w:val="22"/>
        </w:rPr>
        <w:t xml:space="preserve">Que, </w:t>
      </w:r>
      <w:r w:rsidRPr="00BF3EC5">
        <w:rPr>
          <w:rFonts w:ascii="Palatino Linotype" w:hAnsi="Palatino Linotype"/>
          <w:sz w:val="22"/>
          <w:szCs w:val="22"/>
        </w:rPr>
        <w:tab/>
        <w:t xml:space="preserve">el artículo 266 de la Constitución, determina: </w:t>
      </w:r>
      <w:r w:rsidRPr="00BF3EC5">
        <w:rPr>
          <w:rFonts w:ascii="Palatino Linotype" w:hAnsi="Palatino Linotype"/>
          <w:i/>
          <w:sz w:val="22"/>
          <w:szCs w:val="22"/>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BF3EC5">
        <w:rPr>
          <w:rFonts w:ascii="Palatino Linotype" w:hAnsi="Palatino Linotype"/>
          <w:sz w:val="22"/>
          <w:szCs w:val="22"/>
        </w:rPr>
        <w:t>;</w:t>
      </w:r>
    </w:p>
    <w:p w14:paraId="5F18B8AE"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iCs/>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el artículo 85 del COOTAD, estableciendo las competencias exclusivas de los distritos metropolitanos, señala: “</w:t>
      </w:r>
      <w:r w:rsidRPr="00BF3EC5">
        <w:rPr>
          <w:rFonts w:ascii="Palatino Linotype" w:hAnsi="Palatino Linotype" w:cs="Times New Roman"/>
          <w:i/>
          <w:iCs/>
          <w:sz w:val="22"/>
          <w:szCs w:val="22"/>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14:paraId="5271E71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6BA5AAD"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 los literales a), d) y v) del artículo 87 del COOTAD, establecen como atribuciones del Concejo Metropolitano: “</w:t>
      </w:r>
      <w:r w:rsidRPr="00BF3EC5">
        <w:rPr>
          <w:rFonts w:ascii="Palatino Linotype" w:hAnsi="Palatino Linotype" w:cs="Times New Roman"/>
          <w:i/>
          <w:iCs/>
          <w:sz w:val="22"/>
          <w:szCs w:val="22"/>
        </w:rPr>
        <w:t xml:space="preserve">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w:t>
      </w:r>
      <w:r w:rsidRPr="00BF3EC5">
        <w:rPr>
          <w:rFonts w:ascii="Palatino Linotype" w:hAnsi="Palatino Linotype" w:cs="Times New Roman"/>
          <w:i/>
          <w:iCs/>
          <w:sz w:val="22"/>
          <w:szCs w:val="22"/>
        </w:rPr>
        <w:lastRenderedPageBreak/>
        <w:t>institucionales específicos o reconocer derechos particulares; (…)”; “v) Regular y controlar el uso del suelo en el territorio del distrito metropolitano, de conformidad con las leyes sobre la materia, y establecer el régimen urbanístico de la tierra”;</w:t>
      </w:r>
    </w:p>
    <w:p w14:paraId="6635A771"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336578FC"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quinto inciso del artículo 129 del Código Orgánico de Organización Territorial, en adelante "COOTAD" dispone: </w:t>
      </w:r>
      <w:r w:rsidRPr="00BF3EC5">
        <w:rPr>
          <w:rFonts w:ascii="Palatino Linotype" w:hAnsi="Palatino Linotype" w:cs="Times New Roman"/>
          <w:i/>
          <w:sz w:val="22"/>
          <w:szCs w:val="22"/>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14:paraId="56DF3AB4"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p>
    <w:p w14:paraId="4CDBFF74" w14:textId="0EB5FEC6"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el numeral 1 del artículo </w:t>
      </w:r>
      <w:r w:rsidR="00742379" w:rsidRPr="00BF3EC5">
        <w:rPr>
          <w:rFonts w:ascii="Palatino Linotype" w:hAnsi="Palatino Linotype" w:cs="Palatino Linotype"/>
          <w:bCs/>
          <w:color w:val="000000"/>
          <w:sz w:val="22"/>
          <w:szCs w:val="22"/>
        </w:rPr>
        <w:t>2191</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para el Distrito Metropolitano de Quito, en adelante Código Municipal, señala que: </w:t>
      </w:r>
      <w:r w:rsidRPr="00BF3EC5">
        <w:rPr>
          <w:rFonts w:ascii="Palatino Linotype" w:hAnsi="Palatino Linotype" w:cs="Times New Roman"/>
          <w:i/>
          <w:sz w:val="22"/>
          <w:szCs w:val="22"/>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14:paraId="2EE3ECD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7901DCED" w14:textId="792506AE"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Qu</w:t>
      </w:r>
      <w:r w:rsidR="00DB1961" w:rsidRPr="00BF3EC5">
        <w:rPr>
          <w:rFonts w:ascii="Palatino Linotype" w:hAnsi="Palatino Linotype" w:cs="Times New Roman"/>
          <w:sz w:val="22"/>
          <w:szCs w:val="22"/>
        </w:rPr>
        <w:t xml:space="preserve">e, </w:t>
      </w:r>
      <w:r w:rsidR="00DB1961" w:rsidRPr="00BF3EC5">
        <w:rPr>
          <w:rFonts w:ascii="Palatino Linotype" w:hAnsi="Palatino Linotype" w:cs="Times New Roman"/>
          <w:sz w:val="22"/>
          <w:szCs w:val="22"/>
        </w:rPr>
        <w:tab/>
        <w:t xml:space="preserve">el numeral 5 </w:t>
      </w:r>
      <w:r w:rsidR="00EE50E5" w:rsidRPr="00BF3EC5">
        <w:rPr>
          <w:rFonts w:ascii="Palatino Linotype" w:hAnsi="Palatino Linotype" w:cs="Times New Roman"/>
          <w:sz w:val="22"/>
          <w:szCs w:val="22"/>
        </w:rPr>
        <w:t>ibídem</w:t>
      </w:r>
      <w:r w:rsidRPr="00BF3EC5">
        <w:rPr>
          <w:rFonts w:ascii="Palatino Linotype" w:hAnsi="Palatino Linotype" w:cs="Times New Roman"/>
          <w:sz w:val="22"/>
          <w:szCs w:val="22"/>
        </w:rPr>
        <w:t xml:space="preserve">, señala que: </w:t>
      </w:r>
      <w:r w:rsidRPr="00BF3EC5">
        <w:rPr>
          <w:rFonts w:ascii="Palatino Linotype" w:hAnsi="Palatino Linotype" w:cs="Times New Roman"/>
          <w:i/>
          <w:sz w:val="22"/>
          <w:szCs w:val="22"/>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14:paraId="578574B8"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35DBA42A" w14:textId="10CDE038"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i/>
          <w:sz w:val="22"/>
          <w:szCs w:val="22"/>
        </w:rPr>
      </w:pPr>
      <w:r w:rsidRPr="00BF3EC5">
        <w:rPr>
          <w:rFonts w:ascii="Palatino Linotype" w:hAnsi="Palatino Linotype" w:cs="Times New Roman"/>
          <w:sz w:val="22"/>
          <w:szCs w:val="22"/>
        </w:rPr>
        <w:t xml:space="preserve">Que, el artículo </w:t>
      </w:r>
      <w:r w:rsidR="00742379" w:rsidRPr="00BF3EC5">
        <w:rPr>
          <w:rFonts w:ascii="Palatino Linotype" w:hAnsi="Palatino Linotype" w:cs="Times New Roman"/>
          <w:sz w:val="22"/>
          <w:szCs w:val="22"/>
        </w:rPr>
        <w:t>2192</w:t>
      </w:r>
      <w:r w:rsidR="00DB1961" w:rsidRPr="00BF3EC5">
        <w:rPr>
          <w:rFonts w:ascii="Palatino Linotype" w:hAnsi="Palatino Linotype" w:cs="Times New Roman"/>
          <w:sz w:val="22"/>
          <w:szCs w:val="22"/>
        </w:rPr>
        <w:t xml:space="preserve"> </w:t>
      </w:r>
      <w:r w:rsidRPr="00BF3EC5">
        <w:rPr>
          <w:rFonts w:ascii="Palatino Linotype" w:hAnsi="Palatino Linotype" w:cs="Times New Roman"/>
          <w:sz w:val="22"/>
          <w:szCs w:val="22"/>
        </w:rPr>
        <w:t xml:space="preserve">del Código Municipal, determina: </w:t>
      </w:r>
      <w:r w:rsidRPr="00BF3EC5">
        <w:rPr>
          <w:rFonts w:ascii="Palatino Linotype" w:hAnsi="Palatino Linotype" w:cs="Times New Roman"/>
          <w:i/>
          <w:sz w:val="22"/>
          <w:szCs w:val="22"/>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14:paraId="4635B99F" w14:textId="77777777" w:rsidR="00352D87" w:rsidRPr="00BF3EC5" w:rsidRDefault="00352D87" w:rsidP="00352D87">
      <w:pPr>
        <w:autoSpaceDE w:val="0"/>
        <w:autoSpaceDN w:val="0"/>
        <w:adjustRightInd w:val="0"/>
        <w:spacing w:after="0" w:line="240" w:lineRule="auto"/>
        <w:ind w:left="709" w:hanging="709"/>
        <w:rPr>
          <w:rFonts w:ascii="Palatino Linotype" w:hAnsi="Palatino Linotype" w:cs="Times New Roman"/>
          <w:sz w:val="22"/>
          <w:szCs w:val="22"/>
        </w:rPr>
      </w:pPr>
    </w:p>
    <w:p w14:paraId="2B830B9F" w14:textId="42D15BBA" w:rsidR="00B6599A" w:rsidRDefault="00B6599A" w:rsidP="005302DC">
      <w:pPr>
        <w:ind w:left="709" w:hanging="709"/>
        <w:rPr>
          <w:rFonts w:ascii="Palatino Linotype" w:hAnsi="Palatino Linotype" w:cs="Times New Roman"/>
          <w:sz w:val="22"/>
          <w:szCs w:val="22"/>
        </w:rPr>
      </w:pPr>
      <w:r w:rsidRPr="00BF3EC5">
        <w:rPr>
          <w:rFonts w:ascii="Palatino Linotype" w:hAnsi="Palatino Linotype" w:cs="Times New Roman"/>
          <w:sz w:val="22"/>
          <w:szCs w:val="22"/>
        </w:rPr>
        <w:t xml:space="preserve">Que, </w:t>
      </w:r>
      <w:r w:rsidRPr="00BF3EC5">
        <w:rPr>
          <w:rFonts w:ascii="Palatino Linotype" w:hAnsi="Palatino Linotype" w:cs="Times New Roman"/>
          <w:sz w:val="22"/>
          <w:szCs w:val="22"/>
        </w:rPr>
        <w:tab/>
        <w:t xml:space="preserve">conforme la Resolución Nro. 062-CUS-2022, en el que manifiesta: “(…) </w:t>
      </w:r>
      <w:r w:rsidRPr="00BF3EC5">
        <w:rPr>
          <w:rStyle w:val="nfasis"/>
          <w:rFonts w:ascii="Palatino Linotype" w:hAnsi="Palatino Linotype" w:cs="Times New Roman"/>
          <w:sz w:val="22"/>
          <w:szCs w:val="22"/>
        </w:rPr>
        <w:t xml:space="preserve">La Comisión de Uso de Suelo en sesión extraordinaria Nro. 166 de 21 de septiembre de 2022, durante el tratamiento del tercer punto del orden del día sobre el “Conocimiento del informe y criterio legal emitido por la Procuraduría Metropolitana, respecto de la metodología y el instrumento  correspondiente,  para  la  aprobación  de  regularizaciones  viales”, determinó los siguientes casos de trazados viales: Primer caso: Trazados viales que cumplen las Normas de  Arquitectura  y  Urbanismo. Segundo caso: Trazados viales modificatorios donde la modificación </w:t>
      </w:r>
      <w:r w:rsidRPr="00BF3EC5">
        <w:rPr>
          <w:rStyle w:val="nfasis"/>
          <w:rFonts w:ascii="Palatino Linotype" w:hAnsi="Palatino Linotype" w:cs="Times New Roman"/>
          <w:sz w:val="22"/>
          <w:szCs w:val="22"/>
        </w:rPr>
        <w:lastRenderedPageBreak/>
        <w:t>no entraña violación a las Normas de Arquitectura y Urbanismo. Tercer caso: Trazados  viales  que  entrañan modificación  a  las  Normas  de  Arquitectura  y Urbanismo; y, resolvió: que para los 3 casos específicos de aprobaciones de vías se proceda de la siguiente manera:   Los  dos  primeros  casos, que  cumplen  los  parámetros  establecidos  en  las  Normas  de Arquitectura y Urbanismo, se aprobarán a través de resolución;   Y, los casos que no se sujetan a las Normas de Arquitectura y Urbanismo, que constituyan casos de regularización vial, se aprobarán a través de ordenanza</w:t>
      </w:r>
      <w:r w:rsidRPr="00BF3EC5">
        <w:rPr>
          <w:rFonts w:ascii="Palatino Linotype" w:hAnsi="Palatino Linotype" w:cs="Times New Roman"/>
          <w:sz w:val="22"/>
          <w:szCs w:val="22"/>
        </w:rPr>
        <w:t>”.</w:t>
      </w:r>
    </w:p>
    <w:p w14:paraId="611955FC" w14:textId="7780B790" w:rsidR="00585E42" w:rsidRDefault="00744DF9" w:rsidP="00896E14">
      <w:pPr>
        <w:ind w:left="709" w:hanging="709"/>
        <w:rPr>
          <w:rFonts w:ascii="Palatino Linotype" w:hAnsi="Palatino Linotype" w:cs="Times New Roman"/>
          <w:sz w:val="22"/>
          <w:szCs w:val="22"/>
        </w:rPr>
      </w:pPr>
      <w:r w:rsidRPr="002F02A8">
        <w:rPr>
          <w:rFonts w:ascii="Palatino Linotype" w:hAnsi="Palatino Linotype" w:cs="Times New Roman"/>
          <w:iCs/>
          <w:sz w:val="22"/>
          <w:szCs w:val="22"/>
        </w:rPr>
        <w:t xml:space="preserve">Que, </w:t>
      </w:r>
      <w:r w:rsidRPr="002F02A8">
        <w:rPr>
          <w:rFonts w:ascii="Palatino Linotype" w:hAnsi="Palatino Linotype" w:cs="Times New Roman"/>
          <w:sz w:val="22"/>
          <w:szCs w:val="22"/>
        </w:rPr>
        <w:tab/>
      </w:r>
      <w:r w:rsidR="00585E42">
        <w:rPr>
          <w:rFonts w:ascii="Palatino Linotype" w:hAnsi="Palatino Linotype" w:cs="Times New Roman"/>
          <w:sz w:val="22"/>
          <w:szCs w:val="22"/>
        </w:rPr>
        <w:t xml:space="preserve">mediante </w:t>
      </w:r>
      <w:r w:rsidR="00585E42" w:rsidRPr="002F02A8">
        <w:rPr>
          <w:rFonts w:ascii="Palatino Linotype" w:hAnsi="Palatino Linotype" w:cs="Times New Roman"/>
          <w:sz w:val="22"/>
          <w:szCs w:val="22"/>
        </w:rPr>
        <w:t>informe técnico Nro.</w:t>
      </w:r>
      <w:r w:rsidR="00585E42" w:rsidRPr="002F02A8">
        <w:rPr>
          <w:rFonts w:ascii="Palatino Linotype" w:hAnsi="Palatino Linotype"/>
          <w:sz w:val="22"/>
          <w:szCs w:val="22"/>
        </w:rPr>
        <w:t xml:space="preserve"> </w:t>
      </w:r>
      <w:r w:rsidR="00DB0B04">
        <w:rPr>
          <w:rFonts w:ascii="Palatino Linotype" w:hAnsi="Palatino Linotype"/>
          <w:sz w:val="22"/>
          <w:szCs w:val="22"/>
        </w:rPr>
        <w:t>DGT-UOP-</w:t>
      </w:r>
      <w:r w:rsidR="00896E14">
        <w:rPr>
          <w:rFonts w:ascii="Palatino Linotype" w:hAnsi="Palatino Linotype"/>
          <w:sz w:val="22"/>
          <w:szCs w:val="22"/>
        </w:rPr>
        <w:t>JLG-</w:t>
      </w:r>
      <w:r w:rsidR="00DB0B04">
        <w:rPr>
          <w:rFonts w:ascii="Palatino Linotype" w:hAnsi="Palatino Linotype"/>
          <w:sz w:val="22"/>
          <w:szCs w:val="22"/>
        </w:rPr>
        <w:t>2022-0</w:t>
      </w:r>
      <w:r w:rsidR="00896E14">
        <w:rPr>
          <w:rFonts w:ascii="Palatino Linotype" w:hAnsi="Palatino Linotype"/>
          <w:sz w:val="22"/>
          <w:szCs w:val="22"/>
        </w:rPr>
        <w:t>0</w:t>
      </w:r>
      <w:r w:rsidR="00DB0B04">
        <w:rPr>
          <w:rFonts w:ascii="Palatino Linotype" w:hAnsi="Palatino Linotype"/>
          <w:sz w:val="22"/>
          <w:szCs w:val="22"/>
        </w:rPr>
        <w:t>2</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w:t>
      </w:r>
      <w:r w:rsidR="00896E14">
        <w:rPr>
          <w:rFonts w:ascii="Palatino Linotype" w:hAnsi="Palatino Linotype" w:cs="Times New Roman"/>
          <w:sz w:val="22"/>
          <w:szCs w:val="22"/>
        </w:rPr>
        <w:t>14</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w:t>
      </w:r>
      <w:r w:rsidR="00896E14">
        <w:rPr>
          <w:rFonts w:ascii="Palatino Linotype" w:hAnsi="Palatino Linotype" w:cs="Times New Roman"/>
          <w:sz w:val="22"/>
          <w:szCs w:val="22"/>
        </w:rPr>
        <w:t>dic</w:t>
      </w:r>
      <w:r w:rsidR="00DB0B04">
        <w:rPr>
          <w:rFonts w:ascii="Palatino Linotype" w:hAnsi="Palatino Linotype" w:cs="Times New Roman"/>
          <w:sz w:val="22"/>
          <w:szCs w:val="22"/>
        </w:rPr>
        <w:t>iembre</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 xml:space="preserve">de 2022, </w:t>
      </w:r>
      <w:r w:rsidR="00896E14">
        <w:rPr>
          <w:rFonts w:ascii="Palatino Linotype" w:hAnsi="Palatino Linotype" w:cs="Times New Roman"/>
          <w:sz w:val="22"/>
          <w:szCs w:val="22"/>
        </w:rPr>
        <w:t>e</w:t>
      </w:r>
      <w:r w:rsidR="00585E42">
        <w:rPr>
          <w:rFonts w:ascii="Palatino Linotype" w:hAnsi="Palatino Linotype" w:cs="Times New Roman"/>
          <w:sz w:val="22"/>
          <w:szCs w:val="22"/>
        </w:rPr>
        <w:t xml:space="preserve">l </w:t>
      </w:r>
      <w:r w:rsidR="00896E14">
        <w:rPr>
          <w:rFonts w:ascii="Palatino Linotype" w:hAnsi="Palatino Linotype" w:cs="Times New Roman"/>
          <w:sz w:val="22"/>
          <w:szCs w:val="22"/>
        </w:rPr>
        <w:t>Arq. Jorge Luis Guano Guala</w:t>
      </w:r>
      <w:r w:rsidR="00585E42" w:rsidRPr="002F02A8">
        <w:rPr>
          <w:rFonts w:ascii="Palatino Linotype" w:hAnsi="Palatino Linotype" w:cs="Times New Roman"/>
          <w:sz w:val="22"/>
          <w:szCs w:val="22"/>
        </w:rPr>
        <w:t xml:space="preserve">, responsable de la Unidad de </w:t>
      </w:r>
      <w:r w:rsidR="00DB0B04">
        <w:rPr>
          <w:rFonts w:ascii="Palatino Linotype" w:hAnsi="Palatino Linotype" w:cs="Times New Roman"/>
          <w:sz w:val="22"/>
          <w:szCs w:val="22"/>
        </w:rPr>
        <w:t>Obras Públicas</w:t>
      </w:r>
      <w:r w:rsidR="00896E14">
        <w:rPr>
          <w:rFonts w:ascii="Palatino Linotype" w:hAnsi="Palatino Linotype" w:cs="Times New Roman"/>
          <w:sz w:val="22"/>
          <w:szCs w:val="22"/>
        </w:rPr>
        <w:t xml:space="preserve"> (s)</w:t>
      </w:r>
      <w:r w:rsidR="00DB0B04">
        <w:rPr>
          <w:rFonts w:ascii="Palatino Linotype" w:hAnsi="Palatino Linotype" w:cs="Times New Roman"/>
          <w:sz w:val="22"/>
          <w:szCs w:val="22"/>
        </w:rPr>
        <w:t>,</w:t>
      </w:r>
      <w:r w:rsidR="00585E42">
        <w:rPr>
          <w:rFonts w:ascii="Palatino Linotype" w:hAnsi="Palatino Linotype" w:cs="Times New Roman"/>
          <w:sz w:val="22"/>
          <w:szCs w:val="22"/>
        </w:rPr>
        <w:t xml:space="preserve"> </w:t>
      </w:r>
      <w:r w:rsidR="00585E42" w:rsidRPr="002F02A8">
        <w:rPr>
          <w:rFonts w:ascii="Palatino Linotype" w:hAnsi="Palatino Linotype" w:cs="Times New Roman"/>
          <w:sz w:val="22"/>
          <w:szCs w:val="22"/>
        </w:rPr>
        <w:t>de la Administración Zonal</w:t>
      </w:r>
      <w:r w:rsidR="00DB0B04">
        <w:rPr>
          <w:rFonts w:ascii="Palatino Linotype" w:hAnsi="Palatino Linotype" w:cs="Times New Roman"/>
          <w:sz w:val="22"/>
          <w:szCs w:val="22"/>
        </w:rPr>
        <w:t xml:space="preserve"> Eloy Alfaro</w:t>
      </w:r>
      <w:r w:rsidR="00585E42" w:rsidRPr="002F02A8">
        <w:rPr>
          <w:rFonts w:ascii="Palatino Linotype" w:hAnsi="Palatino Linotype" w:cs="Times New Roman"/>
          <w:sz w:val="22"/>
          <w:szCs w:val="22"/>
        </w:rPr>
        <w:t xml:space="preserve">, </w:t>
      </w:r>
      <w:r w:rsidR="00585E42">
        <w:rPr>
          <w:rFonts w:ascii="Palatino Linotype" w:hAnsi="Palatino Linotype" w:cs="Times New Roman"/>
          <w:sz w:val="22"/>
          <w:szCs w:val="22"/>
        </w:rPr>
        <w:t>señala</w:t>
      </w:r>
      <w:r w:rsidR="00585E42" w:rsidRPr="002F02A8">
        <w:rPr>
          <w:rFonts w:ascii="Palatino Linotype" w:hAnsi="Palatino Linotype" w:cs="Times New Roman"/>
          <w:sz w:val="22"/>
          <w:szCs w:val="22"/>
        </w:rPr>
        <w:t>: “(…)</w:t>
      </w:r>
      <w:r w:rsidR="00DB0B04">
        <w:rPr>
          <w:rFonts w:ascii="Palatino Linotype" w:hAnsi="Palatino Linotype" w:cs="Times New Roman"/>
          <w:sz w:val="22"/>
          <w:szCs w:val="22"/>
        </w:rPr>
        <w:t xml:space="preserve"> </w:t>
      </w:r>
      <w:r w:rsidR="00896E14">
        <w:rPr>
          <w:rFonts w:ascii="Palatino Linotype" w:hAnsi="Palatino Linotype" w:cs="Times New Roman"/>
          <w:sz w:val="22"/>
          <w:szCs w:val="22"/>
        </w:rPr>
        <w:t xml:space="preserve">Por lo tanto, se concluye con </w:t>
      </w:r>
      <w:r w:rsidR="00DB0B04" w:rsidRPr="00DB0B04">
        <w:rPr>
          <w:rFonts w:ascii="Palatino Linotype" w:hAnsi="Palatino Linotype" w:cs="Times New Roman"/>
          <w:sz w:val="22"/>
          <w:szCs w:val="22"/>
        </w:rPr>
        <w:t>CRITERIO TÉCNICO FAVORABLE para que se proceda</w:t>
      </w:r>
      <w:r w:rsidR="00896E14">
        <w:rPr>
          <w:rFonts w:ascii="Palatino Linotype" w:hAnsi="Palatino Linotype" w:cs="Times New Roman"/>
          <w:sz w:val="22"/>
          <w:szCs w:val="22"/>
        </w:rPr>
        <w:t xml:space="preserve"> conforme corresponda con la modificación de la propuesta del trazado vial detallada; salvo diversa decisión del Concejo Metropolitano de Quito (…)</w:t>
      </w:r>
      <w:r w:rsidR="00585E42" w:rsidRPr="002F02A8">
        <w:rPr>
          <w:rFonts w:ascii="Palatino Linotype" w:hAnsi="Palatino Linotype" w:cs="Times New Roman"/>
          <w:sz w:val="22"/>
          <w:szCs w:val="22"/>
        </w:rPr>
        <w:t>”;</w:t>
      </w:r>
    </w:p>
    <w:p w14:paraId="24048D60" w14:textId="26CA3C00" w:rsidR="00585E42" w:rsidRPr="002F02A8" w:rsidRDefault="00585E42" w:rsidP="00585E42">
      <w:pPr>
        <w:ind w:left="708" w:hanging="708"/>
        <w:rPr>
          <w:rFonts w:ascii="Palatino Linotype" w:hAnsi="Palatino Linotype" w:cs="Times New Roman"/>
          <w:sz w:val="22"/>
          <w:szCs w:val="22"/>
        </w:rPr>
      </w:pPr>
      <w:r w:rsidRPr="002F02A8">
        <w:rPr>
          <w:rFonts w:ascii="Palatino Linotype" w:hAnsi="Palatino Linotype" w:cs="Times New Roman"/>
          <w:sz w:val="22"/>
          <w:szCs w:val="22"/>
        </w:rPr>
        <w:t xml:space="preserve">Que, </w:t>
      </w:r>
      <w:r>
        <w:rPr>
          <w:rFonts w:ascii="Palatino Linotype" w:hAnsi="Palatino Linotype" w:cs="Times New Roman"/>
          <w:sz w:val="22"/>
          <w:szCs w:val="22"/>
        </w:rPr>
        <w:t xml:space="preserve">mediante </w:t>
      </w:r>
      <w:r w:rsidRPr="002F02A8">
        <w:rPr>
          <w:rFonts w:ascii="Palatino Linotype" w:hAnsi="Palatino Linotype" w:cs="Times New Roman"/>
          <w:sz w:val="22"/>
          <w:szCs w:val="22"/>
        </w:rPr>
        <w:t xml:space="preserve">informe </w:t>
      </w:r>
      <w:r>
        <w:rPr>
          <w:rFonts w:ascii="Palatino Linotype" w:hAnsi="Palatino Linotype" w:cs="Times New Roman"/>
          <w:sz w:val="22"/>
          <w:szCs w:val="22"/>
        </w:rPr>
        <w:t xml:space="preserve">legal </w:t>
      </w:r>
      <w:r w:rsidRPr="002F02A8">
        <w:rPr>
          <w:rFonts w:ascii="Palatino Linotype" w:hAnsi="Palatino Linotype" w:cs="Times New Roman"/>
          <w:sz w:val="22"/>
          <w:szCs w:val="22"/>
        </w:rPr>
        <w:t>Nro.</w:t>
      </w:r>
      <w:r w:rsidR="000B5800">
        <w:rPr>
          <w:rFonts w:ascii="Palatino Linotype" w:hAnsi="Palatino Linotype" w:cs="Times New Roman"/>
          <w:sz w:val="22"/>
          <w:szCs w:val="22"/>
        </w:rPr>
        <w:t xml:space="preserve"> GADDMQ-AZEA-DJ-2022-</w:t>
      </w:r>
      <w:r w:rsidR="00896E14">
        <w:rPr>
          <w:rFonts w:ascii="Palatino Linotype" w:hAnsi="Palatino Linotype" w:cs="Times New Roman"/>
          <w:sz w:val="22"/>
          <w:szCs w:val="22"/>
        </w:rPr>
        <w:t>0312-</w:t>
      </w:r>
      <w:r w:rsidR="000B5800">
        <w:rPr>
          <w:rFonts w:ascii="Palatino Linotype" w:hAnsi="Palatino Linotype" w:cs="Times New Roman"/>
          <w:sz w:val="22"/>
          <w:szCs w:val="22"/>
        </w:rPr>
        <w:t>M</w:t>
      </w:r>
      <w:r>
        <w:rPr>
          <w:rFonts w:ascii="Palatino Linotype" w:hAnsi="Palatino Linotype" w:cs="Times New Roman"/>
          <w:sz w:val="22"/>
          <w:szCs w:val="22"/>
        </w:rPr>
        <w:t xml:space="preserve">, </w:t>
      </w:r>
      <w:r w:rsidRPr="002F02A8">
        <w:rPr>
          <w:rFonts w:ascii="Palatino Linotype" w:hAnsi="Palatino Linotype" w:cs="Times New Roman"/>
          <w:sz w:val="22"/>
          <w:szCs w:val="22"/>
        </w:rPr>
        <w:t>de</w:t>
      </w:r>
      <w:r w:rsidR="000B5800">
        <w:rPr>
          <w:rFonts w:ascii="Palatino Linotype" w:hAnsi="Palatino Linotype" w:cs="Times New Roman"/>
          <w:sz w:val="22"/>
          <w:szCs w:val="22"/>
        </w:rPr>
        <w:t xml:space="preserve"> </w:t>
      </w:r>
      <w:r w:rsidR="00896E14">
        <w:rPr>
          <w:rFonts w:ascii="Palatino Linotype" w:hAnsi="Palatino Linotype" w:cs="Times New Roman"/>
          <w:sz w:val="22"/>
          <w:szCs w:val="22"/>
        </w:rPr>
        <w:t>15</w:t>
      </w:r>
      <w:r w:rsidR="000B5800">
        <w:rPr>
          <w:rFonts w:ascii="Palatino Linotype" w:hAnsi="Palatino Linotype" w:cs="Times New Roman"/>
          <w:sz w:val="22"/>
          <w:szCs w:val="22"/>
        </w:rPr>
        <w:t xml:space="preserve"> de </w:t>
      </w:r>
      <w:r w:rsidR="00896E14">
        <w:rPr>
          <w:rFonts w:ascii="Palatino Linotype" w:hAnsi="Palatino Linotype" w:cs="Times New Roman"/>
          <w:sz w:val="22"/>
          <w:szCs w:val="22"/>
        </w:rPr>
        <w:t>diciembre</w:t>
      </w:r>
      <w:r w:rsidR="000B5800">
        <w:rPr>
          <w:rFonts w:ascii="Palatino Linotype" w:hAnsi="Palatino Linotype" w:cs="Times New Roman"/>
          <w:sz w:val="22"/>
          <w:szCs w:val="22"/>
        </w:rPr>
        <w:t xml:space="preserve"> del 2022</w:t>
      </w:r>
      <w:r w:rsidRPr="002F02A8">
        <w:rPr>
          <w:rFonts w:ascii="Palatino Linotype" w:hAnsi="Palatino Linotype" w:cs="Times New Roman"/>
          <w:sz w:val="22"/>
          <w:szCs w:val="22"/>
        </w:rPr>
        <w:t xml:space="preserve">, </w:t>
      </w:r>
      <w:r>
        <w:rPr>
          <w:rFonts w:ascii="Palatino Linotype" w:hAnsi="Palatino Linotype" w:cs="Times New Roman"/>
          <w:sz w:val="22"/>
          <w:szCs w:val="22"/>
        </w:rPr>
        <w:t xml:space="preserve">el Ab. </w:t>
      </w:r>
      <w:r w:rsidR="00896E14">
        <w:rPr>
          <w:rFonts w:ascii="Palatino Linotype" w:hAnsi="Palatino Linotype" w:cs="Times New Roman"/>
          <w:sz w:val="22"/>
          <w:szCs w:val="22"/>
        </w:rPr>
        <w:t>Oscar A. Jumbo J.</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Director de Asesoría Jurídica</w:t>
      </w:r>
      <w:r w:rsidR="00896E14">
        <w:rPr>
          <w:rFonts w:ascii="Palatino Linotype" w:hAnsi="Palatino Linotype" w:cs="Times New Roman"/>
          <w:sz w:val="22"/>
          <w:szCs w:val="22"/>
        </w:rPr>
        <w:t xml:space="preserve"> (s)</w:t>
      </w:r>
      <w:r w:rsidR="000B5800">
        <w:rPr>
          <w:rFonts w:ascii="Palatino Linotype" w:hAnsi="Palatino Linotype" w:cs="Times New Roman"/>
          <w:sz w:val="22"/>
          <w:szCs w:val="22"/>
        </w:rPr>
        <w:t>,</w:t>
      </w:r>
      <w:r w:rsidRPr="002F02A8">
        <w:rPr>
          <w:rFonts w:ascii="Palatino Linotype" w:hAnsi="Palatino Linotype" w:cs="Times New Roman"/>
          <w:sz w:val="22"/>
          <w:szCs w:val="22"/>
        </w:rPr>
        <w:t xml:space="preserve"> </w:t>
      </w:r>
      <w:r w:rsidR="000B5800">
        <w:rPr>
          <w:rFonts w:ascii="Palatino Linotype" w:hAnsi="Palatino Linotype" w:cs="Times New Roman"/>
          <w:sz w:val="22"/>
          <w:szCs w:val="22"/>
        </w:rPr>
        <w:t>d</w:t>
      </w:r>
      <w:r w:rsidRPr="002F02A8">
        <w:rPr>
          <w:rFonts w:ascii="Palatino Linotype" w:hAnsi="Palatino Linotype" w:cs="Times New Roman"/>
          <w:sz w:val="22"/>
          <w:szCs w:val="22"/>
        </w:rPr>
        <w:t xml:space="preserve">e la Administración Zonal </w:t>
      </w:r>
      <w:r w:rsidR="000B5800">
        <w:rPr>
          <w:rFonts w:ascii="Palatino Linotype" w:hAnsi="Palatino Linotype" w:cs="Times New Roman"/>
          <w:sz w:val="22"/>
          <w:szCs w:val="22"/>
        </w:rPr>
        <w:t>Eloy Alfaro</w:t>
      </w:r>
      <w:r w:rsidRPr="002F02A8">
        <w:rPr>
          <w:rFonts w:ascii="Palatino Linotype" w:hAnsi="Palatino Linotype" w:cs="Times New Roman"/>
          <w:sz w:val="22"/>
          <w:szCs w:val="22"/>
        </w:rPr>
        <w:t xml:space="preserve">, </w:t>
      </w:r>
      <w:r>
        <w:rPr>
          <w:rFonts w:ascii="Palatino Linotype" w:hAnsi="Palatino Linotype" w:cs="Times New Roman"/>
          <w:sz w:val="22"/>
          <w:szCs w:val="22"/>
        </w:rPr>
        <w:t>señala</w:t>
      </w:r>
      <w:r w:rsidRPr="002F02A8">
        <w:rPr>
          <w:rFonts w:ascii="Palatino Linotype" w:hAnsi="Palatino Linotype" w:cs="Times New Roman"/>
          <w:sz w:val="22"/>
          <w:szCs w:val="22"/>
        </w:rPr>
        <w:t>: “(…)</w:t>
      </w:r>
      <w:r w:rsidR="00656643">
        <w:rPr>
          <w:rFonts w:ascii="Palatino Linotype" w:hAnsi="Palatino Linotype" w:cs="Times New Roman"/>
          <w:sz w:val="22"/>
          <w:szCs w:val="22"/>
        </w:rPr>
        <w:t xml:space="preserve"> </w:t>
      </w:r>
      <w:r w:rsidR="00656643" w:rsidRPr="00656643">
        <w:rPr>
          <w:rFonts w:ascii="Palatino Linotype" w:hAnsi="Palatino Linotype" w:cs="Times New Roman"/>
          <w:sz w:val="22"/>
          <w:szCs w:val="22"/>
        </w:rPr>
        <w:t>la Dirección de Asesoría Jurídica, emite INFORME LEGAL FAVORABLE para la Aprobación de la Regularización del Trazado Vial de las calles “</w:t>
      </w:r>
      <w:r w:rsidR="00896E14">
        <w:rPr>
          <w:rFonts w:ascii="Palatino Linotype" w:hAnsi="Palatino Linotype" w:cs="Times New Roman"/>
          <w:sz w:val="22"/>
          <w:szCs w:val="22"/>
        </w:rPr>
        <w:t xml:space="preserve">Oe2B desde S22 </w:t>
      </w:r>
      <w:proofErr w:type="spellStart"/>
      <w:r w:rsidR="00896E14">
        <w:rPr>
          <w:rFonts w:ascii="Palatino Linotype" w:hAnsi="Palatino Linotype" w:cs="Times New Roman"/>
          <w:sz w:val="22"/>
          <w:szCs w:val="22"/>
        </w:rPr>
        <w:t>Ayapamba</w:t>
      </w:r>
      <w:proofErr w:type="spellEnd"/>
      <w:r w:rsidR="00896E14">
        <w:rPr>
          <w:rFonts w:ascii="Palatino Linotype" w:hAnsi="Palatino Linotype" w:cs="Times New Roman"/>
          <w:sz w:val="22"/>
          <w:szCs w:val="22"/>
        </w:rPr>
        <w:t xml:space="preserve"> hasta S23F; y, calle S23F desde Oe2B hasta Oe2E</w:t>
      </w:r>
      <w:r w:rsidR="00656643" w:rsidRPr="00656643">
        <w:rPr>
          <w:rFonts w:ascii="Palatino Linotype" w:hAnsi="Palatino Linotype" w:cs="Times New Roman"/>
          <w:sz w:val="22"/>
          <w:szCs w:val="22"/>
        </w:rPr>
        <w:t>”</w:t>
      </w:r>
      <w:r w:rsidR="00656643">
        <w:rPr>
          <w:rFonts w:ascii="Palatino Linotype" w:hAnsi="Palatino Linotype" w:cs="Times New Roman"/>
          <w:sz w:val="22"/>
          <w:szCs w:val="22"/>
        </w:rPr>
        <w:t>. Seguidamente manifiesta (…)</w:t>
      </w:r>
      <w:r w:rsidR="00F51AC9">
        <w:rPr>
          <w:rFonts w:ascii="Palatino Linotype" w:hAnsi="Palatino Linotype" w:cs="Times New Roman"/>
          <w:sz w:val="22"/>
          <w:szCs w:val="22"/>
        </w:rPr>
        <w:t xml:space="preserve"> </w:t>
      </w:r>
      <w:r w:rsidR="00565DE4" w:rsidRPr="00565DE4">
        <w:rPr>
          <w:rFonts w:ascii="Palatino Linotype" w:hAnsi="Palatino Linotype" w:cs="Times New Roman"/>
          <w:sz w:val="22"/>
          <w:szCs w:val="22"/>
        </w:rPr>
        <w:t>Es necesario indicar que el Concejo Metropolitano, deberá tomar la decisión de última instancia</w:t>
      </w:r>
      <w:r w:rsidR="00565DE4">
        <w:rPr>
          <w:rFonts w:ascii="Palatino Linotype" w:hAnsi="Palatino Linotype" w:cs="Times New Roman"/>
          <w:sz w:val="22"/>
          <w:szCs w:val="22"/>
        </w:rPr>
        <w:t xml:space="preserve"> (…)</w:t>
      </w:r>
      <w:r w:rsidRPr="002F02A8">
        <w:rPr>
          <w:rFonts w:ascii="Palatino Linotype" w:hAnsi="Palatino Linotype" w:cs="Times New Roman"/>
          <w:sz w:val="22"/>
          <w:szCs w:val="22"/>
        </w:rPr>
        <w:t>”;</w:t>
      </w:r>
    </w:p>
    <w:p w14:paraId="7038B416" w14:textId="5A714553" w:rsidR="00585E42" w:rsidRPr="002F02A8" w:rsidRDefault="00585E42" w:rsidP="00585E42">
      <w:pPr>
        <w:autoSpaceDE w:val="0"/>
        <w:autoSpaceDN w:val="0"/>
        <w:adjustRightInd w:val="0"/>
        <w:ind w:left="709" w:hanging="709"/>
        <w:rPr>
          <w:rFonts w:ascii="Palatino Linotype" w:hAnsi="Palatino Linotype"/>
          <w:sz w:val="22"/>
          <w:szCs w:val="22"/>
        </w:rPr>
      </w:pPr>
      <w:r w:rsidRPr="002F02A8">
        <w:rPr>
          <w:rFonts w:ascii="Palatino Linotype" w:hAnsi="Palatino Linotype"/>
          <w:sz w:val="22"/>
          <w:szCs w:val="22"/>
        </w:rPr>
        <w:t xml:space="preserve">Que, </w:t>
      </w:r>
      <w:r w:rsidRPr="002F02A8">
        <w:rPr>
          <w:rFonts w:ascii="Palatino Linotype" w:hAnsi="Palatino Linotype"/>
          <w:sz w:val="22"/>
          <w:szCs w:val="22"/>
        </w:rPr>
        <w:tab/>
        <w:t>la Comisión de Uso de Suelo en sesión ordinaria Nro.</w:t>
      </w:r>
      <w:r w:rsidR="00F51AC9">
        <w:rPr>
          <w:rFonts w:ascii="Palatino Linotype" w:hAnsi="Palatino Linotype"/>
          <w:sz w:val="22"/>
          <w:szCs w:val="22"/>
        </w:rPr>
        <w:t xml:space="preserve"> 166</w:t>
      </w:r>
      <w:r w:rsidRPr="002F02A8">
        <w:rPr>
          <w:rFonts w:ascii="Palatino Linotype" w:hAnsi="Palatino Linotype"/>
          <w:sz w:val="22"/>
          <w:szCs w:val="22"/>
        </w:rPr>
        <w:t xml:space="preserve">, de </w:t>
      </w:r>
      <w:r>
        <w:rPr>
          <w:rFonts w:ascii="Palatino Linotype" w:hAnsi="Palatino Linotype"/>
          <w:sz w:val="22"/>
          <w:szCs w:val="22"/>
        </w:rPr>
        <w:t xml:space="preserve">XX </w:t>
      </w:r>
      <w:r w:rsidRPr="002F02A8">
        <w:rPr>
          <w:rFonts w:ascii="Palatino Linotype" w:hAnsi="Palatino Linotype"/>
          <w:sz w:val="22"/>
          <w:szCs w:val="22"/>
        </w:rPr>
        <w:t xml:space="preserve">de </w:t>
      </w:r>
      <w:r>
        <w:rPr>
          <w:rFonts w:ascii="Palatino Linotype" w:hAnsi="Palatino Linotype"/>
          <w:sz w:val="22"/>
          <w:szCs w:val="22"/>
        </w:rPr>
        <w:t xml:space="preserve">XX </w:t>
      </w:r>
      <w:r w:rsidRPr="002F02A8">
        <w:rPr>
          <w:rFonts w:ascii="Palatino Linotype" w:hAnsi="Palatino Linotype"/>
          <w:sz w:val="22"/>
          <w:szCs w:val="22"/>
        </w:rPr>
        <w:t>de 202</w:t>
      </w:r>
      <w:r w:rsidR="00896E14">
        <w:rPr>
          <w:rFonts w:ascii="Palatino Linotype" w:hAnsi="Palatino Linotype"/>
          <w:sz w:val="22"/>
          <w:szCs w:val="22"/>
        </w:rPr>
        <w:t>3</w:t>
      </w:r>
      <w:r w:rsidRPr="002F02A8">
        <w:rPr>
          <w:rFonts w:ascii="Palatino Linotype" w:hAnsi="Palatino Linotype"/>
          <w:sz w:val="22"/>
          <w:szCs w:val="22"/>
        </w:rPr>
        <w:t xml:space="preserve">, analizó los informes técnicos y legales que reposan en el expediente, y </w:t>
      </w:r>
      <w:r w:rsidRPr="002F02A8">
        <w:rPr>
          <w:rFonts w:ascii="Palatino Linotype" w:hAnsi="Palatino Linotype" w:cs="Times New Roman"/>
          <w:sz w:val="22"/>
          <w:szCs w:val="22"/>
        </w:rPr>
        <w:t xml:space="preserve">emitió dictamen para conocimiento del Concejo Metropolitano de Quito; </w:t>
      </w:r>
    </w:p>
    <w:p w14:paraId="4A619452" w14:textId="53FE5E17" w:rsidR="00585E42" w:rsidRPr="002F02A8" w:rsidRDefault="00585E42" w:rsidP="00585E42">
      <w:pPr>
        <w:autoSpaceDE w:val="0"/>
        <w:autoSpaceDN w:val="0"/>
        <w:adjustRightInd w:val="0"/>
        <w:spacing w:after="0" w:line="240" w:lineRule="auto"/>
        <w:ind w:left="709" w:hanging="709"/>
        <w:rPr>
          <w:rFonts w:ascii="Palatino Linotype" w:hAnsi="Palatino Linotype" w:cs="Times New Roman"/>
          <w:sz w:val="22"/>
          <w:szCs w:val="22"/>
        </w:rPr>
      </w:pPr>
      <w:r w:rsidRPr="002F02A8">
        <w:rPr>
          <w:rFonts w:ascii="Palatino Linotype" w:hAnsi="Palatino Linotype" w:cs="Times New Roman"/>
          <w:sz w:val="22"/>
          <w:szCs w:val="22"/>
        </w:rPr>
        <w:t xml:space="preserve">Que, el Concejo Metropolitano de Quito, en sesión pública ordinaria realizada el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xml:space="preserve"> de </w:t>
      </w:r>
      <w:r w:rsidRPr="002F02A8">
        <w:rPr>
          <w:rFonts w:ascii="Palatino Linotype" w:hAnsi="Palatino Linotype" w:cs="Times New Roman"/>
          <w:iCs/>
          <w:sz w:val="22"/>
          <w:szCs w:val="22"/>
        </w:rPr>
        <w:t xml:space="preserve">… </w:t>
      </w:r>
      <w:r w:rsidRPr="002F02A8">
        <w:rPr>
          <w:rFonts w:ascii="Palatino Linotype" w:hAnsi="Palatino Linotype" w:cs="Times New Roman"/>
          <w:sz w:val="22"/>
          <w:szCs w:val="22"/>
        </w:rPr>
        <w:t xml:space="preserve">de </w:t>
      </w:r>
      <w:r w:rsidRPr="002F02A8">
        <w:rPr>
          <w:rFonts w:ascii="Palatino Linotype" w:hAnsi="Palatino Linotype" w:cs="Times New Roman"/>
          <w:iCs/>
          <w:sz w:val="22"/>
          <w:szCs w:val="22"/>
        </w:rPr>
        <w:t>…</w:t>
      </w:r>
      <w:r w:rsidRPr="002F02A8">
        <w:rPr>
          <w:rFonts w:ascii="Palatino Linotype" w:hAnsi="Palatino Linotype" w:cs="Times New Roman"/>
          <w:sz w:val="22"/>
          <w:szCs w:val="22"/>
        </w:rPr>
        <w:t>, analizó el informe No. IC-202</w:t>
      </w:r>
      <w:r w:rsidR="00896E14">
        <w:rPr>
          <w:rFonts w:ascii="Palatino Linotype" w:hAnsi="Palatino Linotype" w:cs="Times New Roman"/>
          <w:sz w:val="22"/>
          <w:szCs w:val="22"/>
        </w:rPr>
        <w:t>3</w:t>
      </w:r>
      <w:r w:rsidRPr="002F02A8">
        <w:rPr>
          <w:rFonts w:ascii="Palatino Linotype" w:hAnsi="Palatino Linotype" w:cs="Times New Roman"/>
          <w:sz w:val="22"/>
          <w:szCs w:val="22"/>
        </w:rPr>
        <w:t>-</w:t>
      </w:r>
      <w:r>
        <w:rPr>
          <w:rFonts w:ascii="Palatino Linotype" w:hAnsi="Palatino Linotype" w:cs="Times New Roman"/>
          <w:sz w:val="22"/>
          <w:szCs w:val="22"/>
        </w:rPr>
        <w:t>XXX</w:t>
      </w:r>
      <w:r w:rsidRPr="002F02A8">
        <w:rPr>
          <w:rFonts w:ascii="Palatino Linotype" w:hAnsi="Palatino Linotype" w:cs="Times New Roman"/>
          <w:sz w:val="22"/>
          <w:szCs w:val="22"/>
        </w:rPr>
        <w:t>, emitido por la Comisión de Uso de Suelo; y,</w:t>
      </w:r>
    </w:p>
    <w:p w14:paraId="74B8C1AA" w14:textId="7936E7FB" w:rsidR="0022797A" w:rsidRDefault="0022797A" w:rsidP="005302DC">
      <w:pPr>
        <w:ind w:left="709" w:hanging="709"/>
        <w:rPr>
          <w:rFonts w:ascii="Palatino Linotype" w:hAnsi="Palatino Linotype" w:cs="Times New Roman"/>
          <w:sz w:val="22"/>
          <w:szCs w:val="22"/>
        </w:rPr>
      </w:pPr>
    </w:p>
    <w:p w14:paraId="4599AC3D" w14:textId="611C3512" w:rsidR="00352D87" w:rsidRPr="00BF3EC5" w:rsidRDefault="00352D87"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En ejercicio de sus atribuciones previstas en el artículo 240 de la Constitución de la República y artículos 87 letra a); y, 323 del Código Orgánico de Organización Territorial</w:t>
      </w:r>
      <w:r w:rsidR="009A302B">
        <w:rPr>
          <w:rFonts w:ascii="Palatino Linotype" w:hAnsi="Palatino Linotype" w:cs="Times New Roman"/>
          <w:b/>
          <w:bCs/>
          <w:sz w:val="22"/>
          <w:szCs w:val="22"/>
        </w:rPr>
        <w:t xml:space="preserve">, Autonomía y Descentralización. </w:t>
      </w:r>
    </w:p>
    <w:p w14:paraId="1F456CEB"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45703409" w14:textId="300C73BD" w:rsidR="000505D5" w:rsidRPr="00BF3EC5" w:rsidRDefault="00DC2330" w:rsidP="00352D87">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r>
      <w:r w:rsidRPr="00BF3EC5">
        <w:rPr>
          <w:rFonts w:ascii="Palatino Linotype" w:hAnsi="Palatino Linotype" w:cs="Times New Roman"/>
          <w:b/>
          <w:bCs/>
          <w:sz w:val="22"/>
          <w:szCs w:val="22"/>
        </w:rPr>
        <w:tab/>
        <w:t>EXPIDE</w:t>
      </w:r>
      <w:r w:rsidR="000505D5" w:rsidRPr="00BF3EC5">
        <w:rPr>
          <w:rFonts w:ascii="Palatino Linotype" w:hAnsi="Palatino Linotype" w:cs="Times New Roman"/>
          <w:b/>
          <w:bCs/>
          <w:sz w:val="22"/>
          <w:szCs w:val="22"/>
        </w:rPr>
        <w:t xml:space="preserve"> LA SIGUIENTE</w:t>
      </w:r>
    </w:p>
    <w:p w14:paraId="37C9B153" w14:textId="77777777" w:rsidR="000505D5" w:rsidRPr="00BF3EC5" w:rsidRDefault="000505D5" w:rsidP="00352D87">
      <w:pPr>
        <w:autoSpaceDE w:val="0"/>
        <w:autoSpaceDN w:val="0"/>
        <w:adjustRightInd w:val="0"/>
        <w:spacing w:after="0" w:line="240" w:lineRule="auto"/>
        <w:rPr>
          <w:rFonts w:ascii="Palatino Linotype" w:hAnsi="Palatino Linotype" w:cs="Times New Roman"/>
          <w:b/>
          <w:bCs/>
          <w:sz w:val="22"/>
          <w:szCs w:val="22"/>
        </w:rPr>
      </w:pPr>
    </w:p>
    <w:p w14:paraId="2EF041FC" w14:textId="508319CC" w:rsidR="00742379" w:rsidRPr="00070DE8" w:rsidRDefault="000505D5" w:rsidP="00742379">
      <w:pPr>
        <w:autoSpaceDE w:val="0"/>
        <w:autoSpaceDN w:val="0"/>
        <w:adjustRightInd w:val="0"/>
        <w:spacing w:after="0" w:line="240" w:lineRule="auto"/>
        <w:rPr>
          <w:rFonts w:ascii="Palatino Linotype" w:hAnsi="Palatino Linotype" w:cs="Times New Roman"/>
          <w:b/>
          <w:bCs/>
          <w:strike/>
          <w:color w:val="FF0000"/>
          <w:sz w:val="22"/>
          <w:szCs w:val="22"/>
        </w:rPr>
      </w:pPr>
      <w:r w:rsidRPr="00BF3EC5">
        <w:rPr>
          <w:rFonts w:ascii="Palatino Linotype" w:hAnsi="Palatino Linotype" w:cs="Times New Roman"/>
          <w:b/>
          <w:bCs/>
          <w:sz w:val="22"/>
          <w:szCs w:val="22"/>
        </w:rPr>
        <w:lastRenderedPageBreak/>
        <w:t xml:space="preserve">ORDENANZA PARA LA </w:t>
      </w:r>
      <w:r w:rsidR="00742379" w:rsidRPr="00BF3EC5">
        <w:rPr>
          <w:rFonts w:ascii="Palatino Linotype" w:hAnsi="Palatino Linotype" w:cs="Times New Roman"/>
          <w:b/>
          <w:iCs/>
          <w:color w:val="000000" w:themeColor="text1"/>
          <w:sz w:val="22"/>
          <w:szCs w:val="22"/>
        </w:rPr>
        <w:t xml:space="preserve">REGULARIZACIÓN DEL TRAZADO VIAL </w:t>
      </w:r>
      <w:r w:rsidR="00F91687" w:rsidRPr="00F91687">
        <w:rPr>
          <w:rFonts w:ascii="Palatino Linotype" w:hAnsi="Palatino Linotype" w:cs="Times New Roman"/>
          <w:b/>
          <w:iCs/>
          <w:color w:val="000000" w:themeColor="text1"/>
          <w:sz w:val="22"/>
          <w:szCs w:val="22"/>
        </w:rPr>
        <w:t>DE LAS “</w:t>
      </w:r>
      <w:r w:rsidR="00F91687" w:rsidRPr="00F91687">
        <w:rPr>
          <w:rFonts w:ascii="Palatino Linotype" w:hAnsi="Palatino Linotype" w:cs="Times New Roman"/>
          <w:b/>
          <w:sz w:val="22"/>
          <w:szCs w:val="22"/>
        </w:rPr>
        <w:t>OE2B DESDE S22 AYAPAMBA HASTA S23F</w:t>
      </w:r>
      <w:r w:rsidR="00F91687" w:rsidRPr="00F91687">
        <w:rPr>
          <w:rFonts w:ascii="Palatino Linotype" w:hAnsi="Palatino Linotype" w:cs="Times New Roman"/>
          <w:b/>
          <w:iCs/>
          <w:color w:val="000000" w:themeColor="text1"/>
          <w:sz w:val="22"/>
          <w:szCs w:val="22"/>
        </w:rPr>
        <w:t>”</w:t>
      </w:r>
      <w:r w:rsidR="001D0BBE">
        <w:rPr>
          <w:rFonts w:ascii="Palatino Linotype" w:hAnsi="Palatino Linotype" w:cs="Times New Roman"/>
          <w:b/>
          <w:iCs/>
          <w:color w:val="000000" w:themeColor="text1"/>
          <w:sz w:val="22"/>
          <w:szCs w:val="22"/>
        </w:rPr>
        <w:t xml:space="preserve"> </w:t>
      </w:r>
      <w:r w:rsidR="001D0BBE" w:rsidRPr="00070DE8">
        <w:rPr>
          <w:rFonts w:ascii="Palatino Linotype" w:hAnsi="Palatino Linotype" w:cs="Times New Roman"/>
          <w:b/>
          <w:iCs/>
          <w:color w:val="000000" w:themeColor="text1"/>
          <w:sz w:val="22"/>
          <w:szCs w:val="22"/>
        </w:rPr>
        <w:t>B</w:t>
      </w:r>
      <w:r w:rsidR="001D0BBE" w:rsidRPr="00070DE8">
        <w:rPr>
          <w:rFonts w:ascii="Palatino Linotype" w:hAnsi="Palatino Linotype"/>
          <w:b/>
          <w:sz w:val="22"/>
          <w:szCs w:val="22"/>
        </w:rPr>
        <w:t>ARRIO RUMIÑAHUI, UBICADO EN LA PARROQUIA SOLANDA</w:t>
      </w:r>
    </w:p>
    <w:p w14:paraId="337183BE" w14:textId="77777777" w:rsidR="00352D87" w:rsidRPr="00070DE8" w:rsidRDefault="00352D87" w:rsidP="00352D87">
      <w:pPr>
        <w:rPr>
          <w:rFonts w:ascii="Palatino Linotype" w:hAnsi="Palatino Linotype" w:cs="Times New Roman"/>
          <w:b/>
          <w:bCs/>
          <w:sz w:val="22"/>
          <w:szCs w:val="22"/>
        </w:rPr>
      </w:pPr>
    </w:p>
    <w:p w14:paraId="40C52208" w14:textId="73E7CEE1" w:rsidR="006361F4" w:rsidRPr="00BF3EC5" w:rsidRDefault="00352D87" w:rsidP="006361F4">
      <w:pPr>
        <w:autoSpaceDE w:val="0"/>
        <w:autoSpaceDN w:val="0"/>
        <w:adjustRightInd w:val="0"/>
        <w:spacing w:after="0" w:line="240" w:lineRule="auto"/>
        <w:rPr>
          <w:rFonts w:ascii="Palatino Linotype" w:hAnsi="Palatino Linotype" w:cs="Times New Roman"/>
          <w:bCs/>
          <w:strike/>
          <w:color w:val="FF0000"/>
          <w:sz w:val="22"/>
          <w:szCs w:val="22"/>
        </w:rPr>
      </w:pPr>
      <w:r w:rsidRPr="00BF3EC5">
        <w:rPr>
          <w:rFonts w:ascii="Palatino Linotype" w:hAnsi="Palatino Linotype" w:cs="Times New Roman"/>
          <w:b/>
          <w:bCs/>
          <w:sz w:val="22"/>
          <w:szCs w:val="22"/>
        </w:rPr>
        <w:t xml:space="preserve">Artículo 1.- </w:t>
      </w:r>
      <w:r w:rsidR="00E20EC0" w:rsidRPr="00BF3EC5">
        <w:rPr>
          <w:rFonts w:ascii="Palatino Linotype" w:hAnsi="Palatino Linotype" w:cs="Times New Roman"/>
          <w:bCs/>
          <w:sz w:val="22"/>
          <w:szCs w:val="22"/>
        </w:rPr>
        <w:t xml:space="preserve">Apruébese </w:t>
      </w:r>
      <w:r w:rsidR="006361F4" w:rsidRPr="00BF3EC5">
        <w:rPr>
          <w:rFonts w:ascii="Palatino Linotype" w:hAnsi="Palatino Linotype" w:cs="Times New Roman"/>
          <w:bCs/>
          <w:sz w:val="22"/>
          <w:szCs w:val="22"/>
        </w:rPr>
        <w:t xml:space="preserve">la </w:t>
      </w:r>
      <w:r w:rsidR="006361F4" w:rsidRPr="00BF3EC5">
        <w:rPr>
          <w:rFonts w:ascii="Palatino Linotype" w:hAnsi="Palatino Linotype" w:cs="Times New Roman"/>
          <w:iCs/>
          <w:color w:val="000000" w:themeColor="text1"/>
          <w:sz w:val="22"/>
          <w:szCs w:val="22"/>
        </w:rPr>
        <w:t xml:space="preserve">regularización del </w:t>
      </w:r>
      <w:bookmarkStart w:id="0" w:name="_GoBack"/>
      <w:bookmarkEnd w:id="0"/>
      <w:r w:rsidR="006361F4" w:rsidRPr="00BF3EC5">
        <w:rPr>
          <w:rFonts w:ascii="Palatino Linotype" w:hAnsi="Palatino Linotype" w:cs="Times New Roman"/>
          <w:iCs/>
          <w:color w:val="000000" w:themeColor="text1"/>
          <w:sz w:val="22"/>
          <w:szCs w:val="22"/>
        </w:rPr>
        <w:t xml:space="preserve">trazado vial </w:t>
      </w:r>
      <w:r w:rsidR="00246172">
        <w:rPr>
          <w:rFonts w:ascii="Palatino Linotype" w:hAnsi="Palatino Linotype" w:cs="Times New Roman"/>
          <w:iCs/>
          <w:color w:val="000000" w:themeColor="text1"/>
          <w:sz w:val="22"/>
          <w:szCs w:val="22"/>
        </w:rPr>
        <w:t xml:space="preserve">de las </w:t>
      </w:r>
      <w:r w:rsidR="00234189">
        <w:rPr>
          <w:rFonts w:ascii="Palatino Linotype" w:hAnsi="Palatino Linotype" w:cs="Times New Roman"/>
          <w:iCs/>
          <w:color w:val="000000" w:themeColor="text1"/>
          <w:sz w:val="22"/>
          <w:szCs w:val="22"/>
        </w:rPr>
        <w:t>“</w:t>
      </w:r>
      <w:r w:rsidR="00896E14">
        <w:rPr>
          <w:rFonts w:ascii="Palatino Linotype" w:hAnsi="Palatino Linotype" w:cs="Times New Roman"/>
          <w:sz w:val="22"/>
          <w:szCs w:val="22"/>
        </w:rPr>
        <w:t xml:space="preserve">Oe2B desde S22 </w:t>
      </w:r>
      <w:proofErr w:type="spellStart"/>
      <w:r w:rsidR="00896E14">
        <w:rPr>
          <w:rFonts w:ascii="Palatino Linotype" w:hAnsi="Palatino Linotype" w:cs="Times New Roman"/>
          <w:sz w:val="22"/>
          <w:szCs w:val="22"/>
        </w:rPr>
        <w:t>Ayapamba</w:t>
      </w:r>
      <w:proofErr w:type="spellEnd"/>
      <w:r w:rsidR="00896E14">
        <w:rPr>
          <w:rFonts w:ascii="Palatino Linotype" w:hAnsi="Palatino Linotype" w:cs="Times New Roman"/>
          <w:sz w:val="22"/>
          <w:szCs w:val="22"/>
        </w:rPr>
        <w:t xml:space="preserve"> hasta S23F</w:t>
      </w:r>
      <w:r w:rsidR="00234189">
        <w:rPr>
          <w:rFonts w:ascii="Palatino Linotype" w:hAnsi="Palatino Linotype" w:cs="Times New Roman"/>
          <w:iCs/>
          <w:color w:val="000000" w:themeColor="text1"/>
          <w:sz w:val="22"/>
          <w:szCs w:val="22"/>
        </w:rPr>
        <w:t>”</w:t>
      </w:r>
      <w:r w:rsidR="006361F4" w:rsidRPr="00BF3EC5">
        <w:rPr>
          <w:rFonts w:ascii="Palatino Linotype" w:hAnsi="Palatino Linotype" w:cs="Times New Roman"/>
          <w:iCs/>
          <w:color w:val="000000" w:themeColor="text1"/>
          <w:sz w:val="22"/>
          <w:szCs w:val="22"/>
        </w:rPr>
        <w:t xml:space="preserve">, de acuerdo a las siguientes especificaciones técnicas:   </w:t>
      </w:r>
    </w:p>
    <w:p w14:paraId="6781BA8B" w14:textId="7918A028" w:rsidR="000505D5" w:rsidRPr="00BF3EC5" w:rsidRDefault="000505D5" w:rsidP="00352D87">
      <w:pPr>
        <w:autoSpaceDE w:val="0"/>
        <w:autoSpaceDN w:val="0"/>
        <w:adjustRightInd w:val="0"/>
        <w:spacing w:after="0" w:line="240" w:lineRule="auto"/>
        <w:rPr>
          <w:rFonts w:ascii="Palatino Linotype" w:hAnsi="Palatino Linotype" w:cs="Times New Roman"/>
          <w:sz w:val="22"/>
          <w:szCs w:val="22"/>
          <w:highlight w:val="yellow"/>
        </w:rPr>
      </w:pPr>
    </w:p>
    <w:p w14:paraId="78AE1853" w14:textId="4D234CFA" w:rsidR="00FC408D" w:rsidRPr="00BF3EC5"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 xml:space="preserve">Longitud: </w:t>
      </w:r>
      <w:r w:rsidR="004543D1">
        <w:rPr>
          <w:rFonts w:ascii="Palatino Linotype" w:hAnsi="Palatino Linotype" w:cs="Times New Roman"/>
          <w:sz w:val="22"/>
          <w:szCs w:val="22"/>
        </w:rPr>
        <w:t>85</w:t>
      </w:r>
      <w:r w:rsidR="00246172">
        <w:rPr>
          <w:rFonts w:ascii="Palatino Linotype" w:hAnsi="Palatino Linotype" w:cs="Times New Roman"/>
          <w:sz w:val="22"/>
          <w:szCs w:val="22"/>
        </w:rPr>
        <w:t>.</w:t>
      </w:r>
      <w:r w:rsidR="004543D1">
        <w:rPr>
          <w:rFonts w:ascii="Palatino Linotype" w:hAnsi="Palatino Linotype" w:cs="Times New Roman"/>
          <w:sz w:val="22"/>
          <w:szCs w:val="22"/>
        </w:rPr>
        <w:t>0</w:t>
      </w:r>
      <w:r w:rsidR="00246172">
        <w:rPr>
          <w:rFonts w:ascii="Palatino Linotype" w:hAnsi="Palatino Linotype" w:cs="Times New Roman"/>
          <w:sz w:val="22"/>
          <w:szCs w:val="22"/>
        </w:rPr>
        <w:t>0 metros</w:t>
      </w:r>
    </w:p>
    <w:p w14:paraId="49E813E6" w14:textId="062B7FFC"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Calzada</w:t>
      </w:r>
      <w:r w:rsidR="00FC408D" w:rsidRPr="00BF3EC5">
        <w:rPr>
          <w:rFonts w:ascii="Palatino Linotype" w:hAnsi="Palatino Linotype" w:cs="Times New Roman"/>
          <w:sz w:val="22"/>
          <w:szCs w:val="22"/>
        </w:rPr>
        <w:t xml:space="preserve">: </w:t>
      </w:r>
      <w:r w:rsidR="004543D1">
        <w:rPr>
          <w:rFonts w:ascii="Palatino Linotype" w:hAnsi="Palatino Linotype" w:cs="Times New Roman"/>
          <w:sz w:val="22"/>
          <w:szCs w:val="22"/>
        </w:rPr>
        <w:t>ESTE 6</w:t>
      </w:r>
      <w:r>
        <w:rPr>
          <w:rFonts w:ascii="Palatino Linotype" w:hAnsi="Palatino Linotype" w:cs="Times New Roman"/>
          <w:sz w:val="22"/>
          <w:szCs w:val="22"/>
        </w:rPr>
        <w:t>.</w:t>
      </w:r>
      <w:r w:rsidR="004543D1">
        <w:rPr>
          <w:rFonts w:ascii="Palatino Linotype" w:hAnsi="Palatino Linotype" w:cs="Times New Roman"/>
          <w:sz w:val="22"/>
          <w:szCs w:val="22"/>
        </w:rPr>
        <w:t>0</w:t>
      </w:r>
      <w:r>
        <w:rPr>
          <w:rFonts w:ascii="Palatino Linotype" w:hAnsi="Palatino Linotype" w:cs="Times New Roman"/>
          <w:sz w:val="22"/>
          <w:szCs w:val="22"/>
        </w:rPr>
        <w:t>0 metros</w:t>
      </w:r>
      <w:r w:rsidR="004543D1">
        <w:rPr>
          <w:rFonts w:ascii="Palatino Linotype" w:hAnsi="Palatino Linotype" w:cs="Times New Roman"/>
          <w:sz w:val="22"/>
          <w:szCs w:val="22"/>
        </w:rPr>
        <w:t>; OESTE 6.00 metros</w:t>
      </w:r>
    </w:p>
    <w:p w14:paraId="6750402F" w14:textId="63BAE2AF" w:rsidR="00FC408D" w:rsidRPr="00BF3EC5" w:rsidRDefault="00246172"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Acera</w:t>
      </w:r>
      <w:r w:rsidR="00FC408D" w:rsidRPr="00BF3EC5">
        <w:rPr>
          <w:rFonts w:ascii="Palatino Linotype" w:hAnsi="Palatino Linotype" w:cs="Times New Roman"/>
          <w:sz w:val="22"/>
          <w:szCs w:val="22"/>
        </w:rPr>
        <w:t xml:space="preserve">: </w:t>
      </w:r>
      <w:r w:rsidR="004543D1" w:rsidRPr="004543D1">
        <w:rPr>
          <w:rFonts w:ascii="Palatino Linotype" w:hAnsi="Palatino Linotype" w:cs="Times New Roman"/>
          <w:sz w:val="22"/>
          <w:szCs w:val="22"/>
        </w:rPr>
        <w:t xml:space="preserve">ESTE </w:t>
      </w:r>
      <w:r w:rsidR="004543D1">
        <w:rPr>
          <w:rFonts w:ascii="Palatino Linotype" w:hAnsi="Palatino Linotype" w:cs="Times New Roman"/>
          <w:sz w:val="22"/>
          <w:szCs w:val="22"/>
        </w:rPr>
        <w:t>2</w:t>
      </w:r>
      <w:r w:rsidR="004543D1" w:rsidRPr="004543D1">
        <w:rPr>
          <w:rFonts w:ascii="Palatino Linotype" w:hAnsi="Palatino Linotype" w:cs="Times New Roman"/>
          <w:sz w:val="22"/>
          <w:szCs w:val="22"/>
        </w:rPr>
        <w:t>.0</w:t>
      </w:r>
      <w:r w:rsidR="004543D1">
        <w:rPr>
          <w:rFonts w:ascii="Palatino Linotype" w:hAnsi="Palatino Linotype" w:cs="Times New Roman"/>
          <w:sz w:val="22"/>
          <w:szCs w:val="22"/>
        </w:rPr>
        <w:t>5</w:t>
      </w:r>
      <w:r w:rsidR="004543D1" w:rsidRPr="004543D1">
        <w:rPr>
          <w:rFonts w:ascii="Palatino Linotype" w:hAnsi="Palatino Linotype" w:cs="Times New Roman"/>
          <w:sz w:val="22"/>
          <w:szCs w:val="22"/>
        </w:rPr>
        <w:t xml:space="preserve"> </w:t>
      </w:r>
      <w:r w:rsidR="004543D1">
        <w:rPr>
          <w:rFonts w:ascii="Palatino Linotype" w:hAnsi="Palatino Linotype" w:cs="Times New Roman"/>
          <w:sz w:val="22"/>
          <w:szCs w:val="22"/>
        </w:rPr>
        <w:t xml:space="preserve">– 3.05 </w:t>
      </w:r>
      <w:r w:rsidR="004543D1" w:rsidRPr="004543D1">
        <w:rPr>
          <w:rFonts w:ascii="Palatino Linotype" w:hAnsi="Palatino Linotype" w:cs="Times New Roman"/>
          <w:sz w:val="22"/>
          <w:szCs w:val="22"/>
        </w:rPr>
        <w:t xml:space="preserve">metros; OESTE </w:t>
      </w:r>
      <w:r w:rsidR="004543D1">
        <w:rPr>
          <w:rFonts w:ascii="Palatino Linotype" w:hAnsi="Palatino Linotype" w:cs="Times New Roman"/>
          <w:sz w:val="22"/>
          <w:szCs w:val="22"/>
        </w:rPr>
        <w:t>2</w:t>
      </w:r>
      <w:r w:rsidR="004543D1" w:rsidRPr="004543D1">
        <w:rPr>
          <w:rFonts w:ascii="Palatino Linotype" w:hAnsi="Palatino Linotype" w:cs="Times New Roman"/>
          <w:sz w:val="22"/>
          <w:szCs w:val="22"/>
        </w:rPr>
        <w:t>.00</w:t>
      </w:r>
      <w:r w:rsidR="004543D1">
        <w:rPr>
          <w:rFonts w:ascii="Palatino Linotype" w:hAnsi="Palatino Linotype" w:cs="Times New Roman"/>
          <w:sz w:val="22"/>
          <w:szCs w:val="22"/>
        </w:rPr>
        <w:t xml:space="preserve"> – 3.20</w:t>
      </w:r>
      <w:r w:rsidR="004543D1" w:rsidRPr="004543D1">
        <w:rPr>
          <w:rFonts w:ascii="Palatino Linotype" w:hAnsi="Palatino Linotype" w:cs="Times New Roman"/>
          <w:sz w:val="22"/>
          <w:szCs w:val="22"/>
        </w:rPr>
        <w:t xml:space="preserve"> metros</w:t>
      </w:r>
    </w:p>
    <w:p w14:paraId="13974C5D" w14:textId="75C17BA1" w:rsidR="004543D1" w:rsidRDefault="004543D1" w:rsidP="00FC408D">
      <w:pPr>
        <w:autoSpaceDE w:val="0"/>
        <w:autoSpaceDN w:val="0"/>
        <w:adjustRightInd w:val="0"/>
        <w:spacing w:after="0" w:line="240" w:lineRule="auto"/>
        <w:rPr>
          <w:rFonts w:ascii="Palatino Linotype" w:hAnsi="Palatino Linotype" w:cs="Times New Roman"/>
          <w:sz w:val="22"/>
          <w:szCs w:val="22"/>
        </w:rPr>
      </w:pPr>
      <w:r>
        <w:rPr>
          <w:rFonts w:ascii="Palatino Linotype" w:hAnsi="Palatino Linotype" w:cs="Times New Roman"/>
          <w:sz w:val="22"/>
          <w:szCs w:val="22"/>
        </w:rPr>
        <w:t>Ancho de Parterre: 1.20 metros</w:t>
      </w:r>
    </w:p>
    <w:p w14:paraId="0CBB3EEB" w14:textId="213F9D56" w:rsidR="00FC408D" w:rsidRDefault="00FC408D" w:rsidP="00FC408D">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sz w:val="22"/>
          <w:szCs w:val="22"/>
        </w:rPr>
        <w:t>A</w:t>
      </w:r>
      <w:r w:rsidR="00246172">
        <w:rPr>
          <w:rFonts w:ascii="Palatino Linotype" w:hAnsi="Palatino Linotype" w:cs="Times New Roman"/>
          <w:sz w:val="22"/>
          <w:szCs w:val="22"/>
        </w:rPr>
        <w:t>ncho total</w:t>
      </w:r>
      <w:r w:rsidRPr="00BF3EC5">
        <w:rPr>
          <w:rFonts w:ascii="Palatino Linotype" w:hAnsi="Palatino Linotype" w:cs="Times New Roman"/>
          <w:sz w:val="22"/>
          <w:szCs w:val="22"/>
        </w:rPr>
        <w:t xml:space="preserve">: </w:t>
      </w:r>
      <w:r w:rsidR="004543D1">
        <w:rPr>
          <w:rFonts w:ascii="Palatino Linotype" w:hAnsi="Palatino Linotype" w:cs="Times New Roman"/>
          <w:sz w:val="22"/>
          <w:szCs w:val="22"/>
        </w:rPr>
        <w:t>1</w:t>
      </w:r>
      <w:r w:rsidR="00246172">
        <w:rPr>
          <w:rFonts w:ascii="Palatino Linotype" w:hAnsi="Palatino Linotype" w:cs="Times New Roman"/>
          <w:sz w:val="22"/>
          <w:szCs w:val="22"/>
        </w:rPr>
        <w:t>8.</w:t>
      </w:r>
      <w:r w:rsidR="004543D1">
        <w:rPr>
          <w:rFonts w:ascii="Palatino Linotype" w:hAnsi="Palatino Linotype" w:cs="Times New Roman"/>
          <w:sz w:val="22"/>
          <w:szCs w:val="22"/>
        </w:rPr>
        <w:t>35</w:t>
      </w:r>
      <w:r w:rsidR="00246172">
        <w:rPr>
          <w:rFonts w:ascii="Palatino Linotype" w:hAnsi="Palatino Linotype" w:cs="Times New Roman"/>
          <w:sz w:val="22"/>
          <w:szCs w:val="22"/>
        </w:rPr>
        <w:t xml:space="preserve"> metros</w:t>
      </w:r>
      <w:r w:rsidR="004543D1">
        <w:rPr>
          <w:rFonts w:ascii="Palatino Linotype" w:hAnsi="Palatino Linotype" w:cs="Times New Roman"/>
          <w:sz w:val="22"/>
          <w:szCs w:val="22"/>
        </w:rPr>
        <w:t xml:space="preserve"> – 19.35 metros</w:t>
      </w:r>
    </w:p>
    <w:p w14:paraId="5BCF548C" w14:textId="77777777" w:rsidR="00246172" w:rsidRDefault="00246172" w:rsidP="00FC408D">
      <w:pPr>
        <w:autoSpaceDE w:val="0"/>
        <w:autoSpaceDN w:val="0"/>
        <w:adjustRightInd w:val="0"/>
        <w:spacing w:after="0" w:line="240" w:lineRule="auto"/>
        <w:rPr>
          <w:rFonts w:ascii="Palatino Linotype" w:hAnsi="Palatino Linotype" w:cs="Times New Roman"/>
          <w:sz w:val="22"/>
          <w:szCs w:val="22"/>
        </w:rPr>
      </w:pPr>
    </w:p>
    <w:p w14:paraId="05861A8E" w14:textId="790D0876" w:rsidR="00AC1397" w:rsidRPr="002F02A8" w:rsidRDefault="00AC1397" w:rsidP="00AC1397">
      <w:pPr>
        <w:autoSpaceDE w:val="0"/>
        <w:autoSpaceDN w:val="0"/>
        <w:adjustRightInd w:val="0"/>
        <w:spacing w:after="0" w:line="240" w:lineRule="auto"/>
        <w:rPr>
          <w:rFonts w:ascii="Palatino Linotype" w:hAnsi="Palatino Linotype" w:cs="Times New Roman"/>
          <w:bCs/>
          <w:sz w:val="22"/>
          <w:szCs w:val="22"/>
        </w:rPr>
      </w:pPr>
      <w:r w:rsidRPr="002F02A8">
        <w:rPr>
          <w:rFonts w:ascii="Palatino Linotype" w:hAnsi="Palatino Linotype" w:cs="Times New Roman"/>
          <w:b/>
          <w:bCs/>
          <w:sz w:val="22"/>
          <w:szCs w:val="22"/>
        </w:rPr>
        <w:t>Artículo 2</w:t>
      </w:r>
      <w:r w:rsidRPr="002F02A8">
        <w:rPr>
          <w:rFonts w:ascii="Palatino Linotype" w:hAnsi="Palatino Linotype" w:cs="Times New Roman"/>
          <w:bCs/>
          <w:sz w:val="22"/>
          <w:szCs w:val="22"/>
        </w:rPr>
        <w:t xml:space="preserve">.- El </w:t>
      </w:r>
      <w:r>
        <w:rPr>
          <w:rFonts w:ascii="Palatino Linotype" w:hAnsi="Palatino Linotype" w:cs="Times New Roman"/>
          <w:bCs/>
          <w:sz w:val="22"/>
          <w:szCs w:val="22"/>
        </w:rPr>
        <w:t>Plano d</w:t>
      </w:r>
      <w:r w:rsidRPr="002F02A8">
        <w:rPr>
          <w:rFonts w:ascii="Palatino Linotype" w:hAnsi="Palatino Linotype" w:cs="Times New Roman"/>
          <w:bCs/>
          <w:sz w:val="22"/>
          <w:szCs w:val="22"/>
        </w:rPr>
        <w:t xml:space="preserve">e Diseño Vial adjunto al </w:t>
      </w:r>
      <w:r w:rsidR="004543D1" w:rsidRPr="004543D1">
        <w:rPr>
          <w:rFonts w:ascii="Palatino Linotype" w:hAnsi="Palatino Linotype" w:cs="Times New Roman"/>
          <w:bCs/>
          <w:sz w:val="22"/>
          <w:szCs w:val="22"/>
        </w:rPr>
        <w:t>informe técnico Nro. DGT-UOP-JLG-2022-002</w:t>
      </w:r>
      <w:r w:rsidRPr="002F02A8">
        <w:rPr>
          <w:rFonts w:ascii="Palatino Linotype" w:hAnsi="Palatino Linotype" w:cs="Times New Roman"/>
          <w:bCs/>
          <w:sz w:val="22"/>
          <w:szCs w:val="22"/>
        </w:rPr>
        <w:t xml:space="preserve">, se </w:t>
      </w:r>
      <w:r>
        <w:rPr>
          <w:rFonts w:ascii="Palatino Linotype" w:hAnsi="Palatino Linotype" w:cs="Times New Roman"/>
          <w:bCs/>
          <w:sz w:val="22"/>
          <w:szCs w:val="22"/>
        </w:rPr>
        <w:t xml:space="preserve">anexa </w:t>
      </w:r>
      <w:r w:rsidRPr="002F02A8">
        <w:rPr>
          <w:rFonts w:ascii="Palatino Linotype" w:hAnsi="Palatino Linotype" w:cs="Times New Roman"/>
          <w:bCs/>
          <w:sz w:val="22"/>
          <w:szCs w:val="22"/>
        </w:rPr>
        <w:t xml:space="preserve">como parte integrante de la presente </w:t>
      </w:r>
      <w:r w:rsidR="004A0DB6">
        <w:rPr>
          <w:rFonts w:ascii="Palatino Linotype" w:hAnsi="Palatino Linotype" w:cs="Times New Roman"/>
          <w:bCs/>
          <w:sz w:val="22"/>
          <w:szCs w:val="22"/>
        </w:rPr>
        <w:t>ordenanza</w:t>
      </w:r>
      <w:r w:rsidRPr="002F02A8">
        <w:rPr>
          <w:rFonts w:ascii="Palatino Linotype" w:hAnsi="Palatino Linotype" w:cs="Times New Roman"/>
          <w:bCs/>
          <w:sz w:val="22"/>
          <w:szCs w:val="22"/>
        </w:rPr>
        <w:t xml:space="preserve">. </w:t>
      </w:r>
    </w:p>
    <w:p w14:paraId="0C103622" w14:textId="77777777" w:rsidR="00AC1397" w:rsidRPr="00BF3EC5" w:rsidRDefault="00AC1397" w:rsidP="00352D87">
      <w:pPr>
        <w:autoSpaceDE w:val="0"/>
        <w:autoSpaceDN w:val="0"/>
        <w:adjustRightInd w:val="0"/>
        <w:spacing w:after="0" w:line="240" w:lineRule="auto"/>
        <w:rPr>
          <w:rFonts w:ascii="Palatino Linotype" w:hAnsi="Palatino Linotype" w:cs="Times New Roman"/>
          <w:sz w:val="22"/>
          <w:szCs w:val="22"/>
        </w:rPr>
      </w:pPr>
    </w:p>
    <w:p w14:paraId="0A9DF722" w14:textId="1E144309" w:rsidR="005D6D9E" w:rsidRPr="00BF3EC5" w:rsidRDefault="006361F4" w:rsidP="006361F4">
      <w:pPr>
        <w:autoSpaceDE w:val="0"/>
        <w:autoSpaceDN w:val="0"/>
        <w:adjustRightInd w:val="0"/>
        <w:spacing w:after="0" w:line="240" w:lineRule="auto"/>
        <w:rPr>
          <w:rFonts w:ascii="Palatino Linotype" w:hAnsi="Palatino Linotype"/>
          <w:bCs/>
          <w:sz w:val="22"/>
          <w:szCs w:val="22"/>
        </w:rPr>
      </w:pPr>
      <w:r w:rsidRPr="00BF3EC5">
        <w:rPr>
          <w:rFonts w:ascii="Palatino Linotype" w:hAnsi="Palatino Linotype" w:cs="Times New Roman"/>
          <w:b/>
          <w:bCs/>
          <w:sz w:val="22"/>
          <w:szCs w:val="22"/>
        </w:rPr>
        <w:t xml:space="preserve">Disposición general única: </w:t>
      </w:r>
      <w:r w:rsidR="005D6D9E" w:rsidRPr="00BF3EC5">
        <w:rPr>
          <w:rFonts w:ascii="Palatino Linotype" w:hAnsi="Palatino Linotype"/>
          <w:bCs/>
          <w:sz w:val="22"/>
          <w:szCs w:val="22"/>
        </w:rPr>
        <w:t xml:space="preserve">La presente Ordenanza se aprueba </w:t>
      </w:r>
      <w:r w:rsidR="00DB1DAB">
        <w:rPr>
          <w:rFonts w:ascii="Palatino Linotype" w:hAnsi="Palatino Linotype"/>
          <w:bCs/>
          <w:sz w:val="22"/>
          <w:szCs w:val="22"/>
        </w:rPr>
        <w:t>con</w:t>
      </w:r>
      <w:r w:rsidR="005D6D9E" w:rsidRPr="00BF3EC5">
        <w:rPr>
          <w:rFonts w:ascii="Palatino Linotype" w:hAnsi="Palatino Linotype"/>
          <w:bCs/>
          <w:sz w:val="22"/>
          <w:szCs w:val="22"/>
        </w:rPr>
        <w:t xml:space="preserve"> base </w:t>
      </w:r>
      <w:r w:rsidR="00DB1DAB">
        <w:rPr>
          <w:rFonts w:ascii="Palatino Linotype" w:hAnsi="Palatino Linotype"/>
          <w:bCs/>
          <w:sz w:val="22"/>
          <w:szCs w:val="22"/>
        </w:rPr>
        <w:t xml:space="preserve">en </w:t>
      </w:r>
      <w:r w:rsidR="005D6D9E" w:rsidRPr="00BF3EC5">
        <w:rPr>
          <w:rFonts w:ascii="Palatino Linotype" w:hAnsi="Palatino Linotype"/>
          <w:bCs/>
          <w:sz w:val="22"/>
          <w:szCs w:val="22"/>
        </w:rPr>
        <w:t>los informes que son de exclusiva responsabilidad de los funcionarios que lo suscriben y realizan.</w:t>
      </w:r>
    </w:p>
    <w:p w14:paraId="707FC565"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12119368" w14:textId="43665DE9"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r w:rsidRPr="00BF3EC5">
        <w:rPr>
          <w:rFonts w:ascii="Palatino Linotype" w:hAnsi="Palatino Linotype" w:cs="Times New Roman"/>
          <w:b/>
          <w:bCs/>
          <w:sz w:val="22"/>
          <w:szCs w:val="22"/>
        </w:rPr>
        <w:t xml:space="preserve">Disposiciones transitorias: </w:t>
      </w:r>
    </w:p>
    <w:p w14:paraId="7CC8EE2E" w14:textId="77777777" w:rsidR="006361F4" w:rsidRPr="00BF3EC5" w:rsidRDefault="006361F4" w:rsidP="006361F4">
      <w:pPr>
        <w:autoSpaceDE w:val="0"/>
        <w:autoSpaceDN w:val="0"/>
        <w:adjustRightInd w:val="0"/>
        <w:spacing w:after="0" w:line="240" w:lineRule="auto"/>
        <w:rPr>
          <w:rFonts w:ascii="Palatino Linotype" w:hAnsi="Palatino Linotype" w:cs="Times New Roman"/>
          <w:b/>
          <w:bCs/>
          <w:sz w:val="22"/>
          <w:szCs w:val="22"/>
        </w:rPr>
      </w:pPr>
    </w:p>
    <w:p w14:paraId="570E1FCC" w14:textId="5BD2449A" w:rsidR="006361F4" w:rsidRPr="00BF3EC5" w:rsidRDefault="006361F4" w:rsidP="006361F4">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bCs/>
          <w:sz w:val="22"/>
          <w:szCs w:val="22"/>
        </w:rPr>
        <w:t xml:space="preserve">Primera: </w:t>
      </w:r>
      <w:r w:rsidRPr="00BF3EC5">
        <w:rPr>
          <w:rFonts w:ascii="Palatino Linotype" w:hAnsi="Palatino Linotype" w:cs="Times New Roman"/>
          <w:sz w:val="22"/>
          <w:szCs w:val="22"/>
        </w:rPr>
        <w:t xml:space="preserve">Comuníquese al interesado, a la Administración Zonal </w:t>
      </w:r>
      <w:r w:rsidR="00B71B3A">
        <w:rPr>
          <w:rFonts w:ascii="Palatino Linotype" w:hAnsi="Palatino Linotype" w:cs="Times New Roman"/>
          <w:sz w:val="22"/>
          <w:szCs w:val="22"/>
        </w:rPr>
        <w:t>Eloy Alfaro</w:t>
      </w:r>
      <w:r w:rsidRPr="00BF3EC5">
        <w:rPr>
          <w:rFonts w:ascii="Palatino Linotype" w:hAnsi="Palatino Linotype" w:cs="Times New Roman"/>
          <w:sz w:val="22"/>
          <w:szCs w:val="22"/>
        </w:rPr>
        <w:t>, a la Secretaría de Territorio, Hábitat y Vivienda; y, a la Empresa Pública Metropolitana de Movilidad y Obras Públicas, a fin de que se continúe con los trámites de Ley.</w:t>
      </w:r>
    </w:p>
    <w:p w14:paraId="55AF9C7B" w14:textId="77777777" w:rsidR="006361F4" w:rsidRPr="00BF3EC5" w:rsidRDefault="006361F4" w:rsidP="005D6D9E">
      <w:pPr>
        <w:autoSpaceDE w:val="0"/>
        <w:autoSpaceDN w:val="0"/>
        <w:adjustRightInd w:val="0"/>
        <w:spacing w:after="0" w:line="240" w:lineRule="auto"/>
        <w:rPr>
          <w:rFonts w:ascii="Palatino Linotype" w:hAnsi="Palatino Linotype" w:cs="Times New Roman"/>
          <w:sz w:val="22"/>
          <w:szCs w:val="22"/>
        </w:rPr>
      </w:pPr>
    </w:p>
    <w:p w14:paraId="0F1AAC33" w14:textId="6771938B"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Segunda: </w:t>
      </w:r>
      <w:r w:rsidR="005D6D9E" w:rsidRPr="00BF3EC5">
        <w:rPr>
          <w:rFonts w:ascii="Palatino Linotype" w:hAnsi="Palatino Linotype" w:cs="Times New Roman"/>
          <w:sz w:val="22"/>
          <w:szCs w:val="22"/>
        </w:rPr>
        <w:t>En el término de 15 días contados a partir de la sanción de la presente Ordenanza, la Secretaría General del Concejo Metropolitano remitirá la misma a la Secretaría de Territorio, Hábitat y Vivienda, Secretaría de Movilidad, Empresa Pública Metropolitana de Movilidad y Obras Públicas y Administración Zonal correspondiente, adjuntando el plano del trazado vial que incluya la información georreferenciada en formato digital.</w:t>
      </w:r>
    </w:p>
    <w:p w14:paraId="0D4CE22B" w14:textId="77777777" w:rsidR="005D6D9E" w:rsidRPr="00BF3EC5" w:rsidRDefault="005D6D9E" w:rsidP="005D6D9E">
      <w:pPr>
        <w:autoSpaceDE w:val="0"/>
        <w:autoSpaceDN w:val="0"/>
        <w:adjustRightInd w:val="0"/>
        <w:spacing w:after="0" w:line="240" w:lineRule="auto"/>
        <w:rPr>
          <w:rFonts w:ascii="Palatino Linotype" w:hAnsi="Palatino Linotype" w:cs="Times New Roman"/>
          <w:sz w:val="22"/>
          <w:szCs w:val="22"/>
        </w:rPr>
      </w:pPr>
    </w:p>
    <w:p w14:paraId="598D4397" w14:textId="1C1DE1DA" w:rsidR="005D6D9E" w:rsidRPr="00BF3EC5" w:rsidRDefault="006361F4" w:rsidP="005D6D9E">
      <w:pPr>
        <w:autoSpaceDE w:val="0"/>
        <w:autoSpaceDN w:val="0"/>
        <w:adjustRightInd w:val="0"/>
        <w:spacing w:after="0" w:line="240" w:lineRule="auto"/>
        <w:rPr>
          <w:rFonts w:ascii="Palatino Linotype" w:hAnsi="Palatino Linotype" w:cs="Times New Roman"/>
          <w:sz w:val="22"/>
          <w:szCs w:val="22"/>
        </w:rPr>
      </w:pPr>
      <w:r w:rsidRPr="00BF3EC5">
        <w:rPr>
          <w:rFonts w:ascii="Palatino Linotype" w:hAnsi="Palatino Linotype" w:cs="Times New Roman"/>
          <w:b/>
          <w:sz w:val="22"/>
          <w:szCs w:val="22"/>
        </w:rPr>
        <w:t xml:space="preserve">Tercera: </w:t>
      </w:r>
      <w:r w:rsidR="005D6D9E" w:rsidRPr="00BF3EC5">
        <w:rPr>
          <w:rFonts w:ascii="Palatino Linotype" w:hAnsi="Palatino Linotype" w:cs="Times New Roman"/>
          <w:sz w:val="22"/>
          <w:szCs w:val="22"/>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14:paraId="6F9D8FAE" w14:textId="77777777" w:rsidR="005D6D9E" w:rsidRPr="00BF3EC5" w:rsidRDefault="005D6D9E" w:rsidP="00352D87">
      <w:pPr>
        <w:autoSpaceDE w:val="0"/>
        <w:autoSpaceDN w:val="0"/>
        <w:adjustRightInd w:val="0"/>
        <w:spacing w:after="0" w:line="240" w:lineRule="auto"/>
        <w:rPr>
          <w:rFonts w:ascii="Palatino Linotype" w:hAnsi="Palatino Linotype" w:cs="Times New Roman"/>
          <w:sz w:val="22"/>
          <w:szCs w:val="22"/>
        </w:rPr>
      </w:pPr>
    </w:p>
    <w:p w14:paraId="4CB005D0" w14:textId="51CBB189" w:rsidR="000505D5" w:rsidRPr="00BF3EC5" w:rsidRDefault="0008335A" w:rsidP="0008335A">
      <w:pPr>
        <w:autoSpaceDE w:val="0"/>
        <w:autoSpaceDN w:val="0"/>
        <w:adjustRightInd w:val="0"/>
        <w:rPr>
          <w:rFonts w:ascii="Palatino Linotype" w:hAnsi="Palatino Linotype"/>
          <w:sz w:val="22"/>
          <w:szCs w:val="22"/>
        </w:rPr>
      </w:pPr>
      <w:r w:rsidRPr="00BF3EC5">
        <w:rPr>
          <w:rFonts w:ascii="Palatino Linotype" w:hAnsi="Palatino Linotype"/>
          <w:b/>
          <w:sz w:val="22"/>
          <w:szCs w:val="22"/>
        </w:rPr>
        <w:t xml:space="preserve">Disposición </w:t>
      </w:r>
      <w:r w:rsidR="000505D5" w:rsidRPr="00BF3EC5">
        <w:rPr>
          <w:rFonts w:ascii="Palatino Linotype" w:hAnsi="Palatino Linotype"/>
          <w:b/>
          <w:sz w:val="22"/>
          <w:szCs w:val="22"/>
        </w:rPr>
        <w:t xml:space="preserve">Final.- </w:t>
      </w:r>
      <w:r w:rsidR="000505D5" w:rsidRPr="00BF3EC5">
        <w:rPr>
          <w:rFonts w:ascii="Palatino Linotype" w:hAnsi="Palatino Linotype"/>
          <w:sz w:val="22"/>
          <w:szCs w:val="22"/>
        </w:rPr>
        <w:t>Esta ordenanza entrará en  vigencia a partir de la fecha de su sanción, sin perjuicio de</w:t>
      </w:r>
      <w:r w:rsidR="005D6D9E" w:rsidRPr="00BF3EC5">
        <w:rPr>
          <w:rFonts w:ascii="Palatino Linotype" w:hAnsi="Palatino Linotype"/>
          <w:sz w:val="22"/>
          <w:szCs w:val="22"/>
        </w:rPr>
        <w:t xml:space="preserve"> </w:t>
      </w:r>
      <w:r w:rsidR="000505D5" w:rsidRPr="00BF3EC5">
        <w:rPr>
          <w:rFonts w:ascii="Palatino Linotype" w:hAnsi="Palatino Linotype"/>
          <w:sz w:val="22"/>
          <w:szCs w:val="22"/>
        </w:rPr>
        <w:t>la publicación en la página web institucional de la Municipalidad.</w:t>
      </w:r>
    </w:p>
    <w:p w14:paraId="58C73BA1" w14:textId="7582E994" w:rsidR="000505D5" w:rsidRPr="00BF3EC5" w:rsidRDefault="000505D5" w:rsidP="0008335A">
      <w:pPr>
        <w:autoSpaceDE w:val="0"/>
        <w:autoSpaceDN w:val="0"/>
        <w:adjustRightInd w:val="0"/>
        <w:rPr>
          <w:rFonts w:ascii="Palatino Linotype" w:hAnsi="Palatino Linotype"/>
          <w:b/>
          <w:sz w:val="22"/>
          <w:szCs w:val="22"/>
        </w:rPr>
      </w:pPr>
      <w:r w:rsidRPr="00BF3EC5">
        <w:rPr>
          <w:rFonts w:ascii="Palatino Linotype" w:hAnsi="Palatino Linotype"/>
          <w:b/>
          <w:sz w:val="22"/>
          <w:szCs w:val="22"/>
        </w:rPr>
        <w:lastRenderedPageBreak/>
        <w:t xml:space="preserve">Dada, en la Sala de Sesiones del Concejo </w:t>
      </w:r>
      <w:r w:rsidR="00FC5498" w:rsidRPr="00BF3EC5">
        <w:rPr>
          <w:rFonts w:ascii="Palatino Linotype" w:hAnsi="Palatino Linotype"/>
          <w:b/>
          <w:sz w:val="22"/>
          <w:szCs w:val="22"/>
        </w:rPr>
        <w:t>Metropolita</w:t>
      </w:r>
      <w:r w:rsidR="00FC5498" w:rsidRPr="00D931D4">
        <w:rPr>
          <w:rFonts w:ascii="Palatino Linotype" w:hAnsi="Palatino Linotype"/>
          <w:b/>
          <w:sz w:val="22"/>
          <w:szCs w:val="22"/>
        </w:rPr>
        <w:t>no</w:t>
      </w:r>
      <w:r w:rsidRPr="00D931D4">
        <w:rPr>
          <w:rFonts w:ascii="Palatino Linotype" w:hAnsi="Palatino Linotype"/>
          <w:b/>
          <w:sz w:val="22"/>
          <w:szCs w:val="22"/>
        </w:rPr>
        <w:t xml:space="preserve"> de Quito, el … de … del 202</w:t>
      </w:r>
      <w:r w:rsidR="004543D1">
        <w:rPr>
          <w:rFonts w:ascii="Palatino Linotype" w:hAnsi="Palatino Linotype"/>
          <w:b/>
          <w:sz w:val="22"/>
          <w:szCs w:val="22"/>
        </w:rPr>
        <w:t>3</w:t>
      </w:r>
      <w:r w:rsidRPr="00D931D4">
        <w:rPr>
          <w:rFonts w:ascii="Palatino Linotype" w:hAnsi="Palatino Linotype"/>
          <w:b/>
          <w:sz w:val="22"/>
          <w:szCs w:val="22"/>
        </w:rPr>
        <w:t>.</w:t>
      </w:r>
    </w:p>
    <w:p w14:paraId="77EAD58D"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p>
    <w:p w14:paraId="381F24B9"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1DD0AF84" w14:textId="77777777" w:rsidR="005D6D9E" w:rsidRPr="00BF3EC5" w:rsidRDefault="005D6D9E" w:rsidP="000505D5">
      <w:pPr>
        <w:autoSpaceDE w:val="0"/>
        <w:autoSpaceDN w:val="0"/>
        <w:adjustRightInd w:val="0"/>
        <w:spacing w:after="0" w:line="240" w:lineRule="auto"/>
        <w:jc w:val="center"/>
        <w:rPr>
          <w:rFonts w:ascii="Palatino Linotype" w:hAnsi="Palatino Linotype" w:cs="Times New Roman"/>
          <w:sz w:val="22"/>
          <w:szCs w:val="22"/>
        </w:rPr>
      </w:pPr>
    </w:p>
    <w:p w14:paraId="6CC349A7"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1AED776B" w14:textId="3EFD705C"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NCEJO METROPOLITANO DE QUITO</w:t>
      </w:r>
    </w:p>
    <w:p w14:paraId="070F7B63"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77FD2D7F" w14:textId="77777777"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p>
    <w:p w14:paraId="46C76B9B" w14:textId="2AD87862" w:rsidR="000505D5" w:rsidRPr="00BF3EC5" w:rsidRDefault="000505D5" w:rsidP="000505D5">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CERTIFICADO DE DISCUSIÓN</w:t>
      </w:r>
    </w:p>
    <w:p w14:paraId="05C68BF4" w14:textId="77777777"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p>
    <w:p w14:paraId="2CF3BBA0" w14:textId="6C59352C" w:rsidR="000505D5" w:rsidRPr="00BF3EC5" w:rsidRDefault="000505D5" w:rsidP="000505D5">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El infrascrito Secretario General del Concejo Metropolitano de Quito, certifica que la presente ordenanza fue discutida y aprobada</w:t>
      </w:r>
      <w:r w:rsidR="005D6D9E" w:rsidRPr="00BF3EC5">
        <w:rPr>
          <w:rFonts w:ascii="Palatino Linotype" w:hAnsi="Palatino Linotype" w:cs="Times New Roman"/>
          <w:b/>
          <w:sz w:val="22"/>
          <w:szCs w:val="22"/>
        </w:rPr>
        <w:t xml:space="preserve"> en … debates, en sesiones de</w:t>
      </w:r>
      <w:proofErr w:type="gramStart"/>
      <w:r w:rsidR="005D6D9E" w:rsidRPr="00BF3EC5">
        <w:rPr>
          <w:rFonts w:ascii="Palatino Linotype" w:hAnsi="Palatino Linotype" w:cs="Times New Roman"/>
          <w:b/>
          <w:sz w:val="22"/>
          <w:szCs w:val="22"/>
        </w:rPr>
        <w:t xml:space="preserve"> ..</w:t>
      </w:r>
      <w:proofErr w:type="gramEnd"/>
      <w:r w:rsidR="005D6D9E" w:rsidRPr="00BF3EC5">
        <w:rPr>
          <w:rFonts w:ascii="Palatino Linotype" w:hAnsi="Palatino Linotype" w:cs="Times New Roman"/>
          <w:b/>
          <w:sz w:val="22"/>
          <w:szCs w:val="22"/>
        </w:rPr>
        <w:t xml:space="preserve"> y … de … de 202</w:t>
      </w:r>
      <w:r w:rsidR="004543D1">
        <w:rPr>
          <w:rFonts w:ascii="Palatino Linotype" w:hAnsi="Palatino Linotype" w:cs="Times New Roman"/>
          <w:b/>
          <w:sz w:val="22"/>
          <w:szCs w:val="22"/>
        </w:rPr>
        <w:t>3</w:t>
      </w:r>
      <w:r w:rsidR="005D6D9E" w:rsidRPr="00BF3EC5">
        <w:rPr>
          <w:rFonts w:ascii="Palatino Linotype" w:hAnsi="Palatino Linotype" w:cs="Times New Roman"/>
          <w:b/>
          <w:sz w:val="22"/>
          <w:szCs w:val="22"/>
        </w:rPr>
        <w:t>.</w:t>
      </w:r>
    </w:p>
    <w:p w14:paraId="725B1E83"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2CAE69E6" w14:textId="77777777" w:rsidR="005D6D9E" w:rsidRPr="00BF3EC5" w:rsidRDefault="005D6D9E" w:rsidP="000505D5">
      <w:pPr>
        <w:autoSpaceDE w:val="0"/>
        <w:autoSpaceDN w:val="0"/>
        <w:adjustRightInd w:val="0"/>
        <w:spacing w:after="0" w:line="240" w:lineRule="auto"/>
        <w:rPr>
          <w:rFonts w:ascii="Palatino Linotype" w:hAnsi="Palatino Linotype" w:cs="Times New Roman"/>
          <w:b/>
          <w:sz w:val="22"/>
          <w:szCs w:val="22"/>
        </w:rPr>
      </w:pPr>
    </w:p>
    <w:p w14:paraId="5252BD71" w14:textId="101C571B"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b/>
          <w:sz w:val="22"/>
          <w:szCs w:val="22"/>
        </w:rPr>
        <w:tab/>
      </w:r>
      <w:r w:rsidRPr="00BF3EC5">
        <w:rPr>
          <w:rFonts w:ascii="Palatino Linotype" w:hAnsi="Palatino Linotype" w:cs="Times New Roman"/>
          <w:sz w:val="22"/>
          <w:szCs w:val="22"/>
        </w:rPr>
        <w:t xml:space="preserve">Abg. Pablo Antonio Santillán Paredes </w:t>
      </w:r>
    </w:p>
    <w:p w14:paraId="4B3A71BD" w14:textId="62132558"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r w:rsidRPr="00BF3EC5">
        <w:rPr>
          <w:rFonts w:ascii="Palatino Linotype" w:hAnsi="Palatino Linotype" w:cs="Times New Roman"/>
          <w:b/>
          <w:sz w:val="22"/>
          <w:szCs w:val="22"/>
        </w:rPr>
        <w:t>SECRETARIA GENERAL DEL CO</w:t>
      </w:r>
      <w:r w:rsidR="006361F4" w:rsidRPr="00BF3EC5">
        <w:rPr>
          <w:rFonts w:ascii="Palatino Linotype" w:hAnsi="Palatino Linotype" w:cs="Times New Roman"/>
          <w:b/>
          <w:sz w:val="22"/>
          <w:szCs w:val="22"/>
        </w:rPr>
        <w:t xml:space="preserve">NCEJO METROPOLITANO DE QUITO </w:t>
      </w:r>
    </w:p>
    <w:p w14:paraId="2A464F59"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665EC712"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14BB496D" w14:textId="0E217DA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5DD15DA" w14:textId="215545C0"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ALCALDIA DEL DISTRITO METROPOLITANO DE </w:t>
      </w:r>
      <w:proofErr w:type="gramStart"/>
      <w:r w:rsidRPr="00BF3EC5">
        <w:rPr>
          <w:rFonts w:ascii="Palatino Linotype" w:hAnsi="Palatino Linotype" w:cs="Times New Roman"/>
          <w:b/>
          <w:sz w:val="22"/>
          <w:szCs w:val="22"/>
        </w:rPr>
        <w:t>QUITO, ..</w:t>
      </w:r>
      <w:proofErr w:type="gramEnd"/>
      <w:r w:rsidRPr="00BF3EC5">
        <w:rPr>
          <w:rFonts w:ascii="Palatino Linotype" w:hAnsi="Palatino Linotype" w:cs="Times New Roman"/>
          <w:b/>
          <w:sz w:val="22"/>
          <w:szCs w:val="22"/>
        </w:rPr>
        <w:t xml:space="preserve"> de… del 2022.</w:t>
      </w:r>
    </w:p>
    <w:p w14:paraId="3B462BF2"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F773435" w14:textId="7040F19E" w:rsidR="005D6D9E" w:rsidRPr="00BF3EC5" w:rsidRDefault="00B94366" w:rsidP="005D6D9E">
      <w:pPr>
        <w:autoSpaceDE w:val="0"/>
        <w:autoSpaceDN w:val="0"/>
        <w:adjustRightInd w:val="0"/>
        <w:spacing w:after="0" w:line="240" w:lineRule="auto"/>
        <w:rPr>
          <w:rFonts w:ascii="Palatino Linotype" w:hAnsi="Palatino Linotype" w:cs="Times New Roman"/>
          <w:b/>
          <w:sz w:val="22"/>
          <w:szCs w:val="22"/>
        </w:rPr>
      </w:pP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r>
      <w:r>
        <w:rPr>
          <w:rFonts w:ascii="Palatino Linotype" w:hAnsi="Palatino Linotype" w:cs="Times New Roman"/>
          <w:b/>
          <w:sz w:val="22"/>
          <w:szCs w:val="22"/>
        </w:rPr>
        <w:tab/>
        <w:t xml:space="preserve">      EJECÚ</w:t>
      </w:r>
      <w:r w:rsidR="005D6D9E" w:rsidRPr="00BF3EC5">
        <w:rPr>
          <w:rFonts w:ascii="Palatino Linotype" w:hAnsi="Palatino Linotype" w:cs="Times New Roman"/>
          <w:b/>
          <w:sz w:val="22"/>
          <w:szCs w:val="22"/>
        </w:rPr>
        <w:t>TESE</w:t>
      </w:r>
    </w:p>
    <w:p w14:paraId="4E81146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2CE6E41E"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30CA1AFB" w14:textId="5F619431"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 xml:space="preserve">            Dr. Santiago </w:t>
      </w:r>
      <w:proofErr w:type="spellStart"/>
      <w:r w:rsidRPr="00BF3EC5">
        <w:rPr>
          <w:rFonts w:ascii="Palatino Linotype" w:hAnsi="Palatino Linotype" w:cs="Times New Roman"/>
          <w:b/>
          <w:sz w:val="22"/>
          <w:szCs w:val="22"/>
        </w:rPr>
        <w:t>Guarderas</w:t>
      </w:r>
      <w:proofErr w:type="spellEnd"/>
    </w:p>
    <w:p w14:paraId="072B9C4C" w14:textId="197BF8E6"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ab/>
      </w:r>
      <w:r w:rsidRPr="00BF3EC5">
        <w:rPr>
          <w:rFonts w:ascii="Palatino Linotype" w:hAnsi="Palatino Linotype" w:cs="Times New Roman"/>
          <w:b/>
          <w:sz w:val="22"/>
          <w:szCs w:val="22"/>
        </w:rPr>
        <w:tab/>
        <w:t>ALCALDE DEL DISTRITO EMTROPOLITANO DE QUITO</w:t>
      </w:r>
    </w:p>
    <w:p w14:paraId="7F91DA98" w14:textId="77777777"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p>
    <w:p w14:paraId="440856D0" w14:textId="4FF9DA1F" w:rsidR="005D6D9E" w:rsidRPr="00BF3EC5" w:rsidRDefault="005D6D9E" w:rsidP="005D6D9E">
      <w:pPr>
        <w:autoSpaceDE w:val="0"/>
        <w:autoSpaceDN w:val="0"/>
        <w:adjustRightInd w:val="0"/>
        <w:spacing w:after="0" w:line="240" w:lineRule="auto"/>
        <w:rPr>
          <w:rFonts w:ascii="Palatino Linotype" w:hAnsi="Palatino Linotype" w:cs="Times New Roman"/>
          <w:b/>
          <w:sz w:val="22"/>
          <w:szCs w:val="22"/>
        </w:rPr>
      </w:pPr>
      <w:r w:rsidRPr="00BF3EC5">
        <w:rPr>
          <w:rFonts w:ascii="Palatino Linotype" w:hAnsi="Palatino Linotype" w:cs="Times New Roman"/>
          <w:b/>
          <w:sz w:val="22"/>
          <w:szCs w:val="22"/>
        </w:rPr>
        <w:t xml:space="preserve">CERTIFICO, que la presente ordenanza fue sancionada por el Dr. Santiago </w:t>
      </w:r>
      <w:proofErr w:type="spellStart"/>
      <w:r w:rsidRPr="00BF3EC5">
        <w:rPr>
          <w:rFonts w:ascii="Palatino Linotype" w:hAnsi="Palatino Linotype" w:cs="Times New Roman"/>
          <w:b/>
          <w:sz w:val="22"/>
          <w:szCs w:val="22"/>
        </w:rPr>
        <w:t>Guarderas</w:t>
      </w:r>
      <w:proofErr w:type="spellEnd"/>
      <w:r w:rsidRPr="00BF3EC5">
        <w:rPr>
          <w:rFonts w:ascii="Palatino Linotype" w:hAnsi="Palatino Linotype" w:cs="Times New Roman"/>
          <w:b/>
          <w:sz w:val="22"/>
          <w:szCs w:val="22"/>
        </w:rPr>
        <w:t>, Alcalde del Distrito Metropolitano de Quito, el … de … de …202</w:t>
      </w:r>
      <w:r w:rsidR="004543D1">
        <w:rPr>
          <w:rFonts w:ascii="Palatino Linotype" w:hAnsi="Palatino Linotype" w:cs="Times New Roman"/>
          <w:b/>
          <w:sz w:val="22"/>
          <w:szCs w:val="22"/>
        </w:rPr>
        <w:t>3</w:t>
      </w:r>
      <w:r w:rsidRPr="00BF3EC5">
        <w:rPr>
          <w:rFonts w:ascii="Palatino Linotype" w:hAnsi="Palatino Linotype" w:cs="Times New Roman"/>
          <w:b/>
          <w:sz w:val="22"/>
          <w:szCs w:val="22"/>
        </w:rPr>
        <w:t>.</w:t>
      </w:r>
    </w:p>
    <w:p w14:paraId="1C2A49C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31861FA1"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01782DE5"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7A856BD3"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b/>
          <w:sz w:val="22"/>
          <w:szCs w:val="22"/>
        </w:rPr>
      </w:pPr>
    </w:p>
    <w:p w14:paraId="22439016" w14:textId="77777777" w:rsidR="005D6D9E" w:rsidRPr="00BF3EC5" w:rsidRDefault="005D6D9E" w:rsidP="005D6D9E">
      <w:pPr>
        <w:autoSpaceDE w:val="0"/>
        <w:autoSpaceDN w:val="0"/>
        <w:adjustRightInd w:val="0"/>
        <w:spacing w:after="0" w:line="240" w:lineRule="auto"/>
        <w:jc w:val="center"/>
        <w:rPr>
          <w:rFonts w:ascii="Palatino Linotype" w:hAnsi="Palatino Linotype" w:cs="Times New Roman"/>
          <w:sz w:val="22"/>
          <w:szCs w:val="22"/>
        </w:rPr>
      </w:pPr>
      <w:r w:rsidRPr="00BF3EC5">
        <w:rPr>
          <w:rFonts w:ascii="Palatino Linotype" w:hAnsi="Palatino Linotype" w:cs="Times New Roman"/>
          <w:sz w:val="22"/>
          <w:szCs w:val="22"/>
        </w:rPr>
        <w:t xml:space="preserve">Abg. Pablo Antonio Santillán Paredes </w:t>
      </w:r>
    </w:p>
    <w:p w14:paraId="28007772" w14:textId="7C0A724A" w:rsidR="000505D5" w:rsidRPr="00BF3EC5" w:rsidRDefault="005D6D9E" w:rsidP="00AB093D">
      <w:pPr>
        <w:autoSpaceDE w:val="0"/>
        <w:autoSpaceDN w:val="0"/>
        <w:adjustRightInd w:val="0"/>
        <w:spacing w:after="0" w:line="240" w:lineRule="auto"/>
        <w:jc w:val="center"/>
        <w:rPr>
          <w:rFonts w:ascii="Palatino Linotype" w:hAnsi="Palatino Linotype"/>
          <w:b/>
          <w:sz w:val="22"/>
          <w:szCs w:val="22"/>
        </w:rPr>
      </w:pPr>
      <w:r w:rsidRPr="00BF3EC5">
        <w:rPr>
          <w:rFonts w:ascii="Palatino Linotype" w:hAnsi="Palatino Linotype" w:cs="Times New Roman"/>
          <w:b/>
          <w:sz w:val="22"/>
          <w:szCs w:val="22"/>
        </w:rPr>
        <w:t xml:space="preserve">SECRETARIA GENERAL DEL CONCEJO </w:t>
      </w:r>
      <w:r w:rsidR="00D05796" w:rsidRPr="00BF3EC5">
        <w:rPr>
          <w:rFonts w:ascii="Palatino Linotype" w:hAnsi="Palatino Linotype" w:cs="Times New Roman"/>
          <w:b/>
          <w:sz w:val="22"/>
          <w:szCs w:val="22"/>
        </w:rPr>
        <w:t xml:space="preserve">METROPOLITANO DE QUITO </w:t>
      </w:r>
    </w:p>
    <w:sectPr w:rsidR="000505D5" w:rsidRPr="00BF3EC5" w:rsidSect="00952912">
      <w:headerReference w:type="default" r:id="rId8"/>
      <w:footerReference w:type="default" r:id="rId9"/>
      <w:pgSz w:w="11906" w:h="16838"/>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E5629" w14:textId="77777777" w:rsidR="00D3236F" w:rsidRDefault="00D3236F" w:rsidP="00BC2486">
      <w:pPr>
        <w:spacing w:after="0" w:line="240" w:lineRule="auto"/>
      </w:pPr>
      <w:r>
        <w:separator/>
      </w:r>
    </w:p>
  </w:endnote>
  <w:endnote w:type="continuationSeparator" w:id="0">
    <w:p w14:paraId="5FD2EF53" w14:textId="77777777" w:rsidR="00D3236F" w:rsidRDefault="00D3236F" w:rsidP="00BC2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847799"/>
      <w:docPartObj>
        <w:docPartGallery w:val="Page Numbers (Bottom of Page)"/>
        <w:docPartUnique/>
      </w:docPartObj>
    </w:sdtPr>
    <w:sdtEndPr/>
    <w:sdtContent>
      <w:p w14:paraId="1D28F3B1" w14:textId="78134007" w:rsidR="00BF3EC5" w:rsidRDefault="00BF3EC5">
        <w:pPr>
          <w:pStyle w:val="Piedepgina"/>
          <w:jc w:val="right"/>
        </w:pPr>
        <w:r>
          <w:fldChar w:fldCharType="begin"/>
        </w:r>
        <w:r>
          <w:instrText>PAGE   \* MERGEFORMAT</w:instrText>
        </w:r>
        <w:r>
          <w:fldChar w:fldCharType="separate"/>
        </w:r>
        <w:r w:rsidR="00070DE8" w:rsidRPr="00070DE8">
          <w:rPr>
            <w:noProof/>
            <w:lang w:val="es-ES"/>
          </w:rPr>
          <w:t>6</w:t>
        </w:r>
        <w:r>
          <w:fldChar w:fldCharType="end"/>
        </w:r>
      </w:p>
    </w:sdtContent>
  </w:sdt>
  <w:p w14:paraId="679EDE6A" w14:textId="77777777" w:rsidR="00BF3EC5" w:rsidRDefault="00BF3E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9C69B" w14:textId="77777777" w:rsidR="00D3236F" w:rsidRDefault="00D3236F" w:rsidP="00BC2486">
      <w:pPr>
        <w:spacing w:after="0" w:line="240" w:lineRule="auto"/>
      </w:pPr>
      <w:r>
        <w:separator/>
      </w:r>
    </w:p>
  </w:footnote>
  <w:footnote w:type="continuationSeparator" w:id="0">
    <w:p w14:paraId="4C4B427B" w14:textId="77777777" w:rsidR="00D3236F" w:rsidRDefault="00D3236F" w:rsidP="00BC24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45A0" w14:textId="4F1A6846" w:rsidR="00155526" w:rsidRDefault="00155526">
    <w:pPr>
      <w:pStyle w:val="Encabezado"/>
    </w:pPr>
    <w:r>
      <w:rPr>
        <w:rFonts w:ascii="Palatino Linotype" w:hAnsi="Palatino Linotype"/>
        <w:b/>
        <w:noProof/>
        <w:lang w:val="es-419" w:eastAsia="es-419"/>
      </w:rPr>
      <w:drawing>
        <wp:anchor distT="0" distB="0" distL="114300" distR="114300" simplePos="0" relativeHeight="251659264" behindDoc="0" locked="0" layoutInCell="1" allowOverlap="1" wp14:anchorId="32F9D3D5" wp14:editId="2B8D7FE5">
          <wp:simplePos x="0" y="0"/>
          <wp:positionH relativeFrom="margin">
            <wp:align>center</wp:align>
          </wp:positionH>
          <wp:positionV relativeFrom="paragraph">
            <wp:posOffset>-324485</wp:posOffset>
          </wp:positionV>
          <wp:extent cx="673735" cy="990600"/>
          <wp:effectExtent l="0" t="0" r="0" b="0"/>
          <wp:wrapNone/>
          <wp:docPr id="11" name="Imagen 11" descr="logo dor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or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735" cy="990600"/>
                  </a:xfrm>
                  <a:prstGeom prst="rect">
                    <a:avLst/>
                  </a:prstGeom>
                  <a:noFill/>
                </pic:spPr>
              </pic:pic>
            </a:graphicData>
          </a:graphic>
          <wp14:sizeRelH relativeFrom="page">
            <wp14:pctWidth>0</wp14:pctWidth>
          </wp14:sizeRelH>
          <wp14:sizeRelV relativeFrom="page">
            <wp14:pctHeight>0</wp14:pctHeight>
          </wp14:sizeRelV>
        </wp:anchor>
      </w:drawing>
    </w:r>
  </w:p>
  <w:p w14:paraId="65222DEF" w14:textId="77777777" w:rsidR="00155526" w:rsidRDefault="00155526" w:rsidP="00155526">
    <w:pPr>
      <w:pStyle w:val="Ttulo1"/>
      <w:rPr>
        <w:rFonts w:ascii="Palatino Linotype" w:hAnsi="Palatino Linotype"/>
        <w:color w:val="000000" w:themeColor="text1"/>
        <w:sz w:val="22"/>
        <w:szCs w:val="22"/>
      </w:rPr>
    </w:pPr>
  </w:p>
  <w:p w14:paraId="6EDB975D" w14:textId="77777777" w:rsidR="00155526" w:rsidRDefault="00155526" w:rsidP="00155526">
    <w:pPr>
      <w:pStyle w:val="Ttulo1"/>
      <w:rPr>
        <w:rFonts w:ascii="Palatino Linotype" w:hAnsi="Palatino Linotype"/>
        <w:color w:val="000000" w:themeColor="text1"/>
        <w:sz w:val="22"/>
        <w:szCs w:val="22"/>
      </w:rPr>
    </w:pPr>
  </w:p>
  <w:p w14:paraId="40DC5163" w14:textId="77777777" w:rsidR="00155526" w:rsidRDefault="00155526" w:rsidP="00155526">
    <w:pPr>
      <w:pStyle w:val="Ttulo1"/>
      <w:rPr>
        <w:rFonts w:ascii="Palatino Linotype" w:hAnsi="Palatino Linotype"/>
        <w:color w:val="000000" w:themeColor="text1"/>
        <w:sz w:val="22"/>
        <w:szCs w:val="22"/>
      </w:rPr>
    </w:pPr>
  </w:p>
  <w:p w14:paraId="4E769D7A" w14:textId="22ADA73B" w:rsidR="00155526" w:rsidRPr="0018018F" w:rsidRDefault="00155526" w:rsidP="00155526">
    <w:pPr>
      <w:pStyle w:val="Ttulo1"/>
      <w:rPr>
        <w:rFonts w:ascii="Palatino Linotype" w:hAnsi="Palatino Linotype"/>
        <w:b w:val="0"/>
        <w:bCs w:val="0"/>
        <w:color w:val="000000" w:themeColor="text1"/>
        <w:sz w:val="22"/>
        <w:szCs w:val="22"/>
      </w:rPr>
    </w:pPr>
    <w:r>
      <w:rPr>
        <w:rFonts w:ascii="Palatino Linotype" w:hAnsi="Palatino Linotype"/>
        <w:color w:val="000000" w:themeColor="text1"/>
        <w:sz w:val="22"/>
        <w:szCs w:val="22"/>
      </w:rPr>
      <w:t xml:space="preserve">                             </w:t>
    </w:r>
    <w:r w:rsidRPr="0018018F">
      <w:rPr>
        <w:rFonts w:ascii="Palatino Linotype" w:hAnsi="Palatino Linotype"/>
        <w:color w:val="000000" w:themeColor="text1"/>
        <w:sz w:val="22"/>
        <w:szCs w:val="22"/>
      </w:rPr>
      <w:t xml:space="preserve">ORDENANZA METROPOLITANA No. </w:t>
    </w:r>
    <w:proofErr w:type="spellStart"/>
    <w:r>
      <w:rPr>
        <w:rFonts w:ascii="Palatino Linotype" w:hAnsi="Palatino Linotype"/>
        <w:color w:val="000000" w:themeColor="text1"/>
        <w:sz w:val="22"/>
        <w:szCs w:val="22"/>
      </w:rPr>
      <w:t>xxxxx</w:t>
    </w:r>
    <w:proofErr w:type="spellEnd"/>
  </w:p>
  <w:p w14:paraId="24D9C2CE" w14:textId="0A147D5F" w:rsidR="00155526" w:rsidRDefault="0015552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4FB"/>
    <w:multiLevelType w:val="hybridMultilevel"/>
    <w:tmpl w:val="4B624A8C"/>
    <w:lvl w:ilvl="0" w:tplc="300A000D">
      <w:start w:val="1"/>
      <w:numFmt w:val="bullet"/>
      <w:lvlText w:val=""/>
      <w:lvlJc w:val="left"/>
      <w:pPr>
        <w:ind w:left="776" w:hanging="360"/>
      </w:pPr>
      <w:rPr>
        <w:rFonts w:ascii="Wingdings" w:hAnsi="Wingdings" w:hint="default"/>
      </w:rPr>
    </w:lvl>
    <w:lvl w:ilvl="1" w:tplc="300A0003" w:tentative="1">
      <w:start w:val="1"/>
      <w:numFmt w:val="bullet"/>
      <w:lvlText w:val="o"/>
      <w:lvlJc w:val="left"/>
      <w:pPr>
        <w:ind w:left="1496" w:hanging="360"/>
      </w:pPr>
      <w:rPr>
        <w:rFonts w:ascii="Courier New" w:hAnsi="Courier New" w:cs="Courier New" w:hint="default"/>
      </w:rPr>
    </w:lvl>
    <w:lvl w:ilvl="2" w:tplc="300A0005" w:tentative="1">
      <w:start w:val="1"/>
      <w:numFmt w:val="bullet"/>
      <w:lvlText w:val=""/>
      <w:lvlJc w:val="left"/>
      <w:pPr>
        <w:ind w:left="2216" w:hanging="360"/>
      </w:pPr>
      <w:rPr>
        <w:rFonts w:ascii="Wingdings" w:hAnsi="Wingdings" w:hint="default"/>
      </w:rPr>
    </w:lvl>
    <w:lvl w:ilvl="3" w:tplc="300A0001" w:tentative="1">
      <w:start w:val="1"/>
      <w:numFmt w:val="bullet"/>
      <w:lvlText w:val=""/>
      <w:lvlJc w:val="left"/>
      <w:pPr>
        <w:ind w:left="2936" w:hanging="360"/>
      </w:pPr>
      <w:rPr>
        <w:rFonts w:ascii="Symbol" w:hAnsi="Symbol" w:hint="default"/>
      </w:rPr>
    </w:lvl>
    <w:lvl w:ilvl="4" w:tplc="300A0003" w:tentative="1">
      <w:start w:val="1"/>
      <w:numFmt w:val="bullet"/>
      <w:lvlText w:val="o"/>
      <w:lvlJc w:val="left"/>
      <w:pPr>
        <w:ind w:left="3656" w:hanging="360"/>
      </w:pPr>
      <w:rPr>
        <w:rFonts w:ascii="Courier New" w:hAnsi="Courier New" w:cs="Courier New" w:hint="default"/>
      </w:rPr>
    </w:lvl>
    <w:lvl w:ilvl="5" w:tplc="300A0005" w:tentative="1">
      <w:start w:val="1"/>
      <w:numFmt w:val="bullet"/>
      <w:lvlText w:val=""/>
      <w:lvlJc w:val="left"/>
      <w:pPr>
        <w:ind w:left="4376" w:hanging="360"/>
      </w:pPr>
      <w:rPr>
        <w:rFonts w:ascii="Wingdings" w:hAnsi="Wingdings" w:hint="default"/>
      </w:rPr>
    </w:lvl>
    <w:lvl w:ilvl="6" w:tplc="300A0001" w:tentative="1">
      <w:start w:val="1"/>
      <w:numFmt w:val="bullet"/>
      <w:lvlText w:val=""/>
      <w:lvlJc w:val="left"/>
      <w:pPr>
        <w:ind w:left="5096" w:hanging="360"/>
      </w:pPr>
      <w:rPr>
        <w:rFonts w:ascii="Symbol" w:hAnsi="Symbol" w:hint="default"/>
      </w:rPr>
    </w:lvl>
    <w:lvl w:ilvl="7" w:tplc="300A0003" w:tentative="1">
      <w:start w:val="1"/>
      <w:numFmt w:val="bullet"/>
      <w:lvlText w:val="o"/>
      <w:lvlJc w:val="left"/>
      <w:pPr>
        <w:ind w:left="5816" w:hanging="360"/>
      </w:pPr>
      <w:rPr>
        <w:rFonts w:ascii="Courier New" w:hAnsi="Courier New" w:cs="Courier New" w:hint="default"/>
      </w:rPr>
    </w:lvl>
    <w:lvl w:ilvl="8" w:tplc="300A0005" w:tentative="1">
      <w:start w:val="1"/>
      <w:numFmt w:val="bullet"/>
      <w:lvlText w:val=""/>
      <w:lvlJc w:val="left"/>
      <w:pPr>
        <w:ind w:left="6536" w:hanging="360"/>
      </w:pPr>
      <w:rPr>
        <w:rFonts w:ascii="Wingdings" w:hAnsi="Wingdings" w:hint="default"/>
      </w:rPr>
    </w:lvl>
  </w:abstractNum>
  <w:abstractNum w:abstractNumId="1" w15:restartNumberingAfterBreak="0">
    <w:nsid w:val="24825A52"/>
    <w:multiLevelType w:val="hybridMultilevel"/>
    <w:tmpl w:val="8A1A6FF8"/>
    <w:lvl w:ilvl="0" w:tplc="423A03D0">
      <w:numFmt w:val="bullet"/>
      <w:lvlText w:val="-"/>
      <w:lvlJc w:val="left"/>
      <w:pPr>
        <w:ind w:left="720" w:hanging="360"/>
      </w:pPr>
      <w:rPr>
        <w:rFonts w:ascii="Century Gothic" w:eastAsia="Arial" w:hAnsi="Century Gothic" w:cstheme="minorHAns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BBE2996"/>
    <w:multiLevelType w:val="hybridMultilevel"/>
    <w:tmpl w:val="3188939C"/>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87"/>
    <w:rsid w:val="000324B0"/>
    <w:rsid w:val="000505D5"/>
    <w:rsid w:val="00057830"/>
    <w:rsid w:val="00070DE8"/>
    <w:rsid w:val="0008335A"/>
    <w:rsid w:val="00092581"/>
    <w:rsid w:val="000B5800"/>
    <w:rsid w:val="000F4E77"/>
    <w:rsid w:val="000F56EA"/>
    <w:rsid w:val="00110728"/>
    <w:rsid w:val="00155526"/>
    <w:rsid w:val="00155E58"/>
    <w:rsid w:val="001834B8"/>
    <w:rsid w:val="00196CC7"/>
    <w:rsid w:val="001A166D"/>
    <w:rsid w:val="001A52A8"/>
    <w:rsid w:val="001D0BBE"/>
    <w:rsid w:val="002038D5"/>
    <w:rsid w:val="0022797A"/>
    <w:rsid w:val="00234189"/>
    <w:rsid w:val="00246172"/>
    <w:rsid w:val="00247369"/>
    <w:rsid w:val="00283EE8"/>
    <w:rsid w:val="002E5FBB"/>
    <w:rsid w:val="002E64FE"/>
    <w:rsid w:val="00352D87"/>
    <w:rsid w:val="003B4BDB"/>
    <w:rsid w:val="003D7C9B"/>
    <w:rsid w:val="003F6E01"/>
    <w:rsid w:val="00410179"/>
    <w:rsid w:val="00411A91"/>
    <w:rsid w:val="004543D1"/>
    <w:rsid w:val="00455A10"/>
    <w:rsid w:val="004A0DB6"/>
    <w:rsid w:val="004A39EC"/>
    <w:rsid w:val="004B7475"/>
    <w:rsid w:val="005302DC"/>
    <w:rsid w:val="00565DE4"/>
    <w:rsid w:val="00585E42"/>
    <w:rsid w:val="005878A4"/>
    <w:rsid w:val="00587F4C"/>
    <w:rsid w:val="00592AFD"/>
    <w:rsid w:val="005A39ED"/>
    <w:rsid w:val="005B1388"/>
    <w:rsid w:val="005B1B6E"/>
    <w:rsid w:val="005C4831"/>
    <w:rsid w:val="005D6D9E"/>
    <w:rsid w:val="005F3F9E"/>
    <w:rsid w:val="006103EE"/>
    <w:rsid w:val="006361F4"/>
    <w:rsid w:val="00656643"/>
    <w:rsid w:val="00665BDA"/>
    <w:rsid w:val="00676CFB"/>
    <w:rsid w:val="00686CA6"/>
    <w:rsid w:val="006A614F"/>
    <w:rsid w:val="00710159"/>
    <w:rsid w:val="00733E19"/>
    <w:rsid w:val="00742379"/>
    <w:rsid w:val="00744DF9"/>
    <w:rsid w:val="00746B84"/>
    <w:rsid w:val="00766312"/>
    <w:rsid w:val="007819CC"/>
    <w:rsid w:val="007D7B2E"/>
    <w:rsid w:val="00822C54"/>
    <w:rsid w:val="008908E6"/>
    <w:rsid w:val="00896E14"/>
    <w:rsid w:val="008B0317"/>
    <w:rsid w:val="008C08AE"/>
    <w:rsid w:val="009A302B"/>
    <w:rsid w:val="009D19CA"/>
    <w:rsid w:val="009D34BC"/>
    <w:rsid w:val="009E3B28"/>
    <w:rsid w:val="009E41B8"/>
    <w:rsid w:val="00A046EF"/>
    <w:rsid w:val="00A13FEB"/>
    <w:rsid w:val="00A223DF"/>
    <w:rsid w:val="00A562E5"/>
    <w:rsid w:val="00A67F57"/>
    <w:rsid w:val="00A87D5F"/>
    <w:rsid w:val="00AB093D"/>
    <w:rsid w:val="00AC1397"/>
    <w:rsid w:val="00AE1F39"/>
    <w:rsid w:val="00B25559"/>
    <w:rsid w:val="00B44586"/>
    <w:rsid w:val="00B532B3"/>
    <w:rsid w:val="00B6599A"/>
    <w:rsid w:val="00B7170E"/>
    <w:rsid w:val="00B71B3A"/>
    <w:rsid w:val="00B81C42"/>
    <w:rsid w:val="00B92403"/>
    <w:rsid w:val="00B94366"/>
    <w:rsid w:val="00BB20A4"/>
    <w:rsid w:val="00BC2486"/>
    <w:rsid w:val="00BD3013"/>
    <w:rsid w:val="00BF3EC5"/>
    <w:rsid w:val="00BF42BF"/>
    <w:rsid w:val="00C57023"/>
    <w:rsid w:val="00C60A0B"/>
    <w:rsid w:val="00C90C98"/>
    <w:rsid w:val="00CA3D0D"/>
    <w:rsid w:val="00CB30FD"/>
    <w:rsid w:val="00D05796"/>
    <w:rsid w:val="00D25D65"/>
    <w:rsid w:val="00D3236F"/>
    <w:rsid w:val="00D67511"/>
    <w:rsid w:val="00D931D4"/>
    <w:rsid w:val="00DA3605"/>
    <w:rsid w:val="00DB0B04"/>
    <w:rsid w:val="00DB1961"/>
    <w:rsid w:val="00DB1DAB"/>
    <w:rsid w:val="00DC2330"/>
    <w:rsid w:val="00E06ED9"/>
    <w:rsid w:val="00E07324"/>
    <w:rsid w:val="00E20EC0"/>
    <w:rsid w:val="00E53D4D"/>
    <w:rsid w:val="00E72373"/>
    <w:rsid w:val="00ED3E49"/>
    <w:rsid w:val="00EE50E5"/>
    <w:rsid w:val="00F356F0"/>
    <w:rsid w:val="00F51AC9"/>
    <w:rsid w:val="00F633AF"/>
    <w:rsid w:val="00F91687"/>
    <w:rsid w:val="00FB293A"/>
    <w:rsid w:val="00FB3654"/>
    <w:rsid w:val="00FC2269"/>
    <w:rsid w:val="00FC408D"/>
    <w:rsid w:val="00FC5498"/>
    <w:rsid w:val="00FE56B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5E14"/>
  <w15:docId w15:val="{105459BE-34FA-420A-A273-96D14A40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6F0"/>
    <w:pPr>
      <w:spacing w:after="200" w:line="276" w:lineRule="auto"/>
      <w:jc w:val="both"/>
    </w:pPr>
    <w:rPr>
      <w:sz w:val="20"/>
      <w:szCs w:val="20"/>
      <w:lang w:val="es-EC"/>
    </w:rPr>
  </w:style>
  <w:style w:type="paragraph" w:styleId="Ttulo1">
    <w:name w:val="heading 1"/>
    <w:basedOn w:val="Normal"/>
    <w:link w:val="Ttulo1Car"/>
    <w:uiPriority w:val="1"/>
    <w:qFormat/>
    <w:rsid w:val="00155526"/>
    <w:pPr>
      <w:widowControl w:val="0"/>
      <w:autoSpaceDE w:val="0"/>
      <w:autoSpaceDN w:val="0"/>
      <w:spacing w:before="79" w:after="0" w:line="240" w:lineRule="auto"/>
      <w:ind w:left="120" w:right="2101"/>
      <w:jc w:val="center"/>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4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2486"/>
    <w:rPr>
      <w:sz w:val="20"/>
      <w:szCs w:val="20"/>
      <w:lang w:val="es-EC"/>
    </w:rPr>
  </w:style>
  <w:style w:type="paragraph" w:styleId="Piedepgina">
    <w:name w:val="footer"/>
    <w:basedOn w:val="Normal"/>
    <w:link w:val="PiedepginaCar"/>
    <w:uiPriority w:val="99"/>
    <w:unhideWhenUsed/>
    <w:rsid w:val="00BC24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2486"/>
    <w:rPr>
      <w:sz w:val="20"/>
      <w:szCs w:val="20"/>
      <w:lang w:val="es-EC"/>
    </w:rPr>
  </w:style>
  <w:style w:type="character" w:styleId="Refdecomentario">
    <w:name w:val="annotation reference"/>
    <w:basedOn w:val="Fuentedeprrafopredeter"/>
    <w:uiPriority w:val="99"/>
    <w:semiHidden/>
    <w:unhideWhenUsed/>
    <w:rsid w:val="00BC2486"/>
    <w:rPr>
      <w:sz w:val="16"/>
      <w:szCs w:val="16"/>
    </w:rPr>
  </w:style>
  <w:style w:type="paragraph" w:styleId="Textocomentario">
    <w:name w:val="annotation text"/>
    <w:basedOn w:val="Normal"/>
    <w:link w:val="TextocomentarioCar"/>
    <w:uiPriority w:val="99"/>
    <w:semiHidden/>
    <w:unhideWhenUsed/>
    <w:rsid w:val="00BC2486"/>
    <w:pPr>
      <w:spacing w:line="240" w:lineRule="auto"/>
    </w:pPr>
  </w:style>
  <w:style w:type="character" w:customStyle="1" w:styleId="TextocomentarioCar">
    <w:name w:val="Texto comentario Car"/>
    <w:basedOn w:val="Fuentedeprrafopredeter"/>
    <w:link w:val="Textocomentario"/>
    <w:uiPriority w:val="99"/>
    <w:semiHidden/>
    <w:rsid w:val="00BC2486"/>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BC2486"/>
    <w:rPr>
      <w:b/>
      <w:bCs/>
    </w:rPr>
  </w:style>
  <w:style w:type="character" w:customStyle="1" w:styleId="AsuntodelcomentarioCar">
    <w:name w:val="Asunto del comentario Car"/>
    <w:basedOn w:val="TextocomentarioCar"/>
    <w:link w:val="Asuntodelcomentario"/>
    <w:uiPriority w:val="99"/>
    <w:semiHidden/>
    <w:rsid w:val="00BC2486"/>
    <w:rPr>
      <w:b/>
      <w:bCs/>
      <w:sz w:val="20"/>
      <w:szCs w:val="20"/>
      <w:lang w:val="es-EC"/>
    </w:rPr>
  </w:style>
  <w:style w:type="paragraph" w:styleId="Textodeglobo">
    <w:name w:val="Balloon Text"/>
    <w:basedOn w:val="Normal"/>
    <w:link w:val="TextodegloboCar"/>
    <w:uiPriority w:val="99"/>
    <w:semiHidden/>
    <w:unhideWhenUsed/>
    <w:rsid w:val="00BC24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2486"/>
    <w:rPr>
      <w:rFonts w:ascii="Segoe UI" w:hAnsi="Segoe UI" w:cs="Segoe UI"/>
      <w:sz w:val="18"/>
      <w:szCs w:val="18"/>
      <w:lang w:val="es-EC"/>
    </w:rPr>
  </w:style>
  <w:style w:type="paragraph" w:styleId="Prrafodelista">
    <w:name w:val="List Paragraph"/>
    <w:aliases w:val="Párrafo de lista SUBCAPITULO,Párrafo de lista1,Colorful List - Accent 11,TIT 2 IND,Texto,lp1,Bullet 1,Use Case List Paragraph,Bullet List,FooterText,numbered,List Paragraph1,Paragraphe de liste1,Capítulo,Cuadrícula media 1 - Énfasis 21"/>
    <w:basedOn w:val="Normal"/>
    <w:link w:val="PrrafodelistaCar"/>
    <w:uiPriority w:val="34"/>
    <w:qFormat/>
    <w:rsid w:val="00766312"/>
    <w:pPr>
      <w:suppressAutoHyphens/>
      <w:spacing w:after="0" w:line="240" w:lineRule="auto"/>
      <w:ind w:left="708"/>
      <w:jc w:val="left"/>
    </w:pPr>
    <w:rPr>
      <w:rFonts w:ascii="Times New Roman" w:eastAsia="Times New Roman" w:hAnsi="Times New Roman" w:cs="Times New Roman"/>
      <w:sz w:val="24"/>
      <w:szCs w:val="24"/>
      <w:lang w:eastAsia="ar-SA"/>
    </w:rPr>
  </w:style>
  <w:style w:type="character" w:customStyle="1" w:styleId="PrrafodelistaCar">
    <w:name w:val="Párrafo de lista Car"/>
    <w:aliases w:val="Párrafo de lista SUBCAPITULO Car,Párrafo de lista1 Car,Colorful List - Accent 11 Car,TIT 2 IND Car,Texto Car,lp1 Car,Bullet 1 Car,Use Case List Paragraph Car,Bullet List Car,FooterText Car,numbered Car,List Paragraph1 Car"/>
    <w:basedOn w:val="Fuentedeprrafopredeter"/>
    <w:link w:val="Prrafodelista"/>
    <w:uiPriority w:val="34"/>
    <w:rsid w:val="00766312"/>
    <w:rPr>
      <w:rFonts w:ascii="Times New Roman" w:eastAsia="Times New Roman" w:hAnsi="Times New Roman" w:cs="Times New Roman"/>
      <w:sz w:val="24"/>
      <w:szCs w:val="24"/>
      <w:lang w:val="es-EC" w:eastAsia="ar-SA"/>
    </w:rPr>
  </w:style>
  <w:style w:type="character" w:styleId="Textoennegrita">
    <w:name w:val="Strong"/>
    <w:basedOn w:val="Fuentedeprrafopredeter"/>
    <w:uiPriority w:val="22"/>
    <w:qFormat/>
    <w:rsid w:val="00EE50E5"/>
    <w:rPr>
      <w:b/>
      <w:bCs/>
    </w:rPr>
  </w:style>
  <w:style w:type="character" w:customStyle="1" w:styleId="leidos">
    <w:name w:val="leidos"/>
    <w:basedOn w:val="Fuentedeprrafopredeter"/>
    <w:rsid w:val="00EE50E5"/>
  </w:style>
  <w:style w:type="character" w:styleId="nfasis">
    <w:name w:val="Emphasis"/>
    <w:basedOn w:val="Fuentedeprrafopredeter"/>
    <w:uiPriority w:val="20"/>
    <w:qFormat/>
    <w:rsid w:val="00B6599A"/>
    <w:rPr>
      <w:i/>
      <w:iCs/>
    </w:rPr>
  </w:style>
  <w:style w:type="character" w:customStyle="1" w:styleId="Ttulo1Car">
    <w:name w:val="Título 1 Car"/>
    <w:basedOn w:val="Fuentedeprrafopredeter"/>
    <w:link w:val="Ttulo1"/>
    <w:uiPriority w:val="1"/>
    <w:rsid w:val="00155526"/>
    <w:rPr>
      <w:rFonts w:ascii="Arial" w:eastAsia="Arial" w:hAnsi="Arial" w:cs="Arial"/>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9A27-0500-45D6-8C79-5D3AE4CD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2027</Words>
  <Characters>11154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Sol Mera</dc:creator>
  <cp:lastModifiedBy>Danmer Vilma Freire Ocania</cp:lastModifiedBy>
  <cp:revision>34</cp:revision>
  <cp:lastPrinted>2022-12-02T18:22:00Z</cp:lastPrinted>
  <dcterms:created xsi:type="dcterms:W3CDTF">2022-12-02T17:28:00Z</dcterms:created>
  <dcterms:modified xsi:type="dcterms:W3CDTF">2022-12-30T20:55:00Z</dcterms:modified>
</cp:coreProperties>
</file>