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FC4" w:rsidRPr="001374F2" w:rsidRDefault="004A3FC4" w:rsidP="00F13B16">
      <w:pPr>
        <w:jc w:val="center"/>
        <w:rPr>
          <w:rFonts w:cstheme="minorHAnsi"/>
          <w:b/>
          <w:sz w:val="20"/>
          <w:szCs w:val="20"/>
          <w:lang w:val="es-ES"/>
        </w:rPr>
      </w:pPr>
      <w:r w:rsidRPr="001374F2">
        <w:rPr>
          <w:rFonts w:cstheme="minorHAnsi"/>
          <w:b/>
          <w:sz w:val="20"/>
          <w:szCs w:val="20"/>
          <w:lang w:val="es-ES"/>
        </w:rPr>
        <w:t>EXPOSICIÓN DE MOTIVOS</w:t>
      </w:r>
    </w:p>
    <w:p w:rsidR="004A3FC4" w:rsidRPr="001374F2" w:rsidRDefault="004A3FC4" w:rsidP="00F13B16">
      <w:pPr>
        <w:jc w:val="both"/>
        <w:rPr>
          <w:rFonts w:cstheme="minorHAnsi"/>
          <w:sz w:val="20"/>
          <w:szCs w:val="20"/>
          <w:lang w:val="es-ES"/>
        </w:rPr>
      </w:pPr>
    </w:p>
    <w:p w:rsidR="004A3FC4" w:rsidRPr="001374F2" w:rsidRDefault="004A3FC4" w:rsidP="00F13B16">
      <w:pPr>
        <w:ind w:right="45"/>
        <w:jc w:val="both"/>
        <w:rPr>
          <w:rFonts w:cstheme="minorHAnsi"/>
          <w:sz w:val="20"/>
          <w:szCs w:val="20"/>
        </w:rPr>
      </w:pPr>
      <w:r w:rsidRPr="001374F2">
        <w:rPr>
          <w:rFonts w:cstheme="minorHAnsi"/>
          <w:sz w:val="20"/>
          <w:szCs w:val="20"/>
        </w:rPr>
        <w:t>La Constitución de la República del Ecuador, garantiza a los ciudadanos la jubilación universal, por lo que las instituciones públicas deben poner en marcha sistemas de asistencia para las personas que prestaron sus servicios en las mismas, como lo es la seguridad social y una jubilación patronal, reconociendo sus derechos de protección como una prioridad para cuidar su particular vulnerabilidad.</w:t>
      </w:r>
    </w:p>
    <w:p w:rsidR="004A3FC4" w:rsidRPr="001374F2" w:rsidRDefault="004A3FC4" w:rsidP="00F13B16">
      <w:pPr>
        <w:ind w:right="45"/>
        <w:jc w:val="both"/>
        <w:rPr>
          <w:rFonts w:cstheme="minorHAnsi"/>
          <w:sz w:val="20"/>
          <w:szCs w:val="20"/>
        </w:rPr>
      </w:pPr>
    </w:p>
    <w:p w:rsidR="004A3FC4" w:rsidRPr="001374F2" w:rsidRDefault="004A3FC4" w:rsidP="00F13B16">
      <w:pPr>
        <w:jc w:val="both"/>
        <w:rPr>
          <w:rFonts w:cstheme="minorHAnsi"/>
          <w:sz w:val="20"/>
          <w:szCs w:val="20"/>
        </w:rPr>
      </w:pPr>
      <w:r w:rsidRPr="001374F2">
        <w:rPr>
          <w:rFonts w:cstheme="minorHAnsi"/>
          <w:sz w:val="20"/>
          <w:szCs w:val="20"/>
        </w:rPr>
        <w:t xml:space="preserve">La jubilación patronal en las entidades del sector público es un derecho consagrado en el Código del Trabajo para los trabajadores que laboraron para un mismo empleador durante 25 años; o que, habiendo laborado más de 20 años, fueron o son despedidos intempestivamente por su empleador, en cuyo caso tienen derecho a recibir la parte proporcional de dicha jubilación patronal. El Municipio del Distrito Metropolitano de Quito, desde el año 2001 reconoce el pago por concepto de jubilación patronal, conforme lo dispone el contrato colectivo y el correspondiente presupuesto; así como también la pensión del fondo que aportaba el Municipio y los trabajadores municipales. </w:t>
      </w:r>
    </w:p>
    <w:p w:rsidR="004A3FC4" w:rsidRPr="001374F2" w:rsidRDefault="004A3FC4" w:rsidP="00F13B16">
      <w:pPr>
        <w:jc w:val="both"/>
        <w:rPr>
          <w:rFonts w:cstheme="minorHAnsi"/>
          <w:sz w:val="20"/>
          <w:szCs w:val="20"/>
        </w:rPr>
      </w:pPr>
      <w:r w:rsidRPr="001374F2">
        <w:rPr>
          <w:rFonts w:cstheme="minorHAnsi"/>
          <w:i/>
          <w:sz w:val="20"/>
          <w:szCs w:val="20"/>
        </w:rPr>
        <w:t xml:space="preserve"> </w:t>
      </w:r>
    </w:p>
    <w:p w:rsidR="004A3FC4" w:rsidRPr="001374F2" w:rsidRDefault="004A3FC4" w:rsidP="00F13B16">
      <w:pPr>
        <w:ind w:right="-5"/>
        <w:jc w:val="both"/>
        <w:rPr>
          <w:rFonts w:cstheme="minorHAnsi"/>
          <w:sz w:val="20"/>
          <w:szCs w:val="20"/>
        </w:rPr>
      </w:pPr>
      <w:r w:rsidRPr="001374F2">
        <w:rPr>
          <w:rFonts w:cstheme="minorHAnsi"/>
          <w:sz w:val="20"/>
          <w:szCs w:val="20"/>
        </w:rPr>
        <w:t xml:space="preserve">El Gobierno Autónomo Descentralizado Municipal del Distrito Metropolitano de Quito, en el marco de su competencia en temas de índole laboral, reguló mediante la expedición de la Ordenanza Metropolitana No. 211, sancionada el 5 de junio de 2018, actual artículo 73 del Código Municipal, el porcentaje de  la jubilación patronal y estableció </w:t>
      </w:r>
      <w:r w:rsidRPr="001374F2">
        <w:rPr>
          <w:rFonts w:cstheme="minorHAnsi"/>
          <w:i/>
          <w:sz w:val="20"/>
          <w:szCs w:val="20"/>
        </w:rPr>
        <w:t>“el 45% del salario básico unificado del trabajador privado, la pensión jubilar patronal a favor de los trabajadores que prestan o prestaron sus servicios lícitos y personales en el Municipio del Distrito Metropolitano de Quito, por más de 25 años amparados por el Código del Trabajo, que se contabilizará desde la sanción de la Ordenanza Metropolitana No. 211, de 5 de junio de 2018”</w:t>
      </w:r>
      <w:r w:rsidRPr="001374F2">
        <w:rPr>
          <w:rFonts w:cstheme="minorHAnsi"/>
          <w:sz w:val="20"/>
          <w:szCs w:val="20"/>
        </w:rPr>
        <w:t xml:space="preserve">.   A pesar de lo ordenado, algunas Empresas Públicas Metropolitanas y Entidades Adscritas, consideraron que los trabajadores que laboraron en sus empresas, no estaban sujetos a lo dispuesto por la Ordenanza Metropolitana referida, vigente desde el año 2018, con relación al pago de la pensión jubilar patronal a favor de los trabajadores. </w:t>
      </w:r>
    </w:p>
    <w:p w:rsidR="004A3FC4" w:rsidRPr="001374F2" w:rsidRDefault="004A3FC4" w:rsidP="00F13B16">
      <w:pPr>
        <w:ind w:left="-5"/>
        <w:jc w:val="both"/>
        <w:rPr>
          <w:rFonts w:cstheme="minorHAnsi"/>
          <w:sz w:val="20"/>
          <w:szCs w:val="20"/>
        </w:rPr>
      </w:pPr>
    </w:p>
    <w:p w:rsidR="004A3FC4" w:rsidRPr="001374F2" w:rsidRDefault="004A3FC4" w:rsidP="00F13B16">
      <w:pPr>
        <w:ind w:left="-5"/>
        <w:jc w:val="both"/>
        <w:rPr>
          <w:rFonts w:cstheme="minorHAnsi"/>
          <w:i/>
          <w:sz w:val="20"/>
          <w:szCs w:val="20"/>
        </w:rPr>
      </w:pPr>
      <w:r w:rsidRPr="001374F2">
        <w:rPr>
          <w:rFonts w:cstheme="minorHAnsi"/>
          <w:sz w:val="20"/>
          <w:szCs w:val="20"/>
        </w:rPr>
        <w:t>Mediante Ordenanza Metropolitana No. 036-2022, sancionada el 15 de julio de 2022, intitulada “Ordenanza Interpretativa al libro 1.2, Título II, que contiene las normas sobre Pensión Mensual de Jubilación Patronal del Municipio del Distrito Metropolitano de Quito, De la Ordenanza Metropolitana No. 001 que contiene el Código Municipal, sancionada el 29 de marzo de 2019”; y, con el propósito de aclarar y dilucidar la situación jurídica de los ex trabajadores de las Empresas Públicas, en su Artículo Único, en la parte pertinente indica:</w:t>
      </w:r>
      <w:r w:rsidRPr="001374F2">
        <w:rPr>
          <w:rFonts w:cstheme="minorHAnsi"/>
          <w:i/>
          <w:sz w:val="20"/>
          <w:szCs w:val="20"/>
        </w:rPr>
        <w:t xml:space="preserve"> “(…)cuando se refiere a: “Municipio del Distrito Metropolitano de Quito”, interprétese y entiéndase que incluye también a las Empresas Públicas Metropolitanas y sus Entidades Adscritas Municipales, salvo aquellas que se rigen bajo normas legales especiales; y, cuando se refiere a la Dirección Metropolitana de Recursos Humanos y a la Dirección Metropolitana Financiera, interprétese y entiéndase que incluye a quien hiciera sus veces, en sus respectivas Empresas Públicas Metropolitanas y Entidades Adscritas.”</w:t>
      </w:r>
    </w:p>
    <w:p w:rsidR="004A3FC4" w:rsidRPr="001374F2" w:rsidRDefault="004A3FC4" w:rsidP="00F13B16">
      <w:pPr>
        <w:ind w:right="45"/>
        <w:jc w:val="both"/>
        <w:rPr>
          <w:rFonts w:cstheme="minorHAnsi"/>
          <w:sz w:val="20"/>
          <w:szCs w:val="20"/>
        </w:rPr>
      </w:pPr>
    </w:p>
    <w:p w:rsidR="004A3FC4" w:rsidRPr="001374F2" w:rsidRDefault="004A3FC4" w:rsidP="00F13B16">
      <w:pPr>
        <w:ind w:right="45"/>
        <w:jc w:val="both"/>
        <w:rPr>
          <w:rFonts w:cstheme="minorHAnsi"/>
          <w:sz w:val="20"/>
          <w:szCs w:val="20"/>
        </w:rPr>
      </w:pPr>
      <w:r w:rsidRPr="001374F2">
        <w:rPr>
          <w:rFonts w:cstheme="minorHAnsi"/>
          <w:sz w:val="20"/>
          <w:szCs w:val="20"/>
        </w:rPr>
        <w:t>Los Gobiernos Autónomos Descentralizados Municipales en el marco de su competencia en temas de índole laboral, regularán mediante la expedición de ordenanza la jubilación patronal.</w:t>
      </w:r>
    </w:p>
    <w:p w:rsidR="004A3FC4" w:rsidRPr="001374F2" w:rsidRDefault="004A3FC4" w:rsidP="00F13B16">
      <w:pPr>
        <w:jc w:val="both"/>
        <w:rPr>
          <w:rFonts w:cstheme="minorHAnsi"/>
          <w:sz w:val="20"/>
          <w:szCs w:val="20"/>
        </w:rPr>
      </w:pPr>
    </w:p>
    <w:p w:rsidR="004A3FC4" w:rsidRPr="001374F2" w:rsidRDefault="004A3FC4" w:rsidP="00F13B16">
      <w:pPr>
        <w:jc w:val="both"/>
        <w:rPr>
          <w:rFonts w:cstheme="minorHAnsi"/>
          <w:sz w:val="20"/>
          <w:szCs w:val="20"/>
        </w:rPr>
      </w:pPr>
    </w:p>
    <w:p w:rsidR="004A3FC4" w:rsidRPr="001374F2" w:rsidRDefault="004A3FC4" w:rsidP="00F13B16">
      <w:pPr>
        <w:jc w:val="both"/>
        <w:rPr>
          <w:rFonts w:cstheme="minorHAnsi"/>
          <w:sz w:val="20"/>
          <w:szCs w:val="20"/>
        </w:rPr>
      </w:pPr>
    </w:p>
    <w:p w:rsidR="004A3FC4" w:rsidRPr="001374F2" w:rsidRDefault="004A3FC4" w:rsidP="00F13B16">
      <w:pPr>
        <w:jc w:val="both"/>
        <w:rPr>
          <w:rFonts w:cstheme="minorHAnsi"/>
          <w:sz w:val="20"/>
          <w:szCs w:val="20"/>
          <w:lang w:val="es-ES"/>
        </w:rPr>
      </w:pPr>
    </w:p>
    <w:p w:rsidR="004A3FC4" w:rsidRPr="001374F2" w:rsidRDefault="004A3FC4" w:rsidP="00F13B16">
      <w:pPr>
        <w:pStyle w:val="Ttulo1"/>
        <w:spacing w:after="0" w:line="240" w:lineRule="auto"/>
        <w:ind w:right="5"/>
        <w:jc w:val="both"/>
        <w:rPr>
          <w:rFonts w:asciiTheme="minorHAnsi" w:hAnsiTheme="minorHAnsi" w:cstheme="minorHAnsi"/>
          <w:color w:val="auto"/>
          <w:sz w:val="20"/>
          <w:szCs w:val="20"/>
        </w:rPr>
      </w:pPr>
      <w:r w:rsidRPr="001374F2">
        <w:rPr>
          <w:rFonts w:asciiTheme="minorHAnsi" w:hAnsiTheme="minorHAnsi" w:cstheme="minorHAnsi"/>
          <w:color w:val="auto"/>
          <w:sz w:val="20"/>
          <w:szCs w:val="20"/>
        </w:rPr>
        <w:lastRenderedPageBreak/>
        <w:t>EL CONCEJO METROPOLITANO DE QUITO</w:t>
      </w:r>
    </w:p>
    <w:p w:rsidR="004A3FC4" w:rsidRPr="001374F2" w:rsidRDefault="004A3FC4" w:rsidP="00F13B16">
      <w:pPr>
        <w:ind w:left="49"/>
        <w:jc w:val="both"/>
        <w:rPr>
          <w:rFonts w:cstheme="minorHAnsi"/>
          <w:sz w:val="20"/>
          <w:szCs w:val="20"/>
        </w:rPr>
      </w:pPr>
    </w:p>
    <w:p w:rsidR="004A3FC4" w:rsidRPr="001374F2" w:rsidRDefault="004A3FC4" w:rsidP="00F13B16">
      <w:pPr>
        <w:ind w:right="3"/>
        <w:jc w:val="both"/>
        <w:rPr>
          <w:rFonts w:cstheme="minorHAnsi"/>
          <w:sz w:val="20"/>
          <w:szCs w:val="20"/>
        </w:rPr>
      </w:pPr>
      <w:r w:rsidRPr="001374F2">
        <w:rPr>
          <w:rFonts w:cstheme="minorHAnsi"/>
          <w:b/>
          <w:sz w:val="20"/>
          <w:szCs w:val="20"/>
        </w:rPr>
        <w:t>CONSIDERANDO:</w:t>
      </w:r>
    </w:p>
    <w:p w:rsidR="004A3FC4" w:rsidRPr="001374F2" w:rsidRDefault="004A3FC4" w:rsidP="00F13B16">
      <w:pPr>
        <w:ind w:left="49"/>
        <w:jc w:val="both"/>
        <w:rPr>
          <w:rFonts w:cstheme="minorHAnsi"/>
          <w:sz w:val="20"/>
          <w:szCs w:val="20"/>
        </w:rPr>
      </w:pPr>
      <w:r w:rsidRPr="001374F2">
        <w:rPr>
          <w:rFonts w:cstheme="minorHAnsi"/>
          <w:b/>
          <w:sz w:val="20"/>
          <w:szCs w:val="20"/>
        </w:rPr>
        <w:t xml:space="preserve"> </w:t>
      </w:r>
    </w:p>
    <w:p w:rsidR="004A3FC4" w:rsidRPr="001374F2" w:rsidRDefault="004A3FC4" w:rsidP="00F13B16">
      <w:pPr>
        <w:ind w:left="708" w:right="-5" w:hanging="708"/>
        <w:jc w:val="both"/>
        <w:rPr>
          <w:rFonts w:cstheme="minorHAnsi"/>
          <w:sz w:val="20"/>
          <w:szCs w:val="20"/>
        </w:rPr>
      </w:pPr>
      <w:r w:rsidRPr="001374F2">
        <w:rPr>
          <w:rFonts w:cstheme="minorHAnsi"/>
          <w:b/>
          <w:sz w:val="20"/>
          <w:szCs w:val="20"/>
        </w:rPr>
        <w:t>Que</w:t>
      </w:r>
      <w:r w:rsidRPr="001374F2">
        <w:rPr>
          <w:rFonts w:cstheme="minorHAnsi"/>
          <w:sz w:val="20"/>
          <w:szCs w:val="20"/>
        </w:rPr>
        <w:t xml:space="preserve">, </w:t>
      </w:r>
      <w:r w:rsidRPr="001374F2">
        <w:rPr>
          <w:rFonts w:cstheme="minorHAnsi"/>
          <w:sz w:val="20"/>
          <w:szCs w:val="20"/>
        </w:rPr>
        <w:tab/>
        <w:t xml:space="preserve">el número 9 del artículo 11 de la Constitución de República del Ecuador establece que, </w:t>
      </w:r>
      <w:r w:rsidRPr="001374F2">
        <w:rPr>
          <w:rFonts w:cstheme="minorHAnsi"/>
          <w:i/>
          <w:sz w:val="20"/>
          <w:szCs w:val="20"/>
        </w:rPr>
        <w:t>“El más alto deber del Estado consiste en respetar y hacer respetar los derechos garantizados en la Constitución”</w:t>
      </w:r>
      <w:r w:rsidRPr="001374F2">
        <w:rPr>
          <w:rFonts w:cstheme="minorHAnsi"/>
          <w:sz w:val="20"/>
          <w:szCs w:val="20"/>
        </w:rPr>
        <w:t xml:space="preserve">; </w:t>
      </w:r>
    </w:p>
    <w:p w:rsidR="004A3FC4" w:rsidRPr="001374F2" w:rsidRDefault="004A3FC4" w:rsidP="00F13B16">
      <w:pPr>
        <w:ind w:left="693" w:hanging="708"/>
        <w:jc w:val="both"/>
        <w:rPr>
          <w:rFonts w:cstheme="minorHAnsi"/>
          <w:sz w:val="20"/>
          <w:szCs w:val="20"/>
        </w:rPr>
      </w:pPr>
      <w:proofErr w:type="gramStart"/>
      <w:r w:rsidRPr="001374F2">
        <w:rPr>
          <w:rFonts w:cstheme="minorHAnsi"/>
          <w:b/>
          <w:sz w:val="20"/>
          <w:szCs w:val="20"/>
        </w:rPr>
        <w:t>Que,</w:t>
      </w:r>
      <w:r w:rsidRPr="001374F2">
        <w:rPr>
          <w:rFonts w:cstheme="minorHAnsi"/>
          <w:sz w:val="20"/>
          <w:szCs w:val="20"/>
        </w:rPr>
        <w:t xml:space="preserve">  </w:t>
      </w:r>
      <w:r w:rsidRPr="001374F2">
        <w:rPr>
          <w:rFonts w:cstheme="minorHAnsi"/>
          <w:sz w:val="20"/>
          <w:szCs w:val="20"/>
        </w:rPr>
        <w:tab/>
      </w:r>
      <w:proofErr w:type="gramEnd"/>
      <w:r w:rsidRPr="001374F2">
        <w:rPr>
          <w:rFonts w:cstheme="minorHAnsi"/>
          <w:sz w:val="20"/>
          <w:szCs w:val="20"/>
        </w:rPr>
        <w:t xml:space="preserve">el número 3 del artículo 37 de la Constitución dispone que el Estado garantizará a las personas adultas mayores, </w:t>
      </w:r>
      <w:r w:rsidRPr="001374F2">
        <w:rPr>
          <w:rFonts w:cstheme="minorHAnsi"/>
          <w:i/>
          <w:sz w:val="20"/>
          <w:szCs w:val="20"/>
        </w:rPr>
        <w:t>“3. La jubilación universal”</w:t>
      </w:r>
      <w:r w:rsidRPr="001374F2">
        <w:rPr>
          <w:rFonts w:cstheme="minorHAnsi"/>
          <w:sz w:val="20"/>
          <w:szCs w:val="20"/>
        </w:rPr>
        <w:t>;</w:t>
      </w:r>
    </w:p>
    <w:p w:rsidR="004A3FC4" w:rsidRPr="001374F2" w:rsidRDefault="004A3FC4" w:rsidP="00F13B16">
      <w:pPr>
        <w:ind w:left="693" w:hanging="708"/>
        <w:jc w:val="both"/>
        <w:rPr>
          <w:rFonts w:cstheme="minorHAnsi"/>
          <w:sz w:val="20"/>
          <w:szCs w:val="20"/>
        </w:rPr>
      </w:pPr>
      <w:proofErr w:type="gramStart"/>
      <w:r w:rsidRPr="001374F2">
        <w:rPr>
          <w:rFonts w:cstheme="minorHAnsi"/>
          <w:b/>
          <w:sz w:val="20"/>
          <w:szCs w:val="20"/>
        </w:rPr>
        <w:t>Que</w:t>
      </w:r>
      <w:r w:rsidRPr="001374F2">
        <w:rPr>
          <w:rFonts w:cstheme="minorHAnsi"/>
          <w:sz w:val="20"/>
          <w:szCs w:val="20"/>
        </w:rPr>
        <w:t xml:space="preserve">,  </w:t>
      </w:r>
      <w:r w:rsidRPr="001374F2">
        <w:rPr>
          <w:rFonts w:cstheme="minorHAnsi"/>
          <w:sz w:val="20"/>
          <w:szCs w:val="20"/>
        </w:rPr>
        <w:tab/>
      </w:r>
      <w:proofErr w:type="gramEnd"/>
      <w:r w:rsidRPr="001374F2">
        <w:rPr>
          <w:rFonts w:cstheme="minorHAnsi"/>
          <w:sz w:val="20"/>
          <w:szCs w:val="20"/>
        </w:rPr>
        <w:t>el número 2 del artículo 66 de la Constitución reconoce y garantiza el derecho a una vida digna que asegure la salud, alimentación y nutrición, agua potable, vivienda, saneamiento ambiental, educación, trabajo, empleo, descanso y ocio;</w:t>
      </w:r>
    </w:p>
    <w:p w:rsidR="004A3FC4" w:rsidRPr="001374F2" w:rsidRDefault="004A3FC4" w:rsidP="00F13B16">
      <w:pPr>
        <w:ind w:left="708" w:right="-5" w:hanging="708"/>
        <w:jc w:val="both"/>
        <w:rPr>
          <w:rFonts w:cstheme="minorHAnsi"/>
          <w:sz w:val="20"/>
          <w:szCs w:val="20"/>
        </w:rPr>
      </w:pPr>
      <w:proofErr w:type="gramStart"/>
      <w:r w:rsidRPr="001374F2">
        <w:rPr>
          <w:rFonts w:cstheme="minorHAnsi"/>
          <w:b/>
          <w:sz w:val="20"/>
          <w:szCs w:val="20"/>
        </w:rPr>
        <w:t>Que,</w:t>
      </w:r>
      <w:r w:rsidRPr="001374F2">
        <w:rPr>
          <w:rFonts w:cstheme="minorHAnsi"/>
          <w:sz w:val="20"/>
          <w:szCs w:val="20"/>
        </w:rPr>
        <w:t xml:space="preserve">  </w:t>
      </w:r>
      <w:r w:rsidRPr="001374F2">
        <w:rPr>
          <w:rFonts w:cstheme="minorHAnsi"/>
          <w:sz w:val="20"/>
          <w:szCs w:val="20"/>
        </w:rPr>
        <w:tab/>
      </w:r>
      <w:proofErr w:type="gramEnd"/>
      <w:r w:rsidRPr="001374F2">
        <w:rPr>
          <w:rFonts w:cstheme="minorHAnsi"/>
          <w:sz w:val="20"/>
          <w:szCs w:val="20"/>
        </w:rPr>
        <w:t xml:space="preserve">el artículo 226 de la Constitución ordena: </w:t>
      </w:r>
      <w:r w:rsidRPr="001374F2">
        <w:rPr>
          <w:rFonts w:cstheme="minorHAnsi"/>
          <w:i/>
          <w:sz w:val="20"/>
          <w:szCs w:val="20"/>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r w:rsidRPr="001374F2">
        <w:rPr>
          <w:rFonts w:cstheme="minorHAnsi"/>
          <w:sz w:val="20"/>
          <w:szCs w:val="20"/>
        </w:rPr>
        <w:t xml:space="preserve">; </w:t>
      </w:r>
    </w:p>
    <w:p w:rsidR="004A3FC4" w:rsidRPr="001374F2" w:rsidRDefault="004A3FC4" w:rsidP="00F13B16">
      <w:pPr>
        <w:ind w:left="708" w:right="-5" w:hanging="708"/>
        <w:jc w:val="both"/>
        <w:rPr>
          <w:rFonts w:cstheme="minorHAnsi"/>
          <w:sz w:val="20"/>
          <w:szCs w:val="20"/>
        </w:rPr>
      </w:pPr>
      <w:proofErr w:type="gramStart"/>
      <w:r w:rsidRPr="001374F2">
        <w:rPr>
          <w:rFonts w:cstheme="minorHAnsi"/>
          <w:b/>
          <w:sz w:val="20"/>
          <w:szCs w:val="20"/>
        </w:rPr>
        <w:t>Que,</w:t>
      </w:r>
      <w:r w:rsidRPr="001374F2">
        <w:rPr>
          <w:rFonts w:cstheme="minorHAnsi"/>
          <w:sz w:val="20"/>
          <w:szCs w:val="20"/>
        </w:rPr>
        <w:t xml:space="preserve">  </w:t>
      </w:r>
      <w:r w:rsidRPr="001374F2">
        <w:rPr>
          <w:rFonts w:cstheme="minorHAnsi"/>
          <w:sz w:val="20"/>
          <w:szCs w:val="20"/>
        </w:rPr>
        <w:tab/>
      </w:r>
      <w:proofErr w:type="gramEnd"/>
      <w:r w:rsidRPr="001374F2">
        <w:rPr>
          <w:rFonts w:cstheme="minorHAnsi"/>
          <w:sz w:val="20"/>
          <w:szCs w:val="20"/>
        </w:rPr>
        <w:t>el artículo 238 de la Constitución, establece la autonomía política, administrativa y financiera de los gobiernos autónomos descentralizados, además que se regirán por los principios de solidaridad, subsidiariedad, equidad interterritorial, integración y participación ciudadana;</w:t>
      </w:r>
    </w:p>
    <w:p w:rsidR="004A3FC4" w:rsidRPr="001374F2" w:rsidRDefault="004A3FC4" w:rsidP="00F13B16">
      <w:pPr>
        <w:ind w:left="693" w:hanging="708"/>
        <w:jc w:val="both"/>
        <w:rPr>
          <w:rFonts w:cstheme="minorHAnsi"/>
          <w:sz w:val="20"/>
          <w:szCs w:val="20"/>
        </w:rPr>
      </w:pPr>
      <w:proofErr w:type="gramStart"/>
      <w:r w:rsidRPr="001374F2">
        <w:rPr>
          <w:rFonts w:cstheme="minorHAnsi"/>
          <w:b/>
          <w:sz w:val="20"/>
          <w:szCs w:val="20"/>
        </w:rPr>
        <w:t>Que,</w:t>
      </w:r>
      <w:r w:rsidRPr="001374F2">
        <w:rPr>
          <w:rFonts w:cstheme="minorHAnsi"/>
          <w:sz w:val="20"/>
          <w:szCs w:val="20"/>
        </w:rPr>
        <w:t xml:space="preserve">  </w:t>
      </w:r>
      <w:r w:rsidRPr="001374F2">
        <w:rPr>
          <w:rFonts w:cstheme="minorHAnsi"/>
          <w:sz w:val="20"/>
          <w:szCs w:val="20"/>
        </w:rPr>
        <w:tab/>
      </w:r>
      <w:proofErr w:type="gramEnd"/>
      <w:r w:rsidRPr="001374F2">
        <w:rPr>
          <w:rFonts w:cstheme="minorHAnsi"/>
          <w:sz w:val="20"/>
          <w:szCs w:val="20"/>
        </w:rPr>
        <w:t xml:space="preserve">en los numerales 2 y 16 de los artículos 326 de la Constitución, señalan lo siguiente: </w:t>
      </w:r>
    </w:p>
    <w:p w:rsidR="004A3FC4" w:rsidRPr="001374F2" w:rsidRDefault="004A3FC4" w:rsidP="00F13B16">
      <w:pPr>
        <w:ind w:left="693"/>
        <w:jc w:val="both"/>
        <w:rPr>
          <w:rFonts w:cstheme="minorHAnsi"/>
          <w:i/>
          <w:sz w:val="20"/>
          <w:szCs w:val="20"/>
        </w:rPr>
      </w:pPr>
      <w:r w:rsidRPr="001374F2">
        <w:rPr>
          <w:rFonts w:cstheme="minorHAnsi"/>
          <w:i/>
          <w:sz w:val="20"/>
          <w:szCs w:val="20"/>
        </w:rPr>
        <w:t>“2. Los derechos laborales son irrenunciables e intangibles. Será nula toda estipulación en contrario.”</w:t>
      </w:r>
    </w:p>
    <w:p w:rsidR="004A3FC4" w:rsidRPr="004A3FC4" w:rsidRDefault="004A3FC4" w:rsidP="00F13B16">
      <w:pPr>
        <w:ind w:left="693"/>
        <w:jc w:val="both"/>
        <w:rPr>
          <w:rFonts w:cstheme="minorHAnsi"/>
          <w:i/>
          <w:sz w:val="20"/>
          <w:szCs w:val="20"/>
        </w:rPr>
      </w:pPr>
      <w:r w:rsidRPr="001374F2">
        <w:rPr>
          <w:rFonts w:cstheme="minorHAnsi"/>
          <w:i/>
          <w:sz w:val="20"/>
          <w:szCs w:val="20"/>
        </w:rPr>
        <w:t>“16. En las instituciones del Estado y en las entidades de derecho privado en las que haya participación mayoritaria de recursos públicos, quienes cumplan actividades de representación, directivas, administrativas o profesionales, se sujetarán a las leyes que regulan la administración pública. Aquellos que no se incluyen en esta categorización estarán amparados por el Código del Trabajo.”</w:t>
      </w:r>
    </w:p>
    <w:p w:rsidR="004A3FC4" w:rsidRPr="001374F2" w:rsidRDefault="004A3FC4" w:rsidP="00F13B16">
      <w:pPr>
        <w:ind w:left="693" w:hanging="708"/>
        <w:jc w:val="both"/>
        <w:rPr>
          <w:rFonts w:cstheme="minorHAnsi"/>
          <w:sz w:val="20"/>
          <w:szCs w:val="20"/>
        </w:rPr>
      </w:pPr>
      <w:proofErr w:type="gramStart"/>
      <w:r w:rsidRPr="001374F2">
        <w:rPr>
          <w:rFonts w:cstheme="minorHAnsi"/>
          <w:b/>
          <w:sz w:val="20"/>
          <w:szCs w:val="20"/>
        </w:rPr>
        <w:t>Que,</w:t>
      </w:r>
      <w:r w:rsidRPr="001374F2">
        <w:rPr>
          <w:rFonts w:cstheme="minorHAnsi"/>
          <w:sz w:val="20"/>
          <w:szCs w:val="20"/>
        </w:rPr>
        <w:t xml:space="preserve">  </w:t>
      </w:r>
      <w:r w:rsidRPr="001374F2">
        <w:rPr>
          <w:rFonts w:cstheme="minorHAnsi"/>
          <w:sz w:val="20"/>
          <w:szCs w:val="20"/>
        </w:rPr>
        <w:tab/>
      </w:r>
      <w:proofErr w:type="gramEnd"/>
      <w:r w:rsidRPr="001374F2">
        <w:rPr>
          <w:rFonts w:cstheme="minorHAnsi"/>
          <w:sz w:val="20"/>
          <w:szCs w:val="20"/>
        </w:rPr>
        <w:t xml:space="preserve">el inciso séptimo del artículo 188 del Código del Trabajo establece que, en caso de despido intempestivo el trabajador que hubiere cumplido veinte años, y menos de veinticinco años de trabajo, continuada o ininterrumpidamente tendrá derecho a la parte proporcional de la jubilación patronal, de acuerdo con las normas del mismo cuerpo normativo; </w:t>
      </w:r>
    </w:p>
    <w:p w:rsidR="004A3FC4" w:rsidRPr="001374F2" w:rsidRDefault="004A3FC4" w:rsidP="00F13B16">
      <w:pPr>
        <w:autoSpaceDE w:val="0"/>
        <w:autoSpaceDN w:val="0"/>
        <w:adjustRightInd w:val="0"/>
        <w:ind w:left="693" w:hanging="693"/>
        <w:jc w:val="both"/>
        <w:rPr>
          <w:rFonts w:cstheme="minorHAnsi"/>
          <w:sz w:val="20"/>
          <w:szCs w:val="20"/>
        </w:rPr>
      </w:pPr>
      <w:proofErr w:type="gramStart"/>
      <w:r w:rsidRPr="001374F2">
        <w:rPr>
          <w:rFonts w:cstheme="minorHAnsi"/>
          <w:b/>
          <w:sz w:val="20"/>
          <w:szCs w:val="20"/>
        </w:rPr>
        <w:t>Que,</w:t>
      </w:r>
      <w:r w:rsidRPr="001374F2">
        <w:rPr>
          <w:rFonts w:cstheme="minorHAnsi"/>
          <w:sz w:val="20"/>
          <w:szCs w:val="20"/>
        </w:rPr>
        <w:t xml:space="preserve">  </w:t>
      </w:r>
      <w:r w:rsidRPr="001374F2">
        <w:rPr>
          <w:rFonts w:cstheme="minorHAnsi"/>
          <w:sz w:val="20"/>
          <w:szCs w:val="20"/>
        </w:rPr>
        <w:tab/>
      </w:r>
      <w:proofErr w:type="gramEnd"/>
      <w:r w:rsidRPr="001374F2">
        <w:rPr>
          <w:rFonts w:cstheme="minorHAnsi"/>
          <w:sz w:val="20"/>
          <w:szCs w:val="20"/>
        </w:rPr>
        <w:t>el artículo 216 del Código del Trabajo dispone:</w:t>
      </w:r>
    </w:p>
    <w:p w:rsidR="004A3FC4" w:rsidRPr="001374F2" w:rsidRDefault="004A3FC4" w:rsidP="00F13B16">
      <w:pPr>
        <w:ind w:left="693"/>
        <w:jc w:val="both"/>
        <w:rPr>
          <w:rFonts w:cstheme="minorHAnsi"/>
          <w:i/>
          <w:sz w:val="20"/>
          <w:szCs w:val="20"/>
        </w:rPr>
      </w:pPr>
      <w:r w:rsidRPr="001374F2">
        <w:rPr>
          <w:rFonts w:eastAsia="Arial" w:cstheme="minorHAnsi"/>
          <w:i/>
          <w:sz w:val="20"/>
          <w:szCs w:val="20"/>
        </w:rPr>
        <w:t xml:space="preserve">“Jubilación a cargo de </w:t>
      </w:r>
      <w:proofErr w:type="gramStart"/>
      <w:r w:rsidRPr="001374F2">
        <w:rPr>
          <w:rFonts w:eastAsia="Arial" w:cstheme="minorHAnsi"/>
          <w:i/>
          <w:sz w:val="20"/>
          <w:szCs w:val="20"/>
        </w:rPr>
        <w:t>empleadores.-</w:t>
      </w:r>
      <w:proofErr w:type="gramEnd"/>
      <w:r w:rsidRPr="001374F2">
        <w:rPr>
          <w:rFonts w:eastAsia="Arial" w:cstheme="minorHAnsi"/>
          <w:i/>
          <w:sz w:val="20"/>
          <w:szCs w:val="20"/>
        </w:rPr>
        <w:t xml:space="preserve"> Los trabajadores que por veinticinco años o más hubieren prestado servicios, continuada o interrumpidamente, tendrán derecho a ser jubilados por sus empleadores de acuerdo con las siguientes reglas:</w:t>
      </w:r>
    </w:p>
    <w:p w:rsidR="004A3FC4" w:rsidRPr="001374F2" w:rsidRDefault="004A3FC4" w:rsidP="00F13B16">
      <w:pPr>
        <w:ind w:left="693" w:firstLine="15"/>
        <w:jc w:val="both"/>
        <w:rPr>
          <w:rFonts w:cstheme="minorHAnsi"/>
          <w:i/>
          <w:sz w:val="20"/>
          <w:szCs w:val="20"/>
        </w:rPr>
      </w:pPr>
      <w:r w:rsidRPr="001374F2">
        <w:rPr>
          <w:rFonts w:eastAsia="Arial" w:cstheme="minorHAnsi"/>
          <w:i/>
          <w:sz w:val="20"/>
          <w:szCs w:val="20"/>
        </w:rPr>
        <w:t>1. La pensión se determinará siguiendo las normas fijadas por el Instituto Ecuatoriano de Seguridad Social para la jubilación de sus afiliados, respecto de los coeficientes, tiempo de servicios y edad, normas contempladas en los estatutos vigentes al 17 de noviembre de 1938.</w:t>
      </w:r>
    </w:p>
    <w:p w:rsidR="004A3FC4" w:rsidRPr="001374F2" w:rsidRDefault="004A3FC4" w:rsidP="00F13B16">
      <w:pPr>
        <w:ind w:left="693" w:firstLine="15"/>
        <w:jc w:val="both"/>
        <w:rPr>
          <w:rFonts w:cstheme="minorHAnsi"/>
          <w:i/>
          <w:sz w:val="20"/>
          <w:szCs w:val="20"/>
        </w:rPr>
      </w:pPr>
      <w:r w:rsidRPr="001374F2">
        <w:rPr>
          <w:rFonts w:eastAsia="Arial" w:cstheme="minorHAnsi"/>
          <w:i/>
          <w:sz w:val="20"/>
          <w:szCs w:val="20"/>
        </w:rPr>
        <w:t>Se considerará como "haber individual de jubilación" el formado por las siguientes partidas:</w:t>
      </w:r>
    </w:p>
    <w:p w:rsidR="004A3FC4" w:rsidRPr="001374F2" w:rsidRDefault="004A3FC4" w:rsidP="00F13B16">
      <w:pPr>
        <w:jc w:val="both"/>
        <w:rPr>
          <w:rFonts w:cstheme="minorHAnsi"/>
          <w:i/>
          <w:sz w:val="20"/>
          <w:szCs w:val="20"/>
        </w:rPr>
      </w:pPr>
      <w:r w:rsidRPr="001374F2">
        <w:rPr>
          <w:rFonts w:eastAsia="Arial" w:cstheme="minorHAnsi"/>
          <w:i/>
          <w:sz w:val="20"/>
          <w:szCs w:val="20"/>
        </w:rPr>
        <w:t xml:space="preserve">      </w:t>
      </w:r>
      <w:r w:rsidRPr="001374F2">
        <w:rPr>
          <w:rFonts w:eastAsia="Arial" w:cstheme="minorHAnsi"/>
          <w:i/>
          <w:sz w:val="20"/>
          <w:szCs w:val="20"/>
        </w:rPr>
        <w:tab/>
        <w:t>a) Por el fondo de reserva a que tenga derecho el trabajador; y,</w:t>
      </w:r>
    </w:p>
    <w:p w:rsidR="004A3FC4" w:rsidRPr="001374F2" w:rsidRDefault="004A3FC4" w:rsidP="00F13B16">
      <w:pPr>
        <w:ind w:left="708"/>
        <w:jc w:val="both"/>
        <w:rPr>
          <w:rFonts w:cstheme="minorHAnsi"/>
          <w:i/>
          <w:sz w:val="20"/>
          <w:szCs w:val="20"/>
        </w:rPr>
      </w:pPr>
      <w:r w:rsidRPr="001374F2">
        <w:rPr>
          <w:rFonts w:eastAsia="Arial" w:cstheme="minorHAnsi"/>
          <w:i/>
          <w:sz w:val="20"/>
          <w:szCs w:val="20"/>
        </w:rPr>
        <w:t>b) Por una suma equivalente al cinco por ciento del promedio de la remuneración anual percibida en los cinco últimos años, multiplicada por los años de servicio.</w:t>
      </w:r>
    </w:p>
    <w:p w:rsidR="004A3FC4" w:rsidRPr="001374F2" w:rsidRDefault="004A3FC4" w:rsidP="00F13B16">
      <w:pPr>
        <w:ind w:left="708"/>
        <w:jc w:val="both"/>
        <w:rPr>
          <w:rFonts w:cstheme="minorHAnsi"/>
          <w:i/>
          <w:sz w:val="20"/>
          <w:szCs w:val="20"/>
        </w:rPr>
      </w:pPr>
      <w:r w:rsidRPr="001374F2">
        <w:rPr>
          <w:rFonts w:eastAsia="Arial" w:cstheme="minorHAnsi"/>
          <w:i/>
          <w:sz w:val="20"/>
          <w:szCs w:val="20"/>
        </w:rPr>
        <w:lastRenderedPageBreak/>
        <w:t>2. En ningún caso la pensión mensual de jubilación patronal será mayor que la remuneración básica unificada media del último año ni inferior a treinta dólares de los Estados Unidos de América (US $ 30) mensuales, si solamente tiene derecho a la jubilación del empleador, y de veinte dólares de los Estados Unidos de América (US $ 20) mensuales, si es beneficiario de doble jubilación.</w:t>
      </w:r>
    </w:p>
    <w:p w:rsidR="004A3FC4" w:rsidRPr="004A3FC4" w:rsidRDefault="004A3FC4" w:rsidP="00F13B16">
      <w:pPr>
        <w:ind w:left="708"/>
        <w:jc w:val="both"/>
        <w:rPr>
          <w:rFonts w:cstheme="minorHAnsi"/>
          <w:i/>
          <w:sz w:val="20"/>
          <w:szCs w:val="20"/>
        </w:rPr>
      </w:pPr>
      <w:r w:rsidRPr="001374F2">
        <w:rPr>
          <w:rFonts w:eastAsia="Arial" w:cstheme="minorHAnsi"/>
          <w:i/>
          <w:sz w:val="20"/>
          <w:szCs w:val="20"/>
        </w:rPr>
        <w:t>Exceptuase de esta disposición, a los municipios y consejos provinciales del país que conforman el régimen seccional autónomo, quienes regularán mediante la expedición de las ordenanzas correspondientes la jubilación patronal para éstos aplicable.</w:t>
      </w:r>
    </w:p>
    <w:p w:rsidR="004A3FC4" w:rsidRPr="001374F2" w:rsidRDefault="004A3FC4" w:rsidP="00F13B16">
      <w:pPr>
        <w:ind w:left="708"/>
        <w:jc w:val="both"/>
        <w:rPr>
          <w:rFonts w:cstheme="minorHAnsi"/>
          <w:sz w:val="20"/>
          <w:szCs w:val="20"/>
        </w:rPr>
      </w:pPr>
      <w:r w:rsidRPr="001374F2">
        <w:rPr>
          <w:rFonts w:eastAsia="Arial" w:cstheme="minorHAnsi"/>
          <w:i/>
          <w:sz w:val="20"/>
          <w:szCs w:val="20"/>
        </w:rPr>
        <w:t>Las actuales pensiones jubilares a cargo de los empleadores en sus valores mínimos se sujetarán a lo dispuesto en esta regla. (…)”;</w:t>
      </w:r>
    </w:p>
    <w:p w:rsidR="004A3FC4" w:rsidRPr="001374F2" w:rsidRDefault="004A3FC4" w:rsidP="00F13B16">
      <w:pPr>
        <w:ind w:left="691" w:hanging="706"/>
        <w:jc w:val="both"/>
        <w:rPr>
          <w:rFonts w:cstheme="minorHAnsi"/>
          <w:sz w:val="20"/>
          <w:szCs w:val="20"/>
        </w:rPr>
      </w:pPr>
      <w:r w:rsidRPr="001374F2">
        <w:rPr>
          <w:rFonts w:cstheme="minorHAnsi"/>
          <w:b/>
          <w:sz w:val="20"/>
          <w:szCs w:val="20"/>
        </w:rPr>
        <w:t>Que,</w:t>
      </w:r>
      <w:r w:rsidRPr="001374F2">
        <w:rPr>
          <w:rFonts w:cstheme="minorHAnsi"/>
          <w:sz w:val="20"/>
          <w:szCs w:val="20"/>
        </w:rPr>
        <w:t xml:space="preserve"> </w:t>
      </w:r>
      <w:r w:rsidRPr="001374F2">
        <w:rPr>
          <w:rFonts w:cstheme="minorHAnsi"/>
          <w:sz w:val="20"/>
          <w:szCs w:val="20"/>
        </w:rPr>
        <w:tab/>
        <w:t xml:space="preserve">el artículo 166 del Código Orgánico de Organización Territorial, COOTAD, dispone que: </w:t>
      </w:r>
      <w:r w:rsidRPr="001374F2">
        <w:rPr>
          <w:rFonts w:cstheme="minorHAnsi"/>
          <w:i/>
          <w:sz w:val="20"/>
          <w:szCs w:val="20"/>
        </w:rPr>
        <w:t xml:space="preserve">“Financiamiento de </w:t>
      </w:r>
      <w:proofErr w:type="gramStart"/>
      <w:r w:rsidRPr="001374F2">
        <w:rPr>
          <w:rFonts w:cstheme="minorHAnsi"/>
          <w:i/>
          <w:sz w:val="20"/>
          <w:szCs w:val="20"/>
        </w:rPr>
        <w:t>obligaciones.-</w:t>
      </w:r>
      <w:proofErr w:type="gramEnd"/>
      <w:r w:rsidRPr="001374F2">
        <w:rPr>
          <w:rFonts w:cstheme="minorHAnsi"/>
          <w:i/>
          <w:sz w:val="20"/>
          <w:szCs w:val="20"/>
        </w:rPr>
        <w:t xml:space="preserve"> Toda norma que expida un gobierno autónomo descentralizado que genere una obligación financiada con recursos públicos establecerá la fuente de financiamiento correspondiente”;</w:t>
      </w:r>
    </w:p>
    <w:p w:rsidR="004A3FC4" w:rsidRPr="001374F2" w:rsidRDefault="004A3FC4" w:rsidP="00F13B16">
      <w:pPr>
        <w:ind w:right="55"/>
        <w:jc w:val="both"/>
        <w:rPr>
          <w:rFonts w:cstheme="minorHAnsi"/>
          <w:sz w:val="20"/>
          <w:szCs w:val="20"/>
        </w:rPr>
      </w:pPr>
      <w:r w:rsidRPr="004A3FC4">
        <w:rPr>
          <w:rFonts w:cstheme="minorHAnsi"/>
          <w:b/>
          <w:sz w:val="20"/>
          <w:szCs w:val="20"/>
        </w:rPr>
        <w:t>Que,</w:t>
      </w:r>
      <w:r>
        <w:rPr>
          <w:rFonts w:cstheme="minorHAnsi"/>
          <w:sz w:val="20"/>
          <w:szCs w:val="20"/>
        </w:rPr>
        <w:t xml:space="preserve">      </w:t>
      </w:r>
      <w:r w:rsidRPr="001374F2">
        <w:rPr>
          <w:rFonts w:cstheme="minorHAnsi"/>
          <w:sz w:val="20"/>
          <w:szCs w:val="20"/>
        </w:rPr>
        <w:t>en el Código Orgánico de Planificación y Finanzas Públicas en su Títul</w:t>
      </w:r>
      <w:r>
        <w:rPr>
          <w:rFonts w:cstheme="minorHAnsi"/>
          <w:sz w:val="20"/>
          <w:szCs w:val="20"/>
        </w:rPr>
        <w:t xml:space="preserve">o IV, Capítulo II De las Reglas </w:t>
      </w:r>
      <w:r w:rsidRPr="001374F2">
        <w:rPr>
          <w:rFonts w:cstheme="minorHAnsi"/>
          <w:sz w:val="20"/>
          <w:szCs w:val="20"/>
        </w:rPr>
        <w:t xml:space="preserve">Fiscales, Sección I Del Ingreso Permanente y Egreso Permanente, dispone que: </w:t>
      </w:r>
      <w:r w:rsidRPr="001374F2">
        <w:rPr>
          <w:rFonts w:cstheme="minorHAnsi"/>
          <w:i/>
          <w:iCs/>
          <w:sz w:val="20"/>
          <w:szCs w:val="20"/>
        </w:rPr>
        <w:t>“Art. (...).- Ingreso permanente y egreso permanente del Sector Público No Financiero y de la Seguridad Social.- Para garantizar la conducción de las finanzas públicas de manera sostenible, responsable, transparente y procurar la estabilidad económica, los egresos permanentes se financiarán única y exclusivamente con ingresos permanentes. No obstante, los ingresos permanentes pueden también financiar egresos no permanentes”</w:t>
      </w:r>
      <w:r w:rsidRPr="001374F2">
        <w:rPr>
          <w:rFonts w:cstheme="minorHAnsi"/>
          <w:iCs/>
          <w:sz w:val="20"/>
          <w:szCs w:val="20"/>
        </w:rPr>
        <w:t>;</w:t>
      </w:r>
    </w:p>
    <w:p w:rsidR="004A3FC4" w:rsidRDefault="004A3FC4" w:rsidP="00F13B16">
      <w:pPr>
        <w:spacing w:after="10" w:line="248" w:lineRule="auto"/>
        <w:ind w:hanging="10"/>
        <w:jc w:val="both"/>
        <w:rPr>
          <w:rFonts w:ascii="Times New Roman" w:eastAsia="Times New Roman" w:hAnsi="Times New Roman" w:cs="Times New Roman"/>
          <w:b/>
        </w:rPr>
      </w:pPr>
      <w:r w:rsidRPr="001374F2">
        <w:rPr>
          <w:rFonts w:cstheme="minorHAnsi"/>
          <w:b/>
          <w:sz w:val="20"/>
          <w:szCs w:val="20"/>
        </w:rPr>
        <w:t xml:space="preserve">Que,    </w:t>
      </w:r>
      <w:r w:rsidRPr="001374F2">
        <w:rPr>
          <w:rFonts w:cstheme="minorHAnsi"/>
          <w:sz w:val="20"/>
          <w:szCs w:val="20"/>
        </w:rPr>
        <w:t xml:space="preserve">la Ordenanza Sustitutiva a la Ordenanza Metropolitana No. 3362, sancionada el 29 de octubre de 2001, por la cual se aprobó el incremento de la pensión mensual de jubilación patronal del Municipio del Distrito Metropolitano de Quito No. 0211, sancionada el 06 de junio de 2018, actual artículo 73 de la Ordenanza Metropolitana No. 001 Código Municipal, sancionada el 29 de marzo de 2019, que determina, </w:t>
      </w:r>
      <w:r w:rsidRPr="001374F2">
        <w:rPr>
          <w:rFonts w:cstheme="minorHAnsi"/>
          <w:i/>
          <w:sz w:val="20"/>
          <w:szCs w:val="20"/>
        </w:rPr>
        <w:t>“Establecer en el 45% del salario básico unificado del trabajador privado, la pensión jubilar patronal a favor de los trabajadores que prestan o prestaron sus servicios lícitos y personales en el Municipio del Distrito Metropolitano de Quito, por más de 25 años amparados por el Código del Trabajo, que se contabilizará desde la sanción de la Ordenanza Metropolitana No. 211, de 5 de junio de 2018.”</w:t>
      </w:r>
      <w:r>
        <w:rPr>
          <w:rFonts w:cstheme="minorHAnsi"/>
          <w:sz w:val="20"/>
          <w:szCs w:val="20"/>
        </w:rPr>
        <w:t>.</w:t>
      </w:r>
    </w:p>
    <w:p w:rsidR="004A3FC4" w:rsidRDefault="004A3FC4" w:rsidP="00BC21CC">
      <w:pPr>
        <w:spacing w:after="10" w:line="248" w:lineRule="auto"/>
        <w:ind w:hanging="10"/>
        <w:jc w:val="both"/>
        <w:rPr>
          <w:rFonts w:ascii="Times New Roman" w:eastAsia="Times New Roman" w:hAnsi="Times New Roman" w:cs="Times New Roman"/>
          <w:b/>
        </w:rPr>
      </w:pPr>
    </w:p>
    <w:p w:rsidR="00BC21CC" w:rsidRDefault="00BC21CC" w:rsidP="00BC21CC">
      <w:pPr>
        <w:spacing w:after="10" w:line="248" w:lineRule="auto"/>
        <w:ind w:hanging="10"/>
        <w:jc w:val="both"/>
        <w:rPr>
          <w:rFonts w:ascii="Times New Roman" w:eastAsia="Times New Roman" w:hAnsi="Times New Roman" w:cs="Times New Roman"/>
          <w:b/>
        </w:rPr>
      </w:pPr>
      <w:r>
        <w:rPr>
          <w:rFonts w:ascii="Times New Roman" w:eastAsia="Times New Roman" w:hAnsi="Times New Roman" w:cs="Times New Roman"/>
          <w:b/>
        </w:rPr>
        <w:t>En ejercicio de sus atribuciones legales que le confiere el inciso primero del artículo 240 de la Constitución de la República del Ecuador; letra a) del artículo 87 y 322 del Código Orgánico de Organización, Autonomía y Descentralización; y, artículo 8, números 1 y 18 de la Ley de Régimen del Distrito Metropolitano de Quito, expide la siguiente:</w:t>
      </w:r>
    </w:p>
    <w:p w:rsidR="00BC21CC" w:rsidRDefault="00BC21CC" w:rsidP="00BC21CC">
      <w:pPr>
        <w:spacing w:after="10" w:line="248" w:lineRule="auto"/>
        <w:ind w:hanging="10"/>
        <w:jc w:val="both"/>
      </w:pPr>
    </w:p>
    <w:p w:rsidR="00F13B16" w:rsidRDefault="00F13B16" w:rsidP="00BC21CC">
      <w:pPr>
        <w:spacing w:after="10" w:line="248" w:lineRule="auto"/>
        <w:ind w:hanging="10"/>
        <w:jc w:val="both"/>
      </w:pPr>
    </w:p>
    <w:p w:rsidR="00BC21CC" w:rsidRDefault="00BC21CC" w:rsidP="004A3FC4">
      <w:pPr>
        <w:spacing w:after="235" w:line="248" w:lineRule="auto"/>
        <w:ind w:hanging="10"/>
        <w:jc w:val="center"/>
      </w:pPr>
      <w:r>
        <w:rPr>
          <w:rFonts w:ascii="Times New Roman" w:eastAsia="Times New Roman" w:hAnsi="Times New Roman" w:cs="Times New Roman"/>
          <w:b/>
        </w:rPr>
        <w:t>ORDENANZA METROPOLITANA QUE SUSTITUYE EL TÍTULO II “DE LA PENSIÓN MENSUAL DE JUBILACIÓN PATRONAL DEL MUNICIPIO DEL DISTRITO METROPOLITANO DE QUITO” DEL LIBRO I.2 DEL CÓDIGO MUNICIPAL PARA EL DISTRITO METROPOLITANO DE QUITO</w:t>
      </w:r>
    </w:p>
    <w:p w:rsidR="00BC21CC" w:rsidRDefault="00BC21CC" w:rsidP="00BC21CC">
      <w:pPr>
        <w:spacing w:after="231" w:line="244" w:lineRule="auto"/>
        <w:ind w:hanging="10"/>
        <w:jc w:val="both"/>
        <w:rPr>
          <w:rFonts w:ascii="Times New Roman" w:eastAsia="Times New Roman" w:hAnsi="Times New Roman" w:cs="Times New Roman"/>
        </w:rPr>
      </w:pPr>
      <w:r>
        <w:rPr>
          <w:rFonts w:ascii="Times New Roman" w:eastAsia="Times New Roman" w:hAnsi="Times New Roman" w:cs="Times New Roman"/>
          <w:b/>
        </w:rPr>
        <w:t xml:space="preserve">Artículo Único. – </w:t>
      </w:r>
      <w:r>
        <w:rPr>
          <w:rFonts w:ascii="Times New Roman" w:eastAsia="Times New Roman" w:hAnsi="Times New Roman" w:cs="Times New Roman"/>
        </w:rPr>
        <w:t>Sustitúyase el Título II “DE LA PENSIÓN MENSUAL DE JUBILACIÓN PATRONAL DEL MUNICIPIO DEL DISTRITO METROPOLITANO DE QUITO”, del Libro I.2</w:t>
      </w:r>
      <w:r>
        <w:t xml:space="preserve"> “</w:t>
      </w:r>
      <w:r>
        <w:rPr>
          <w:rFonts w:ascii="Times New Roman" w:eastAsia="Times New Roman" w:hAnsi="Times New Roman" w:cs="Times New Roman"/>
        </w:rPr>
        <w:t xml:space="preserve">DE LA ORGANIZACIÓN ADMINISTRATIVA”; por el siguiente: </w:t>
      </w:r>
    </w:p>
    <w:p w:rsidR="00F13B16" w:rsidRDefault="00F13B16" w:rsidP="00BC21CC">
      <w:pPr>
        <w:spacing w:after="231" w:line="244" w:lineRule="auto"/>
        <w:ind w:hanging="10"/>
        <w:jc w:val="both"/>
      </w:pPr>
    </w:p>
    <w:p w:rsidR="00BC21CC" w:rsidRPr="00BC21CC" w:rsidRDefault="00BC21CC" w:rsidP="00882A19">
      <w:pPr>
        <w:spacing w:after="0"/>
        <w:ind w:left="30" w:right="7" w:hanging="10"/>
        <w:jc w:val="center"/>
        <w:rPr>
          <w:b/>
        </w:rPr>
      </w:pPr>
      <w:r>
        <w:rPr>
          <w:rFonts w:ascii="Times New Roman" w:eastAsia="Times New Roman" w:hAnsi="Times New Roman" w:cs="Times New Roman"/>
          <w:i/>
        </w:rPr>
        <w:t>“</w:t>
      </w:r>
      <w:r w:rsidRPr="00BC21CC">
        <w:rPr>
          <w:rFonts w:ascii="Times New Roman" w:eastAsia="Times New Roman" w:hAnsi="Times New Roman" w:cs="Times New Roman"/>
          <w:b/>
          <w:i/>
        </w:rPr>
        <w:t xml:space="preserve">TÍTULO II </w:t>
      </w:r>
    </w:p>
    <w:p w:rsidR="00BC21CC" w:rsidRPr="00BC21CC" w:rsidRDefault="00BC21CC" w:rsidP="00882A19">
      <w:pPr>
        <w:spacing w:after="0"/>
        <w:ind w:left="30" w:right="13" w:hanging="10"/>
        <w:jc w:val="center"/>
        <w:rPr>
          <w:b/>
        </w:rPr>
      </w:pPr>
      <w:r w:rsidRPr="00BC21CC">
        <w:rPr>
          <w:rFonts w:ascii="Times New Roman" w:eastAsia="Times New Roman" w:hAnsi="Times New Roman" w:cs="Times New Roman"/>
          <w:b/>
          <w:i/>
        </w:rPr>
        <w:t xml:space="preserve">DE LA PENSIÓN MENSUAL DE JUBILACIÓN PATRONAL DEL MUNICIPIO DEL </w:t>
      </w:r>
    </w:p>
    <w:p w:rsidR="00BC21CC" w:rsidRPr="00BC21CC" w:rsidRDefault="00BC21CC" w:rsidP="00882A19">
      <w:pPr>
        <w:spacing w:after="216"/>
        <w:ind w:left="30" w:right="12" w:hanging="10"/>
        <w:jc w:val="center"/>
        <w:rPr>
          <w:b/>
        </w:rPr>
      </w:pPr>
      <w:r w:rsidRPr="00BC21CC">
        <w:rPr>
          <w:rFonts w:ascii="Times New Roman" w:eastAsia="Times New Roman" w:hAnsi="Times New Roman" w:cs="Times New Roman"/>
          <w:b/>
          <w:i/>
        </w:rPr>
        <w:t xml:space="preserve">DISTRITO METROPOLITANO DE QUITO </w:t>
      </w:r>
    </w:p>
    <w:p w:rsidR="005E3BB5" w:rsidRDefault="00BC21CC" w:rsidP="00882A19">
      <w:pPr>
        <w:spacing w:after="228" w:line="248" w:lineRule="auto"/>
        <w:ind w:left="20" w:right="20" w:hanging="10"/>
        <w:jc w:val="both"/>
        <w:rPr>
          <w:rFonts w:ascii="Times New Roman" w:eastAsia="Times New Roman" w:hAnsi="Times New Roman" w:cs="Times New Roman"/>
          <w:i/>
        </w:rPr>
      </w:pPr>
      <w:r w:rsidRPr="00BC21CC">
        <w:rPr>
          <w:rFonts w:ascii="Times New Roman" w:eastAsia="Times New Roman" w:hAnsi="Times New Roman" w:cs="Times New Roman"/>
          <w:b/>
          <w:i/>
        </w:rPr>
        <w:lastRenderedPageBreak/>
        <w:t xml:space="preserve">Artículo 73. </w:t>
      </w:r>
      <w:r>
        <w:rPr>
          <w:rFonts w:ascii="Times New Roman" w:eastAsia="Times New Roman" w:hAnsi="Times New Roman" w:cs="Times New Roman"/>
          <w:b/>
          <w:i/>
        </w:rPr>
        <w:t>–</w:t>
      </w:r>
      <w:r>
        <w:rPr>
          <w:rFonts w:ascii="Times New Roman" w:eastAsia="Times New Roman" w:hAnsi="Times New Roman" w:cs="Times New Roman"/>
          <w:i/>
        </w:rPr>
        <w:t xml:space="preserve"> </w:t>
      </w:r>
      <w:r w:rsidRPr="00BC21CC">
        <w:rPr>
          <w:rFonts w:ascii="Times New Roman" w:eastAsia="Times New Roman" w:hAnsi="Times New Roman" w:cs="Times New Roman"/>
          <w:b/>
          <w:i/>
        </w:rPr>
        <w:t xml:space="preserve">Pensión Mensual de Jubilación Patronal. </w:t>
      </w:r>
      <w:r>
        <w:rPr>
          <w:rFonts w:ascii="Times New Roman" w:eastAsia="Times New Roman" w:hAnsi="Times New Roman" w:cs="Times New Roman"/>
          <w:b/>
          <w:i/>
        </w:rPr>
        <w:t>–</w:t>
      </w:r>
      <w:r>
        <w:rPr>
          <w:rFonts w:ascii="Times New Roman" w:eastAsia="Times New Roman" w:hAnsi="Times New Roman" w:cs="Times New Roman"/>
          <w:i/>
        </w:rPr>
        <w:t xml:space="preserve"> Se establece como monto de la pensión mensual de jubilación patronal a favor de los trabajadores que prestaron sus servicios lícitos y personales por más de veinticinco (25) años</w:t>
      </w:r>
      <w:r w:rsidR="005E3BB5">
        <w:rPr>
          <w:rFonts w:ascii="Times New Roman" w:eastAsia="Times New Roman" w:hAnsi="Times New Roman" w:cs="Times New Roman"/>
          <w:i/>
        </w:rPr>
        <w:t xml:space="preserve"> en el Municipio del Distrito Metropolitano de Quito, Empresas Públicas Metropolitanas y demás entidades adscritas, salvo aquellas que se rigen bajo normas legales especiales</w:t>
      </w:r>
      <w:r>
        <w:rPr>
          <w:rFonts w:ascii="Times New Roman" w:eastAsia="Times New Roman" w:hAnsi="Times New Roman" w:cs="Times New Roman"/>
          <w:i/>
        </w:rPr>
        <w:t xml:space="preserve">, el </w:t>
      </w:r>
      <w:r w:rsidR="005E3BB5">
        <w:rPr>
          <w:rFonts w:ascii="Times New Roman" w:eastAsia="Times New Roman" w:hAnsi="Times New Roman" w:cs="Times New Roman"/>
          <w:i/>
        </w:rPr>
        <w:t xml:space="preserve">cincuenta por ciento </w:t>
      </w:r>
      <w:r w:rsidR="005E3BB5" w:rsidRPr="00323ED6">
        <w:rPr>
          <w:rFonts w:ascii="Times New Roman" w:eastAsia="Times New Roman" w:hAnsi="Times New Roman" w:cs="Times New Roman"/>
          <w:i/>
        </w:rPr>
        <w:t>(</w:t>
      </w:r>
      <w:r w:rsidRPr="00323ED6">
        <w:rPr>
          <w:rFonts w:ascii="Times New Roman" w:eastAsia="Times New Roman" w:hAnsi="Times New Roman" w:cs="Times New Roman"/>
          <w:i/>
        </w:rPr>
        <w:t>50%</w:t>
      </w:r>
      <w:r w:rsidR="005E3BB5" w:rsidRPr="00323ED6">
        <w:rPr>
          <w:rFonts w:ascii="Times New Roman" w:eastAsia="Times New Roman" w:hAnsi="Times New Roman" w:cs="Times New Roman"/>
          <w:i/>
        </w:rPr>
        <w:t>)</w:t>
      </w:r>
      <w:r w:rsidRPr="00323ED6">
        <w:rPr>
          <w:rFonts w:ascii="Times New Roman" w:eastAsia="Times New Roman" w:hAnsi="Times New Roman" w:cs="Times New Roman"/>
          <w:i/>
        </w:rPr>
        <w:t xml:space="preserve"> del salario básico unificado del trabajador en general</w:t>
      </w:r>
      <w:r w:rsidR="004C765E" w:rsidRPr="00323ED6">
        <w:rPr>
          <w:rFonts w:ascii="Times New Roman" w:eastAsia="Times New Roman" w:hAnsi="Times New Roman" w:cs="Times New Roman"/>
          <w:i/>
        </w:rPr>
        <w:t>.</w:t>
      </w:r>
    </w:p>
    <w:p w:rsidR="00BC21CC" w:rsidRPr="005E3BB5" w:rsidRDefault="00BC21CC" w:rsidP="00882A19">
      <w:pPr>
        <w:spacing w:after="228" w:line="248" w:lineRule="auto"/>
        <w:ind w:left="20" w:right="20" w:hanging="10"/>
        <w:jc w:val="both"/>
        <w:rPr>
          <w:rFonts w:ascii="Times New Roman" w:eastAsia="Times New Roman" w:hAnsi="Times New Roman" w:cs="Times New Roman"/>
          <w:i/>
        </w:rPr>
      </w:pPr>
      <w:r>
        <w:rPr>
          <w:rFonts w:ascii="Times New Roman" w:eastAsia="Times New Roman" w:hAnsi="Times New Roman" w:cs="Times New Roman"/>
          <w:i/>
        </w:rPr>
        <w:t xml:space="preserve">Este derecho a percibir la pensión jubilar patronal en el monto determinado, es independiente del derecho jubilatorio concedido por el Instituto Ecuatoriano de Seguridad Social. </w:t>
      </w:r>
    </w:p>
    <w:p w:rsidR="00BC21CC" w:rsidRDefault="00BC21CC" w:rsidP="00882A19">
      <w:pPr>
        <w:spacing w:after="228" w:line="248" w:lineRule="auto"/>
        <w:ind w:left="20" w:right="20" w:hanging="10"/>
        <w:jc w:val="both"/>
      </w:pPr>
      <w:r w:rsidRPr="005E3BB5">
        <w:rPr>
          <w:rFonts w:ascii="Times New Roman" w:eastAsia="Times New Roman" w:hAnsi="Times New Roman" w:cs="Times New Roman"/>
          <w:b/>
          <w:i/>
        </w:rPr>
        <w:t>Artículo 74.-</w:t>
      </w:r>
      <w:r w:rsidR="004C765E">
        <w:rPr>
          <w:rFonts w:ascii="Times New Roman" w:eastAsia="Times New Roman" w:hAnsi="Times New Roman" w:cs="Times New Roman"/>
          <w:b/>
          <w:i/>
        </w:rPr>
        <w:t>Pensión Mensual Proporcional de Jubilación Patronal. -</w:t>
      </w:r>
      <w:r>
        <w:rPr>
          <w:rFonts w:ascii="Times New Roman" w:eastAsia="Times New Roman" w:hAnsi="Times New Roman" w:cs="Times New Roman"/>
          <w:i/>
        </w:rPr>
        <w:t xml:space="preserve"> Los trabajadores que desempeñaron sus funciones por más de 20 años y menos de 25 años</w:t>
      </w:r>
      <w:r w:rsidR="004C765E">
        <w:rPr>
          <w:rFonts w:ascii="Times New Roman" w:eastAsia="Times New Roman" w:hAnsi="Times New Roman" w:cs="Times New Roman"/>
          <w:i/>
        </w:rPr>
        <w:t xml:space="preserve"> en el Municipio del Distrito Metropolitano de Quito, Empresas Públicas Metropolitanas y demás entidades adscritas, salvo aquellas que se rigen bajo normas legales especiales</w:t>
      </w:r>
      <w:r>
        <w:rPr>
          <w:rFonts w:ascii="Times New Roman" w:eastAsia="Times New Roman" w:hAnsi="Times New Roman" w:cs="Times New Roman"/>
          <w:i/>
        </w:rPr>
        <w:t xml:space="preserve">, tendrán derecho a la parte proporcional de la pensión de jubilación patronal, de conformidad con lo </w:t>
      </w:r>
      <w:r w:rsidR="004C765E">
        <w:rPr>
          <w:rFonts w:ascii="Times New Roman" w:eastAsia="Times New Roman" w:hAnsi="Times New Roman" w:cs="Times New Roman"/>
          <w:i/>
        </w:rPr>
        <w:t xml:space="preserve">previsto en la normativa </w:t>
      </w:r>
      <w:r w:rsidR="00323ED6" w:rsidRPr="00323ED6">
        <w:rPr>
          <w:rFonts w:ascii="Times New Roman" w:eastAsia="Times New Roman" w:hAnsi="Times New Roman" w:cs="Times New Roman"/>
          <w:i/>
          <w:highlight w:val="yellow"/>
        </w:rPr>
        <w:t>laboral</w:t>
      </w:r>
      <w:r w:rsidR="004C765E">
        <w:rPr>
          <w:rFonts w:ascii="Times New Roman" w:eastAsia="Times New Roman" w:hAnsi="Times New Roman" w:cs="Times New Roman"/>
          <w:i/>
        </w:rPr>
        <w:t xml:space="preserve"> vigente.</w:t>
      </w:r>
      <w:r>
        <w:rPr>
          <w:rFonts w:ascii="Times New Roman" w:eastAsia="Times New Roman" w:hAnsi="Times New Roman" w:cs="Times New Roman"/>
          <w:i/>
        </w:rPr>
        <w:t xml:space="preserve"> </w:t>
      </w:r>
    </w:p>
    <w:p w:rsidR="00BC21CC" w:rsidRDefault="00BC21CC" w:rsidP="00882A19">
      <w:pPr>
        <w:spacing w:after="228" w:line="248" w:lineRule="auto"/>
        <w:ind w:left="20" w:right="20" w:hanging="10"/>
        <w:jc w:val="both"/>
      </w:pPr>
      <w:r w:rsidRPr="005E3BB5">
        <w:rPr>
          <w:rFonts w:ascii="Times New Roman" w:eastAsia="Times New Roman" w:hAnsi="Times New Roman" w:cs="Times New Roman"/>
          <w:b/>
          <w:i/>
        </w:rPr>
        <w:t>Artículo 75.-</w:t>
      </w:r>
      <w:r w:rsidR="005E3BB5">
        <w:rPr>
          <w:rFonts w:ascii="Times New Roman" w:eastAsia="Times New Roman" w:hAnsi="Times New Roman" w:cs="Times New Roman"/>
          <w:b/>
          <w:i/>
        </w:rPr>
        <w:t xml:space="preserve"> De la asignación presupuestaria. -</w:t>
      </w:r>
      <w:r>
        <w:rPr>
          <w:rFonts w:ascii="Times New Roman" w:eastAsia="Times New Roman" w:hAnsi="Times New Roman" w:cs="Times New Roman"/>
          <w:i/>
        </w:rPr>
        <w:t xml:space="preserve"> La Dirección Metropolitana Financiera del Municipio del Distrito Metropolitano de Quito, y la unidad que haga sus veces en las Empresas Públicas Metropolitanas y entidades adscritas, asignará el presupuesto correspondiente, para lo cual</w:t>
      </w:r>
      <w:r w:rsidR="005E3BB5">
        <w:rPr>
          <w:rFonts w:ascii="Times New Roman" w:eastAsia="Times New Roman" w:hAnsi="Times New Roman" w:cs="Times New Roman"/>
          <w:i/>
        </w:rPr>
        <w:t>,</w:t>
      </w:r>
      <w:r>
        <w:rPr>
          <w:rFonts w:ascii="Times New Roman" w:eastAsia="Times New Roman" w:hAnsi="Times New Roman" w:cs="Times New Roman"/>
          <w:i/>
        </w:rPr>
        <w:t xml:space="preserve"> hará constar en su presupuesto anual la partida específica para cumplimiento del pago de incremento de pensión jubilar. </w:t>
      </w:r>
    </w:p>
    <w:p w:rsidR="00BC21CC" w:rsidRDefault="00BC21CC" w:rsidP="00882A19">
      <w:pPr>
        <w:spacing w:after="228" w:line="248" w:lineRule="auto"/>
        <w:ind w:left="20" w:right="20" w:hanging="10"/>
        <w:jc w:val="both"/>
      </w:pPr>
      <w:r>
        <w:rPr>
          <w:rFonts w:ascii="Times New Roman" w:eastAsia="Times New Roman" w:hAnsi="Times New Roman" w:cs="Times New Roman"/>
          <w:i/>
        </w:rPr>
        <w:t xml:space="preserve">La </w:t>
      </w:r>
      <w:r w:rsidRPr="00323ED6">
        <w:rPr>
          <w:rFonts w:ascii="Times New Roman" w:eastAsia="Times New Roman" w:hAnsi="Times New Roman" w:cs="Times New Roman"/>
          <w:i/>
          <w:highlight w:val="yellow"/>
        </w:rPr>
        <w:t xml:space="preserve">Dirección Metropolitana de </w:t>
      </w:r>
      <w:r w:rsidR="00323ED6" w:rsidRPr="00323ED6">
        <w:rPr>
          <w:rFonts w:ascii="Times New Roman" w:eastAsia="Times New Roman" w:hAnsi="Times New Roman" w:cs="Times New Roman"/>
          <w:i/>
          <w:highlight w:val="yellow"/>
        </w:rPr>
        <w:t>Talento Humano</w:t>
      </w:r>
      <w:r>
        <w:rPr>
          <w:rFonts w:ascii="Times New Roman" w:eastAsia="Times New Roman" w:hAnsi="Times New Roman" w:cs="Times New Roman"/>
          <w:i/>
        </w:rPr>
        <w:t xml:space="preserve">, y la unidad que haga sus veces en las Empresas Públicas Metropolitanas y entidades adscritas, tendrá la base del plan de jubilación patronal de los trabajadores </w:t>
      </w:r>
      <w:r w:rsidR="00FF7376">
        <w:rPr>
          <w:rFonts w:ascii="Times New Roman" w:eastAsia="Times New Roman" w:hAnsi="Times New Roman" w:cs="Times New Roman"/>
          <w:i/>
        </w:rPr>
        <w:t>d</w:t>
      </w:r>
      <w:r w:rsidR="00323ED6">
        <w:rPr>
          <w:rFonts w:ascii="Times New Roman" w:eastAsia="Times New Roman" w:hAnsi="Times New Roman" w:cs="Times New Roman"/>
          <w:i/>
        </w:rPr>
        <w:t>el Municipio del Distrito Metropolitano de Quito, Empresas Públicas Metropolitanas y demás entidades adscritas, salvo aquellas que se rigen bajo normas legales especiales,</w:t>
      </w:r>
      <w:r>
        <w:rPr>
          <w:rFonts w:ascii="Times New Roman" w:eastAsia="Times New Roman" w:hAnsi="Times New Roman" w:cs="Times New Roman"/>
          <w:i/>
        </w:rPr>
        <w:t xml:space="preserve"> sobre la cual se determinará anualmente el respectivo presupuesto.”</w:t>
      </w:r>
      <w:r>
        <w:rPr>
          <w:rFonts w:ascii="Times New Roman" w:eastAsia="Times New Roman" w:hAnsi="Times New Roman" w:cs="Times New Roman"/>
        </w:rPr>
        <w:t xml:space="preserve"> </w:t>
      </w:r>
    </w:p>
    <w:p w:rsidR="00BC21CC" w:rsidRDefault="00BC21CC" w:rsidP="00882A19">
      <w:pPr>
        <w:spacing w:after="228" w:line="248" w:lineRule="auto"/>
        <w:ind w:left="20" w:right="20" w:hanging="10"/>
        <w:jc w:val="both"/>
      </w:pPr>
      <w:r w:rsidRPr="005E3BB5">
        <w:rPr>
          <w:rFonts w:ascii="Times New Roman" w:eastAsia="Times New Roman" w:hAnsi="Times New Roman" w:cs="Times New Roman"/>
          <w:b/>
          <w:i/>
        </w:rPr>
        <w:t>Artículo 76.-</w:t>
      </w:r>
      <w:r w:rsidR="005E3BB5">
        <w:rPr>
          <w:rFonts w:ascii="Times New Roman" w:eastAsia="Times New Roman" w:hAnsi="Times New Roman" w:cs="Times New Roman"/>
          <w:b/>
          <w:i/>
        </w:rPr>
        <w:t xml:space="preserve">De la asignación de </w:t>
      </w:r>
      <w:r w:rsidR="004C765E">
        <w:rPr>
          <w:rFonts w:ascii="Times New Roman" w:eastAsia="Times New Roman" w:hAnsi="Times New Roman" w:cs="Times New Roman"/>
          <w:b/>
          <w:i/>
        </w:rPr>
        <w:t>recursos. -</w:t>
      </w:r>
      <w:r>
        <w:rPr>
          <w:rFonts w:ascii="Times New Roman" w:eastAsia="Times New Roman" w:hAnsi="Times New Roman" w:cs="Times New Roman"/>
          <w:i/>
        </w:rPr>
        <w:t xml:space="preserve"> Encárguese a la Administración General, Secretaría </w:t>
      </w:r>
      <w:r w:rsidR="00FF7376">
        <w:rPr>
          <w:rFonts w:ascii="Times New Roman" w:eastAsia="Times New Roman" w:hAnsi="Times New Roman" w:cs="Times New Roman"/>
          <w:i/>
        </w:rPr>
        <w:t xml:space="preserve">General </w:t>
      </w:r>
      <w:r>
        <w:rPr>
          <w:rFonts w:ascii="Times New Roman" w:eastAsia="Times New Roman" w:hAnsi="Times New Roman" w:cs="Times New Roman"/>
          <w:i/>
        </w:rPr>
        <w:t xml:space="preserve">de Planificación y Dirección Metropolitana Financiera, y a la unidad que haga sus veces en las Empresas Públicas Metropolitanas y entidades adscritas, la asignación de los recursos necesarios para incluir en el presupuesto general de cada año del Municipio Metropolitano de Quito, para el cumplimiento de lo dispuesto en este Capítulo. </w:t>
      </w:r>
    </w:p>
    <w:p w:rsidR="00BC21CC" w:rsidRDefault="00BC21CC" w:rsidP="00882A19">
      <w:pPr>
        <w:spacing w:after="228" w:line="248" w:lineRule="auto"/>
        <w:ind w:left="20" w:right="20" w:hanging="10"/>
        <w:jc w:val="both"/>
        <w:rPr>
          <w:rFonts w:ascii="Times New Roman" w:eastAsia="Times New Roman" w:hAnsi="Times New Roman" w:cs="Times New Roman"/>
          <w:i/>
        </w:rPr>
      </w:pPr>
      <w:r w:rsidRPr="004C765E">
        <w:rPr>
          <w:rFonts w:ascii="Times New Roman" w:eastAsia="Times New Roman" w:hAnsi="Times New Roman" w:cs="Times New Roman"/>
          <w:b/>
          <w:i/>
        </w:rPr>
        <w:t>Artículo 77.-</w:t>
      </w:r>
      <w:r w:rsidR="004C765E">
        <w:rPr>
          <w:rFonts w:ascii="Times New Roman" w:eastAsia="Times New Roman" w:hAnsi="Times New Roman" w:cs="Times New Roman"/>
          <w:i/>
        </w:rPr>
        <w:t xml:space="preserve"> </w:t>
      </w:r>
      <w:r w:rsidR="004C765E" w:rsidRPr="004C765E">
        <w:rPr>
          <w:rFonts w:ascii="Times New Roman" w:eastAsia="Times New Roman" w:hAnsi="Times New Roman" w:cs="Times New Roman"/>
          <w:b/>
          <w:i/>
        </w:rPr>
        <w:t>Entidad ejecutora. -</w:t>
      </w:r>
      <w:r>
        <w:rPr>
          <w:rFonts w:ascii="Times New Roman" w:eastAsia="Times New Roman" w:hAnsi="Times New Roman" w:cs="Times New Roman"/>
          <w:i/>
        </w:rPr>
        <w:t xml:space="preserve"> Para la ejecución del presente Capítulo, encárguese a</w:t>
      </w:r>
      <w:r w:rsidR="00FF7376">
        <w:rPr>
          <w:rFonts w:ascii="Times New Roman" w:eastAsia="Times New Roman" w:hAnsi="Times New Roman" w:cs="Times New Roman"/>
          <w:i/>
        </w:rPr>
        <w:t xml:space="preserve"> la Dirección de Talento Humano</w:t>
      </w:r>
      <w:r>
        <w:rPr>
          <w:rFonts w:ascii="Times New Roman" w:eastAsia="Times New Roman" w:hAnsi="Times New Roman" w:cs="Times New Roman"/>
          <w:i/>
        </w:rPr>
        <w:t xml:space="preserve"> del Municipio del Distrito Metropolitano de Quito, y la unidad que haga sus veces en las Empresas Públicas Metropolitanas y entidades adscritas.” </w:t>
      </w:r>
    </w:p>
    <w:p w:rsidR="003C67DC" w:rsidRPr="003C67DC" w:rsidRDefault="003C67DC" w:rsidP="003C67DC">
      <w:pPr>
        <w:spacing w:after="228" w:line="248" w:lineRule="auto"/>
        <w:ind w:left="20" w:right="20" w:hanging="10"/>
        <w:jc w:val="center"/>
        <w:rPr>
          <w:b/>
        </w:rPr>
      </w:pPr>
      <w:r w:rsidRPr="003C67DC">
        <w:rPr>
          <w:b/>
        </w:rPr>
        <w:t>DISPOSICIÓN GENERAL</w:t>
      </w:r>
    </w:p>
    <w:p w:rsidR="003C67DC" w:rsidRDefault="003C67DC" w:rsidP="003C67DC">
      <w:pPr>
        <w:spacing w:after="228" w:line="248" w:lineRule="auto"/>
        <w:ind w:left="20" w:right="20" w:hanging="10"/>
        <w:jc w:val="both"/>
      </w:pPr>
      <w:r>
        <w:t>Disposición general única .</w:t>
      </w:r>
      <w:r w:rsidRPr="003C67DC">
        <w:t>–</w:t>
      </w:r>
      <w:r>
        <w:t xml:space="preserve"> </w:t>
      </w:r>
      <w:r w:rsidRPr="003C67DC">
        <w:t>Los ex trabajadores del Municipio del Distrito Metropolitano de Quito, Empresas Metropolitanas y demás entidades adscritas, salvo aquellas que se rigen bajo normas legales especiales, que a la fecha de expedición de la presente Ordenanza se encuentren percibiendo la jubilación patronal mensual, serán beneficiarios del aumento del cinco por ciento (5%) previsto en esta Reforma, y por tanto, se fijará dicho beneficio en cincuenta por ciento (50%) del salario básico u</w:t>
      </w:r>
      <w:r>
        <w:t>nificado del trabajador privado</w:t>
      </w:r>
    </w:p>
    <w:p w:rsidR="004A3FC4" w:rsidRDefault="00FF7376" w:rsidP="003C67DC">
      <w:pPr>
        <w:spacing w:after="231" w:line="244" w:lineRule="auto"/>
        <w:ind w:hanging="10"/>
        <w:jc w:val="center"/>
        <w:rPr>
          <w:rFonts w:ascii="Times New Roman" w:eastAsia="Times New Roman" w:hAnsi="Times New Roman" w:cs="Times New Roman"/>
          <w:b/>
        </w:rPr>
      </w:pPr>
      <w:r>
        <w:rPr>
          <w:rFonts w:ascii="Times New Roman" w:eastAsia="Times New Roman" w:hAnsi="Times New Roman" w:cs="Times New Roman"/>
          <w:b/>
        </w:rPr>
        <w:t>DISPOSICIONES TRANSITORIAS:</w:t>
      </w:r>
    </w:p>
    <w:p w:rsidR="00882A19" w:rsidRPr="004A3FC4" w:rsidRDefault="003C67DC" w:rsidP="003C67DC">
      <w:pPr>
        <w:spacing w:after="231" w:line="244" w:lineRule="auto"/>
        <w:ind w:hanging="10"/>
        <w:jc w:val="both"/>
        <w:rPr>
          <w:rFonts w:ascii="Times New Roman" w:eastAsia="Times New Roman" w:hAnsi="Times New Roman" w:cs="Times New Roman"/>
          <w:b/>
        </w:rPr>
      </w:pPr>
      <w:r w:rsidRPr="004A3FC4">
        <w:rPr>
          <w:rFonts w:ascii="Times New Roman" w:eastAsia="Times New Roman" w:hAnsi="Times New Roman" w:cs="Times New Roman"/>
          <w:b/>
          <w:highlight w:val="yellow"/>
        </w:rPr>
        <w:t>Disposición transitoria primera. –</w:t>
      </w:r>
      <w:r>
        <w:rPr>
          <w:rFonts w:ascii="Times New Roman" w:eastAsia="Times New Roman" w:hAnsi="Times New Roman" w:cs="Times New Roman"/>
          <w:b/>
        </w:rPr>
        <w:t xml:space="preserve"> </w:t>
      </w:r>
      <w:r w:rsidR="00882A19" w:rsidRPr="00882A19">
        <w:rPr>
          <w:rFonts w:ascii="Times New Roman" w:eastAsia="Times New Roman" w:hAnsi="Times New Roman" w:cs="Times New Roman"/>
        </w:rPr>
        <w:t>El Municipio del Distrito Metropolitano de Quito, Empresas Públicas Metropolitanas y demás entidades adscritas, salvo aquellas que se rigen bajo normas legales especiales</w:t>
      </w:r>
      <w:r w:rsidR="00882A19">
        <w:rPr>
          <w:rFonts w:ascii="Times New Roman" w:eastAsia="Times New Roman" w:hAnsi="Times New Roman" w:cs="Times New Roman"/>
        </w:rPr>
        <w:t>, deberán recalcular y efectuar los pagos de ju</w:t>
      </w:r>
      <w:r w:rsidR="00B503B4">
        <w:rPr>
          <w:rFonts w:ascii="Times New Roman" w:eastAsia="Times New Roman" w:hAnsi="Times New Roman" w:cs="Times New Roman"/>
        </w:rPr>
        <w:t>bilación mensual patronal a la</w:t>
      </w:r>
      <w:r w:rsidR="00882A19">
        <w:rPr>
          <w:rFonts w:ascii="Times New Roman" w:eastAsia="Times New Roman" w:hAnsi="Times New Roman" w:cs="Times New Roman"/>
        </w:rPr>
        <w:t>s</w:t>
      </w:r>
      <w:r w:rsidR="00B503B4">
        <w:rPr>
          <w:rFonts w:ascii="Times New Roman" w:eastAsia="Times New Roman" w:hAnsi="Times New Roman" w:cs="Times New Roman"/>
        </w:rPr>
        <w:t xml:space="preserve"> </w:t>
      </w:r>
      <w:r w:rsidR="00B503B4" w:rsidRPr="00F13B16">
        <w:rPr>
          <w:rFonts w:ascii="Times New Roman" w:eastAsia="Times New Roman" w:hAnsi="Times New Roman" w:cs="Times New Roman"/>
          <w:highlight w:val="yellow"/>
        </w:rPr>
        <w:t>ex trabajadora</w:t>
      </w:r>
      <w:r w:rsidR="00882A19" w:rsidRPr="00F13B16">
        <w:rPr>
          <w:rFonts w:ascii="Times New Roman" w:eastAsia="Times New Roman" w:hAnsi="Times New Roman" w:cs="Times New Roman"/>
          <w:highlight w:val="yellow"/>
        </w:rPr>
        <w:t>s</w:t>
      </w:r>
      <w:r w:rsidR="00B503B4" w:rsidRPr="00F13B16">
        <w:rPr>
          <w:rFonts w:ascii="Times New Roman" w:eastAsia="Times New Roman" w:hAnsi="Times New Roman" w:cs="Times New Roman"/>
          <w:highlight w:val="yellow"/>
        </w:rPr>
        <w:t xml:space="preserve"> y ex trabajadores,</w:t>
      </w:r>
      <w:r w:rsidR="00882A19" w:rsidRPr="00F13B16">
        <w:rPr>
          <w:rFonts w:ascii="Times New Roman" w:eastAsia="Times New Roman" w:hAnsi="Times New Roman" w:cs="Times New Roman"/>
          <w:highlight w:val="yellow"/>
        </w:rPr>
        <w:t xml:space="preserve"> considerando el monto previsto en esta Reforma, desde enero de 2024.</w:t>
      </w:r>
    </w:p>
    <w:p w:rsidR="00FF7376" w:rsidRDefault="003C67DC" w:rsidP="00FF7376">
      <w:pPr>
        <w:spacing w:after="231" w:line="244" w:lineRule="auto"/>
        <w:ind w:hanging="10"/>
        <w:jc w:val="both"/>
        <w:rPr>
          <w:rFonts w:ascii="Times New Roman" w:eastAsia="Times New Roman" w:hAnsi="Times New Roman" w:cs="Times New Roman"/>
        </w:rPr>
      </w:pPr>
      <w:r>
        <w:rPr>
          <w:rFonts w:ascii="Times New Roman" w:eastAsia="Times New Roman" w:hAnsi="Times New Roman" w:cs="Times New Roman"/>
          <w:b/>
        </w:rPr>
        <w:lastRenderedPageBreak/>
        <w:t>Disposición transitoria segunda.-</w:t>
      </w:r>
      <w:r w:rsidR="00FF7376">
        <w:rPr>
          <w:rFonts w:ascii="Times New Roman" w:eastAsia="Times New Roman" w:hAnsi="Times New Roman" w:cs="Times New Roman"/>
          <w:b/>
        </w:rPr>
        <w:t>. -</w:t>
      </w:r>
      <w:r w:rsidR="00FF7376" w:rsidRPr="00882A19">
        <w:rPr>
          <w:rFonts w:ascii="Times New Roman" w:eastAsia="Times New Roman" w:hAnsi="Times New Roman" w:cs="Times New Roman"/>
        </w:rPr>
        <w:t xml:space="preserve">El Municipio del Distrito Metropolitano de Quito, Empresas Públicas Metropolitanas y demás entidades adscritas, </w:t>
      </w:r>
      <w:r w:rsidR="00FF7376">
        <w:rPr>
          <w:rFonts w:ascii="Times New Roman" w:eastAsia="Times New Roman" w:hAnsi="Times New Roman" w:cs="Times New Roman"/>
        </w:rPr>
        <w:t>en el plazo de seis meses</w:t>
      </w:r>
      <w:r w:rsidR="00B27FF8">
        <w:rPr>
          <w:rFonts w:ascii="Times New Roman" w:eastAsia="Times New Roman" w:hAnsi="Times New Roman" w:cs="Times New Roman"/>
        </w:rPr>
        <w:t xml:space="preserve"> contados desde la sanción de esta Ordenanza</w:t>
      </w:r>
      <w:r w:rsidR="00FF7376">
        <w:rPr>
          <w:rFonts w:ascii="Times New Roman" w:eastAsia="Times New Roman" w:hAnsi="Times New Roman" w:cs="Times New Roman"/>
        </w:rPr>
        <w:t xml:space="preserve">, realizará los estudios económicos, financieros y legales, </w:t>
      </w:r>
      <w:r w:rsidR="00B27FF8">
        <w:rPr>
          <w:rFonts w:ascii="Times New Roman" w:eastAsia="Times New Roman" w:hAnsi="Times New Roman" w:cs="Times New Roman"/>
        </w:rPr>
        <w:t xml:space="preserve">que motive </w:t>
      </w:r>
      <w:r w:rsidR="00FF7376">
        <w:rPr>
          <w:rFonts w:ascii="Times New Roman" w:eastAsia="Times New Roman" w:hAnsi="Times New Roman" w:cs="Times New Roman"/>
        </w:rPr>
        <w:t>un posible incremento</w:t>
      </w:r>
      <w:r w:rsidR="00B27FF8">
        <w:rPr>
          <w:rFonts w:ascii="Times New Roman" w:eastAsia="Times New Roman" w:hAnsi="Times New Roman" w:cs="Times New Roman"/>
        </w:rPr>
        <w:t xml:space="preserve"> al monto de jubilación p</w:t>
      </w:r>
      <w:r w:rsidR="003A751D">
        <w:rPr>
          <w:rFonts w:ascii="Times New Roman" w:eastAsia="Times New Roman" w:hAnsi="Times New Roman" w:cs="Times New Roman"/>
        </w:rPr>
        <w:t>atronal, el cual, estará sujet</w:t>
      </w:r>
      <w:r w:rsidR="00B27FF8">
        <w:rPr>
          <w:rFonts w:ascii="Times New Roman" w:eastAsia="Times New Roman" w:hAnsi="Times New Roman" w:cs="Times New Roman"/>
        </w:rPr>
        <w:t>o la disponibilidad presupuestaria.</w:t>
      </w:r>
    </w:p>
    <w:p w:rsidR="00BC21CC" w:rsidRDefault="00BC21CC" w:rsidP="00BC21CC">
      <w:pPr>
        <w:spacing w:after="231" w:line="244" w:lineRule="auto"/>
        <w:ind w:hanging="10"/>
        <w:jc w:val="both"/>
      </w:pPr>
      <w:r>
        <w:rPr>
          <w:rFonts w:ascii="Times New Roman" w:eastAsia="Times New Roman" w:hAnsi="Times New Roman" w:cs="Times New Roman"/>
          <w:b/>
        </w:rPr>
        <w:t xml:space="preserve">Disposición Derogatoria Única. - </w:t>
      </w:r>
      <w:r>
        <w:rPr>
          <w:rFonts w:ascii="Times New Roman" w:eastAsia="Times New Roman" w:hAnsi="Times New Roman" w:cs="Times New Roman"/>
        </w:rPr>
        <w:t>Deróguese la Ordenanza Metropolitana Interpretativa No. 036-2022, sancionada el 15 de julio de 2022.</w:t>
      </w:r>
      <w:r>
        <w:rPr>
          <w:rFonts w:ascii="Times New Roman" w:eastAsia="Times New Roman" w:hAnsi="Times New Roman" w:cs="Times New Roman"/>
          <w:b/>
        </w:rPr>
        <w:t xml:space="preserve"> </w:t>
      </w:r>
    </w:p>
    <w:p w:rsidR="00BC21CC" w:rsidRDefault="00BC21CC" w:rsidP="00BC21CC">
      <w:pPr>
        <w:spacing w:after="231" w:line="244" w:lineRule="auto"/>
        <w:ind w:hanging="10"/>
        <w:jc w:val="both"/>
      </w:pPr>
      <w:r>
        <w:rPr>
          <w:rFonts w:ascii="Times New Roman" w:eastAsia="Times New Roman" w:hAnsi="Times New Roman" w:cs="Times New Roman"/>
          <w:b/>
        </w:rPr>
        <w:t xml:space="preserve">Disposición Final Única. - </w:t>
      </w:r>
      <w:r>
        <w:rPr>
          <w:rFonts w:ascii="Times New Roman" w:eastAsia="Times New Roman" w:hAnsi="Times New Roman" w:cs="Times New Roman"/>
        </w:rPr>
        <w:t xml:space="preserve">Esta Ordenanza entrará en vigencia, a partir de su sanción, sin perjuicio de su publicación en la Gaceta Oficial, y la página web institucional. </w:t>
      </w:r>
    </w:p>
    <w:p w:rsidR="00BC21CC" w:rsidRDefault="00BC21CC" w:rsidP="00BC21CC">
      <w:pPr>
        <w:spacing w:after="231" w:line="244" w:lineRule="auto"/>
        <w:ind w:left="696" w:hanging="706"/>
        <w:jc w:val="both"/>
      </w:pPr>
      <w:r>
        <w:rPr>
          <w:rFonts w:ascii="Times New Roman" w:eastAsia="Times New Roman" w:hAnsi="Times New Roman" w:cs="Times New Roman"/>
          <w:b/>
          <w:i/>
        </w:rPr>
        <w:t xml:space="preserve"> </w:t>
      </w:r>
    </w:p>
    <w:p w:rsidR="00BC21CC" w:rsidRDefault="00BC21CC" w:rsidP="00BC21CC">
      <w:pPr>
        <w:spacing w:after="0"/>
      </w:pPr>
      <w:r>
        <w:rPr>
          <w:rFonts w:ascii="Times New Roman" w:eastAsia="Times New Roman" w:hAnsi="Times New Roman" w:cs="Times New Roman"/>
        </w:rPr>
        <w:t xml:space="preserve">  </w:t>
      </w:r>
    </w:p>
    <w:p w:rsidR="00516543" w:rsidRDefault="003C67DC"/>
    <w:p w:rsidR="00FA4CA0" w:rsidRDefault="00FA4CA0"/>
    <w:p w:rsidR="00FA4CA0" w:rsidRDefault="00FA4CA0"/>
    <w:p w:rsidR="00FA4CA0" w:rsidRDefault="00FA4CA0"/>
    <w:p w:rsidR="00FA4CA0" w:rsidRDefault="00FA4CA0"/>
    <w:p w:rsidR="00FA4CA0" w:rsidRDefault="00FA4CA0"/>
    <w:p w:rsidR="00FA4CA0" w:rsidRDefault="00FA4CA0"/>
    <w:p w:rsidR="00FA4CA0" w:rsidRDefault="00FA4CA0"/>
    <w:p w:rsidR="00FA4CA0" w:rsidRDefault="00FA4CA0"/>
    <w:p w:rsidR="00FA4CA0" w:rsidRDefault="00FA4CA0"/>
    <w:p w:rsidR="00FA4CA0" w:rsidRDefault="00FA4CA0"/>
    <w:p w:rsidR="00FA4CA0" w:rsidRDefault="00FA4CA0"/>
    <w:p w:rsidR="00FA4CA0" w:rsidRDefault="00FA4CA0"/>
    <w:p w:rsidR="00FA4CA0" w:rsidRDefault="00FA4CA0"/>
    <w:p w:rsidR="00FA4CA0" w:rsidRDefault="00FA4CA0"/>
    <w:p w:rsidR="00FA4CA0" w:rsidRDefault="00FA4CA0"/>
    <w:p w:rsidR="00FA4CA0" w:rsidRDefault="00FA4CA0"/>
    <w:p w:rsidR="00FA4CA0" w:rsidRDefault="00FA4CA0"/>
    <w:p w:rsidR="00FA4CA0" w:rsidRDefault="00FA4CA0"/>
    <w:p w:rsidR="00FA4CA0" w:rsidRDefault="00FA4CA0"/>
    <w:p w:rsidR="00FA4CA0" w:rsidRDefault="00FA4CA0"/>
    <w:p w:rsidR="00FA4CA0" w:rsidRPr="00311FC8" w:rsidRDefault="00FA4CA0">
      <w:pPr>
        <w:rPr>
          <w:b/>
        </w:rPr>
      </w:pPr>
      <w:bookmarkStart w:id="0" w:name="_GoBack"/>
      <w:bookmarkEnd w:id="0"/>
    </w:p>
    <w:p w:rsidR="003C67DC" w:rsidRDefault="00311FC8" w:rsidP="00FA4CA0">
      <w:pPr>
        <w:jc w:val="both"/>
        <w:rPr>
          <w:b/>
        </w:rPr>
      </w:pPr>
      <w:r w:rsidRPr="00311FC8">
        <w:rPr>
          <w:b/>
        </w:rPr>
        <w:lastRenderedPageBreak/>
        <w:t xml:space="preserve">MOCIÓN ÚNICA: </w:t>
      </w:r>
    </w:p>
    <w:p w:rsidR="003C67DC" w:rsidRDefault="003C67DC" w:rsidP="00FA4CA0">
      <w:pPr>
        <w:jc w:val="both"/>
        <w:rPr>
          <w:b/>
        </w:rPr>
      </w:pPr>
      <w:r>
        <w:rPr>
          <w:b/>
        </w:rPr>
        <w:t xml:space="preserve">1.- </w:t>
      </w:r>
      <w:r w:rsidRPr="003C67DC">
        <w:t xml:space="preserve">Aprobar </w:t>
      </w:r>
      <w:r>
        <w:t xml:space="preserve">el texto unificado titulado </w:t>
      </w:r>
      <w:r w:rsidRPr="00311FC8">
        <w:rPr>
          <w:i/>
        </w:rPr>
        <w:t xml:space="preserve">“Ordenanza </w:t>
      </w:r>
      <w:r>
        <w:rPr>
          <w:i/>
        </w:rPr>
        <w:t xml:space="preserve">Metropolitana que sustituye el </w:t>
      </w:r>
      <w:r w:rsidRPr="00311FC8">
        <w:rPr>
          <w:i/>
        </w:rPr>
        <w:t>Título II “DE LA PENSIÓN MENSUAL DE JUBILACIÓN PATRONAL DEL MUNICIPIO DEL DISTRITO METROPOLITANO DE QUITO” DEL LIBRO I.2 DEL CÓDIGO MUNICIPAL PARA EL DISTRITO METROPOLITANO DE QUITO”</w:t>
      </w:r>
      <w:r>
        <w:t>.</w:t>
      </w:r>
    </w:p>
    <w:p w:rsidR="00311FC8" w:rsidRDefault="003C67DC" w:rsidP="00FA4CA0">
      <w:pPr>
        <w:jc w:val="both"/>
      </w:pPr>
      <w:r w:rsidRPr="003C67DC">
        <w:rPr>
          <w:b/>
        </w:rPr>
        <w:t xml:space="preserve">2.- </w:t>
      </w:r>
      <w:r w:rsidR="000679D3" w:rsidRPr="000679D3">
        <w:t xml:space="preserve">Con el fin de sustentar el </w:t>
      </w:r>
      <w:r>
        <w:t xml:space="preserve">nuevo </w:t>
      </w:r>
      <w:r w:rsidR="000679D3" w:rsidRPr="000679D3">
        <w:t xml:space="preserve">texto del </w:t>
      </w:r>
      <w:r w:rsidR="00311FC8">
        <w:t>p</w:t>
      </w:r>
      <w:r w:rsidR="000679D3" w:rsidRPr="000679D3">
        <w:t xml:space="preserve">royecto de </w:t>
      </w:r>
      <w:r w:rsidR="00311FC8" w:rsidRPr="00311FC8">
        <w:rPr>
          <w:i/>
        </w:rPr>
        <w:t>“</w:t>
      </w:r>
      <w:r w:rsidR="000679D3" w:rsidRPr="00311FC8">
        <w:rPr>
          <w:i/>
        </w:rPr>
        <w:t xml:space="preserve">Ordenanza </w:t>
      </w:r>
      <w:r w:rsidR="00311FC8">
        <w:rPr>
          <w:i/>
        </w:rPr>
        <w:t xml:space="preserve">Metropolitana que sustituye el </w:t>
      </w:r>
      <w:r w:rsidR="000679D3" w:rsidRPr="00311FC8">
        <w:rPr>
          <w:i/>
        </w:rPr>
        <w:t>Título II “DE LA PENSIÓN MENSUAL DE JUBILACIÓN PATRONAL DEL MUNICIPIO DEL DISTRITO METROPOLITANO DE QUITO” DEL LIBRO I.2 DEL CÓDIGO MUNICIPAL PARA EL DISTRITO METROPOLITANO DE QUITO”</w:t>
      </w:r>
      <w:r w:rsidR="000679D3" w:rsidRPr="000679D3">
        <w:t>, se requiere que</w:t>
      </w:r>
      <w:r w:rsidR="00311FC8">
        <w:t>,</w:t>
      </w:r>
      <w:r w:rsidR="000679D3" w:rsidRPr="000679D3">
        <w:t xml:space="preserve"> en el término de </w:t>
      </w:r>
      <w:r w:rsidR="00311FC8">
        <w:t>5</w:t>
      </w:r>
      <w:r w:rsidR="000679D3" w:rsidRPr="000679D3">
        <w:t xml:space="preserve"> días, </w:t>
      </w:r>
      <w:r w:rsidR="00311FC8">
        <w:t>se presente en el ámbito de sus competencias</w:t>
      </w:r>
      <w:r>
        <w:t>,</w:t>
      </w:r>
      <w:r w:rsidR="00311FC8">
        <w:t xml:space="preserve"> los siguientes informes técnicos y/o jurídicos:</w:t>
      </w:r>
    </w:p>
    <w:p w:rsidR="00311FC8" w:rsidRDefault="003C67DC" w:rsidP="00311FC8">
      <w:pPr>
        <w:jc w:val="both"/>
      </w:pPr>
      <w:r w:rsidRPr="003C67DC">
        <w:rPr>
          <w:b/>
        </w:rPr>
        <w:t>2.</w:t>
      </w:r>
      <w:r w:rsidR="00311FC8" w:rsidRPr="003C67DC">
        <w:rPr>
          <w:b/>
        </w:rPr>
        <w:t>1.-</w:t>
      </w:r>
      <w:r w:rsidR="00311FC8">
        <w:t xml:space="preserve"> La Administración General, por medio de </w:t>
      </w:r>
      <w:r w:rsidR="000679D3" w:rsidRPr="000679D3">
        <w:t>la Dir</w:t>
      </w:r>
      <w:r w:rsidR="00311FC8">
        <w:t>ección Metropolitana Financiera y la</w:t>
      </w:r>
      <w:r w:rsidR="000679D3" w:rsidRPr="000679D3">
        <w:t xml:space="preserve"> Dirección Metropolitana de Talento Humano</w:t>
      </w:r>
      <w:r w:rsidR="00311FC8" w:rsidRPr="000679D3">
        <w:t xml:space="preserve">, presenten </w:t>
      </w:r>
      <w:r w:rsidR="00311FC8">
        <w:t xml:space="preserve">un </w:t>
      </w:r>
      <w:r w:rsidR="00311FC8" w:rsidRPr="000679D3">
        <w:t>informe</w:t>
      </w:r>
      <w:r w:rsidR="00311FC8">
        <w:t xml:space="preserve"> técnico y jurídico respecto del texto unificado propuesto, en donde se especifique también </w:t>
      </w:r>
      <w:r w:rsidR="00311FC8" w:rsidRPr="000679D3">
        <w:t>la fuente de financiamiento para</w:t>
      </w:r>
      <w:r w:rsidR="00311FC8">
        <w:t xml:space="preserve"> solventar los compromisos que se pudieren derivar de la misma; y,</w:t>
      </w:r>
    </w:p>
    <w:p w:rsidR="00311FC8" w:rsidRDefault="00311FC8" w:rsidP="00FA4CA0">
      <w:pPr>
        <w:jc w:val="both"/>
      </w:pPr>
      <w:r>
        <w:t xml:space="preserve"> </w:t>
      </w:r>
      <w:r w:rsidR="003C67DC" w:rsidRPr="003C67DC">
        <w:rPr>
          <w:b/>
        </w:rPr>
        <w:t>2.</w:t>
      </w:r>
      <w:r w:rsidRPr="003C67DC">
        <w:rPr>
          <w:b/>
        </w:rPr>
        <w:t>2.-</w:t>
      </w:r>
      <w:r>
        <w:t xml:space="preserve"> La Procuraduría Metropolitana emita un Informe Jurídico del texto unificado propuesto.</w:t>
      </w:r>
    </w:p>
    <w:p w:rsidR="00311FC8" w:rsidRDefault="00311FC8" w:rsidP="00FA4CA0">
      <w:pPr>
        <w:jc w:val="both"/>
      </w:pPr>
    </w:p>
    <w:p w:rsidR="00311FC8" w:rsidRDefault="00311FC8" w:rsidP="00FA4CA0">
      <w:pPr>
        <w:jc w:val="both"/>
      </w:pPr>
      <w:r>
        <w:t xml:space="preserve"> </w:t>
      </w:r>
    </w:p>
    <w:sectPr w:rsidR="00311FC8">
      <w:pgSz w:w="11906" w:h="16838"/>
      <w:pgMar w:top="1442" w:right="1425" w:bottom="1592" w:left="143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1CC"/>
    <w:rsid w:val="000679D3"/>
    <w:rsid w:val="00145A24"/>
    <w:rsid w:val="00193668"/>
    <w:rsid w:val="00311FC8"/>
    <w:rsid w:val="00323ED6"/>
    <w:rsid w:val="003A751D"/>
    <w:rsid w:val="003C67DC"/>
    <w:rsid w:val="004A3FC4"/>
    <w:rsid w:val="004C765E"/>
    <w:rsid w:val="005E3BB5"/>
    <w:rsid w:val="00882A19"/>
    <w:rsid w:val="00B27FF8"/>
    <w:rsid w:val="00B42864"/>
    <w:rsid w:val="00B503B4"/>
    <w:rsid w:val="00BC21CC"/>
    <w:rsid w:val="00F11C7C"/>
    <w:rsid w:val="00F13B16"/>
    <w:rsid w:val="00FA4CA0"/>
    <w:rsid w:val="00FF737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3E6EA"/>
  <w15:chartTrackingRefBased/>
  <w15:docId w15:val="{EECB12CB-00BC-48B9-A312-71DFA25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1CC"/>
    <w:rPr>
      <w:rFonts w:ascii="Calibri" w:eastAsia="Calibri" w:hAnsi="Calibri" w:cs="Calibri"/>
      <w:color w:val="000000"/>
      <w:lang w:eastAsia="es-EC"/>
    </w:rPr>
  </w:style>
  <w:style w:type="paragraph" w:styleId="Ttulo1">
    <w:name w:val="heading 1"/>
    <w:next w:val="Normal"/>
    <w:link w:val="Ttulo1Car"/>
    <w:uiPriority w:val="9"/>
    <w:unhideWhenUsed/>
    <w:qFormat/>
    <w:rsid w:val="004A3FC4"/>
    <w:pPr>
      <w:keepNext/>
      <w:keepLines/>
      <w:spacing w:after="2"/>
      <w:ind w:left="10" w:right="2" w:hanging="10"/>
      <w:jc w:val="center"/>
      <w:outlineLvl w:val="0"/>
    </w:pPr>
    <w:rPr>
      <w:rFonts w:ascii="Palatino Linotype" w:eastAsia="Palatino Linotype" w:hAnsi="Palatino Linotype" w:cs="Palatino Linotype"/>
      <w:b/>
      <w:color w:val="000000"/>
      <w:lang w:eastAsia="es-EC"/>
    </w:rPr>
  </w:style>
  <w:style w:type="paragraph" w:styleId="Ttulo6">
    <w:name w:val="heading 6"/>
    <w:basedOn w:val="Normal"/>
    <w:next w:val="Normal"/>
    <w:link w:val="Ttulo6Car"/>
    <w:uiPriority w:val="9"/>
    <w:semiHidden/>
    <w:unhideWhenUsed/>
    <w:qFormat/>
    <w:rsid w:val="004A3FC4"/>
    <w:pPr>
      <w:keepNext/>
      <w:keepLines/>
      <w:spacing w:before="40" w:after="0" w:line="240" w:lineRule="auto"/>
      <w:jc w:val="both"/>
      <w:outlineLvl w:val="5"/>
    </w:pPr>
    <w:rPr>
      <w:rFonts w:asciiTheme="majorHAnsi" w:eastAsiaTheme="majorEastAsia" w:hAnsiTheme="majorHAnsi" w:cstheme="majorBidi"/>
      <w:color w:val="1F4D78" w:themeColor="accent1" w:themeShade="7F"/>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A3FC4"/>
    <w:rPr>
      <w:rFonts w:ascii="Palatino Linotype" w:eastAsia="Palatino Linotype" w:hAnsi="Palatino Linotype" w:cs="Palatino Linotype"/>
      <w:b/>
      <w:color w:val="000000"/>
      <w:lang w:eastAsia="es-EC"/>
    </w:rPr>
  </w:style>
  <w:style w:type="character" w:customStyle="1" w:styleId="Ttulo6Car">
    <w:name w:val="Título 6 Car"/>
    <w:basedOn w:val="Fuentedeprrafopredeter"/>
    <w:link w:val="Ttulo6"/>
    <w:uiPriority w:val="9"/>
    <w:semiHidden/>
    <w:rsid w:val="004A3FC4"/>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6</Pages>
  <Words>2399</Words>
  <Characters>13199</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Samuel Byun Olivo</dc:creator>
  <cp:keywords/>
  <dc:description/>
  <cp:lastModifiedBy>Jonathan Danilo De la Cruz Jacome</cp:lastModifiedBy>
  <cp:revision>5</cp:revision>
  <dcterms:created xsi:type="dcterms:W3CDTF">2024-04-23T17:33:00Z</dcterms:created>
  <dcterms:modified xsi:type="dcterms:W3CDTF">2024-04-24T13:51:00Z</dcterms:modified>
</cp:coreProperties>
</file>