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54" w:rsidRPr="005803D9" w:rsidRDefault="00F86F54" w:rsidP="00F86F54">
      <w:pPr>
        <w:autoSpaceDE w:val="0"/>
        <w:autoSpaceDN w:val="0"/>
        <w:adjustRightInd w:val="0"/>
        <w:spacing w:after="0" w:line="240" w:lineRule="auto"/>
        <w:jc w:val="center"/>
        <w:rPr>
          <w:rFonts w:ascii="Palatino Linotype" w:hAnsi="Palatino Linotype" w:cs="Times New Roman"/>
          <w:b/>
        </w:rPr>
      </w:pPr>
      <w:r w:rsidRPr="005803D9">
        <w:rPr>
          <w:rFonts w:ascii="Palatino Linotype" w:hAnsi="Palatino Linotype" w:cs="Times New Roman"/>
          <w:b/>
        </w:rPr>
        <w:t>EL CONCEJO METROPOLITANO DE QUITO</w:t>
      </w:r>
    </w:p>
    <w:p w:rsidR="00430736" w:rsidRPr="005803D9" w:rsidRDefault="00430736" w:rsidP="00BC4B45">
      <w:pPr>
        <w:jc w:val="both"/>
        <w:rPr>
          <w:rFonts w:ascii="Palatino Linotype" w:hAnsi="Palatino Linotype" w:cs="Times New Roman"/>
        </w:rPr>
      </w:pPr>
    </w:p>
    <w:p w:rsidR="00430736" w:rsidRPr="005803D9" w:rsidRDefault="00430736" w:rsidP="00430736">
      <w:pPr>
        <w:tabs>
          <w:tab w:val="left" w:pos="1560"/>
        </w:tabs>
        <w:spacing w:line="276" w:lineRule="auto"/>
        <w:ind w:left="705" w:hanging="705"/>
        <w:jc w:val="center"/>
        <w:rPr>
          <w:rFonts w:ascii="Palatino Linotype" w:hAnsi="Palatino Linotype"/>
          <w:b/>
        </w:rPr>
      </w:pPr>
      <w:r w:rsidRPr="005803D9">
        <w:rPr>
          <w:rFonts w:ascii="Palatino Linotype" w:hAnsi="Palatino Linotype"/>
          <w:b/>
        </w:rPr>
        <w:t>EXPOSICIÓN DE MOTIVOS</w:t>
      </w:r>
    </w:p>
    <w:p w:rsidR="00430736" w:rsidRPr="005803D9" w:rsidRDefault="00430736" w:rsidP="00430736">
      <w:pPr>
        <w:spacing w:after="0" w:line="240" w:lineRule="auto"/>
        <w:jc w:val="both"/>
        <w:rPr>
          <w:rFonts w:ascii="Palatino Linotype" w:hAnsi="Palatino Linotype" w:cs="Times New Roman"/>
        </w:rPr>
      </w:pPr>
      <w:r w:rsidRPr="005803D9">
        <w:rPr>
          <w:rFonts w:ascii="Palatino Linotype" w:hAnsi="Palatino Linotype" w:cs="Times New Roman"/>
        </w:rPr>
        <w:t>El Municipio del Distrito Metropolitano de Quito, mediante Ordenanza 406 del 14 de junio de 2013, expidió la ORDENANZA METROPOLITANA REFORMATORIA DE LA ORDENANZA No. 302, SANCIONADA EL 4 DE SEPTIEMBRE DE 2009, QUE ESTABLECE EL RÉGIMEN COMÚN PARA LA ORGANIZACIÓN Y FUNCIONAMIENTO DE LAS EMPRESA PÚBLICAS, y que de forma general se basó en el mecanismo municipal para conocer y resolver las alianzas y procesos asociativos de las Empresas Públicas.</w:t>
      </w:r>
    </w:p>
    <w:p w:rsidR="00430736" w:rsidRPr="005803D9" w:rsidRDefault="00430736" w:rsidP="00430736">
      <w:pPr>
        <w:spacing w:after="0" w:line="240" w:lineRule="auto"/>
        <w:jc w:val="both"/>
        <w:rPr>
          <w:rFonts w:ascii="Palatino Linotype" w:hAnsi="Palatino Linotype" w:cs="Times New Roman"/>
        </w:rPr>
      </w:pPr>
    </w:p>
    <w:p w:rsidR="00430736" w:rsidRPr="005803D9" w:rsidRDefault="00430736" w:rsidP="00430736">
      <w:pPr>
        <w:spacing w:after="0" w:line="240" w:lineRule="auto"/>
        <w:jc w:val="both"/>
        <w:rPr>
          <w:rFonts w:ascii="Palatino Linotype" w:hAnsi="Palatino Linotype" w:cs="Times New Roman"/>
        </w:rPr>
      </w:pPr>
      <w:r w:rsidRPr="005803D9">
        <w:rPr>
          <w:rFonts w:ascii="Palatino Linotype" w:hAnsi="Palatino Linotype" w:cs="Times New Roman"/>
        </w:rPr>
        <w:t xml:space="preserve">Esta ordenanza sustancial para el desarrollo de la ciudad, no ha generado los beneficios esperados, entre otras consideraciones porque en el año 2015 se emite la Ley Orgánica de APP y en el 2017 el Código Orgánico Administrativo, que genera una serie de confusiones; y, adicionalmente, el procedimiento establecido no ha demostrado disponer de la eficiencia que le permite la Ley Orgánica de Empresas Públicas.  Como ejemplo de lo expuesto, cada Empresa Pública ha emitido Procedimientos Internos para Alianzas Estratégicas con serias inconsistencias y como consecuencia, han pasado 12 años </w:t>
      </w:r>
      <w:r w:rsidR="00BC5DD2" w:rsidRPr="005803D9">
        <w:rPr>
          <w:rFonts w:ascii="Palatino Linotype" w:hAnsi="Palatino Linotype" w:cs="Times New Roman"/>
        </w:rPr>
        <w:t>desde</w:t>
      </w:r>
      <w:r w:rsidRPr="005803D9">
        <w:rPr>
          <w:rFonts w:ascii="Palatino Linotype" w:hAnsi="Palatino Linotype" w:cs="Times New Roman"/>
        </w:rPr>
        <w:t xml:space="preserve"> la emisión de la Ley de Empresas Públicas, y 7 de la Ley APP, sin haber concretado oportunidades de empleo y desarrollo.</w:t>
      </w:r>
    </w:p>
    <w:p w:rsidR="00430736" w:rsidRPr="005803D9" w:rsidRDefault="00430736" w:rsidP="00430736">
      <w:pPr>
        <w:spacing w:after="0" w:line="240" w:lineRule="auto"/>
        <w:jc w:val="both"/>
        <w:rPr>
          <w:rFonts w:ascii="Palatino Linotype" w:hAnsi="Palatino Linotype" w:cs="Times New Roman"/>
        </w:rPr>
      </w:pPr>
    </w:p>
    <w:p w:rsidR="00430736" w:rsidRPr="005803D9" w:rsidRDefault="00430736" w:rsidP="00430736">
      <w:pPr>
        <w:spacing w:after="0" w:line="240" w:lineRule="auto"/>
        <w:jc w:val="both"/>
        <w:rPr>
          <w:rFonts w:ascii="Palatino Linotype" w:hAnsi="Palatino Linotype" w:cs="Times New Roman"/>
        </w:rPr>
      </w:pPr>
      <w:r w:rsidRPr="005803D9">
        <w:rPr>
          <w:rFonts w:ascii="Palatino Linotype" w:hAnsi="Palatino Linotype" w:cs="Times New Roman"/>
        </w:rPr>
        <w:t>Esto ha provocado que autoridades de las empresas públicas, no puedan emplear de manera amplia las facilidades y opciones que les permite el marco legal, cayendo en el círculo vicioso de buscar recursos para la ejecución por forma tradicional, es decir, sobre la base de lo que pueda disponer en caja del presupuesto general, y no sobre lo que pueda generar nuevos ingresos e inversiones, por lo que todo el riesgo recae en la Entidad Pública.</w:t>
      </w:r>
    </w:p>
    <w:p w:rsidR="00430736" w:rsidRPr="005803D9" w:rsidRDefault="00430736" w:rsidP="00430736">
      <w:pPr>
        <w:spacing w:after="0" w:line="240" w:lineRule="auto"/>
        <w:jc w:val="both"/>
        <w:rPr>
          <w:rFonts w:ascii="Palatino Linotype" w:hAnsi="Palatino Linotype" w:cs="Times New Roman"/>
        </w:rPr>
      </w:pPr>
    </w:p>
    <w:p w:rsidR="00430736" w:rsidRPr="005803D9" w:rsidRDefault="00F86F54" w:rsidP="00430736">
      <w:pPr>
        <w:spacing w:after="0" w:line="240" w:lineRule="auto"/>
        <w:jc w:val="both"/>
        <w:rPr>
          <w:rFonts w:ascii="Palatino Linotype" w:hAnsi="Palatino Linotype" w:cs="Times New Roman"/>
        </w:rPr>
      </w:pPr>
      <w:r w:rsidRPr="005803D9">
        <w:rPr>
          <w:rFonts w:ascii="Palatino Linotype" w:hAnsi="Palatino Linotype" w:cs="Times New Roman"/>
        </w:rPr>
        <w:t xml:space="preserve">Es </w:t>
      </w:r>
      <w:r w:rsidR="00430736" w:rsidRPr="005803D9">
        <w:rPr>
          <w:rFonts w:ascii="Palatino Linotype" w:hAnsi="Palatino Linotype" w:cs="Times New Roman"/>
        </w:rPr>
        <w:t xml:space="preserve">oportuno </w:t>
      </w:r>
      <w:r w:rsidR="00013012" w:rsidRPr="005803D9">
        <w:rPr>
          <w:rFonts w:ascii="Palatino Linotype" w:hAnsi="Palatino Linotype" w:cs="Times New Roman"/>
        </w:rPr>
        <w:t>que,</w:t>
      </w:r>
      <w:r w:rsidR="00430736" w:rsidRPr="005803D9">
        <w:rPr>
          <w:rFonts w:ascii="Palatino Linotype" w:hAnsi="Palatino Linotype" w:cs="Times New Roman"/>
        </w:rPr>
        <w:t xml:space="preserve"> en el período restante del mandato entregado por el pueblo quiteño, </w:t>
      </w:r>
      <w:r w:rsidR="002E1357" w:rsidRPr="005803D9">
        <w:rPr>
          <w:rFonts w:ascii="Palatino Linotype" w:hAnsi="Palatino Linotype" w:cs="Times New Roman"/>
        </w:rPr>
        <w:t xml:space="preserve">y que </w:t>
      </w:r>
      <w:r w:rsidR="00430736" w:rsidRPr="005803D9">
        <w:rPr>
          <w:rFonts w:ascii="Palatino Linotype" w:hAnsi="Palatino Linotype" w:cs="Times New Roman"/>
        </w:rPr>
        <w:t>se dispone del tiempo suficiente para lograr hasta mayo de 202</w:t>
      </w:r>
      <w:r w:rsidRPr="005803D9">
        <w:rPr>
          <w:rFonts w:ascii="Palatino Linotype" w:hAnsi="Palatino Linotype" w:cs="Times New Roman"/>
        </w:rPr>
        <w:t>3</w:t>
      </w:r>
      <w:r w:rsidR="00430736" w:rsidRPr="005803D9">
        <w:rPr>
          <w:rFonts w:ascii="Palatino Linotype" w:hAnsi="Palatino Linotype" w:cs="Times New Roman"/>
        </w:rPr>
        <w:t>, dejar establecida una ordenanza, que permitirá iniciar de manera firme el siguiente período del Municipio del Distrito Metropolitano que, sin duda, estará dirigido por personas que conocen a la ciudad a plenitud, y que ya han demostrado probidad y decisión.</w:t>
      </w:r>
    </w:p>
    <w:p w:rsidR="00430736" w:rsidRPr="005803D9" w:rsidRDefault="00430736" w:rsidP="00430736">
      <w:pPr>
        <w:spacing w:after="0" w:line="240" w:lineRule="auto"/>
        <w:jc w:val="both"/>
        <w:rPr>
          <w:rFonts w:ascii="Palatino Linotype" w:hAnsi="Palatino Linotype" w:cs="Times New Roman"/>
        </w:rPr>
      </w:pPr>
    </w:p>
    <w:p w:rsidR="00430736" w:rsidRPr="005803D9" w:rsidRDefault="00430736" w:rsidP="00430736">
      <w:pPr>
        <w:spacing w:after="0" w:line="240" w:lineRule="auto"/>
        <w:jc w:val="both"/>
        <w:rPr>
          <w:rFonts w:ascii="Palatino Linotype" w:hAnsi="Palatino Linotype" w:cs="Times New Roman"/>
        </w:rPr>
      </w:pPr>
      <w:r w:rsidRPr="005803D9">
        <w:rPr>
          <w:rFonts w:ascii="Palatino Linotype" w:hAnsi="Palatino Linotype" w:cs="Times New Roman"/>
        </w:rPr>
        <w:t>Evidentemente esta ordenanza debe traer beneficios para la ciudad, a lo cual debemos indicar, que los análisis realizados de costos</w:t>
      </w:r>
      <w:r w:rsidR="002E1357" w:rsidRPr="005803D9">
        <w:rPr>
          <w:rFonts w:ascii="Palatino Linotype" w:hAnsi="Palatino Linotype" w:cs="Times New Roman"/>
        </w:rPr>
        <w:t xml:space="preserve"> por parte de la Cámara de la Industria de la Construcción</w:t>
      </w:r>
      <w:r w:rsidRPr="005803D9">
        <w:rPr>
          <w:rFonts w:ascii="Palatino Linotype" w:hAnsi="Palatino Linotype" w:cs="Times New Roman"/>
        </w:rPr>
        <w:t xml:space="preserve">, </w:t>
      </w:r>
      <w:r w:rsidR="002E1357" w:rsidRPr="005803D9">
        <w:rPr>
          <w:rFonts w:ascii="Palatino Linotype" w:hAnsi="Palatino Linotype" w:cs="Times New Roman"/>
        </w:rPr>
        <w:t xml:space="preserve">indican que </w:t>
      </w:r>
      <w:r w:rsidRPr="005803D9">
        <w:rPr>
          <w:rFonts w:ascii="Palatino Linotype" w:hAnsi="Palatino Linotype" w:cs="Times New Roman"/>
        </w:rPr>
        <w:t>por cada USD 3000 mensuales de inversión en obra pública, se genera 1 puesto de trabajo</w:t>
      </w:r>
      <w:r w:rsidR="00B4068D" w:rsidRPr="005803D9">
        <w:rPr>
          <w:rFonts w:ascii="Palatino Linotype" w:hAnsi="Palatino Linotype" w:cs="Times New Roman"/>
        </w:rPr>
        <w:t xml:space="preserve"> directo</w:t>
      </w:r>
      <w:r w:rsidR="00875683" w:rsidRPr="005803D9">
        <w:rPr>
          <w:rFonts w:ascii="Palatino Linotype" w:hAnsi="Palatino Linotype" w:cs="Times New Roman"/>
        </w:rPr>
        <w:t xml:space="preserve"> y aproximadamente 3 indirectos</w:t>
      </w:r>
      <w:r w:rsidRPr="005803D9">
        <w:rPr>
          <w:rFonts w:ascii="Palatino Linotype" w:hAnsi="Palatino Linotype" w:cs="Times New Roman"/>
        </w:rPr>
        <w:t xml:space="preserve">; en consecuencia, si esta variación a la ordenanza genera USD 1000 millones de inversión en los próximos 4 años, entre mecanismos de delegación y de </w:t>
      </w:r>
      <w:proofErr w:type="spellStart"/>
      <w:r w:rsidRPr="005803D9">
        <w:rPr>
          <w:rFonts w:ascii="Palatino Linotype" w:hAnsi="Palatino Linotype" w:cs="Times New Roman"/>
        </w:rPr>
        <w:t>asociatividad</w:t>
      </w:r>
      <w:proofErr w:type="spellEnd"/>
      <w:r w:rsidRPr="005803D9">
        <w:rPr>
          <w:rFonts w:ascii="Palatino Linotype" w:hAnsi="Palatino Linotype" w:cs="Times New Roman"/>
        </w:rPr>
        <w:t xml:space="preserve"> estratégica, implicará la </w:t>
      </w:r>
      <w:r w:rsidRPr="005803D9">
        <w:rPr>
          <w:rFonts w:ascii="Palatino Linotype" w:hAnsi="Palatino Linotype" w:cs="Times New Roman"/>
        </w:rPr>
        <w:lastRenderedPageBreak/>
        <w:t xml:space="preserve">creación de aproximadamente 15.000 puestos anuales de trabajo, a más de los beneficios inherentes a las propias obras y servicios, valor sin precedentes para períodos tan deteriorados económica y socialmente hablando.  Solo como referencia, para que la ciudad vuelva a recuperar su calidad de circulación vehicular, en todos los medios, se requieren aproximadamente USD </w:t>
      </w:r>
      <w:r w:rsidR="00C27EE3" w:rsidRPr="005803D9">
        <w:rPr>
          <w:rFonts w:ascii="Palatino Linotype" w:hAnsi="Palatino Linotype" w:cs="Times New Roman"/>
        </w:rPr>
        <w:t xml:space="preserve">5200 </w:t>
      </w:r>
      <w:r w:rsidRPr="005803D9">
        <w:rPr>
          <w:rFonts w:ascii="Palatino Linotype" w:hAnsi="Palatino Linotype" w:cs="Times New Roman"/>
        </w:rPr>
        <w:t>millones</w:t>
      </w:r>
      <w:r w:rsidR="00A56E9C" w:rsidRPr="005803D9">
        <w:rPr>
          <w:rFonts w:ascii="Palatino Linotype" w:hAnsi="Palatino Linotype" w:cs="Times New Roman"/>
        </w:rPr>
        <w:t>. Según evaluaciones de la CAMICOM</w:t>
      </w:r>
      <w:r w:rsidRPr="005803D9">
        <w:rPr>
          <w:rFonts w:ascii="Palatino Linotype" w:hAnsi="Palatino Linotype" w:cs="Times New Roman"/>
        </w:rPr>
        <w:t xml:space="preserve">. Definitivamente los números expuestos traen consigo beneficios económicos y sociales de gran </w:t>
      </w:r>
      <w:r w:rsidR="000E4F4A" w:rsidRPr="005803D9">
        <w:rPr>
          <w:rFonts w:ascii="Palatino Linotype" w:hAnsi="Palatino Linotype" w:cs="Times New Roman"/>
        </w:rPr>
        <w:t>estimulación</w:t>
      </w:r>
      <w:r w:rsidRPr="005803D9">
        <w:rPr>
          <w:rFonts w:ascii="Palatino Linotype" w:hAnsi="Palatino Linotype" w:cs="Times New Roman"/>
        </w:rPr>
        <w:t xml:space="preserve"> para una motivadora y atractiva gestión administrativa y política competente.</w:t>
      </w:r>
    </w:p>
    <w:p w:rsidR="00430736" w:rsidRPr="005803D9" w:rsidRDefault="00430736" w:rsidP="00430736">
      <w:pPr>
        <w:spacing w:after="0" w:line="240" w:lineRule="auto"/>
        <w:jc w:val="both"/>
        <w:rPr>
          <w:rFonts w:ascii="Palatino Linotype" w:hAnsi="Palatino Linotype" w:cs="Times New Roman"/>
        </w:rPr>
      </w:pPr>
    </w:p>
    <w:p w:rsidR="00430736" w:rsidRPr="005803D9" w:rsidRDefault="00430736" w:rsidP="00430736">
      <w:pPr>
        <w:spacing w:after="0" w:line="240" w:lineRule="auto"/>
        <w:jc w:val="both"/>
        <w:rPr>
          <w:rFonts w:ascii="Palatino Linotype" w:hAnsi="Palatino Linotype" w:cs="Times New Roman"/>
        </w:rPr>
      </w:pPr>
      <w:r w:rsidRPr="005803D9">
        <w:rPr>
          <w:rFonts w:ascii="Palatino Linotype" w:hAnsi="Palatino Linotype" w:cs="Times New Roman"/>
        </w:rPr>
        <w:t>¿Cuántos proyectos están en cartera? Solo enlistamos unos pocos:</w:t>
      </w:r>
    </w:p>
    <w:p w:rsidR="00430736" w:rsidRPr="005803D9" w:rsidRDefault="00430736" w:rsidP="00430736">
      <w:pPr>
        <w:spacing w:after="0" w:line="240" w:lineRule="auto"/>
        <w:jc w:val="both"/>
        <w:rPr>
          <w:rFonts w:ascii="Palatino Linotype" w:hAnsi="Palatino Linotype" w:cs="Times New Roman"/>
        </w:rPr>
      </w:pP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 xml:space="preserve">Sistema de tratamiento de aguas servidas </w:t>
      </w:r>
      <w:proofErr w:type="spellStart"/>
      <w:r w:rsidRPr="005803D9">
        <w:rPr>
          <w:rFonts w:ascii="Palatino Linotype" w:hAnsi="Palatino Linotype" w:cs="Times New Roman"/>
        </w:rPr>
        <w:t>Vindobona</w:t>
      </w:r>
      <w:proofErr w:type="spellEnd"/>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Vía Perimetral Oriental</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Sistema de teleféricos de la ciudad</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Plan de Gestión de los Activos Viales Metropolitanos que incluyen: mantenimiento rutinario, mantenimiento periódico, mantenimiento de emergencias, repavimentación, rehabilitación, mejoramiento de la red vial urbana, repavimentación de la ciudad (Inventario vial del DMQ: Red vial urbana = 4.148,00 km; Red vial rural = 4.300,00 km), señalización y seguridad vial, etc.</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Ruta Viva</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 xml:space="preserve">Reestructuración del sistema de </w:t>
      </w:r>
      <w:proofErr w:type="spellStart"/>
      <w:r w:rsidRPr="005803D9">
        <w:rPr>
          <w:rFonts w:ascii="Palatino Linotype" w:hAnsi="Palatino Linotype" w:cs="Times New Roman"/>
        </w:rPr>
        <w:t>caminerías</w:t>
      </w:r>
      <w:proofErr w:type="spellEnd"/>
      <w:r w:rsidRPr="005803D9">
        <w:rPr>
          <w:rFonts w:ascii="Palatino Linotype" w:hAnsi="Palatino Linotype" w:cs="Times New Roman"/>
        </w:rPr>
        <w:t xml:space="preserve"> y soterramiento de cables</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Nuevos sistemas de parqueaderos bajo nivel y de parqueaderos en zonas comerciales regeneradas</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Sistemas de tratamiento de residuos comunes e industriales</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Sistemas de mantenimiento y operación de parques metropolitanos</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Sistema de gestión de paradas de buses</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Ampliaciones y operaciones de terminales terrestres</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Ampliación y operación de camal metropolitano</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Construcción de los nuevos mercados mayoristas y centros logísticos norte y sur</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Sistemas logísticos en ZEDE Quito</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 xml:space="preserve">Sistemas de administración y </w:t>
      </w:r>
      <w:r w:rsidR="00974D4E" w:rsidRPr="005803D9">
        <w:rPr>
          <w:rFonts w:ascii="Palatino Linotype" w:hAnsi="Palatino Linotype" w:cs="Times New Roman"/>
        </w:rPr>
        <w:t>ampliación</w:t>
      </w:r>
      <w:r w:rsidRPr="005803D9">
        <w:rPr>
          <w:rFonts w:ascii="Palatino Linotype" w:hAnsi="Palatino Linotype" w:cs="Times New Roman"/>
        </w:rPr>
        <w:t xml:space="preserve"> de museos de la ciudad</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Sistemas de gestión delegada o alianza estratégica de los centros de salud y hospitales de la red de salud municipal</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Programa de desarrollo del Parque Bicentenario</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Operación y Mantenimiento del sistema Metro en segunda etapa</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Operación y mantenimiento del sistema de redes de transporte BRT y Trole</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Optimización de sistema de recolección de basura</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Procedimiento especial para desarrollo de vivienda</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Gestión y mantenimiento del sistema de quebradas de Quito</w:t>
      </w:r>
    </w:p>
    <w:p w:rsidR="00430736" w:rsidRPr="005803D9" w:rsidRDefault="00430736" w:rsidP="00430736">
      <w:pPr>
        <w:pStyle w:val="Prrafodelista"/>
        <w:numPr>
          <w:ilvl w:val="0"/>
          <w:numId w:val="1"/>
        </w:numPr>
        <w:spacing w:after="0" w:line="240" w:lineRule="auto"/>
        <w:jc w:val="both"/>
        <w:rPr>
          <w:rFonts w:ascii="Palatino Linotype" w:hAnsi="Palatino Linotype" w:cs="Times New Roman"/>
        </w:rPr>
      </w:pPr>
      <w:r w:rsidRPr="005803D9">
        <w:rPr>
          <w:rFonts w:ascii="Palatino Linotype" w:hAnsi="Palatino Linotype" w:cs="Times New Roman"/>
        </w:rPr>
        <w:t>Etc.</w:t>
      </w:r>
    </w:p>
    <w:p w:rsidR="00430736" w:rsidRPr="005803D9" w:rsidRDefault="00430736" w:rsidP="00430736">
      <w:pPr>
        <w:spacing w:after="0" w:line="240" w:lineRule="auto"/>
        <w:jc w:val="both"/>
        <w:rPr>
          <w:rFonts w:ascii="Palatino Linotype" w:hAnsi="Palatino Linotype" w:cs="Times New Roman"/>
        </w:rPr>
      </w:pPr>
    </w:p>
    <w:p w:rsidR="00430736" w:rsidRPr="005803D9" w:rsidRDefault="00430736" w:rsidP="00430736">
      <w:pPr>
        <w:spacing w:after="0" w:line="240" w:lineRule="auto"/>
        <w:jc w:val="both"/>
        <w:rPr>
          <w:rFonts w:ascii="Palatino Linotype" w:hAnsi="Palatino Linotype" w:cs="Times New Roman"/>
        </w:rPr>
      </w:pPr>
      <w:r w:rsidRPr="005803D9">
        <w:rPr>
          <w:rFonts w:ascii="Palatino Linotype" w:hAnsi="Palatino Linotype" w:cs="Times New Roman"/>
        </w:rPr>
        <w:lastRenderedPageBreak/>
        <w:t>El universo es impresionante y como ustedes podrán observar y analizar, la cartera alrededor de la infraestructura y servicios es sumamente grande, y es posible generarla si se va</w:t>
      </w:r>
      <w:r w:rsidR="004523CB" w:rsidRPr="005803D9">
        <w:rPr>
          <w:rFonts w:ascii="Palatino Linotype" w:hAnsi="Palatino Linotype" w:cs="Times New Roman"/>
        </w:rPr>
        <w:t xml:space="preserve"> preparando el camino para esto.</w:t>
      </w:r>
      <w:r w:rsidR="00BC4035" w:rsidRPr="005803D9">
        <w:rPr>
          <w:rFonts w:ascii="Palatino Linotype" w:hAnsi="Palatino Linotype" w:cs="Times New Roman"/>
        </w:rPr>
        <w:t xml:space="preserve"> </w:t>
      </w:r>
    </w:p>
    <w:p w:rsidR="00430736" w:rsidRPr="005803D9" w:rsidRDefault="00430736" w:rsidP="00430736">
      <w:pPr>
        <w:spacing w:after="0" w:line="240" w:lineRule="auto"/>
        <w:jc w:val="both"/>
        <w:rPr>
          <w:rFonts w:ascii="Palatino Linotype" w:hAnsi="Palatino Linotype" w:cs="Times New Roman"/>
        </w:rPr>
      </w:pPr>
    </w:p>
    <w:p w:rsidR="00430736" w:rsidRPr="005803D9" w:rsidRDefault="000E4F4A" w:rsidP="00430736">
      <w:pPr>
        <w:spacing w:after="0" w:line="240" w:lineRule="auto"/>
        <w:jc w:val="both"/>
        <w:rPr>
          <w:rFonts w:ascii="Palatino Linotype" w:hAnsi="Palatino Linotype" w:cs="Times New Roman"/>
        </w:rPr>
      </w:pPr>
      <w:r w:rsidRPr="005803D9">
        <w:rPr>
          <w:rFonts w:ascii="Palatino Linotype" w:hAnsi="Palatino Linotype" w:cs="Times New Roman"/>
        </w:rPr>
        <w:t xml:space="preserve">Con estos antecedentes se </w:t>
      </w:r>
      <w:r w:rsidR="00430736" w:rsidRPr="005803D9">
        <w:rPr>
          <w:rFonts w:ascii="Palatino Linotype" w:hAnsi="Palatino Linotype" w:cs="Times New Roman"/>
        </w:rPr>
        <w:t>h</w:t>
      </w:r>
      <w:r w:rsidR="00225984" w:rsidRPr="005803D9">
        <w:rPr>
          <w:rFonts w:ascii="Palatino Linotype" w:hAnsi="Palatino Linotype" w:cs="Times New Roman"/>
        </w:rPr>
        <w:t xml:space="preserve">an </w:t>
      </w:r>
      <w:r w:rsidR="00430736" w:rsidRPr="005803D9">
        <w:rPr>
          <w:rFonts w:ascii="Palatino Linotype" w:hAnsi="Palatino Linotype" w:cs="Times New Roman"/>
        </w:rPr>
        <w:t xml:space="preserve">analizado lo que deberían ser los procesos adecuados, para emplear los mecanismos de </w:t>
      </w:r>
      <w:proofErr w:type="spellStart"/>
      <w:r w:rsidR="00430736" w:rsidRPr="005803D9">
        <w:rPr>
          <w:rFonts w:ascii="Palatino Linotype" w:hAnsi="Palatino Linotype" w:cs="Times New Roman"/>
        </w:rPr>
        <w:t>asociatividad</w:t>
      </w:r>
      <w:proofErr w:type="spellEnd"/>
      <w:r w:rsidR="00430736" w:rsidRPr="005803D9">
        <w:rPr>
          <w:rFonts w:ascii="Palatino Linotype" w:hAnsi="Palatino Linotype" w:cs="Times New Roman"/>
        </w:rPr>
        <w:t xml:space="preserve"> y delegación que permiten la legislación nacional, y su articulación a la realidad de los procesos internacionales de concesiones, delegaciones, y </w:t>
      </w:r>
      <w:proofErr w:type="spellStart"/>
      <w:r w:rsidR="00430736" w:rsidRPr="005803D9">
        <w:rPr>
          <w:rFonts w:ascii="Palatino Linotype" w:hAnsi="Palatino Linotype" w:cs="Times New Roman"/>
        </w:rPr>
        <w:t>asociatividad</w:t>
      </w:r>
      <w:proofErr w:type="spellEnd"/>
      <w:r w:rsidR="00430736" w:rsidRPr="005803D9">
        <w:rPr>
          <w:rFonts w:ascii="Palatino Linotype" w:hAnsi="Palatino Linotype" w:cs="Times New Roman"/>
        </w:rPr>
        <w:t xml:space="preserve"> estratégica, sobre la base de establecer </w:t>
      </w:r>
      <w:r w:rsidRPr="005803D9">
        <w:rPr>
          <w:rFonts w:ascii="Palatino Linotype" w:hAnsi="Palatino Linotype" w:cs="Times New Roman"/>
        </w:rPr>
        <w:t>“</w:t>
      </w:r>
      <w:r w:rsidR="00430736" w:rsidRPr="005803D9">
        <w:rPr>
          <w:rFonts w:ascii="Palatino Linotype" w:hAnsi="Palatino Linotype" w:cs="Times New Roman"/>
        </w:rPr>
        <w:t>Valor por Dinero</w:t>
      </w:r>
      <w:r w:rsidRPr="005803D9">
        <w:rPr>
          <w:rFonts w:ascii="Palatino Linotype" w:hAnsi="Palatino Linotype" w:cs="Times New Roman"/>
        </w:rPr>
        <w:t>”</w:t>
      </w:r>
      <w:r w:rsidR="00430736" w:rsidRPr="005803D9">
        <w:rPr>
          <w:rFonts w:ascii="Palatino Linotype" w:hAnsi="Palatino Linotype" w:cs="Times New Roman"/>
        </w:rPr>
        <w:t xml:space="preserve">, concepto sustancial en todos ellos, y que es el hecho de generar contratos porque en su tiempo de vida, siempre será más ventajoso para la ciudad.  </w:t>
      </w:r>
    </w:p>
    <w:p w:rsidR="00614171" w:rsidRPr="005803D9" w:rsidRDefault="00614171">
      <w:pPr>
        <w:rPr>
          <w:rFonts w:ascii="Palatino Linotype" w:hAnsi="Palatino Linotype"/>
          <w:b/>
        </w:rPr>
      </w:pPr>
      <w:r w:rsidRPr="005803D9">
        <w:rPr>
          <w:rFonts w:ascii="Palatino Linotype" w:hAnsi="Palatino Linotype"/>
          <w:b/>
        </w:rPr>
        <w:br w:type="page"/>
      </w:r>
    </w:p>
    <w:p w:rsidR="00430736" w:rsidRPr="005803D9" w:rsidRDefault="003D30EE" w:rsidP="00430736">
      <w:pPr>
        <w:tabs>
          <w:tab w:val="left" w:pos="1560"/>
        </w:tabs>
        <w:spacing w:line="276" w:lineRule="auto"/>
        <w:ind w:left="705" w:hanging="705"/>
        <w:jc w:val="center"/>
        <w:rPr>
          <w:rFonts w:ascii="Palatino Linotype" w:hAnsi="Palatino Linotype"/>
          <w:b/>
        </w:rPr>
      </w:pPr>
      <w:r w:rsidRPr="005803D9">
        <w:rPr>
          <w:rFonts w:ascii="Palatino Linotype" w:hAnsi="Palatino Linotype"/>
          <w:b/>
        </w:rPr>
        <w:lastRenderedPageBreak/>
        <w:t>CONSIDERANDO:</w:t>
      </w:r>
    </w:p>
    <w:p w:rsidR="003D30EE" w:rsidRPr="005803D9" w:rsidRDefault="003D30EE" w:rsidP="00752893">
      <w:pPr>
        <w:tabs>
          <w:tab w:val="left" w:pos="1560"/>
        </w:tabs>
        <w:spacing w:line="276" w:lineRule="auto"/>
        <w:ind w:left="567" w:hanging="567"/>
        <w:jc w:val="both"/>
        <w:rPr>
          <w:rFonts w:ascii="Palatino Linotype" w:hAnsi="Palatino Linotype"/>
          <w:i/>
        </w:rPr>
      </w:pPr>
      <w:r w:rsidRPr="005803D9">
        <w:rPr>
          <w:rFonts w:ascii="Palatino Linotype" w:hAnsi="Palatino Linotype"/>
          <w:b/>
        </w:rPr>
        <w:t xml:space="preserve">Que, </w:t>
      </w:r>
      <w:r w:rsidR="00752893" w:rsidRPr="005803D9">
        <w:rPr>
          <w:rFonts w:ascii="Palatino Linotype" w:hAnsi="Palatino Linotype"/>
        </w:rPr>
        <w:t xml:space="preserve">de conformidad con el artículo 238 de la Constitución de la República del Ecuador (en adelante “Constitución”), </w:t>
      </w:r>
      <w:r w:rsidR="00752893" w:rsidRPr="005803D9">
        <w:rPr>
          <w:rFonts w:ascii="Palatino Linotype" w:hAnsi="Palatino Linotype"/>
          <w:i/>
        </w:rPr>
        <w:t>los gobiernos autónomos descentralizados gozarán de autonomía política, administrativa y financiera;</w:t>
      </w:r>
    </w:p>
    <w:p w:rsidR="00752893" w:rsidRPr="005803D9" w:rsidRDefault="00752893" w:rsidP="00752893">
      <w:pPr>
        <w:tabs>
          <w:tab w:val="left" w:pos="1560"/>
        </w:tabs>
        <w:spacing w:line="276" w:lineRule="auto"/>
        <w:ind w:left="567" w:hanging="567"/>
        <w:jc w:val="both"/>
        <w:rPr>
          <w:rFonts w:ascii="Palatino Linotype" w:hAnsi="Palatino Linotype"/>
          <w:i/>
        </w:rPr>
      </w:pPr>
      <w:r w:rsidRPr="005803D9">
        <w:rPr>
          <w:rFonts w:ascii="Palatino Linotype" w:hAnsi="Palatino Linotype"/>
          <w:b/>
        </w:rPr>
        <w:t xml:space="preserve">Que, </w:t>
      </w:r>
      <w:r w:rsidRPr="005803D9">
        <w:rPr>
          <w:rFonts w:ascii="Palatino Linotype" w:hAnsi="Palatino Linotype"/>
        </w:rPr>
        <w:t xml:space="preserve">el artículo 283 de la Constitución establece que: </w:t>
      </w:r>
      <w:r w:rsidRPr="005803D9">
        <w:rPr>
          <w:rFonts w:ascii="Palatino Linotype" w:hAnsi="Palatino Linotype"/>
          <w:i/>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rsidR="00752893" w:rsidRPr="005803D9" w:rsidRDefault="00752893" w:rsidP="00752893">
      <w:pPr>
        <w:tabs>
          <w:tab w:val="left" w:pos="1560"/>
        </w:tabs>
        <w:spacing w:line="276" w:lineRule="auto"/>
        <w:ind w:left="567" w:hanging="567"/>
        <w:jc w:val="both"/>
        <w:rPr>
          <w:rFonts w:ascii="Palatino Linotype" w:hAnsi="Palatino Linotype"/>
          <w:i/>
        </w:rPr>
      </w:pPr>
      <w:r w:rsidRPr="005803D9">
        <w:rPr>
          <w:rFonts w:ascii="Palatino Linotype" w:hAnsi="Palatino Linotype"/>
          <w:b/>
        </w:rPr>
        <w:t xml:space="preserve">Que, </w:t>
      </w:r>
      <w:r w:rsidRPr="005803D9">
        <w:rPr>
          <w:rFonts w:ascii="Palatino Linotype" w:hAnsi="Palatino Linotype"/>
        </w:rPr>
        <w:t xml:space="preserve">el artículo 316 de la Constitución determina que: </w:t>
      </w:r>
      <w:r w:rsidR="007857EE" w:rsidRPr="005803D9">
        <w:rPr>
          <w:rFonts w:ascii="Palatino Linotype" w:hAnsi="Palatino Linotype"/>
          <w:i/>
        </w:rPr>
        <w:t>“</w:t>
      </w:r>
      <w:r w:rsidRPr="005803D9">
        <w:rPr>
          <w:rFonts w:ascii="Palatino Linotype" w:hAnsi="Palatino Linotype"/>
          <w:i/>
        </w:rPr>
        <w:t>El Estado podrá delegar la participación en los sectores estratégicos y servicios públicos a empresas mixtas en las cuales tenga mayoría accionaria. La delegación se sujetará al interés nacional y respetará los plazos y límites fijados en la ley para cada sector estratégico. El Estado podrá, de forma excepcional, delegar a la iniciativa privada y a la economía popular y solidaria, el ejercicio de estas actividades, en los casos que establezca la ley</w:t>
      </w:r>
      <w:r w:rsidR="007857EE" w:rsidRPr="005803D9">
        <w:rPr>
          <w:rFonts w:ascii="Palatino Linotype" w:hAnsi="Palatino Linotype"/>
          <w:i/>
        </w:rPr>
        <w:t>.”;</w:t>
      </w:r>
    </w:p>
    <w:p w:rsidR="007D3E7C" w:rsidRPr="005803D9" w:rsidRDefault="007D3E7C" w:rsidP="00037BBA">
      <w:pPr>
        <w:tabs>
          <w:tab w:val="left" w:pos="1560"/>
        </w:tabs>
        <w:spacing w:line="276" w:lineRule="auto"/>
        <w:ind w:left="567" w:hanging="567"/>
        <w:jc w:val="both"/>
        <w:rPr>
          <w:rFonts w:ascii="Palatino Linotype" w:hAnsi="Palatino Linotype"/>
        </w:rPr>
      </w:pPr>
      <w:r w:rsidRPr="005803D9">
        <w:rPr>
          <w:rFonts w:ascii="Palatino Linotype" w:hAnsi="Palatino Linotype"/>
          <w:b/>
        </w:rPr>
        <w:t xml:space="preserve">Que, </w:t>
      </w:r>
      <w:r w:rsidRPr="005803D9">
        <w:rPr>
          <w:rFonts w:ascii="Palatino Linotype" w:hAnsi="Palatino Linotype"/>
        </w:rPr>
        <w:t xml:space="preserve">la delegación de gestión excepcional a sujetos de derecho privado conforme con los artículos 74 al 77 del Código Orgánico Administrativo, </w:t>
      </w:r>
      <w:r w:rsidR="00037BBA" w:rsidRPr="005803D9">
        <w:rPr>
          <w:rFonts w:ascii="Palatino Linotype" w:hAnsi="Palatino Linotype"/>
        </w:rPr>
        <w:t>comprende la excepcionalidad, proyecto de interés público, delegación de gestión por contrato; y, gestión a sectores estratégicos o servicios públicos.</w:t>
      </w:r>
    </w:p>
    <w:p w:rsidR="00381C6C" w:rsidRPr="005803D9" w:rsidRDefault="00381C6C" w:rsidP="00037BBA">
      <w:pPr>
        <w:tabs>
          <w:tab w:val="left" w:pos="1560"/>
        </w:tabs>
        <w:spacing w:line="276" w:lineRule="auto"/>
        <w:ind w:left="567" w:hanging="567"/>
        <w:jc w:val="both"/>
        <w:rPr>
          <w:rFonts w:ascii="Palatino Linotype" w:hAnsi="Palatino Linotype"/>
          <w:i/>
        </w:rPr>
      </w:pPr>
      <w:r w:rsidRPr="005803D9">
        <w:rPr>
          <w:rFonts w:ascii="Palatino Linotype" w:hAnsi="Palatino Linotype"/>
          <w:b/>
        </w:rPr>
        <w:t xml:space="preserve">Que, </w:t>
      </w:r>
      <w:r w:rsidRPr="005803D9">
        <w:rPr>
          <w:rFonts w:ascii="Palatino Linotype" w:hAnsi="Palatino Linotype" w:cs="Times New Roman"/>
          <w:lang w:val="es-ES"/>
        </w:rPr>
        <w:t>el último inciso del artículo 89 del COA</w:t>
      </w:r>
      <w:r w:rsidRPr="005803D9">
        <w:rPr>
          <w:rFonts w:ascii="Palatino Linotype" w:hAnsi="Palatino Linotype"/>
        </w:rPr>
        <w:t xml:space="preserve">, dispone que: </w:t>
      </w:r>
      <w:r w:rsidRPr="005803D9">
        <w:rPr>
          <w:rFonts w:ascii="Palatino Linotype" w:hAnsi="Palatino Linotype"/>
          <w:i/>
        </w:rPr>
        <w:t>“Las administraciones públicas pueden, excepcionalmente, emplear instrumentos de derecho privado, para el ejercicio de sus competencias.”</w:t>
      </w:r>
    </w:p>
    <w:p w:rsidR="002B043C" w:rsidRPr="005803D9" w:rsidRDefault="002B043C" w:rsidP="002B043C">
      <w:pPr>
        <w:tabs>
          <w:tab w:val="left" w:pos="1560"/>
        </w:tabs>
        <w:spacing w:line="276" w:lineRule="auto"/>
        <w:ind w:left="567" w:hanging="567"/>
        <w:jc w:val="both"/>
        <w:rPr>
          <w:rFonts w:ascii="Palatino Linotype" w:hAnsi="Palatino Linotype"/>
        </w:rPr>
      </w:pPr>
      <w:r w:rsidRPr="005803D9">
        <w:rPr>
          <w:rFonts w:ascii="Palatino Linotype" w:hAnsi="Palatino Linotype"/>
          <w:b/>
        </w:rPr>
        <w:t>Que,</w:t>
      </w:r>
      <w:r w:rsidRPr="005803D9">
        <w:rPr>
          <w:rFonts w:ascii="Palatino Linotype" w:hAnsi="Palatino Linotype"/>
        </w:rPr>
        <w:t xml:space="preserve"> de igual forma, el artículo 100 del Código Orgánico de la Producción, Comercio e Inversiones determina para todos los casos en que no existe una regulación específica, de modo ejemplificativo, las formas en que de manera excepcional se puede delegar a la iniciativa privada la provisión de bienes o servicios a cargo del Estado; </w:t>
      </w:r>
    </w:p>
    <w:p w:rsidR="002B043C" w:rsidRPr="005803D9" w:rsidRDefault="002B043C" w:rsidP="002B043C">
      <w:pPr>
        <w:tabs>
          <w:tab w:val="left" w:pos="1560"/>
        </w:tabs>
        <w:spacing w:line="276" w:lineRule="auto"/>
        <w:ind w:left="567" w:hanging="567"/>
        <w:jc w:val="both"/>
        <w:rPr>
          <w:rFonts w:ascii="Palatino Linotype" w:hAnsi="Palatino Linotype"/>
        </w:rPr>
      </w:pPr>
      <w:r w:rsidRPr="005803D9">
        <w:rPr>
          <w:rFonts w:ascii="Palatino Linotype" w:hAnsi="Palatino Linotype"/>
          <w:b/>
        </w:rPr>
        <w:t>Que,</w:t>
      </w:r>
      <w:r w:rsidRPr="005803D9">
        <w:rPr>
          <w:rFonts w:ascii="Palatino Linotype" w:hAnsi="Palatino Linotype"/>
        </w:rPr>
        <w:t xml:space="preserve"> el citado artículo estipula que tal excepción podrá producirse en los casos en los que sea necesario y adecuado para satisfacer el interés público, colectivo o general, cuando el Estado o sus instituciones no tengan la capacidad técnica o económica; </w:t>
      </w:r>
      <w:r w:rsidRPr="005803D9">
        <w:rPr>
          <w:rFonts w:ascii="Palatino Linotype" w:hAnsi="Palatino Linotype"/>
        </w:rPr>
        <w:lastRenderedPageBreak/>
        <w:t xml:space="preserve">o cuando la demanda del servicio no pueda ser cubierta por empresas públicas o mixtas; </w:t>
      </w:r>
    </w:p>
    <w:p w:rsidR="002B043C" w:rsidRPr="005803D9" w:rsidRDefault="002B043C" w:rsidP="002B043C">
      <w:pPr>
        <w:tabs>
          <w:tab w:val="left" w:pos="1560"/>
        </w:tabs>
        <w:spacing w:line="276" w:lineRule="auto"/>
        <w:ind w:left="567" w:hanging="567"/>
        <w:jc w:val="both"/>
        <w:rPr>
          <w:rFonts w:ascii="Palatino Linotype" w:hAnsi="Palatino Linotype"/>
        </w:rPr>
      </w:pPr>
      <w:r w:rsidRPr="005803D9">
        <w:rPr>
          <w:rFonts w:ascii="Palatino Linotype" w:hAnsi="Palatino Linotype"/>
          <w:b/>
        </w:rPr>
        <w:t>Que,</w:t>
      </w:r>
      <w:r w:rsidRPr="005803D9">
        <w:rPr>
          <w:rFonts w:ascii="Palatino Linotype" w:hAnsi="Palatino Linotype"/>
        </w:rPr>
        <w:t xml:space="preserve"> el tercer inciso del mencionado artículo 100 del Código Orgánico de la Producción, Comercio e Inversiones, señala de manera ejemplificativa las modalidades de delegación que se podrán utilizar; observando en todos los casos para la selección del delegatario procedimientos de concurso público transparente y equitativo que determine el reglamento; </w:t>
      </w:r>
    </w:p>
    <w:p w:rsidR="00D43123" w:rsidRPr="005803D9" w:rsidRDefault="00D43123" w:rsidP="00D43123">
      <w:pPr>
        <w:tabs>
          <w:tab w:val="left" w:pos="1560"/>
        </w:tabs>
        <w:spacing w:line="276" w:lineRule="auto"/>
        <w:ind w:left="567" w:hanging="567"/>
        <w:jc w:val="both"/>
        <w:rPr>
          <w:rFonts w:ascii="Palatino Linotype" w:hAnsi="Palatino Linotype"/>
          <w:i/>
        </w:rPr>
      </w:pPr>
      <w:r w:rsidRPr="005803D9">
        <w:rPr>
          <w:rFonts w:ascii="Palatino Linotype" w:hAnsi="Palatino Linotype"/>
          <w:b/>
        </w:rPr>
        <w:t xml:space="preserve">Que, </w:t>
      </w:r>
      <w:r w:rsidRPr="005803D9">
        <w:rPr>
          <w:rFonts w:ascii="Palatino Linotype" w:hAnsi="Palatino Linotype"/>
        </w:rPr>
        <w:t xml:space="preserve">el literal h) del artículo 54 del Código Orgánico de Organización Territorial, Autonomía y Descentralización (en adelante “COOTAD”), en concordancia con el artículo 84 del mismo cuerpo normativo, determina que una de las funciones del gobierno autónomo descentralizado municipal es la de: </w:t>
      </w:r>
      <w:r w:rsidRPr="005803D9">
        <w:rPr>
          <w:rFonts w:ascii="Palatino Linotype" w:hAnsi="Palatino Linotype"/>
          <w:i/>
        </w:rPr>
        <w:t>“(…) h) Promover los procesos de desarrollo económico local en su jurisdicción, poniendo una atención especial en el sector de la economía social y solidaria, para lo cual coordinará con los otros niveles de gobierno;”;</w:t>
      </w:r>
    </w:p>
    <w:p w:rsidR="002B043C" w:rsidRPr="005803D9" w:rsidRDefault="002B043C" w:rsidP="002B043C">
      <w:pPr>
        <w:tabs>
          <w:tab w:val="left" w:pos="1560"/>
        </w:tabs>
        <w:spacing w:line="276" w:lineRule="auto"/>
        <w:ind w:left="567" w:hanging="567"/>
        <w:jc w:val="both"/>
        <w:rPr>
          <w:rFonts w:ascii="Palatino Linotype" w:hAnsi="Palatino Linotype"/>
        </w:rPr>
      </w:pPr>
      <w:r w:rsidRPr="005803D9">
        <w:rPr>
          <w:rFonts w:ascii="Palatino Linotype" w:hAnsi="Palatino Linotype"/>
          <w:b/>
        </w:rPr>
        <w:t>Que</w:t>
      </w:r>
      <w:r w:rsidRPr="005803D9">
        <w:rPr>
          <w:rFonts w:ascii="Palatino Linotype" w:hAnsi="Palatino Linotype"/>
        </w:rPr>
        <w:t xml:space="preserve">, de conformidad con los artículos 274 y siguientes del (COOTAD), los Gobiernos Autónomos Descentralizados pueden prestar los servicios y ejecutar las obras que son de su competencia mediante gestión directa o gestión delegada; </w:t>
      </w:r>
    </w:p>
    <w:p w:rsidR="002B043C" w:rsidRPr="005803D9" w:rsidRDefault="002B043C" w:rsidP="002B043C">
      <w:pPr>
        <w:tabs>
          <w:tab w:val="left" w:pos="1560"/>
        </w:tabs>
        <w:spacing w:line="276" w:lineRule="auto"/>
        <w:ind w:left="567" w:hanging="567"/>
        <w:jc w:val="both"/>
        <w:rPr>
          <w:rFonts w:ascii="Palatino Linotype" w:hAnsi="Palatino Linotype"/>
        </w:rPr>
      </w:pPr>
      <w:r w:rsidRPr="005803D9">
        <w:rPr>
          <w:rFonts w:ascii="Palatino Linotype" w:hAnsi="Palatino Linotype"/>
          <w:b/>
        </w:rPr>
        <w:t>Que,</w:t>
      </w:r>
      <w:r w:rsidRPr="005803D9">
        <w:rPr>
          <w:rFonts w:ascii="Palatino Linotype" w:hAnsi="Palatino Linotype"/>
        </w:rPr>
        <w:t xml:space="preserve"> la gestión directa, de conformidad con los artículos 276 y siguientes del (COOTAD), comprende la gestión institucional directa, la gestión a través de la creación de empresas públicas y la gestión por contrato; </w:t>
      </w:r>
    </w:p>
    <w:p w:rsidR="002B043C" w:rsidRPr="005803D9" w:rsidRDefault="002B043C" w:rsidP="002B043C">
      <w:pPr>
        <w:tabs>
          <w:tab w:val="left" w:pos="1560"/>
        </w:tabs>
        <w:spacing w:line="276" w:lineRule="auto"/>
        <w:ind w:left="567" w:hanging="567"/>
        <w:jc w:val="both"/>
        <w:rPr>
          <w:rFonts w:ascii="Palatino Linotype" w:hAnsi="Palatino Linotype"/>
        </w:rPr>
      </w:pPr>
      <w:r w:rsidRPr="005803D9">
        <w:rPr>
          <w:rFonts w:ascii="Palatino Linotype" w:hAnsi="Palatino Linotype"/>
          <w:b/>
        </w:rPr>
        <w:t>Que,</w:t>
      </w:r>
      <w:r w:rsidRPr="005803D9">
        <w:rPr>
          <w:rFonts w:ascii="Palatino Linotype" w:hAnsi="Palatino Linotype"/>
        </w:rPr>
        <w:t xml:space="preserve"> la gestión delegada, conforme con los artículos 279, 283 y siguientes del (COOTAD), comprende la delegación a otros niveles de gobierno, la gestión compartida entre diversos gobiernos autónomos descentralizados, la cogestión de los gobiernos descentralizados autónomos con la comunidad, la gestión a través de empresas de economía mixta y la delegación a la economía social y solidaria y a la iniciativa privada; </w:t>
      </w:r>
    </w:p>
    <w:p w:rsidR="002B043C" w:rsidRPr="005803D9" w:rsidRDefault="002B043C" w:rsidP="002B043C">
      <w:pPr>
        <w:tabs>
          <w:tab w:val="left" w:pos="1560"/>
        </w:tabs>
        <w:spacing w:line="276" w:lineRule="auto"/>
        <w:ind w:left="567" w:hanging="567"/>
        <w:jc w:val="both"/>
        <w:rPr>
          <w:rFonts w:ascii="Palatino Linotype" w:hAnsi="Palatino Linotype"/>
        </w:rPr>
      </w:pPr>
      <w:r w:rsidRPr="005803D9">
        <w:rPr>
          <w:rFonts w:ascii="Palatino Linotype" w:hAnsi="Palatino Linotype"/>
          <w:b/>
        </w:rPr>
        <w:t>Que,</w:t>
      </w:r>
      <w:r w:rsidRPr="005803D9">
        <w:rPr>
          <w:rFonts w:ascii="Palatino Linotype" w:hAnsi="Palatino Linotype"/>
        </w:rPr>
        <w:t xml:space="preserve"> se han establecido los mecanismos a través de los cuales, de forma excepcional, el sector privado y el de la economía popular y solidaria pueden intervenir en la gestión y prestación de los sectores estratégicos y servicios públicos, así como los criterios con los cuales se deberá evaluar el desempeño de tal gestión y sus condiciones de participación;</w:t>
      </w:r>
    </w:p>
    <w:p w:rsidR="00926AE7" w:rsidRPr="005803D9" w:rsidRDefault="00926AE7" w:rsidP="002B043C">
      <w:pPr>
        <w:tabs>
          <w:tab w:val="left" w:pos="1560"/>
        </w:tabs>
        <w:spacing w:line="276" w:lineRule="auto"/>
        <w:ind w:left="567" w:hanging="567"/>
        <w:jc w:val="both"/>
        <w:rPr>
          <w:rFonts w:ascii="Palatino Linotype" w:hAnsi="Palatino Linotype"/>
          <w:i/>
        </w:rPr>
      </w:pPr>
      <w:r w:rsidRPr="005803D9">
        <w:rPr>
          <w:rFonts w:ascii="Palatino Linotype" w:hAnsi="Palatino Linotype"/>
          <w:b/>
        </w:rPr>
        <w:t xml:space="preserve">Que, </w:t>
      </w:r>
      <w:r w:rsidRPr="005803D9">
        <w:rPr>
          <w:rFonts w:ascii="Palatino Linotype" w:hAnsi="Palatino Linotype"/>
        </w:rPr>
        <w:t xml:space="preserve">la Ley Orgánica de Incentivos para Asociaciones Público Privadas y la Inversión Extranjera, en su artículo 8, dice que: </w:t>
      </w:r>
      <w:r w:rsidRPr="005803D9">
        <w:rPr>
          <w:rFonts w:ascii="Palatino Linotype" w:hAnsi="Palatino Linotype"/>
          <w:i/>
        </w:rPr>
        <w:t xml:space="preserve">“Se define por asociación público-privada la </w:t>
      </w:r>
      <w:r w:rsidRPr="005803D9">
        <w:rPr>
          <w:rFonts w:ascii="Palatino Linotype" w:hAnsi="Palatino Linotype"/>
          <w:i/>
        </w:rPr>
        <w:lastRenderedPageBreak/>
        <w:t>modalidad de gestión delegada por la que el Gobierno Central o los Gobiernos Autónomos Descentralizados encomiendan al gestor privado, la ejecución de un proyecto público específico y su financiamiento total o parcial, para la provisión de bienes, obras o servicios a cambio de una contraprestación por su inversión, riesgo y trabajo, de conformidad con los términos, condiciones, límites y más estipulaciones previstas en el contrato de gestión delegada.”</w:t>
      </w:r>
    </w:p>
    <w:p w:rsidR="006F4C40" w:rsidRPr="005803D9" w:rsidRDefault="006F4C40" w:rsidP="002B043C">
      <w:pPr>
        <w:tabs>
          <w:tab w:val="left" w:pos="1560"/>
        </w:tabs>
        <w:spacing w:line="276" w:lineRule="auto"/>
        <w:ind w:left="567" w:hanging="567"/>
        <w:jc w:val="both"/>
        <w:rPr>
          <w:rFonts w:ascii="Palatino Linotype" w:hAnsi="Palatino Linotype"/>
          <w:i/>
        </w:rPr>
      </w:pPr>
      <w:r w:rsidRPr="005803D9">
        <w:rPr>
          <w:rFonts w:ascii="Palatino Linotype" w:hAnsi="Palatino Linotype"/>
          <w:b/>
        </w:rPr>
        <w:t>Que,</w:t>
      </w:r>
      <w:r w:rsidRPr="005803D9">
        <w:rPr>
          <w:rFonts w:ascii="Palatino Linotype" w:hAnsi="Palatino Linotype"/>
        </w:rPr>
        <w:t xml:space="preserve"> la Ley Orgánica de Empresas Públicas, en el artículo</w:t>
      </w:r>
      <w:r w:rsidRPr="005803D9">
        <w:rPr>
          <w:rFonts w:ascii="Palatino Linotype" w:hAnsi="Palatino Linotype"/>
        </w:rPr>
        <w:t xml:space="preserve"> 34</w:t>
      </w:r>
      <w:r w:rsidRPr="005803D9">
        <w:rPr>
          <w:rFonts w:ascii="Palatino Linotype" w:hAnsi="Palatino Linotype"/>
        </w:rPr>
        <w:t xml:space="preserve">, dispone que: </w:t>
      </w:r>
      <w:r w:rsidRPr="005803D9">
        <w:rPr>
          <w:rFonts w:ascii="Palatino Linotype" w:hAnsi="Palatino Linotype"/>
          <w:i/>
        </w:rPr>
        <w:t>“</w:t>
      </w:r>
      <w:r w:rsidRPr="005803D9">
        <w:rPr>
          <w:rFonts w:ascii="Palatino Linotype" w:hAnsi="Palatino Linotype"/>
          <w:i/>
        </w:rPr>
        <w:t xml:space="preserve">Todo proceso de contratación de obras, bienes y servicios, incluidos los de consultoría, así como las contrataciones en actividades de prospección, exploración, explotación, refinación, comercialización, industrialización de los recursos </w:t>
      </w:r>
      <w:proofErr w:type="spellStart"/>
      <w:r w:rsidRPr="005803D9">
        <w:rPr>
          <w:rFonts w:ascii="Palatino Linotype" w:hAnsi="Palatino Linotype"/>
          <w:i/>
        </w:rPr>
        <w:t>hidrocarburíferos</w:t>
      </w:r>
      <w:proofErr w:type="spellEnd"/>
      <w:r w:rsidRPr="005803D9">
        <w:rPr>
          <w:rFonts w:ascii="Palatino Linotype" w:hAnsi="Palatino Linotype"/>
          <w:i/>
        </w:rPr>
        <w:t xml:space="preserve">, las contrataciones de bienes de carácter estratégico necesarias para la defensa nacional, que realicen las empresas públicas, estarán sujetos al Plan Nacional de Desarrollo, con observancia del presupuesto nacional y empresarial, </w:t>
      </w:r>
      <w:r w:rsidRPr="005803D9">
        <w:rPr>
          <w:rFonts w:ascii="Palatino Linotype" w:hAnsi="Palatino Linotype"/>
          <w:i/>
        </w:rPr>
        <w:t xml:space="preserve">(…)”; </w:t>
      </w:r>
      <w:r w:rsidR="000E4128" w:rsidRPr="005803D9">
        <w:rPr>
          <w:rFonts w:ascii="Palatino Linotype" w:hAnsi="Palatino Linotype"/>
          <w:i/>
        </w:rPr>
        <w:t>y,</w:t>
      </w:r>
    </w:p>
    <w:p w:rsidR="008220EB" w:rsidRPr="005803D9" w:rsidRDefault="008220EB" w:rsidP="000E4128">
      <w:pPr>
        <w:tabs>
          <w:tab w:val="left" w:pos="1560"/>
        </w:tabs>
        <w:spacing w:after="0" w:line="240" w:lineRule="auto"/>
        <w:ind w:left="567" w:hanging="567"/>
        <w:jc w:val="both"/>
        <w:rPr>
          <w:rFonts w:ascii="Palatino Linotype" w:hAnsi="Palatino Linotype"/>
          <w:i/>
        </w:rPr>
      </w:pPr>
      <w:r w:rsidRPr="005803D9">
        <w:rPr>
          <w:rFonts w:ascii="Palatino Linotype" w:hAnsi="Palatino Linotype"/>
          <w:b/>
        </w:rPr>
        <w:t>Que,</w:t>
      </w:r>
      <w:r w:rsidRPr="005803D9">
        <w:rPr>
          <w:rFonts w:ascii="Palatino Linotype" w:hAnsi="Palatino Linotype"/>
        </w:rPr>
        <w:t xml:space="preserve"> </w:t>
      </w:r>
      <w:r w:rsidR="000E4128" w:rsidRPr="005803D9">
        <w:rPr>
          <w:rFonts w:ascii="Palatino Linotype" w:hAnsi="Palatino Linotype"/>
        </w:rPr>
        <w:t>del mismo cuerpo legal</w:t>
      </w:r>
      <w:r w:rsidRPr="005803D9">
        <w:rPr>
          <w:rFonts w:ascii="Palatino Linotype" w:hAnsi="Palatino Linotype"/>
        </w:rPr>
        <w:t>, en el artículo</w:t>
      </w:r>
      <w:r w:rsidR="00332FA1" w:rsidRPr="005803D9">
        <w:rPr>
          <w:rFonts w:ascii="Palatino Linotype" w:hAnsi="Palatino Linotype"/>
        </w:rPr>
        <w:t xml:space="preserve"> 35</w:t>
      </w:r>
      <w:r w:rsidRPr="005803D9">
        <w:rPr>
          <w:rFonts w:ascii="Palatino Linotype" w:hAnsi="Palatino Linotype"/>
        </w:rPr>
        <w:t xml:space="preserve">, </w:t>
      </w:r>
      <w:r w:rsidR="000E4128" w:rsidRPr="005803D9">
        <w:rPr>
          <w:rFonts w:ascii="Palatino Linotype" w:hAnsi="Palatino Linotype"/>
        </w:rPr>
        <w:t xml:space="preserve">estipula </w:t>
      </w:r>
      <w:r w:rsidRPr="005803D9">
        <w:rPr>
          <w:rFonts w:ascii="Palatino Linotype" w:hAnsi="Palatino Linotype"/>
        </w:rPr>
        <w:t>que:</w:t>
      </w:r>
      <w:r w:rsidR="000E4128" w:rsidRPr="005803D9">
        <w:rPr>
          <w:rFonts w:ascii="Palatino Linotype" w:hAnsi="Palatino Linotype"/>
        </w:rPr>
        <w:t xml:space="preserve"> </w:t>
      </w:r>
      <w:r w:rsidR="000E4128" w:rsidRPr="005803D9">
        <w:rPr>
          <w:rFonts w:ascii="Palatino Linotype" w:hAnsi="Palatino Linotype"/>
          <w:i/>
        </w:rPr>
        <w:t>“</w:t>
      </w:r>
      <w:r w:rsidR="000E4128" w:rsidRPr="005803D9">
        <w:rPr>
          <w:rFonts w:ascii="Palatino Linotype" w:hAnsi="Palatino Linotype"/>
          <w:i/>
        </w:rPr>
        <w:t>Las empresas públicas tienen capacidad asociativa para el cumplimiento de sus fines y objetivos empresariales y en consecuencia para la celebración de los contratos que se requieran, para cuyo efecto podrán constituir cualquier tipo de asociación, alianzas estratégicas, sociedades de economía mixta con sectores públicos o privados en el ámbito nacional o internacional o del sector de la economía popular y solidaria, en el marco de las disposiciones del artículo 316 de la Constitución de la República.</w:t>
      </w:r>
      <w:r w:rsidR="000E4128" w:rsidRPr="005803D9">
        <w:rPr>
          <w:rFonts w:ascii="Palatino Linotype" w:hAnsi="Palatino Linotype"/>
          <w:i/>
        </w:rPr>
        <w:t>”.</w:t>
      </w:r>
    </w:p>
    <w:p w:rsidR="000E4128" w:rsidRPr="005803D9" w:rsidRDefault="000E4128" w:rsidP="000E4128">
      <w:pPr>
        <w:tabs>
          <w:tab w:val="left" w:pos="1560"/>
        </w:tabs>
        <w:spacing w:after="0" w:line="240" w:lineRule="auto"/>
        <w:ind w:left="567" w:hanging="567"/>
        <w:jc w:val="both"/>
        <w:rPr>
          <w:rFonts w:ascii="Palatino Linotype" w:hAnsi="Palatino Linotype"/>
          <w:i/>
        </w:rPr>
      </w:pPr>
    </w:p>
    <w:p w:rsidR="00E025C9" w:rsidRPr="005803D9" w:rsidRDefault="00E025C9" w:rsidP="00E025C9">
      <w:pPr>
        <w:spacing w:after="240"/>
        <w:jc w:val="both"/>
        <w:rPr>
          <w:rFonts w:ascii="Palatino Linotype" w:hAnsi="Palatino Linotype" w:cs="Times New Roman"/>
          <w:b/>
        </w:rPr>
      </w:pPr>
      <w:r w:rsidRPr="005803D9">
        <w:rPr>
          <w:rFonts w:ascii="Palatino Linotype" w:hAnsi="Palatino Linotype" w:cs="Times New Roman"/>
          <w:b/>
        </w:rPr>
        <w:t>En ejercicio de sus atribuciones legales constantes en los artículos 240 y 266 de la Constitución de la República del Ecuador; Art. 84 literal o), Art. 87 literal a); Art. 322 del Código Orgánico de Organización Territorial Autonomía y Descentralización; Art. 2 numeral 1, y Art. 8 numeral 1 de la Ley de Régimen para el Distrito Metropolitano de Quito,</w:t>
      </w:r>
    </w:p>
    <w:p w:rsidR="00BE2116" w:rsidRPr="005803D9" w:rsidRDefault="00BE2116" w:rsidP="00752893">
      <w:pPr>
        <w:ind w:left="567" w:hanging="567"/>
        <w:jc w:val="both"/>
        <w:rPr>
          <w:rFonts w:ascii="Palatino Linotype" w:hAnsi="Palatino Linotype" w:cs="Times New Roman"/>
        </w:rPr>
      </w:pPr>
    </w:p>
    <w:p w:rsidR="00E1606F" w:rsidRPr="005803D9" w:rsidRDefault="00281172" w:rsidP="005717B6">
      <w:pPr>
        <w:jc w:val="center"/>
        <w:rPr>
          <w:rFonts w:ascii="Palatino Linotype" w:hAnsi="Palatino Linotype" w:cs="Times New Roman"/>
          <w:b/>
        </w:rPr>
      </w:pPr>
      <w:r w:rsidRPr="005803D9">
        <w:rPr>
          <w:rFonts w:ascii="Palatino Linotype" w:hAnsi="Palatino Linotype" w:cs="Times New Roman"/>
          <w:b/>
        </w:rPr>
        <w:t xml:space="preserve">ORDENANZA METROPOLITANA </w:t>
      </w:r>
      <w:r w:rsidR="00E1606F" w:rsidRPr="005803D9">
        <w:rPr>
          <w:rFonts w:ascii="Palatino Linotype" w:hAnsi="Palatino Linotype" w:cs="Times New Roman"/>
          <w:b/>
        </w:rPr>
        <w:t xml:space="preserve">SUSTITUTIVA DE </w:t>
      </w:r>
      <w:r w:rsidR="00E1606F" w:rsidRPr="005803D9">
        <w:rPr>
          <w:rFonts w:ascii="Palatino Linotype" w:hAnsi="Palatino Linotype" w:cs="Times New Roman"/>
          <w:b/>
          <w:bCs/>
          <w:lang w:val="es-ES"/>
        </w:rPr>
        <w:t xml:space="preserve">LA SECCIÓN V DEL LIBRO I, DE LA GOBERNABILIDAD E INSTITUCIONALIDAD, LIBRO I.2. DE LA ORGANIZACIÓN ADMINISTRATIVA </w:t>
      </w:r>
      <w:r w:rsidR="00E1606F" w:rsidRPr="005803D9">
        <w:rPr>
          <w:rFonts w:ascii="Palatino Linotype" w:hAnsi="Palatino Linotype" w:cs="Times New Roman"/>
          <w:b/>
        </w:rPr>
        <w:t>DEL CÓDIGO MUNICIPAL PARA EL DISTRITO METROPOLITANO DE QUITO</w:t>
      </w:r>
    </w:p>
    <w:p w:rsidR="00D6395A" w:rsidRPr="005803D9" w:rsidRDefault="00D6395A" w:rsidP="00060176">
      <w:pPr>
        <w:jc w:val="both"/>
        <w:rPr>
          <w:rFonts w:ascii="Palatino Linotype" w:hAnsi="Palatino Linotype" w:cs="Times New Roman"/>
          <w:b/>
          <w:bCs/>
          <w:lang w:val="es-ES"/>
        </w:rPr>
      </w:pPr>
    </w:p>
    <w:p w:rsidR="00060176" w:rsidRPr="005803D9" w:rsidRDefault="00060176" w:rsidP="00060176">
      <w:pPr>
        <w:jc w:val="both"/>
        <w:rPr>
          <w:rFonts w:ascii="Palatino Linotype" w:hAnsi="Palatino Linotype" w:cs="Times New Roman"/>
        </w:rPr>
      </w:pPr>
      <w:r w:rsidRPr="005803D9">
        <w:rPr>
          <w:rFonts w:ascii="Palatino Linotype" w:hAnsi="Palatino Linotype" w:cs="Times New Roman"/>
          <w:b/>
          <w:bCs/>
          <w:lang w:val="es-ES"/>
        </w:rPr>
        <w:t xml:space="preserve">Artículo 1.- </w:t>
      </w:r>
      <w:r w:rsidRPr="005803D9">
        <w:rPr>
          <w:rFonts w:ascii="Palatino Linotype" w:hAnsi="Palatino Linotype" w:cs="Times New Roman"/>
          <w:bCs/>
          <w:lang w:val="es-ES"/>
        </w:rPr>
        <w:t xml:space="preserve">Sustitúyase </w:t>
      </w:r>
      <w:r w:rsidR="00E1606F" w:rsidRPr="005803D9">
        <w:rPr>
          <w:rFonts w:ascii="Palatino Linotype" w:hAnsi="Palatino Linotype" w:cs="Times New Roman"/>
          <w:bCs/>
          <w:lang w:val="es-ES"/>
        </w:rPr>
        <w:t xml:space="preserve">la Sección V del Libro I, De la Gobernabilidad e Institucionalidad, Libro I.2. de la Organización Administrativa del </w:t>
      </w:r>
      <w:r w:rsidR="00E1606F" w:rsidRPr="005803D9">
        <w:rPr>
          <w:rFonts w:ascii="Palatino Linotype" w:hAnsi="Palatino Linotype" w:cs="Times New Roman"/>
        </w:rPr>
        <w:t>Código Municipal Para El Distrito Metropolitano De Quito</w:t>
      </w:r>
      <w:r w:rsidRPr="005803D9">
        <w:rPr>
          <w:rFonts w:ascii="Palatino Linotype" w:hAnsi="Palatino Linotype" w:cs="Times New Roman"/>
          <w:bCs/>
          <w:lang w:val="es-ES"/>
        </w:rPr>
        <w:t>, por l</w:t>
      </w:r>
      <w:r w:rsidR="00E1606F" w:rsidRPr="005803D9">
        <w:rPr>
          <w:rFonts w:ascii="Palatino Linotype" w:hAnsi="Palatino Linotype" w:cs="Times New Roman"/>
          <w:bCs/>
          <w:lang w:val="es-ES"/>
        </w:rPr>
        <w:t>a siguiente</w:t>
      </w:r>
      <w:r w:rsidRPr="005803D9">
        <w:rPr>
          <w:rFonts w:ascii="Palatino Linotype" w:hAnsi="Palatino Linotype" w:cs="Times New Roman"/>
          <w:bCs/>
          <w:lang w:val="es-ES"/>
        </w:rPr>
        <w:t>:</w:t>
      </w:r>
    </w:p>
    <w:p w:rsidR="007D5FEA" w:rsidRPr="005803D9" w:rsidRDefault="00060176" w:rsidP="00BC4B45">
      <w:pPr>
        <w:jc w:val="both"/>
        <w:rPr>
          <w:rFonts w:ascii="Palatino Linotype" w:hAnsi="Palatino Linotype" w:cs="Times New Roman"/>
          <w:lang w:val="es-ES"/>
        </w:rPr>
      </w:pPr>
      <w:r w:rsidRPr="005803D9">
        <w:rPr>
          <w:rFonts w:ascii="Palatino Linotype" w:hAnsi="Palatino Linotype" w:cs="Times New Roman"/>
          <w:b/>
          <w:bCs/>
          <w:lang w:val="es-ES"/>
        </w:rPr>
        <w:lastRenderedPageBreak/>
        <w:t>Artículo (…)</w:t>
      </w:r>
      <w:r w:rsidR="00295377" w:rsidRPr="005803D9">
        <w:rPr>
          <w:rFonts w:ascii="Palatino Linotype" w:hAnsi="Palatino Linotype" w:cs="Times New Roman"/>
          <w:b/>
          <w:bCs/>
          <w:lang w:val="es-ES"/>
        </w:rPr>
        <w:t>.-</w:t>
      </w:r>
      <w:r w:rsidRPr="005803D9">
        <w:rPr>
          <w:rFonts w:ascii="Palatino Linotype" w:hAnsi="Palatino Linotype" w:cs="Times New Roman"/>
          <w:b/>
          <w:bCs/>
          <w:lang w:val="es-ES"/>
        </w:rPr>
        <w:t xml:space="preserve"> </w:t>
      </w:r>
      <w:r w:rsidR="00281172" w:rsidRPr="005803D9">
        <w:rPr>
          <w:rFonts w:ascii="Palatino Linotype" w:hAnsi="Palatino Linotype" w:cs="Times New Roman"/>
          <w:b/>
          <w:bCs/>
          <w:lang w:val="es-ES"/>
        </w:rPr>
        <w:t>Objeto.-</w:t>
      </w:r>
      <w:r w:rsidR="00281172" w:rsidRPr="005803D9">
        <w:rPr>
          <w:rFonts w:ascii="Palatino Linotype" w:hAnsi="Palatino Linotype" w:cs="Times New Roman"/>
          <w:lang w:val="es-ES"/>
        </w:rPr>
        <w:t xml:space="preserve"> La presente sección tiene por objeto regular y determinar los procedimientos de colaboración público privada y de la economía popular y solidaria con las empresas públicas metropolitanas, sobre la base de los lineamientos definidos en la Ley Orgánica de Incentivo a las Asociaciones Público Privadas e Inversión Extranjera; Ley Orgánica de Empresas Públicas; Código Orgánico Administrativo: y, COOTAD.</w:t>
      </w:r>
    </w:p>
    <w:p w:rsidR="00281172" w:rsidRPr="005803D9" w:rsidRDefault="0029537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281172" w:rsidRPr="005803D9">
        <w:rPr>
          <w:rFonts w:ascii="Palatino Linotype" w:hAnsi="Palatino Linotype" w:cs="Times New Roman"/>
          <w:b/>
          <w:bCs/>
          <w:lang w:val="es-ES"/>
        </w:rPr>
        <w:t xml:space="preserve">Mecanismos de </w:t>
      </w:r>
      <w:proofErr w:type="spellStart"/>
      <w:r w:rsidR="00D20518" w:rsidRPr="005803D9">
        <w:rPr>
          <w:rFonts w:ascii="Palatino Linotype" w:hAnsi="Palatino Linotype" w:cs="Times New Roman"/>
          <w:b/>
          <w:bCs/>
          <w:lang w:val="es-ES"/>
        </w:rPr>
        <w:t>asociatividad</w:t>
      </w:r>
      <w:proofErr w:type="spellEnd"/>
      <w:r w:rsidR="00D20518" w:rsidRPr="005803D9">
        <w:rPr>
          <w:rFonts w:ascii="Palatino Linotype" w:hAnsi="Palatino Linotype" w:cs="Times New Roman"/>
          <w:b/>
          <w:bCs/>
          <w:lang w:val="es-ES"/>
        </w:rPr>
        <w:t>. -</w:t>
      </w:r>
      <w:r w:rsidR="00281172" w:rsidRPr="005803D9">
        <w:rPr>
          <w:rFonts w:ascii="Palatino Linotype" w:hAnsi="Palatino Linotype" w:cs="Times New Roman"/>
          <w:lang w:val="es-ES"/>
        </w:rPr>
        <w:t xml:space="preserve"> El Municipio del Distrito Metropolitano de Quito, podrá generar proyectos de colaboración Público Privada, con personas jurídicas privadas o de la economía popular y solidaría, o con empresas públicas nacionales y de la comunidad internacional, en los siguientes casos:</w:t>
      </w:r>
    </w:p>
    <w:p w:rsidR="00281172" w:rsidRPr="005803D9" w:rsidRDefault="00281172" w:rsidP="00BC4B45">
      <w:pPr>
        <w:jc w:val="both"/>
        <w:rPr>
          <w:rFonts w:ascii="Palatino Linotype" w:hAnsi="Palatino Linotype" w:cs="Times New Roman"/>
          <w:lang w:val="es-ES"/>
        </w:rPr>
      </w:pPr>
      <w:r w:rsidRPr="005803D9">
        <w:rPr>
          <w:rFonts w:ascii="Palatino Linotype" w:hAnsi="Palatino Linotype" w:cs="Times New Roman"/>
          <w:lang w:val="es-ES"/>
        </w:rPr>
        <w:t>a.- Cuando se genere la gestión delegada de un servicio, mediante la Ley Orgánica de Incentivos para Asociaciones Público Privadas y la Inversión Extranjera (Ley APP); los artículos 74 a 77 del Código Orgánico Administrativo y, en su contexto, la atribución excepcional para el empleo de instrumentos de Derecho privado contenido en el último inciso del artículo 89 del COA; el artículo 100 del Código Orgánico de la Producción, Comercio e Inversiones; los artículos 282 y 283 del Código Orgánico de Organización Territorial, Autonomía y Descentralización y sus normas concordantes (de aquí en adelante proyectos APP o Gestión Delegada)</w:t>
      </w:r>
      <w:r w:rsidR="00013012" w:rsidRPr="005803D9">
        <w:rPr>
          <w:rFonts w:ascii="Palatino Linotype" w:hAnsi="Palatino Linotype" w:cs="Times New Roman"/>
          <w:lang w:val="es-ES"/>
        </w:rPr>
        <w:t>.</w:t>
      </w:r>
    </w:p>
    <w:p w:rsidR="00295377" w:rsidRPr="005803D9" w:rsidRDefault="00281172" w:rsidP="00BC4B45">
      <w:pPr>
        <w:jc w:val="both"/>
        <w:rPr>
          <w:rFonts w:ascii="Palatino Linotype" w:hAnsi="Palatino Linotype" w:cs="Times New Roman"/>
          <w:lang w:val="es-ES"/>
        </w:rPr>
      </w:pPr>
      <w:r w:rsidRPr="005803D9">
        <w:rPr>
          <w:rFonts w:ascii="Palatino Linotype" w:hAnsi="Palatino Linotype" w:cs="Times New Roman"/>
          <w:lang w:val="es-ES"/>
        </w:rPr>
        <w:t xml:space="preserve">b.- Mediante </w:t>
      </w:r>
      <w:r w:rsidR="00E148ED" w:rsidRPr="005803D9">
        <w:rPr>
          <w:rFonts w:ascii="Palatino Linotype" w:hAnsi="Palatino Linotype" w:cs="Times New Roman"/>
          <w:lang w:val="es-ES"/>
        </w:rPr>
        <w:t xml:space="preserve">mecanismos de </w:t>
      </w:r>
      <w:proofErr w:type="spellStart"/>
      <w:r w:rsidR="00E148ED" w:rsidRPr="005803D9">
        <w:rPr>
          <w:rFonts w:ascii="Palatino Linotype" w:hAnsi="Palatino Linotype" w:cs="Times New Roman"/>
          <w:lang w:val="es-ES"/>
        </w:rPr>
        <w:t>asociatividad</w:t>
      </w:r>
      <w:proofErr w:type="spellEnd"/>
      <w:r w:rsidR="00E148ED" w:rsidRPr="005803D9">
        <w:rPr>
          <w:rFonts w:ascii="Palatino Linotype" w:hAnsi="Palatino Linotype" w:cs="Times New Roman"/>
          <w:lang w:val="es-ES"/>
        </w:rPr>
        <w:t xml:space="preserve"> determinados </w:t>
      </w:r>
      <w:r w:rsidRPr="005803D9">
        <w:rPr>
          <w:rFonts w:ascii="Palatino Linotype" w:hAnsi="Palatino Linotype" w:cs="Times New Roman"/>
          <w:lang w:val="es-ES"/>
        </w:rPr>
        <w:t>en la Ley Orgánica de Empresas Públicas, cuando el proyecto, actividad o emprendimiento se encuentre directamente relacionado con alguno de los objetivos determinados por el Directorio de la empresa pública afín al tipo de proyecto.</w:t>
      </w:r>
    </w:p>
    <w:p w:rsidR="003D6CD7" w:rsidRPr="005803D9" w:rsidRDefault="0029537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3D6CD7" w:rsidRPr="005803D9">
        <w:rPr>
          <w:rFonts w:ascii="Palatino Linotype" w:hAnsi="Palatino Linotype" w:cs="Times New Roman"/>
          <w:b/>
          <w:bCs/>
          <w:lang w:val="es-ES"/>
        </w:rPr>
        <w:t>Instrumentos asociativos, de gestión delegada, Alianzas Estratégicas, APP y operaciones de financiamiento.-</w:t>
      </w:r>
      <w:r w:rsidR="003D6CD7" w:rsidRPr="005803D9">
        <w:rPr>
          <w:rFonts w:ascii="Palatino Linotype" w:hAnsi="Palatino Linotype" w:cs="Times New Roman"/>
          <w:lang w:val="es-ES"/>
        </w:rPr>
        <w:t xml:space="preserve"> Cualquiera sea la modalidad de </w:t>
      </w:r>
      <w:proofErr w:type="spellStart"/>
      <w:r w:rsidR="003D6CD7" w:rsidRPr="005803D9">
        <w:rPr>
          <w:rFonts w:ascii="Palatino Linotype" w:hAnsi="Palatino Linotype" w:cs="Times New Roman"/>
          <w:lang w:val="es-ES"/>
        </w:rPr>
        <w:t>asociatividad</w:t>
      </w:r>
      <w:proofErr w:type="spellEnd"/>
      <w:r w:rsidR="003D6CD7" w:rsidRPr="005803D9">
        <w:rPr>
          <w:rFonts w:ascii="Palatino Linotype" w:hAnsi="Palatino Linotype" w:cs="Times New Roman"/>
          <w:lang w:val="es-ES"/>
        </w:rPr>
        <w:t xml:space="preserve"> que se genere, y una vez que se cuente con todas las autorizaciones que se determinan en la presente ordenanza, los contratos deberán ser protocolizados ante notario público.</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Adicionalmente, los contratos, adendas, modificaciones, informes, propuestas, y más documentación correspondiente al proceso, desde la etapa de estructuración, serán publicados en la página WEB de la entidad encargada de los procesos, con un período máximo de 15 días a partir de su emisión.</w:t>
      </w:r>
    </w:p>
    <w:p w:rsidR="003D6CD7" w:rsidRPr="005803D9" w:rsidRDefault="0029537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3D6CD7" w:rsidRPr="005803D9">
        <w:rPr>
          <w:rFonts w:ascii="Palatino Linotype" w:hAnsi="Palatino Linotype" w:cs="Times New Roman"/>
          <w:b/>
          <w:bCs/>
          <w:lang w:val="es-ES"/>
        </w:rPr>
        <w:t>Proyectos de Gestión Delegada.-</w:t>
      </w:r>
      <w:r w:rsidR="003D6CD7" w:rsidRPr="005803D9">
        <w:rPr>
          <w:rFonts w:ascii="Palatino Linotype" w:hAnsi="Palatino Linotype" w:cs="Times New Roman"/>
          <w:lang w:val="es-ES"/>
        </w:rPr>
        <w:t xml:space="preserve"> Los proyectos que se enmarquen en los modelos de gestión delegada indicados en el literal a) del artículo</w:t>
      </w:r>
      <w:r w:rsidR="0069003A" w:rsidRPr="005803D9">
        <w:rPr>
          <w:rFonts w:ascii="Palatino Linotype" w:hAnsi="Palatino Linotype" w:cs="Times New Roman"/>
          <w:lang w:val="es-ES"/>
        </w:rPr>
        <w:t xml:space="preserve"> (…)</w:t>
      </w:r>
      <w:r w:rsidR="003D6CD7" w:rsidRPr="005803D9">
        <w:rPr>
          <w:rFonts w:ascii="Palatino Linotype" w:hAnsi="Palatino Linotype" w:cs="Times New Roman"/>
          <w:lang w:val="es-ES"/>
        </w:rPr>
        <w:t xml:space="preserve"> Mecanismos de </w:t>
      </w:r>
      <w:proofErr w:type="spellStart"/>
      <w:r w:rsidR="003D6CD7" w:rsidRPr="005803D9">
        <w:rPr>
          <w:rFonts w:ascii="Palatino Linotype" w:hAnsi="Palatino Linotype" w:cs="Times New Roman"/>
          <w:lang w:val="es-ES"/>
        </w:rPr>
        <w:t>Asociatividad</w:t>
      </w:r>
      <w:proofErr w:type="spellEnd"/>
      <w:r w:rsidR="003D6CD7" w:rsidRPr="005803D9">
        <w:rPr>
          <w:rFonts w:ascii="Palatino Linotype" w:hAnsi="Palatino Linotype" w:cs="Times New Roman"/>
          <w:lang w:val="es-ES"/>
        </w:rPr>
        <w:t>, se regirán conforme las leyes y reglamentos correspondientes.</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Cuando un proyecto se considere que pueda ser delegado, el contrato será suscrito por el Alcalde Metropolitano, previa autorización del Concejo Metropolitano.</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lastRenderedPageBreak/>
        <w:t>La Gestión del proyecto en todas sus etapas, será realizado por la Empresa Pública que tenga relación con el objeto de la delegación, y tendrá la función de realizar la Administración del Contrato, previo informe de la Unidad de Planificación en la cual se determine la Empresa Pública que será la responsable de llevar el proceso.</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Dentro de la Administración General Municipal, se creará una Unidad de Sostenibilidad y Riesgos fiscales para la evaluación correspondiente según conste en las normas indicadas.</w:t>
      </w:r>
    </w:p>
    <w:p w:rsidR="002E1B16"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Las iniciativas privadas para APP, se presentarán directamente en la Secretaría de la Alcaldía.</w:t>
      </w:r>
    </w:p>
    <w:p w:rsidR="003D6CD7" w:rsidRPr="005803D9" w:rsidRDefault="00125FF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3D6CD7" w:rsidRPr="005803D9">
        <w:rPr>
          <w:rFonts w:ascii="Palatino Linotype" w:hAnsi="Palatino Linotype" w:cs="Times New Roman"/>
          <w:b/>
          <w:bCs/>
          <w:lang w:val="es-ES"/>
        </w:rPr>
        <w:t>Aprobaciones de los proyectos.-</w:t>
      </w:r>
      <w:r w:rsidR="003D6CD7" w:rsidRPr="005803D9">
        <w:rPr>
          <w:rFonts w:ascii="Palatino Linotype" w:hAnsi="Palatino Linotype" w:cs="Times New Roman"/>
          <w:lang w:val="es-ES"/>
        </w:rPr>
        <w:t xml:space="preserve">  En el caso de los proyectos de Gestión Delegada, los proyectos serán aprobados por el Concejo Metropolitano a solicitud del Alcalde Metropolitano.</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Los pliegos y bases de los procesos licitatorios serán de única responsabilidad de la Autoridad Administrativa encargada del proceso, por lo que no se transferirá responsabilidad administrativa, civil o penal al Concejo Metropolitano.</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lang w:val="es-ES"/>
        </w:rPr>
        <w:t>Los pliegos no podrán cambiar o modificar los sustancial del proyecto aprobado, ni la matriz de asignación de riesgos.</w:t>
      </w:r>
    </w:p>
    <w:p w:rsidR="003D6CD7" w:rsidRPr="005803D9" w:rsidRDefault="00125FF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3D6CD7" w:rsidRPr="005803D9">
        <w:rPr>
          <w:rFonts w:ascii="Palatino Linotype" w:hAnsi="Palatino Linotype" w:cs="Times New Roman"/>
          <w:b/>
          <w:bCs/>
          <w:lang w:val="es-ES"/>
        </w:rPr>
        <w:t>Condición mínima de proponente privado.-</w:t>
      </w:r>
      <w:r w:rsidR="003D6CD7" w:rsidRPr="005803D9">
        <w:rPr>
          <w:rFonts w:ascii="Palatino Linotype" w:hAnsi="Palatino Linotype" w:cs="Times New Roman"/>
          <w:lang w:val="es-ES"/>
        </w:rPr>
        <w:t xml:space="preserve">  Sea para APP o para Alianza Estratégica, para que una propuesta privada inicie el análisis, como para de la documentación que corresponde a la presentación de la iniciativa, en la etapa de IDENTIFICACIÓN Y SELECCIÓN DE PROYECTOS, deberán acreditar que disponen de la capacidad financiera para cubrir el 30% del capital propio (</w:t>
      </w:r>
      <w:proofErr w:type="spellStart"/>
      <w:r w:rsidR="003D6CD7" w:rsidRPr="005803D9">
        <w:rPr>
          <w:rFonts w:ascii="Palatino Linotype" w:hAnsi="Palatino Linotype" w:cs="Times New Roman"/>
          <w:lang w:val="es-ES"/>
        </w:rPr>
        <w:t>equity</w:t>
      </w:r>
      <w:proofErr w:type="spellEnd"/>
      <w:r w:rsidR="003D6CD7" w:rsidRPr="005803D9">
        <w:rPr>
          <w:rFonts w:ascii="Palatino Linotype" w:hAnsi="Palatino Linotype" w:cs="Times New Roman"/>
          <w:lang w:val="es-ES"/>
        </w:rPr>
        <w:t>) previsto en el proyecto.</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La acreditación se realizará a través de la presentación de sus estados financieros auditados, o mediante la demostración que disponen de acceso y líneas de crédito para deuda subordinada o capital de trabajo.  En este caso, la carta será suscrita por el máximo representante del departamento de créditos de la entidad que emita el certificado, y contará con la documentación correspondiente que le acredite la capacidad de suscribir tales documentos.</w:t>
      </w:r>
    </w:p>
    <w:p w:rsidR="003D6CD7" w:rsidRPr="005803D9" w:rsidRDefault="00125FF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3D6CD7" w:rsidRPr="005803D9">
        <w:rPr>
          <w:rFonts w:ascii="Palatino Linotype" w:hAnsi="Palatino Linotype" w:cs="Times New Roman"/>
          <w:b/>
          <w:bCs/>
          <w:lang w:val="es-ES"/>
        </w:rPr>
        <w:t>Aprobaciones en Gestión Delegada.-</w:t>
      </w:r>
      <w:r w:rsidR="003D6CD7" w:rsidRPr="005803D9">
        <w:rPr>
          <w:rFonts w:ascii="Palatino Linotype" w:hAnsi="Palatino Linotype" w:cs="Times New Roman"/>
          <w:lang w:val="es-ES"/>
        </w:rPr>
        <w:t xml:space="preserve">  Los procesos de aprobación que le correspondan al Concejo Metropolitano, se generarán en cada etapa, conforme la siguiente relación:</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 xml:space="preserve">a.- Etapa de Planificación y Selección de Proyectos: Autoriza la ejecución del proyecto bajo Modalidad de Gestión Delegada, y que una EP gestione el Proyecto.   En caso de </w:t>
      </w:r>
      <w:r w:rsidRPr="005803D9">
        <w:rPr>
          <w:rFonts w:ascii="Palatino Linotype" w:hAnsi="Palatino Linotype" w:cs="Times New Roman"/>
          <w:lang w:val="es-ES"/>
        </w:rPr>
        <w:lastRenderedPageBreak/>
        <w:t>requerirse de un esquema tarifario o de tasas, se aprobarán los rangos de las mismos, y que la Alcaldía tenga la potestad de establecerla en función de los rangos autorizados</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b.- Etapa de Estructuración. Autoriza el modelo de negocio propuesto, y que la Alcaldía proceda a través de la Empresa Pública afín al proyecto, con el proceso de contratación.  En caso de requerirse cambios en los rangos tarifarios, se aprobarán para continuar el proceso.</w:t>
      </w:r>
    </w:p>
    <w:p w:rsidR="003D6CD7" w:rsidRPr="005803D9" w:rsidRDefault="00125FF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3D6CD7" w:rsidRPr="005803D9">
        <w:rPr>
          <w:rFonts w:ascii="Palatino Linotype" w:hAnsi="Palatino Linotype" w:cs="Times New Roman"/>
          <w:b/>
          <w:bCs/>
          <w:lang w:val="es-ES"/>
        </w:rPr>
        <w:t xml:space="preserve">Memorando de Entendimiento.- </w:t>
      </w:r>
      <w:r w:rsidR="003D6CD7" w:rsidRPr="005803D9">
        <w:rPr>
          <w:rFonts w:ascii="Palatino Linotype" w:hAnsi="Palatino Linotype" w:cs="Times New Roman"/>
          <w:lang w:val="es-ES"/>
        </w:rPr>
        <w:t>Una vez sea calificada la Iniciativa Privada en la etapa de IDENTIFICACIÓN Y SELECCIÓN DE PROYECTOS, sea por el Concejo Metropolitano o el Directorio de la Empresa Pública, según sea el mecanismo asociativo, se suscribirá un Memorando de Entendimiento entre las partes, en la cual el proponente se compromete a realizar los estudios de Factibilidad y de Estructuración, que serán posteriormente parte del proceso licitatorio, y acepta que en caso de perder la propuesta en la etapa licitatoria, recibirá como compensación el pago por los costos declarados y justificados.</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En el memorando de entendimiento se establecerán cronogramas de ejecución, así como las responsabilidades de las partes.</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En caso de requerirse procesos de expropiación, la Empresa Pública hará constar esta como su obligación.</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El plazo que se determine en el memorando, estará acompañado de una desestructuración de las actividades que deben realizarse, un cronograma, un análisis de ruta crítica, y un análisis de actores que requieren ser incorporados y consultados.  El Gerente de Proyecto será el encargado del mismo.</w:t>
      </w:r>
    </w:p>
    <w:p w:rsidR="003D6CD7" w:rsidRPr="005803D9" w:rsidRDefault="003D6CD7" w:rsidP="00BC4B45">
      <w:pPr>
        <w:jc w:val="both"/>
        <w:rPr>
          <w:rFonts w:ascii="Palatino Linotype" w:hAnsi="Palatino Linotype" w:cs="Times New Roman"/>
          <w:lang w:val="es-ES"/>
        </w:rPr>
      </w:pPr>
      <w:r w:rsidRPr="005803D9">
        <w:rPr>
          <w:rFonts w:ascii="Palatino Linotype" w:hAnsi="Palatino Linotype" w:cs="Times New Roman"/>
          <w:lang w:val="es-ES"/>
        </w:rPr>
        <w:t>En caso de requerirse ampliaciones o variaciones en el mismo, este será solicitado por cualquiera de las partes, y se aprobará con consentimiento expresado por escrito.  Los plazos podrán ampliarse en múltiples ocasiones, pero en un máximo acumulado de 6 meses.</w:t>
      </w:r>
    </w:p>
    <w:p w:rsidR="00B4410C" w:rsidRPr="005803D9" w:rsidRDefault="00125FF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cs="Times New Roman"/>
          <w:b/>
          <w:bCs/>
          <w:lang w:val="es-ES"/>
        </w:rPr>
        <w:t xml:space="preserve">Data </w:t>
      </w:r>
      <w:proofErr w:type="spellStart"/>
      <w:r w:rsidR="00B4410C" w:rsidRPr="005803D9">
        <w:rPr>
          <w:rFonts w:ascii="Palatino Linotype" w:hAnsi="Palatino Linotype" w:cs="Times New Roman"/>
          <w:b/>
          <w:bCs/>
          <w:lang w:val="es-ES"/>
        </w:rPr>
        <w:t>Room</w:t>
      </w:r>
      <w:proofErr w:type="spellEnd"/>
      <w:r w:rsidR="00B4410C" w:rsidRPr="005803D9">
        <w:rPr>
          <w:rFonts w:ascii="Palatino Linotype" w:hAnsi="Palatino Linotype" w:cs="Times New Roman"/>
          <w:b/>
          <w:bCs/>
          <w:lang w:val="es-ES"/>
        </w:rPr>
        <w:t>.-</w:t>
      </w:r>
      <w:r w:rsidR="00B4410C" w:rsidRPr="005803D9">
        <w:rPr>
          <w:rFonts w:ascii="Palatino Linotype" w:hAnsi="Palatino Linotype" w:cs="Times New Roman"/>
          <w:lang w:val="es-ES"/>
        </w:rPr>
        <w:t xml:space="preserve"> Tanto para los procesos APP, como para los procesos de Alianzas Estratégicas, con el inicio del proceso, la entidad encargada del proceso generará un DATA ROOM público, de acceso por medios electrónicos, en el cual se hará constar toda la información relativa al proyecto, incluyendo comunicaciones internas que no se consideren confidenciales, y elementos de propiedad intelectual o secreto industrial que pueda ser parte de una propuesta de iniciativa privada, en cualquier etapa del proyecto.</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 xml:space="preserve">Cada empresa pública establecerá un reglamento de estructuración y administración del Data </w:t>
      </w:r>
      <w:proofErr w:type="spellStart"/>
      <w:r w:rsidRPr="005803D9">
        <w:rPr>
          <w:rFonts w:ascii="Palatino Linotype" w:hAnsi="Palatino Linotype" w:cs="Times New Roman"/>
          <w:lang w:val="es-ES"/>
        </w:rPr>
        <w:t>Room</w:t>
      </w:r>
      <w:proofErr w:type="spellEnd"/>
      <w:r w:rsidRPr="005803D9">
        <w:rPr>
          <w:rFonts w:ascii="Palatino Linotype" w:hAnsi="Palatino Linotype" w:cs="Times New Roman"/>
          <w:lang w:val="es-ES"/>
        </w:rPr>
        <w:t>.</w:t>
      </w:r>
    </w:p>
    <w:p w:rsidR="003D6CD7"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lastRenderedPageBreak/>
        <w:t xml:space="preserve">Los funcionarios responsables del manejo de la información, tendrán un plazo máximo de 5 días para subir la información al Data </w:t>
      </w:r>
      <w:proofErr w:type="spellStart"/>
      <w:r w:rsidRPr="005803D9">
        <w:rPr>
          <w:rFonts w:ascii="Palatino Linotype" w:hAnsi="Palatino Linotype" w:cs="Times New Roman"/>
          <w:lang w:val="es-ES"/>
        </w:rPr>
        <w:t>Room</w:t>
      </w:r>
      <w:proofErr w:type="spellEnd"/>
      <w:r w:rsidRPr="005803D9">
        <w:rPr>
          <w:rFonts w:ascii="Palatino Linotype" w:hAnsi="Palatino Linotype" w:cs="Times New Roman"/>
          <w:lang w:val="es-ES"/>
        </w:rPr>
        <w:t>, a partir de su emisión.</w:t>
      </w:r>
    </w:p>
    <w:p w:rsidR="00B4410C" w:rsidRPr="005803D9" w:rsidRDefault="00B4410C" w:rsidP="00BC4B45">
      <w:pPr>
        <w:jc w:val="both"/>
        <w:rPr>
          <w:rFonts w:ascii="Palatino Linotype" w:hAnsi="Palatino Linotype" w:cs="Times New Roman"/>
          <w:lang w:val="es-ES"/>
        </w:rPr>
      </w:pPr>
    </w:p>
    <w:p w:rsidR="00B4410C" w:rsidRPr="005803D9" w:rsidRDefault="00B4410C" w:rsidP="00013012">
      <w:pPr>
        <w:jc w:val="center"/>
        <w:rPr>
          <w:rFonts w:ascii="Palatino Linotype" w:hAnsi="Palatino Linotype"/>
          <w:b/>
          <w:bCs/>
          <w:lang w:val="es-ES"/>
        </w:rPr>
      </w:pPr>
      <w:r w:rsidRPr="005803D9">
        <w:rPr>
          <w:rFonts w:ascii="Palatino Linotype" w:hAnsi="Palatino Linotype"/>
          <w:b/>
          <w:bCs/>
          <w:lang w:val="es-ES"/>
        </w:rPr>
        <w:t>Sección I. De las Alianzas Estratégicas</w:t>
      </w:r>
    </w:p>
    <w:p w:rsidR="00B4410C"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B4410C" w:rsidRPr="005803D9">
        <w:rPr>
          <w:rFonts w:ascii="Palatino Linotype" w:hAnsi="Palatino Linotype"/>
          <w:b/>
          <w:bCs/>
          <w:sz w:val="22"/>
          <w:szCs w:val="22"/>
          <w:lang w:val="es-ES"/>
        </w:rPr>
        <w:t>Prohibición de delegar servicios públicos.-</w:t>
      </w:r>
      <w:r w:rsidR="00B4410C" w:rsidRPr="005803D9">
        <w:rPr>
          <w:rFonts w:ascii="Palatino Linotype" w:hAnsi="Palatino Linotype"/>
          <w:sz w:val="22"/>
          <w:szCs w:val="22"/>
          <w:lang w:val="es-ES"/>
        </w:rPr>
        <w:t xml:space="preserve"> Ninguna empresa pública metropolitana, a pretexto de asociarse con un ente público, privado o de la economía popular y solidaria, podrá́ delegar a un tercero la prestación de un servicio público, que ha sido delegado a este. </w:t>
      </w:r>
    </w:p>
    <w:p w:rsidR="00412D17" w:rsidRPr="005803D9" w:rsidRDefault="00412D17" w:rsidP="00BC4B45">
      <w:pPr>
        <w:jc w:val="both"/>
        <w:rPr>
          <w:rFonts w:ascii="Palatino Linotype" w:hAnsi="Palatino Linotype"/>
          <w:lang w:val="es-ES"/>
        </w:rPr>
      </w:pPr>
    </w:p>
    <w:p w:rsidR="00B4410C" w:rsidRPr="005803D9" w:rsidRDefault="00B4410C" w:rsidP="00BC4B45">
      <w:pPr>
        <w:jc w:val="both"/>
        <w:rPr>
          <w:rFonts w:ascii="Palatino Linotype" w:hAnsi="Palatino Linotype"/>
          <w:lang w:val="es-ES"/>
        </w:rPr>
      </w:pPr>
      <w:r w:rsidRPr="005803D9">
        <w:rPr>
          <w:rFonts w:ascii="Palatino Linotype" w:hAnsi="Palatino Linotype"/>
          <w:lang w:val="es-ES"/>
        </w:rPr>
        <w:t xml:space="preserve">Para proceder con el procedimiento de </w:t>
      </w:r>
      <w:proofErr w:type="spellStart"/>
      <w:r w:rsidRPr="005803D9">
        <w:rPr>
          <w:rFonts w:ascii="Palatino Linotype" w:hAnsi="Palatino Linotype"/>
          <w:lang w:val="es-ES"/>
        </w:rPr>
        <w:t>asociatividad</w:t>
      </w:r>
      <w:proofErr w:type="spellEnd"/>
      <w:r w:rsidRPr="005803D9">
        <w:rPr>
          <w:rFonts w:ascii="Palatino Linotype" w:hAnsi="Palatino Linotype"/>
          <w:lang w:val="es-ES"/>
        </w:rPr>
        <w:t xml:space="preserve">, el Directorio de la Empresa Pública, como parte del proceso de aprobación, aprobará un informe del modelo de negocio y </w:t>
      </w:r>
      <w:proofErr w:type="spellStart"/>
      <w:r w:rsidRPr="005803D9">
        <w:rPr>
          <w:rFonts w:ascii="Palatino Linotype" w:hAnsi="Palatino Linotype"/>
          <w:lang w:val="es-ES"/>
        </w:rPr>
        <w:t>asociatividad</w:t>
      </w:r>
      <w:proofErr w:type="spellEnd"/>
      <w:r w:rsidRPr="005803D9">
        <w:rPr>
          <w:rFonts w:ascii="Palatino Linotype" w:hAnsi="Palatino Linotype"/>
          <w:lang w:val="es-ES"/>
        </w:rPr>
        <w:t>, incluyendo el enfoque legal, que presentará la Empresa Pública que justifique que el proyecto no implica una delegación de la responsabilidad, sino un proceso para cumplir sus objetivos estratégicos.</w:t>
      </w:r>
    </w:p>
    <w:p w:rsidR="00B4410C" w:rsidRPr="005803D9" w:rsidRDefault="00412D17" w:rsidP="00BC4B45">
      <w:pPr>
        <w:jc w:val="both"/>
        <w:rPr>
          <w:rFonts w:ascii="Palatino Linotype" w:hAnsi="Palatino Linotype"/>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b/>
          <w:bCs/>
          <w:lang w:val="es-ES"/>
        </w:rPr>
        <w:t>Presupuesto y contabilización pública.-</w:t>
      </w:r>
      <w:r w:rsidR="00B4410C" w:rsidRPr="005803D9">
        <w:rPr>
          <w:rFonts w:ascii="Palatino Linotype" w:hAnsi="Palatino Linotype"/>
          <w:lang w:val="es-ES"/>
        </w:rPr>
        <w:t xml:space="preserve"> Todos los proyectos que se ejecuten bajo Alianzas Estratégicas, serán registrados en las cuentas públicas sus transacciones, incluyendo los compromisos firmes y contingentes originados en estos, sobre la base de las normas técnicas internacionales de contabilidad para el sector público (IPSAS) y los lineamientos determinados por el Ministerio Rector de las Finanzas Públicas.</w:t>
      </w:r>
    </w:p>
    <w:p w:rsidR="00B4410C"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B4410C" w:rsidRPr="005803D9">
        <w:rPr>
          <w:rFonts w:ascii="Palatino Linotype" w:hAnsi="Palatino Linotype"/>
          <w:b/>
          <w:bCs/>
          <w:sz w:val="22"/>
          <w:szCs w:val="22"/>
          <w:lang w:val="es-ES"/>
        </w:rPr>
        <w:t xml:space="preserve">De los riesgos y su distribución.- </w:t>
      </w:r>
      <w:r w:rsidR="00B4410C" w:rsidRPr="005803D9">
        <w:rPr>
          <w:rFonts w:ascii="Palatino Linotype" w:hAnsi="Palatino Linotype"/>
          <w:sz w:val="22"/>
          <w:szCs w:val="22"/>
          <w:lang w:val="es-ES"/>
        </w:rPr>
        <w:t>En los proyectos que se ejecuten bajo esta sección, se distribuirán los riesgos entre los sectores público y privado, asignándolos a aquel con mayores capacidades para administrarlos a un menor costo, y teniendo en consideración el interés público y el tipo de proyecto.</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La distribución constará en una matriz de riegos, instrumento que se elaborará desde la preparación del perfil de proyecto. La matriz de distribución de riesgos variará en su nivel de detalle según corresponda a los estudios de </w:t>
      </w:r>
      <w:proofErr w:type="spellStart"/>
      <w:r w:rsidRPr="005803D9">
        <w:rPr>
          <w:rFonts w:ascii="Palatino Linotype" w:hAnsi="Palatino Linotype"/>
          <w:sz w:val="22"/>
          <w:szCs w:val="22"/>
          <w:lang w:val="es-ES"/>
        </w:rPr>
        <w:t>prefactibilidad</w:t>
      </w:r>
      <w:proofErr w:type="spellEnd"/>
      <w:r w:rsidRPr="005803D9">
        <w:rPr>
          <w:rFonts w:ascii="Palatino Linotype" w:hAnsi="Palatino Linotype"/>
          <w:sz w:val="22"/>
          <w:szCs w:val="22"/>
          <w:lang w:val="es-ES"/>
        </w:rPr>
        <w:t xml:space="preserve"> o de factibilidad y su respectiva evaluación.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Los derechos y obligaciones del aliado estratégico se definirán en el correspondiente contrato de alianza estratégico, en función de la matriz de distribución de riesgos con la que se hubiera concluido la estructuración del proyecto, sin perjuicio de aquellos derechos y obligaciones que correspondan al nivel del servicio y/o de los indicadores de cumplimiento de los objetivos establecidos por la entidad delegante para el proyecto del que se trate.</w:t>
      </w:r>
    </w:p>
    <w:p w:rsidR="00B4410C" w:rsidRPr="005803D9" w:rsidRDefault="00B4410C" w:rsidP="00BC4B45">
      <w:pPr>
        <w:jc w:val="both"/>
        <w:rPr>
          <w:rFonts w:ascii="Palatino Linotype" w:hAnsi="Palatino Linotype" w:cs="Times New Roman"/>
          <w:lang w:val="es-ES"/>
        </w:rPr>
      </w:pP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lastRenderedPageBreak/>
        <w:t>Se emplearán los lineamientos de riesgos emitidos por el Ente Rector de las Finanzas Públicas, así como las matrices internacionales de riesgos emitidas por organismos globales o regionales, conforme la tipología del proyecto.</w:t>
      </w:r>
    </w:p>
    <w:p w:rsidR="00B4410C"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cs="Times New Roman"/>
          <w:b/>
          <w:bCs/>
          <w:lang w:val="es-ES"/>
        </w:rPr>
        <w:t>Aprobaciones de los proyectos.-</w:t>
      </w:r>
      <w:r w:rsidR="00B4410C" w:rsidRPr="005803D9">
        <w:rPr>
          <w:rFonts w:ascii="Palatino Linotype" w:hAnsi="Palatino Linotype" w:cs="Times New Roman"/>
          <w:lang w:val="es-ES"/>
        </w:rPr>
        <w:t xml:space="preserve">  Los proyectos serán autorizados por el Directorio de la Empresa Pública, a solicitud del Gerente General.</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En todos los casos, los proyectos contarán con los informes y estudios, conforme las etapas que se presenten, para proceder con su aprobación.</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Para la aprobación del Directorio, se requerirán los informes de conveniencia por parte de las Secretarías integrantes del Directorio, en la etapa de Identificación y Selección de Proyectos.  Una vez aprobado el proyecto, se requerirá la actualización de los informes únicamente cuando existan variaciones sustanciales en los rangos tarifarios o en el Alcance aprobado.</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Los pliegos y bases de</w:t>
      </w:r>
      <w:r w:rsidR="00013012" w:rsidRPr="005803D9">
        <w:rPr>
          <w:rFonts w:ascii="Palatino Linotype" w:hAnsi="Palatino Linotype" w:cs="Times New Roman"/>
          <w:lang w:val="es-ES"/>
        </w:rPr>
        <w:t xml:space="preserve"> </w:t>
      </w:r>
      <w:r w:rsidRPr="005803D9">
        <w:rPr>
          <w:rFonts w:ascii="Palatino Linotype" w:hAnsi="Palatino Linotype" w:cs="Times New Roman"/>
          <w:lang w:val="es-ES"/>
        </w:rPr>
        <w:t>l</w:t>
      </w:r>
      <w:r w:rsidR="00013012" w:rsidRPr="005803D9">
        <w:rPr>
          <w:rFonts w:ascii="Palatino Linotype" w:hAnsi="Palatino Linotype" w:cs="Times New Roman"/>
          <w:lang w:val="es-ES"/>
        </w:rPr>
        <w:t>os</w:t>
      </w:r>
      <w:r w:rsidRPr="005803D9">
        <w:rPr>
          <w:rFonts w:ascii="Palatino Linotype" w:hAnsi="Palatino Linotype" w:cs="Times New Roman"/>
          <w:lang w:val="es-ES"/>
        </w:rPr>
        <w:t xml:space="preserve"> </w:t>
      </w:r>
      <w:r w:rsidR="00013012" w:rsidRPr="005803D9">
        <w:rPr>
          <w:rFonts w:ascii="Palatino Linotype" w:hAnsi="Palatino Linotype" w:cs="Times New Roman"/>
          <w:lang w:val="es-ES"/>
        </w:rPr>
        <w:t>procesos licitatorios</w:t>
      </w:r>
      <w:r w:rsidRPr="005803D9">
        <w:rPr>
          <w:rFonts w:ascii="Palatino Linotype" w:hAnsi="Palatino Linotype" w:cs="Times New Roman"/>
          <w:lang w:val="es-ES"/>
        </w:rPr>
        <w:t xml:space="preserve"> serán de única responsabilidad del Gerente General, por lo que no se transferirá responsabilidad administrativa, civil o penal al Directorio de la Empresa Pública.</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Los pliegos no podrán cambiar o modificar los sustancial del proyecto aprobado, ni la matriz de asignación de riesgos.</w:t>
      </w:r>
    </w:p>
    <w:p w:rsidR="00B4410C"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cs="Times New Roman"/>
          <w:b/>
          <w:bCs/>
          <w:lang w:val="es-ES"/>
        </w:rPr>
        <w:t>Alcance del proyecto y niveles de servicio.-</w:t>
      </w:r>
      <w:r w:rsidR="00B4410C" w:rsidRPr="005803D9">
        <w:rPr>
          <w:rFonts w:ascii="Palatino Linotype" w:hAnsi="Palatino Linotype" w:cs="Times New Roman"/>
          <w:lang w:val="es-ES"/>
        </w:rPr>
        <w:t xml:space="preserve">  El proyecto tendrá plenamente definido el alcance del proyecto, conforme las prácticas internacionales del sector, en la cual se determinen las obras y/o servicios que serán ejecutados, la funcionalidad y serviciabilidad de los mismos, y los niveles de servicio (mantenimiento y operación) que tendrá el proyecto en el tiempo del contrato y con los cuales será supervisado el proyecto, así como las normas y especificaciones técnicas con las cuales será recibido el proyecto al momento de conclusión del contrato.</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El alcance del proyecto, no estará sujeto a parámetros tecnológicos, sino de funcionalidad y serviciabilidad.</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Como parte del alcance, se definirán las especificaciones técnicas (normas), mediante la cual se realizarán los estudios, construcción, reconstrucción, rehabilitación, mejoramiento y mantenimiento, apegados a normativa técnica nacional e internacional.</w:t>
      </w:r>
    </w:p>
    <w:p w:rsidR="00B4410C"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cs="Times New Roman"/>
          <w:b/>
          <w:bCs/>
          <w:lang w:val="es-ES"/>
        </w:rPr>
        <w:t>Proceso licitatorio.-</w:t>
      </w:r>
      <w:r w:rsidR="00B4410C" w:rsidRPr="005803D9">
        <w:rPr>
          <w:rFonts w:ascii="Palatino Linotype" w:hAnsi="Palatino Linotype" w:cs="Times New Roman"/>
          <w:lang w:val="es-ES"/>
        </w:rPr>
        <w:t xml:space="preserve">  Todos los procesos de iniciativa privada o pública, sean presentados por empresas públicas o privadas, serán sometidos a proceso licitatorio, en el cual el proponente obtendrá una preferencia de 10 puntos porcentuales en la calificación.</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lastRenderedPageBreak/>
        <w:t>En el caso de procesos de iniciativa de empresas públicas, el concurso será realizado solo con empresas públicas de la comunidad nacional e internacional, sin que estas sean asociadas o consorciadas con un tercero privado.</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En el caso de empresas de la comunidad internacional que operen bajo figuras jurídicas como sociedades o compañías, se considerarán públicas cuando el paquete accionario perteneciente a la entidad del estado sea igual o mayor al 50%.</w:t>
      </w:r>
    </w:p>
    <w:p w:rsidR="00B4410C"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cs="Times New Roman"/>
          <w:b/>
          <w:bCs/>
          <w:lang w:val="es-ES"/>
        </w:rPr>
        <w:t>Iniciativas de proponentes externos o iniciativa privada.-</w:t>
      </w:r>
      <w:r w:rsidR="00B4410C" w:rsidRPr="005803D9">
        <w:rPr>
          <w:rFonts w:ascii="Palatino Linotype" w:hAnsi="Palatino Linotype" w:cs="Times New Roman"/>
          <w:lang w:val="es-ES"/>
        </w:rPr>
        <w:t xml:space="preserve"> Los proponentes externos, presentarán sus iniciativas a la Empresa Pública, a través de la Gerencia General.</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Como parte de la propuesta, se presentará un análisis legal que motive el por qué el proyecto deberá ser ejecutado como Alianza Estratégica, el cual será calificado por el Directorio de la EP.</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Las iniciativas externas, no buscarán exclusividad sobre temas tecnológicos, sino de funcionalidad y serviciabilidad al problema u oportunidad detectado.</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No se podrán considerar proyectos de iniciativa privada, a aquellos que la entidad ya los haya calificado por el Directorio en la etapa de Identificación y Selección de Proyectos.</w:t>
      </w:r>
    </w:p>
    <w:p w:rsidR="00B4410C"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cs="Times New Roman"/>
          <w:b/>
          <w:bCs/>
          <w:lang w:val="es-ES"/>
        </w:rPr>
        <w:t>Iniciativas públicas.-</w:t>
      </w:r>
      <w:r w:rsidR="00B4410C" w:rsidRPr="005803D9">
        <w:rPr>
          <w:rFonts w:ascii="Palatino Linotype" w:hAnsi="Palatino Linotype" w:cs="Times New Roman"/>
          <w:lang w:val="es-ES"/>
        </w:rPr>
        <w:t xml:space="preserve"> Serán todas aquellos proyectos que las unidades funcionales y de negocio de la EP, considere en el plan estratégico de la EP deban ser ejecutados por mecanismos asociativo.</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Los proyectos deberán superar todas las etapas indicadas en la presente sección.</w:t>
      </w:r>
    </w:p>
    <w:p w:rsidR="00B4410C"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cs="Times New Roman"/>
          <w:b/>
          <w:bCs/>
          <w:lang w:val="es-ES"/>
        </w:rPr>
        <w:t>Etapas de Alianza Estratégica.-</w:t>
      </w:r>
      <w:r w:rsidR="00B4410C" w:rsidRPr="005803D9">
        <w:rPr>
          <w:rFonts w:ascii="Palatino Linotype" w:hAnsi="Palatino Linotype" w:cs="Times New Roman"/>
          <w:lang w:val="es-ES"/>
        </w:rPr>
        <w:t xml:space="preserve"> Las etapas previstas en una alianza estratégica serán:</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1.- Planificación y Selección de Proyecto:</w:t>
      </w:r>
      <w:r w:rsidRPr="005803D9">
        <w:rPr>
          <w:rFonts w:ascii="Palatino Linotype" w:hAnsi="Palatino Linotype"/>
          <w:sz w:val="22"/>
          <w:szCs w:val="22"/>
          <w:lang w:val="es-ES"/>
        </w:rPr>
        <w:t xml:space="preserve"> La planificación y selección de proyectos es la fase del ciclo de proyectos destinada a cumplir los siguientes objetivos: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(a) Elaborar el perfil de proyecto y preparar los estudios sociales, ambientales, técnicos, económicos y jurídicos a nivel de </w:t>
      </w:r>
      <w:proofErr w:type="spellStart"/>
      <w:r w:rsidRPr="005803D9">
        <w:rPr>
          <w:rFonts w:ascii="Palatino Linotype" w:hAnsi="Palatino Linotype"/>
          <w:sz w:val="22"/>
          <w:szCs w:val="22"/>
          <w:lang w:val="es-ES"/>
        </w:rPr>
        <w:t>prefactibilidad</w:t>
      </w:r>
      <w:proofErr w:type="spellEnd"/>
      <w:r w:rsidRPr="005803D9">
        <w:rPr>
          <w:rFonts w:ascii="Palatino Linotype" w:hAnsi="Palatino Linotype"/>
          <w:sz w:val="22"/>
          <w:szCs w:val="22"/>
          <w:lang w:val="es-ES"/>
        </w:rPr>
        <w:t xml:space="preserve">.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Los proyectos incluirán la información requerida por el ente rector de las finanzas públicas para la evaluación preliminar de sostenibilidad y riesgos fiscales relacionados con el proyecto y su modalidad.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(c) Determinar la conveniencia del empleo de la modalidad de Alianza Estratégica y que se ajuste a los objetivos estratégicos de la Empresa Pública</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(d) Incorporar el proyecto en Portafolio de proyectos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(e) Incorporar el proyecto en los instrumentos de planificación de la inversión pública y financiera, en caso de que el financiamiento afecte el presupuesto público.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La fase de planificación y selección de proyectos inicia con un perfil del proyecto promovido por la entidad delegante o presentado por el proponente privado, y concluye con su incorporación en los instrumentos de planificación material y financiera públicas, y asignación del puntaje preferente, el que será aprobado por el Directorio de la EP.</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En caso de requerirse modificación de tasas o tarifas existentes para la recuperación de la inversión del inversor, o la creación de nuevas, se remitirá el proyecto al Concejo Metropolitano para que autorice los rangos con los cuales operará el proyecto.  Previamente se solicitarán los informes correspondientes a las Unidades de Planificación y Financieras de la Administración Municipal.</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En esta fase no se requerirán estudios de disponibilidad de pago.</w:t>
      </w:r>
    </w:p>
    <w:p w:rsidR="00B4410C" w:rsidRPr="005803D9" w:rsidRDefault="00B4410C" w:rsidP="00BC4B45">
      <w:pPr>
        <w:pStyle w:val="NormalWeb"/>
        <w:spacing w:before="0" w:beforeAutospacing="0" w:after="0" w:afterAutospacing="0"/>
        <w:jc w:val="both"/>
        <w:rPr>
          <w:rFonts w:ascii="Palatino Linotype" w:hAnsi="Palatino Linotype"/>
          <w:b/>
          <w:bCs/>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2.- Estructuración:</w:t>
      </w:r>
      <w:r w:rsidRPr="005803D9">
        <w:rPr>
          <w:rFonts w:ascii="Palatino Linotype" w:hAnsi="Palatino Linotype"/>
          <w:sz w:val="22"/>
          <w:szCs w:val="22"/>
          <w:lang w:val="es-ES"/>
        </w:rPr>
        <w:t xml:space="preserve"> La estructuración de proyectos en la modalidad de Alianza Estratégica es la etapa del ciclo de proyectos destinada a cumplir los siguientes objetivos: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(a) Concluir y ajustar los estudios del proyecto a nivel de factibilidad y su evaluación ambiental, social, técnica, económico-financiera y jurídica.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Realizar un sondeo de mercado preliminar.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(c) Resolver sobre la viabilidad del proyecto con base en los estudios realizados.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(d) Formular, ajustar y aprobar el pliego de bases administrativas, técnicas y económico- financieras para el respectivo concurso público, y el modelo de contrato o contratos para acometer la delegación de gestión del proyecto.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(e) Lograr la aprobación del Directorio de la Empresa respecto del caso de negocio final y la </w:t>
      </w:r>
      <w:proofErr w:type="spellStart"/>
      <w:r w:rsidRPr="005803D9">
        <w:rPr>
          <w:rFonts w:ascii="Palatino Linotype" w:hAnsi="Palatino Linotype"/>
          <w:sz w:val="22"/>
          <w:szCs w:val="22"/>
          <w:lang w:val="es-ES"/>
        </w:rPr>
        <w:t>bancabilidad</w:t>
      </w:r>
      <w:proofErr w:type="spellEnd"/>
      <w:r w:rsidRPr="005803D9">
        <w:rPr>
          <w:rFonts w:ascii="Palatino Linotype" w:hAnsi="Palatino Linotype"/>
          <w:sz w:val="22"/>
          <w:szCs w:val="22"/>
          <w:lang w:val="es-ES"/>
        </w:rPr>
        <w:t xml:space="preserve"> del proyecto, incluyendo la evaluación favorable del Informe de Sostenibilidad y Riesgos Fiscales.</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(f) Emitir las partidas presupuestarias para el caso de requerirse aportes institucionales, no provenientes de las tasas y/o tarifas.</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lastRenderedPageBreak/>
        <w:t>Esta etapa inicia con los actos o contratos para el desarrollo de los estudios del proyecto a nivel de factibilidad y concluye con la autorización del Directorio para procederse con la Etapa Contractual.</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En caso de que luego de realizar el estudio al nivel requerido, se determine el requerimiento de modificar los esquemas tarifarios autorizados por el Concejo Metropolitano en la etapa de Identificación y Selección de Proyectos, se solicitará la actualización de los mismos, conforme el procedimiento indicado anteriormente.</w:t>
      </w:r>
    </w:p>
    <w:p w:rsidR="00B4410C" w:rsidRPr="005803D9" w:rsidRDefault="00B4410C" w:rsidP="00BC4B45">
      <w:pPr>
        <w:pStyle w:val="NormalWeb"/>
        <w:spacing w:before="0" w:beforeAutospacing="0" w:after="0" w:afterAutospacing="0"/>
        <w:jc w:val="both"/>
        <w:rPr>
          <w:rFonts w:ascii="Palatino Linotype" w:hAnsi="Palatino Linotype"/>
          <w:b/>
          <w:bCs/>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3. Concurso público y contratación:</w:t>
      </w:r>
      <w:r w:rsidRPr="005803D9">
        <w:rPr>
          <w:rFonts w:ascii="Palatino Linotype" w:hAnsi="Palatino Linotype"/>
          <w:sz w:val="22"/>
          <w:szCs w:val="22"/>
          <w:lang w:val="es-ES"/>
        </w:rPr>
        <w:t xml:space="preserve"> La etapa de contratación tiene por objetivo seleccionar al Aliado Estratégico que llevará a cabo el proyecto.</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La fase de contratación inicia con la convocatoria a concurso público y concluye con la suscripción del contrato de Alianza Estratégica.</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En esta etapa el principal criterio de selección, de </w:t>
      </w:r>
      <w:r w:rsidR="00013B0A" w:rsidRPr="005803D9">
        <w:rPr>
          <w:rFonts w:ascii="Palatino Linotype" w:hAnsi="Palatino Linotype"/>
          <w:sz w:val="22"/>
          <w:szCs w:val="22"/>
          <w:lang w:val="es-ES"/>
        </w:rPr>
        <w:t>las ofertas</w:t>
      </w:r>
      <w:r w:rsidRPr="005803D9">
        <w:rPr>
          <w:rFonts w:ascii="Palatino Linotype" w:hAnsi="Palatino Linotype"/>
          <w:sz w:val="22"/>
          <w:szCs w:val="22"/>
          <w:lang w:val="es-ES"/>
        </w:rPr>
        <w:t xml:space="preserve"> que hayan cumplido requerimientos de elegibilidad con conceptos de BEST VALUE, es que la propuesta sobre la base del cumplimiento del alcance y niveles de servicio establecidos, genere el mayor Valor por Dinero.</w:t>
      </w:r>
    </w:p>
    <w:p w:rsidR="00B4410C" w:rsidRPr="005803D9" w:rsidRDefault="00B4410C" w:rsidP="00BC4B45">
      <w:pPr>
        <w:pStyle w:val="NormalWeb"/>
        <w:spacing w:before="0" w:beforeAutospacing="0" w:after="0" w:afterAutospacing="0"/>
        <w:jc w:val="both"/>
        <w:rPr>
          <w:rFonts w:ascii="Palatino Linotype" w:hAnsi="Palatino Linotype"/>
          <w:b/>
          <w:bCs/>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4. Ejecución y Seguimiento Continuo: </w:t>
      </w:r>
      <w:r w:rsidRPr="005803D9">
        <w:rPr>
          <w:rFonts w:ascii="Palatino Linotype" w:hAnsi="Palatino Linotype"/>
          <w:sz w:val="22"/>
          <w:szCs w:val="22"/>
          <w:lang w:val="es-ES"/>
        </w:rPr>
        <w:t xml:space="preserve">Los objetivos de la etapa de ejecución y seguimiento son: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(a) Conseguir los resultados, en bienes y/o servicios, de acuerdo con el alcance del proyecto e indicadores o niveles de servicio previstos en el contrato y sus documentos, y asegurar su provisión continua durante la vigencia del contrato.</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Monitorear el cumplimiento y satisfacción de los derechos y obligaciones contractuales de cada participante en la ejecución del proyecto y, en su caso, adoptar las medidas adecuadas para corregir los desvíos.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(c) Asegurar la integración del proyecto en el sistema general infraestructura y servicios provistos por la Empresa Pública, conforme ha sido planificado material y financieramente. </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(d) Hacer el monitoreo de los riesgos, y tomar las medidas de contingencia previstas, así como de manera permanente evaluar la evolución del Valor por Dinero previsto y generado.</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La etapa inicia con la suscripción del contrato</w:t>
      </w:r>
      <w:r w:rsidR="0049004B" w:rsidRPr="005803D9">
        <w:rPr>
          <w:rFonts w:ascii="Palatino Linotype" w:hAnsi="Palatino Linotype"/>
          <w:sz w:val="22"/>
          <w:szCs w:val="22"/>
          <w:lang w:val="es-ES"/>
        </w:rPr>
        <w:t xml:space="preserve"> y concluye con el informe final</w:t>
      </w:r>
      <w:r w:rsidRPr="005803D9">
        <w:rPr>
          <w:rFonts w:ascii="Palatino Linotype" w:hAnsi="Palatino Linotype"/>
          <w:sz w:val="22"/>
          <w:szCs w:val="22"/>
          <w:lang w:val="es-ES"/>
        </w:rPr>
        <w:t xml:space="preserve"> de evaluación a la terminación del contrato</w:t>
      </w:r>
      <w:r w:rsidR="0049004B" w:rsidRPr="005803D9">
        <w:rPr>
          <w:rFonts w:ascii="Palatino Linotype" w:hAnsi="Palatino Linotype"/>
          <w:sz w:val="22"/>
          <w:szCs w:val="22"/>
          <w:lang w:val="es-ES"/>
        </w:rPr>
        <w:t>.</w:t>
      </w:r>
    </w:p>
    <w:p w:rsidR="00B4410C" w:rsidRPr="005803D9" w:rsidRDefault="00B4410C" w:rsidP="00BC4B45">
      <w:pPr>
        <w:pStyle w:val="NormalWeb"/>
        <w:spacing w:before="0" w:beforeAutospacing="0" w:after="0" w:afterAutospacing="0"/>
        <w:jc w:val="both"/>
        <w:rPr>
          <w:rFonts w:ascii="Palatino Linotype" w:hAnsi="Palatino Linotype"/>
          <w:b/>
          <w:bCs/>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lastRenderedPageBreak/>
        <w:t>5.- Finalización y cierre contractual.-</w:t>
      </w:r>
      <w:r w:rsidRPr="005803D9">
        <w:rPr>
          <w:rFonts w:ascii="Palatino Linotype" w:hAnsi="Palatino Linotype"/>
          <w:sz w:val="22"/>
          <w:szCs w:val="22"/>
          <w:lang w:val="es-ES"/>
        </w:rPr>
        <w:t xml:space="preserve"> En esta etapa, contempla el período final de cierre del proyecto.</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En los casos donde la Alianza Estratégica haya contemplado la ejecución de obras, al cierre del proyecto el Aliado Estratégico deberá realizar un mantenimiento periódico que garantice al menos un período de 2 años hasta el siguiente mantenimiento programado, siempre que la EP mantenga el plan de mantenimiento establecido por el Aliado para cumplir los niveles de servicio.</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spacing w:after="0"/>
        <w:jc w:val="both"/>
        <w:rPr>
          <w:rFonts w:ascii="Palatino Linotype" w:hAnsi="Palatino Linotype"/>
          <w:lang w:val="es-ES"/>
        </w:rPr>
      </w:pPr>
      <w:r w:rsidRPr="005803D9">
        <w:rPr>
          <w:rFonts w:ascii="Palatino Linotype" w:hAnsi="Palatino Linotype"/>
          <w:lang w:val="es-ES"/>
        </w:rPr>
        <w:t xml:space="preserve">En todos los casos, la entidad gestora del contrato, realizará el proceso de finalización con el tiempo suficiente para </w:t>
      </w:r>
      <w:r w:rsidR="0049004B" w:rsidRPr="005803D9">
        <w:rPr>
          <w:rFonts w:ascii="Palatino Linotype" w:hAnsi="Palatino Linotype"/>
          <w:lang w:val="es-ES"/>
        </w:rPr>
        <w:t>que,</w:t>
      </w:r>
      <w:r w:rsidRPr="005803D9">
        <w:rPr>
          <w:rFonts w:ascii="Palatino Linotype" w:hAnsi="Palatino Linotype"/>
          <w:lang w:val="es-ES"/>
        </w:rPr>
        <w:t xml:space="preserve"> a la fecha de terminación contractual, el proyecto sea de inmediato recibido por esta.</w:t>
      </w:r>
    </w:p>
    <w:p w:rsidR="00B4410C" w:rsidRPr="005803D9" w:rsidRDefault="00B4410C" w:rsidP="00BC4B45">
      <w:pPr>
        <w:spacing w:after="0"/>
        <w:jc w:val="both"/>
        <w:rPr>
          <w:rFonts w:ascii="Palatino Linotype" w:hAnsi="Palatino Linotype"/>
          <w:lang w:val="es-ES"/>
        </w:rPr>
      </w:pPr>
    </w:p>
    <w:p w:rsidR="00B4410C"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B4410C" w:rsidRPr="005803D9">
        <w:rPr>
          <w:rFonts w:ascii="Palatino Linotype" w:hAnsi="Palatino Linotype" w:cs="Times New Roman"/>
          <w:b/>
          <w:bCs/>
          <w:lang w:val="es-ES"/>
        </w:rPr>
        <w:t>Rangos tarifarios.-</w:t>
      </w:r>
      <w:r w:rsidR="00B4410C" w:rsidRPr="005803D9">
        <w:rPr>
          <w:rFonts w:ascii="Palatino Linotype" w:hAnsi="Palatino Linotype" w:cs="Times New Roman"/>
          <w:lang w:val="es-ES"/>
        </w:rPr>
        <w:t xml:space="preserve">  Como parte de la identificación y selección de proyectos, se establecerán los mecanismos de contraprestación hacia el Aliado Estratégico.   En caso de requerirse la creación o modificación de tarifas o tasas municipales, estas serán puestas a consideración del Concejo Metropolitano desde la etapa de Identificación, para que autorice las mismas en rangos.</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En caso de que en la Etapa de Estructuración se requiera modificar los rangos establecidos, nuevamente serán sometidos a aprobación del Concejo Metropolitano.</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Las ofertas no podrán superar los rangos determinados.</w:t>
      </w:r>
    </w:p>
    <w:p w:rsidR="00B4410C" w:rsidRPr="005803D9" w:rsidRDefault="00B4410C" w:rsidP="00BC4B45">
      <w:pPr>
        <w:jc w:val="both"/>
        <w:rPr>
          <w:rFonts w:ascii="Palatino Linotype" w:hAnsi="Palatino Linotype" w:cs="Times New Roman"/>
          <w:lang w:val="es-ES"/>
        </w:rPr>
      </w:pP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Una vez adjudicado el Contrato, el Alcalde podrá establecer la resolución de las tarifas conforme los requerimientos de la oferta adjudicada.</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Los rangos tarifarios estarán sujetos a ajustes por procesos inflacionarios.</w:t>
      </w:r>
    </w:p>
    <w:p w:rsidR="00B4410C" w:rsidRPr="005803D9" w:rsidRDefault="00B4410C" w:rsidP="00BC4B45">
      <w:pPr>
        <w:jc w:val="both"/>
        <w:rPr>
          <w:rFonts w:ascii="Palatino Linotype" w:hAnsi="Palatino Linotype" w:cs="Times New Roman"/>
          <w:lang w:val="es-ES"/>
        </w:rPr>
      </w:pPr>
      <w:r w:rsidRPr="005803D9">
        <w:rPr>
          <w:rFonts w:ascii="Palatino Linotype" w:hAnsi="Palatino Linotype" w:cs="Times New Roman"/>
          <w:lang w:val="es-ES"/>
        </w:rPr>
        <w:t>En caso de que se requieran variaciones a los rangos tarifarios por eventos de fuerza mayor, se presentarán informes actualizados de sostenibilidad y riesgos, valor por dinero, y de reestructuración del proyecto, como parte del proceso de aprobación por parte del Concejo Metropolitano.</w:t>
      </w:r>
    </w:p>
    <w:p w:rsidR="00B4410C" w:rsidRPr="005803D9" w:rsidRDefault="00B4410C" w:rsidP="00BC4B45">
      <w:pPr>
        <w:spacing w:after="0"/>
        <w:jc w:val="both"/>
        <w:rPr>
          <w:rFonts w:ascii="Palatino Linotype" w:hAnsi="Palatino Linotype" w:cs="Times New Roman"/>
          <w:lang w:val="es-ES"/>
        </w:rPr>
      </w:pPr>
      <w:r w:rsidRPr="005803D9">
        <w:rPr>
          <w:rFonts w:ascii="Palatino Linotype" w:hAnsi="Palatino Linotype" w:cs="Times New Roman"/>
          <w:lang w:val="es-ES"/>
        </w:rPr>
        <w:t>La Administración Central de la EP determinará mediante un instructivo los informes adicionales que se requieran, conforme el tipo de proyecto.</w:t>
      </w:r>
    </w:p>
    <w:p w:rsidR="00B4410C" w:rsidRPr="005803D9" w:rsidRDefault="00B4410C" w:rsidP="00BC4B45">
      <w:pPr>
        <w:spacing w:after="0"/>
        <w:jc w:val="both"/>
        <w:rPr>
          <w:rFonts w:ascii="Palatino Linotype" w:hAnsi="Palatino Linotype"/>
          <w:lang w:val="es-ES"/>
        </w:rPr>
      </w:pPr>
    </w:p>
    <w:p w:rsidR="00B4410C"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B4410C" w:rsidRPr="005803D9">
        <w:rPr>
          <w:rFonts w:ascii="Palatino Linotype" w:hAnsi="Palatino Linotype"/>
          <w:b/>
          <w:bCs/>
          <w:sz w:val="22"/>
          <w:szCs w:val="22"/>
          <w:lang w:val="es-ES"/>
        </w:rPr>
        <w:t>Gerente de Proyecto.-</w:t>
      </w:r>
      <w:r w:rsidR="00B4410C" w:rsidRPr="005803D9">
        <w:rPr>
          <w:rFonts w:ascii="Palatino Linotype" w:hAnsi="Palatino Linotype"/>
          <w:sz w:val="22"/>
          <w:szCs w:val="22"/>
          <w:lang w:val="es-ES"/>
        </w:rPr>
        <w:t xml:space="preserve"> Desde el momento que el proyecto ha sido calificado y aprobado en la etapa de Identificación y Planeamiento, la entidad encargada del proceso, designará a un Gerente de Proyecto, quién llevará al proyecto en todas las etapas siguientes, y que en la etapa de ejecución coordinará las acciones con el </w:t>
      </w:r>
      <w:r w:rsidR="00B4410C" w:rsidRPr="005803D9">
        <w:rPr>
          <w:rFonts w:ascii="Palatino Linotype" w:hAnsi="Palatino Linotype"/>
          <w:sz w:val="22"/>
          <w:szCs w:val="22"/>
          <w:lang w:val="es-ES"/>
        </w:rPr>
        <w:lastRenderedPageBreak/>
        <w:t>Administrador y Fiscalizador contractual, y entre otras consideraciones será quien generará los controles necesarios para el monitoreo del cumplimiento de riesgos y la generación de valor por dinero.</w:t>
      </w:r>
    </w:p>
    <w:p w:rsidR="00B4410C" w:rsidRPr="005803D9" w:rsidRDefault="00B4410C"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B4410C" w:rsidP="00BC4B45">
      <w:pPr>
        <w:spacing w:after="0"/>
        <w:jc w:val="both"/>
        <w:rPr>
          <w:rFonts w:ascii="Palatino Linotype" w:hAnsi="Palatino Linotype"/>
          <w:lang w:val="es-ES"/>
        </w:rPr>
      </w:pPr>
      <w:r w:rsidRPr="005803D9">
        <w:rPr>
          <w:rFonts w:ascii="Palatino Linotype" w:hAnsi="Palatino Linotype"/>
          <w:lang w:val="es-ES"/>
        </w:rPr>
        <w:t>El Gerente de Proyecto, será designado por la Unidad Operativa encargada del proceso conforme corresponda a un proceso de gestión delegada, o, a una alianza estratégica.</w:t>
      </w:r>
    </w:p>
    <w:p w:rsidR="00B4410C" w:rsidRPr="005803D9" w:rsidRDefault="00B4410C" w:rsidP="00BC4B45">
      <w:pPr>
        <w:spacing w:after="0"/>
        <w:jc w:val="both"/>
        <w:rPr>
          <w:rFonts w:ascii="Palatino Linotype" w:hAnsi="Palatino Linotype"/>
          <w:lang w:val="es-ES"/>
        </w:rPr>
      </w:pPr>
    </w:p>
    <w:p w:rsidR="00B4410C"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B4410C" w:rsidRPr="005803D9">
        <w:rPr>
          <w:rFonts w:ascii="Palatino Linotype" w:hAnsi="Palatino Linotype"/>
          <w:b/>
          <w:bCs/>
          <w:sz w:val="22"/>
          <w:szCs w:val="22"/>
          <w:lang w:val="es-ES"/>
        </w:rPr>
        <w:t xml:space="preserve">Integralidad y vinculación de actividades.- </w:t>
      </w:r>
      <w:r w:rsidR="00B4410C" w:rsidRPr="005803D9">
        <w:rPr>
          <w:rFonts w:ascii="Palatino Linotype" w:hAnsi="Palatino Linotype"/>
          <w:sz w:val="22"/>
          <w:szCs w:val="22"/>
          <w:lang w:val="es-ES"/>
        </w:rPr>
        <w:t>Los proyectos a ejecutarse bajo la presente sección serán preferentemente integrales, procurando que el gestor privado se encargue de las diferentes componentes en la ejecución del proyecto.</w:t>
      </w:r>
    </w:p>
    <w:p w:rsidR="00B4410C" w:rsidRPr="005803D9" w:rsidRDefault="00B4410C" w:rsidP="00BC4B45">
      <w:pPr>
        <w:pStyle w:val="NormalWeb"/>
        <w:jc w:val="both"/>
        <w:rPr>
          <w:rFonts w:ascii="Palatino Linotype" w:hAnsi="Palatino Linotype"/>
          <w:sz w:val="22"/>
          <w:szCs w:val="22"/>
        </w:rPr>
      </w:pPr>
      <w:r w:rsidRPr="005803D9">
        <w:rPr>
          <w:rFonts w:ascii="Palatino Linotype" w:hAnsi="Palatino Linotype"/>
          <w:sz w:val="22"/>
          <w:szCs w:val="22"/>
        </w:rPr>
        <w:t xml:space="preserve">a. </w:t>
      </w:r>
      <w:r w:rsidR="0049004B" w:rsidRPr="005803D9">
        <w:rPr>
          <w:rFonts w:ascii="Palatino Linotype" w:hAnsi="Palatino Linotype"/>
          <w:sz w:val="22"/>
          <w:szCs w:val="22"/>
        </w:rPr>
        <w:t>Diseño</w:t>
      </w:r>
      <w:r w:rsidRPr="005803D9">
        <w:rPr>
          <w:rFonts w:ascii="Palatino Linotype" w:hAnsi="Palatino Linotype"/>
          <w:sz w:val="22"/>
          <w:szCs w:val="22"/>
        </w:rPr>
        <w:t xml:space="preserve">, financiamiento, </w:t>
      </w:r>
      <w:r w:rsidR="0049004B" w:rsidRPr="005803D9">
        <w:rPr>
          <w:rFonts w:ascii="Palatino Linotype" w:hAnsi="Palatino Linotype"/>
          <w:sz w:val="22"/>
          <w:szCs w:val="22"/>
        </w:rPr>
        <w:t>construcción</w:t>
      </w:r>
      <w:r w:rsidRPr="005803D9">
        <w:rPr>
          <w:rFonts w:ascii="Palatino Linotype" w:hAnsi="Palatino Linotype"/>
          <w:sz w:val="22"/>
          <w:szCs w:val="22"/>
        </w:rPr>
        <w:t xml:space="preserve">, equipamiento, </w:t>
      </w:r>
      <w:r w:rsidR="0049004B" w:rsidRPr="005803D9">
        <w:rPr>
          <w:rFonts w:ascii="Palatino Linotype" w:hAnsi="Palatino Linotype"/>
          <w:sz w:val="22"/>
          <w:szCs w:val="22"/>
        </w:rPr>
        <w:t>operación</w:t>
      </w:r>
      <w:r w:rsidRPr="005803D9">
        <w:rPr>
          <w:rFonts w:ascii="Palatino Linotype" w:hAnsi="Palatino Linotype"/>
          <w:sz w:val="22"/>
          <w:szCs w:val="22"/>
        </w:rPr>
        <w:t xml:space="preserve"> y mantenimiento y transferencia, de una obra nueva de infraestructura o un servicio para la </w:t>
      </w:r>
      <w:r w:rsidR="0049004B" w:rsidRPr="005803D9">
        <w:rPr>
          <w:rFonts w:ascii="Palatino Linotype" w:hAnsi="Palatino Linotype"/>
          <w:sz w:val="22"/>
          <w:szCs w:val="22"/>
        </w:rPr>
        <w:t>provisión</w:t>
      </w:r>
      <w:r w:rsidRPr="005803D9">
        <w:rPr>
          <w:rFonts w:ascii="Palatino Linotype" w:hAnsi="Palatino Linotype"/>
          <w:sz w:val="22"/>
          <w:szCs w:val="22"/>
        </w:rPr>
        <w:t xml:space="preserve"> de un Servicio </w:t>
      </w:r>
      <w:r w:rsidR="0049004B" w:rsidRPr="005803D9">
        <w:rPr>
          <w:rFonts w:ascii="Palatino Linotype" w:hAnsi="Palatino Linotype"/>
          <w:sz w:val="22"/>
          <w:szCs w:val="22"/>
        </w:rPr>
        <w:t>Público</w:t>
      </w:r>
    </w:p>
    <w:p w:rsidR="00D03CAB" w:rsidRPr="005803D9" w:rsidRDefault="00B4410C" w:rsidP="00BC4B45">
      <w:pPr>
        <w:pStyle w:val="NormalWeb"/>
        <w:jc w:val="both"/>
        <w:rPr>
          <w:rFonts w:ascii="Palatino Linotype" w:hAnsi="Palatino Linotype"/>
          <w:sz w:val="22"/>
          <w:szCs w:val="22"/>
        </w:rPr>
      </w:pPr>
      <w:r w:rsidRPr="005803D9">
        <w:rPr>
          <w:rFonts w:ascii="Palatino Linotype" w:hAnsi="Palatino Linotype"/>
          <w:sz w:val="22"/>
          <w:szCs w:val="22"/>
        </w:rPr>
        <w:t xml:space="preserve">b. </w:t>
      </w:r>
      <w:r w:rsidR="0049004B" w:rsidRPr="005803D9">
        <w:rPr>
          <w:rFonts w:ascii="Palatino Linotype" w:hAnsi="Palatino Linotype"/>
          <w:sz w:val="22"/>
          <w:szCs w:val="22"/>
        </w:rPr>
        <w:t>Diseño</w:t>
      </w:r>
      <w:r w:rsidRPr="005803D9">
        <w:rPr>
          <w:rFonts w:ascii="Palatino Linotype" w:hAnsi="Palatino Linotype"/>
          <w:sz w:val="22"/>
          <w:szCs w:val="22"/>
        </w:rPr>
        <w:t xml:space="preserve">, </w:t>
      </w:r>
      <w:r w:rsidR="0049004B" w:rsidRPr="005803D9">
        <w:rPr>
          <w:rFonts w:ascii="Palatino Linotype" w:hAnsi="Palatino Linotype"/>
          <w:sz w:val="22"/>
          <w:szCs w:val="22"/>
        </w:rPr>
        <w:t>rehabilitación</w:t>
      </w:r>
      <w:r w:rsidRPr="005803D9">
        <w:rPr>
          <w:rFonts w:ascii="Palatino Linotype" w:hAnsi="Palatino Linotype"/>
          <w:sz w:val="22"/>
          <w:szCs w:val="22"/>
        </w:rPr>
        <w:t xml:space="preserve"> o mejora, </w:t>
      </w:r>
      <w:r w:rsidR="0049004B" w:rsidRPr="005803D9">
        <w:rPr>
          <w:rFonts w:ascii="Palatino Linotype" w:hAnsi="Palatino Linotype"/>
          <w:sz w:val="22"/>
          <w:szCs w:val="22"/>
        </w:rPr>
        <w:t>financiación</w:t>
      </w:r>
      <w:r w:rsidRPr="005803D9">
        <w:rPr>
          <w:rFonts w:ascii="Palatino Linotype" w:hAnsi="Palatino Linotype"/>
          <w:sz w:val="22"/>
          <w:szCs w:val="22"/>
        </w:rPr>
        <w:t xml:space="preserve">, equipamiento, </w:t>
      </w:r>
      <w:r w:rsidR="0049004B" w:rsidRPr="005803D9">
        <w:rPr>
          <w:rFonts w:ascii="Palatino Linotype" w:hAnsi="Palatino Linotype"/>
          <w:sz w:val="22"/>
          <w:szCs w:val="22"/>
        </w:rPr>
        <w:t>operación</w:t>
      </w:r>
      <w:r w:rsidRPr="005803D9">
        <w:rPr>
          <w:rFonts w:ascii="Palatino Linotype" w:hAnsi="Palatino Linotype"/>
          <w:sz w:val="22"/>
          <w:szCs w:val="22"/>
        </w:rPr>
        <w:t xml:space="preserve"> y mantenimiento de un servicio o una obra de infraestructura existente para la</w:t>
      </w:r>
      <w:r w:rsidR="00D03CAB" w:rsidRPr="005803D9">
        <w:rPr>
          <w:rFonts w:ascii="Palatino Linotype" w:hAnsi="Palatino Linotype"/>
          <w:sz w:val="22"/>
          <w:szCs w:val="22"/>
        </w:rPr>
        <w:t xml:space="preserve"> </w:t>
      </w:r>
      <w:r w:rsidR="0049004B" w:rsidRPr="005803D9">
        <w:rPr>
          <w:rFonts w:ascii="Palatino Linotype" w:hAnsi="Palatino Linotype"/>
          <w:sz w:val="22"/>
          <w:szCs w:val="22"/>
        </w:rPr>
        <w:t>provisión</w:t>
      </w:r>
      <w:r w:rsidR="00D03CAB" w:rsidRPr="005803D9">
        <w:rPr>
          <w:rFonts w:ascii="Palatino Linotype" w:hAnsi="Palatino Linotype"/>
          <w:sz w:val="22"/>
          <w:szCs w:val="22"/>
        </w:rPr>
        <w:t xml:space="preserve"> de un Servicio </w:t>
      </w:r>
      <w:r w:rsidR="0049004B" w:rsidRPr="005803D9">
        <w:rPr>
          <w:rFonts w:ascii="Palatino Linotype" w:hAnsi="Palatino Linotype"/>
          <w:sz w:val="22"/>
          <w:szCs w:val="22"/>
        </w:rPr>
        <w:t>Público</w:t>
      </w:r>
      <w:r w:rsidR="00D03CAB" w:rsidRPr="005803D9">
        <w:rPr>
          <w:rFonts w:ascii="Palatino Linotype" w:hAnsi="Palatino Linotype"/>
          <w:sz w:val="22"/>
          <w:szCs w:val="22"/>
        </w:rPr>
        <w:t xml:space="preserve"> en los </w:t>
      </w:r>
      <w:r w:rsidR="0049004B" w:rsidRPr="005803D9">
        <w:rPr>
          <w:rFonts w:ascii="Palatino Linotype" w:hAnsi="Palatino Linotype"/>
          <w:sz w:val="22"/>
          <w:szCs w:val="22"/>
        </w:rPr>
        <w:t>términos</w:t>
      </w:r>
      <w:r w:rsidR="00D03CAB" w:rsidRPr="005803D9">
        <w:rPr>
          <w:rFonts w:ascii="Palatino Linotype" w:hAnsi="Palatino Linotype"/>
          <w:sz w:val="22"/>
          <w:szCs w:val="22"/>
        </w:rPr>
        <w:t xml:space="preserve"> de esta Ley; o, </w:t>
      </w:r>
    </w:p>
    <w:p w:rsidR="00D03CAB" w:rsidRPr="005803D9" w:rsidRDefault="00D03CAB" w:rsidP="00BC4B45">
      <w:pPr>
        <w:pStyle w:val="NormalWeb"/>
        <w:jc w:val="both"/>
        <w:rPr>
          <w:rFonts w:ascii="Palatino Linotype" w:hAnsi="Palatino Linotype"/>
          <w:sz w:val="22"/>
          <w:szCs w:val="22"/>
        </w:rPr>
      </w:pPr>
      <w:r w:rsidRPr="005803D9">
        <w:rPr>
          <w:rFonts w:ascii="Palatino Linotype" w:hAnsi="Palatino Linotype"/>
          <w:sz w:val="22"/>
          <w:szCs w:val="22"/>
        </w:rPr>
        <w:t xml:space="preserve">c. </w:t>
      </w:r>
      <w:r w:rsidR="0049004B" w:rsidRPr="005803D9">
        <w:rPr>
          <w:rFonts w:ascii="Palatino Linotype" w:hAnsi="Palatino Linotype"/>
          <w:sz w:val="22"/>
          <w:szCs w:val="22"/>
        </w:rPr>
        <w:t>Ejecución</w:t>
      </w:r>
      <w:r w:rsidRPr="005803D9">
        <w:rPr>
          <w:rFonts w:ascii="Palatino Linotype" w:hAnsi="Palatino Linotype"/>
          <w:sz w:val="22"/>
          <w:szCs w:val="22"/>
        </w:rPr>
        <w:t xml:space="preserve"> de todas o algunas de las actividades descritas en los literales anteriores, adecuadamente combinadas, para la </w:t>
      </w:r>
      <w:r w:rsidR="0049004B" w:rsidRPr="005803D9">
        <w:rPr>
          <w:rFonts w:ascii="Palatino Linotype" w:hAnsi="Palatino Linotype"/>
          <w:sz w:val="22"/>
          <w:szCs w:val="22"/>
        </w:rPr>
        <w:t>prestación</w:t>
      </w:r>
      <w:r w:rsidRPr="005803D9">
        <w:rPr>
          <w:rFonts w:ascii="Palatino Linotype" w:hAnsi="Palatino Linotype"/>
          <w:sz w:val="22"/>
          <w:szCs w:val="22"/>
        </w:rPr>
        <w:t xml:space="preserve"> de un Servicio </w:t>
      </w:r>
      <w:r w:rsidR="0049004B" w:rsidRPr="005803D9">
        <w:rPr>
          <w:rFonts w:ascii="Palatino Linotype" w:hAnsi="Palatino Linotype"/>
          <w:sz w:val="22"/>
          <w:szCs w:val="22"/>
        </w:rPr>
        <w:t>Público</w:t>
      </w:r>
      <w:r w:rsidRPr="005803D9">
        <w:rPr>
          <w:rFonts w:ascii="Palatino Linotype" w:hAnsi="Palatino Linotype"/>
          <w:sz w:val="22"/>
          <w:szCs w:val="22"/>
        </w:rPr>
        <w:t xml:space="preserve"> a los usuarios o para proveer los medios para</w:t>
      </w:r>
      <w:r w:rsidR="0049004B" w:rsidRPr="005803D9">
        <w:rPr>
          <w:rFonts w:ascii="Palatino Linotype" w:hAnsi="Palatino Linotype"/>
          <w:sz w:val="22"/>
          <w:szCs w:val="22"/>
        </w:rPr>
        <w:t xml:space="preserve"> que la Empresa Pública lo haga.</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Los proyectos serán definidos en su alcance de tal manera que se evite la subdivisión de actividades en otros procesos contractuales, que pongan en riesgo la integralidad, funcionalidad y serviciabilidad del proyecto del Aliado Estratégico, por las interacciones que puedan generar con el otro contrato.</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B4410C" w:rsidRPr="005803D9" w:rsidRDefault="00D03CAB" w:rsidP="00BC4B45">
      <w:pPr>
        <w:pStyle w:val="Piedepgina"/>
        <w:jc w:val="both"/>
        <w:rPr>
          <w:rFonts w:ascii="Palatino Linotype" w:hAnsi="Palatino Linotype"/>
          <w:lang w:val="es-ES"/>
        </w:rPr>
      </w:pPr>
      <w:r w:rsidRPr="005803D9">
        <w:rPr>
          <w:rFonts w:ascii="Palatino Linotype" w:hAnsi="Palatino Linotype"/>
          <w:lang w:val="es-ES"/>
        </w:rPr>
        <w:t>La presentación de una iniciativa privada, implica que la Empresa Pública empleará esta información como parte del proceso de planificación a cargo de esta, y de los entes estratégicos municipales.</w:t>
      </w:r>
    </w:p>
    <w:p w:rsidR="00D03CAB" w:rsidRPr="005803D9" w:rsidRDefault="00D03CAB" w:rsidP="00BC4B45">
      <w:pPr>
        <w:pStyle w:val="Piedepgina"/>
        <w:jc w:val="both"/>
        <w:rPr>
          <w:rFonts w:ascii="Palatino Linotype" w:hAnsi="Palatino Linotype"/>
          <w:lang w:val="es-ES"/>
        </w:rPr>
      </w:pPr>
    </w:p>
    <w:p w:rsidR="00D03CAB" w:rsidRPr="005803D9" w:rsidRDefault="00412D17" w:rsidP="00BC4B45">
      <w:pPr>
        <w:pStyle w:val="Piedepgina"/>
        <w:jc w:val="both"/>
        <w:rPr>
          <w:rFonts w:ascii="Palatino Linotype" w:hAnsi="Palatino Linotype"/>
          <w:lang w:val="es-ES"/>
        </w:rPr>
      </w:pPr>
      <w:r w:rsidRPr="005803D9">
        <w:rPr>
          <w:rFonts w:ascii="Palatino Linotype" w:hAnsi="Palatino Linotype" w:cs="Times New Roman"/>
          <w:b/>
          <w:bCs/>
          <w:lang w:val="es-ES"/>
        </w:rPr>
        <w:t xml:space="preserve">Artículo (…).- </w:t>
      </w:r>
      <w:r w:rsidR="00D03CAB" w:rsidRPr="005803D9">
        <w:rPr>
          <w:rFonts w:ascii="Palatino Linotype" w:hAnsi="Palatino Linotype"/>
          <w:b/>
          <w:bCs/>
          <w:lang w:val="es-ES"/>
        </w:rPr>
        <w:t>Principios del Ecuador.-</w:t>
      </w:r>
      <w:r w:rsidR="00D03CAB" w:rsidRPr="005803D9">
        <w:rPr>
          <w:rFonts w:ascii="Palatino Linotype" w:hAnsi="Palatino Linotype"/>
          <w:lang w:val="es-ES"/>
        </w:rPr>
        <w:t xml:space="preserve">  Los proyectos, a más de los requerimientos nacionales legales, se apoyarán y emplearán las prácticas internacionales definidas en los conocidos “Principios del Ecuador”.</w:t>
      </w:r>
    </w:p>
    <w:p w:rsidR="00D03CAB" w:rsidRPr="005803D9" w:rsidRDefault="00D03CAB" w:rsidP="00BC4B45">
      <w:pPr>
        <w:pStyle w:val="Piedepgina"/>
        <w:jc w:val="both"/>
        <w:rPr>
          <w:rFonts w:ascii="Palatino Linotype" w:hAnsi="Palatino Linotype"/>
          <w:lang w:val="es-ES"/>
        </w:rPr>
      </w:pPr>
    </w:p>
    <w:p w:rsidR="00D03CAB"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D03CAB" w:rsidRPr="005803D9">
        <w:rPr>
          <w:rFonts w:ascii="Palatino Linotype" w:hAnsi="Palatino Linotype"/>
          <w:b/>
          <w:bCs/>
          <w:sz w:val="22"/>
          <w:szCs w:val="22"/>
          <w:lang w:val="es-ES"/>
        </w:rPr>
        <w:t xml:space="preserve">Niveles de servicio o indicadores de cumplimiento.- </w:t>
      </w:r>
      <w:r w:rsidR="00D03CAB" w:rsidRPr="005803D9">
        <w:rPr>
          <w:rFonts w:ascii="Palatino Linotype" w:hAnsi="Palatino Linotype"/>
          <w:sz w:val="22"/>
          <w:szCs w:val="22"/>
          <w:lang w:val="es-ES"/>
        </w:rPr>
        <w:t>Con el fin de garantizar la adecuada disposición de la obra y/o servicio de los contratos, la entidad establecerá NIVELES DE SERVICIO O INDICADORES DE CUMPLIMIENTO, de seguimiento y evaluación continua, cuyo incumplimiento generará sanciones contractuales.</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spacing w:after="0"/>
        <w:jc w:val="both"/>
        <w:rPr>
          <w:rFonts w:ascii="Palatino Linotype" w:hAnsi="Palatino Linotype"/>
          <w:lang w:val="es-ES"/>
        </w:rPr>
      </w:pPr>
      <w:r w:rsidRPr="005803D9">
        <w:rPr>
          <w:rFonts w:ascii="Palatino Linotype" w:hAnsi="Palatino Linotype"/>
          <w:lang w:val="es-ES"/>
        </w:rPr>
        <w:lastRenderedPageBreak/>
        <w:t>Los indicadores no considerarán condiciones tecnológicas, sino funcionales y de servicio para su selección, y servirán de base para los procesos sancionatorios.</w:t>
      </w:r>
    </w:p>
    <w:p w:rsidR="00B4410C" w:rsidRPr="005803D9" w:rsidRDefault="00B4410C" w:rsidP="00BC4B45">
      <w:pPr>
        <w:jc w:val="both"/>
        <w:rPr>
          <w:rFonts w:ascii="Palatino Linotype" w:hAnsi="Palatino Linotype" w:cs="Times New Roman"/>
          <w:lang w:val="es-ES"/>
        </w:rPr>
      </w:pPr>
    </w:p>
    <w:p w:rsidR="00D03CAB"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D03CAB" w:rsidRPr="005803D9">
        <w:rPr>
          <w:rFonts w:ascii="Palatino Linotype" w:hAnsi="Palatino Linotype" w:cs="Times New Roman"/>
          <w:b/>
          <w:bCs/>
          <w:lang w:val="es-ES"/>
        </w:rPr>
        <w:t>Generación de Valor por Dinero y Elegibilidad.-</w:t>
      </w:r>
      <w:r w:rsidR="00D03CAB" w:rsidRPr="005803D9">
        <w:rPr>
          <w:rFonts w:ascii="Palatino Linotype" w:hAnsi="Palatino Linotype" w:cs="Times New Roman"/>
          <w:lang w:val="es-ES"/>
        </w:rPr>
        <w:t xml:space="preserve"> Todos los proyectos que se ejecuten bajo la presente normativa, deberán en todas sus etapas presentar valores favorables de Valor por Dinero, su Índice de Elegibilidad ser favorable, y los indicadores socioeconómicos conforme los parámetros determinados por el Ente Rector de la Planificación Pública, ser favorables.</w:t>
      </w:r>
    </w:p>
    <w:p w:rsidR="00D03CAB" w:rsidRPr="005803D9" w:rsidRDefault="00D03CAB" w:rsidP="00BC4B45">
      <w:pPr>
        <w:jc w:val="both"/>
        <w:rPr>
          <w:rFonts w:ascii="Palatino Linotype" w:hAnsi="Palatino Linotype" w:cs="Times New Roman"/>
          <w:lang w:val="es-ES"/>
        </w:rPr>
      </w:pPr>
      <w:r w:rsidRPr="005803D9">
        <w:rPr>
          <w:rFonts w:ascii="Palatino Linotype" w:hAnsi="Palatino Linotype" w:cs="Times New Roman"/>
          <w:lang w:val="es-ES"/>
        </w:rPr>
        <w:t>Adicionalmente, dispondrán los informes favorables de riesgos y sostenibilidad fiscal, emitidos por la Administración General para el caso de procesos de gestión delegada; y, por parte de la Gerencia Administrativa Financiera de las empresas públicas para el caso de las Alianzas Estratégicas.  Los informes se realizarán conforme los Lineamientos del Ente Rector de las Finanzas Públicas, y en caso de no haberlas, conforme las buenas prácticas internacionales.</w:t>
      </w:r>
    </w:p>
    <w:p w:rsidR="00D03CAB"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D03CAB" w:rsidRPr="005803D9">
        <w:rPr>
          <w:rFonts w:ascii="Palatino Linotype" w:hAnsi="Palatino Linotype" w:cs="Times New Roman"/>
          <w:b/>
          <w:bCs/>
          <w:lang w:val="es-ES"/>
        </w:rPr>
        <w:t>Fideicomiso de recaudación.-</w:t>
      </w:r>
      <w:r w:rsidR="00D03CAB" w:rsidRPr="005803D9">
        <w:rPr>
          <w:rFonts w:ascii="Palatino Linotype" w:hAnsi="Palatino Linotype" w:cs="Times New Roman"/>
          <w:lang w:val="es-ES"/>
        </w:rPr>
        <w:t xml:space="preserve"> En todos los proyectos, se creará un fideicomiso donde se recauden los ingresos para garantizar el repago de la inversión, y el depósito de los aportes de la entidad si se requirieren, sin pasar por cuentas transitorias institucionales.</w:t>
      </w:r>
    </w:p>
    <w:p w:rsidR="00D03CAB" w:rsidRPr="005803D9" w:rsidRDefault="00D03CAB" w:rsidP="00BC4B45">
      <w:pPr>
        <w:jc w:val="both"/>
        <w:rPr>
          <w:rFonts w:ascii="Palatino Linotype" w:hAnsi="Palatino Linotype" w:cs="Times New Roman"/>
          <w:lang w:val="es-ES"/>
        </w:rPr>
      </w:pPr>
      <w:r w:rsidRPr="005803D9">
        <w:rPr>
          <w:rFonts w:ascii="Palatino Linotype" w:hAnsi="Palatino Linotype" w:cs="Times New Roman"/>
          <w:lang w:val="es-ES"/>
        </w:rPr>
        <w:t>La cuenta que disponga el fideicomiso, podrá ser de control de la unidad financiera de la EP, pero los procedimientos de manejo y pago serán definidos por las instrucciones fiduciarias que se establezca en el contrato de Alianza Estratégica.</w:t>
      </w:r>
    </w:p>
    <w:p w:rsidR="00D03CAB" w:rsidRPr="005803D9" w:rsidRDefault="00D03CAB" w:rsidP="00BC4B45">
      <w:pPr>
        <w:jc w:val="both"/>
        <w:rPr>
          <w:rFonts w:ascii="Palatino Linotype" w:hAnsi="Palatino Linotype" w:cs="Times New Roman"/>
          <w:lang w:val="es-ES"/>
        </w:rPr>
      </w:pPr>
      <w:r w:rsidRPr="005803D9">
        <w:rPr>
          <w:rFonts w:ascii="Palatino Linotype" w:hAnsi="Palatino Linotype" w:cs="Times New Roman"/>
          <w:lang w:val="es-ES"/>
        </w:rPr>
        <w:t>Este fideicomiso será de carácter público, previa la autorización o conocimiento del Ente Rector de la Finanzas Públicas.  Los costos del fideicomiso serán considerados en los costos generales del proyecto.</w:t>
      </w:r>
    </w:p>
    <w:p w:rsidR="00D03CAB"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D03CAB" w:rsidRPr="005803D9">
        <w:rPr>
          <w:rFonts w:ascii="Palatino Linotype" w:hAnsi="Palatino Linotype" w:cs="Times New Roman"/>
          <w:b/>
          <w:bCs/>
          <w:lang w:val="es-ES"/>
        </w:rPr>
        <w:t xml:space="preserve">Prácticas Internacionales de Project </w:t>
      </w:r>
      <w:proofErr w:type="spellStart"/>
      <w:r w:rsidR="00D03CAB" w:rsidRPr="005803D9">
        <w:rPr>
          <w:rFonts w:ascii="Palatino Linotype" w:hAnsi="Palatino Linotype" w:cs="Times New Roman"/>
          <w:b/>
          <w:bCs/>
          <w:lang w:val="es-ES"/>
        </w:rPr>
        <w:t>Finance</w:t>
      </w:r>
      <w:proofErr w:type="spellEnd"/>
      <w:r w:rsidR="00D03CAB" w:rsidRPr="005803D9">
        <w:rPr>
          <w:rFonts w:ascii="Palatino Linotype" w:hAnsi="Palatino Linotype" w:cs="Times New Roman"/>
          <w:b/>
          <w:bCs/>
          <w:lang w:val="es-ES"/>
        </w:rPr>
        <w:t xml:space="preserve">.- </w:t>
      </w:r>
      <w:r w:rsidR="00D03CAB" w:rsidRPr="005803D9">
        <w:rPr>
          <w:rFonts w:ascii="Palatino Linotype" w:hAnsi="Palatino Linotype" w:cs="Times New Roman"/>
          <w:lang w:val="es-ES"/>
        </w:rPr>
        <w:t>Si el modelo de negocio generado para los proyectos de Alianzas Estratégicas, corresponde a prácticas de PROJECT FINANCE, los modelos de contratos viabilizarán la incorporación de cláusulas para incorporar los requerimientos estándares de estos modelos.</w:t>
      </w:r>
    </w:p>
    <w:p w:rsidR="00D03CAB" w:rsidRPr="005803D9" w:rsidRDefault="00D03CAB" w:rsidP="00BC4B45">
      <w:pPr>
        <w:jc w:val="both"/>
        <w:rPr>
          <w:rFonts w:ascii="Palatino Linotype" w:hAnsi="Palatino Linotype" w:cs="Times New Roman"/>
          <w:lang w:val="es-ES"/>
        </w:rPr>
      </w:pPr>
      <w:r w:rsidRPr="005803D9">
        <w:rPr>
          <w:rFonts w:ascii="Palatino Linotype" w:hAnsi="Palatino Linotype" w:cs="Times New Roman"/>
          <w:lang w:val="es-ES"/>
        </w:rPr>
        <w:t>En ningún caso, el Aliado Estratégico al que se le adjudicó el proceso, perderá la responsabilidad sobre la ejecución ulterior del proyecto.</w:t>
      </w:r>
    </w:p>
    <w:p w:rsidR="00D03CAB" w:rsidRPr="005803D9" w:rsidRDefault="00412D17" w:rsidP="00BC4B45">
      <w:pPr>
        <w:jc w:val="both"/>
        <w:rPr>
          <w:rFonts w:ascii="Palatino Linotype" w:hAnsi="Palatino Linotype" w:cs="Times New Roman"/>
          <w:lang w:val="es-ES"/>
        </w:rPr>
      </w:pPr>
      <w:r w:rsidRPr="005803D9">
        <w:rPr>
          <w:rFonts w:ascii="Palatino Linotype" w:hAnsi="Palatino Linotype" w:cs="Times New Roman"/>
          <w:b/>
          <w:bCs/>
          <w:lang w:val="es-ES"/>
        </w:rPr>
        <w:t xml:space="preserve">Artículo (…).- </w:t>
      </w:r>
      <w:r w:rsidR="00D03CAB" w:rsidRPr="005803D9">
        <w:rPr>
          <w:rFonts w:ascii="Palatino Linotype" w:hAnsi="Palatino Linotype" w:cs="Times New Roman"/>
          <w:b/>
          <w:bCs/>
          <w:lang w:val="es-ES"/>
        </w:rPr>
        <w:t xml:space="preserve">Sociedad de Propósito Específico.- </w:t>
      </w:r>
      <w:r w:rsidR="00D03CAB" w:rsidRPr="005803D9">
        <w:rPr>
          <w:rFonts w:ascii="Palatino Linotype" w:hAnsi="Palatino Linotype" w:cs="Times New Roman"/>
          <w:lang w:val="es-ES"/>
        </w:rPr>
        <w:t xml:space="preserve"> Cuando el proyecto tenga un plazo superior a los 7 años, se autoriza la creación por parte del Adjudicatario de una sociedad anónima, cuyo accionista sea el oferente, y cuya única actividad social sea la ejecución del proyecto en todas sus etapas.  La Empresa Pública podrá suscribir el contrato con esta sociedad.</w:t>
      </w:r>
    </w:p>
    <w:p w:rsidR="00D03CAB" w:rsidRPr="005803D9" w:rsidRDefault="00D03CAB" w:rsidP="00BC4B45">
      <w:pPr>
        <w:jc w:val="both"/>
        <w:rPr>
          <w:rFonts w:ascii="Palatino Linotype" w:hAnsi="Palatino Linotype" w:cs="Times New Roman"/>
          <w:lang w:val="es-ES"/>
        </w:rPr>
      </w:pPr>
      <w:r w:rsidRPr="005803D9">
        <w:rPr>
          <w:rFonts w:ascii="Palatino Linotype" w:hAnsi="Palatino Linotype" w:cs="Times New Roman"/>
          <w:lang w:val="es-ES"/>
        </w:rPr>
        <w:lastRenderedPageBreak/>
        <w:t xml:space="preserve">En ningún caso, el adjudicatario perderá responsabilidad alguna sobre el proyecto, por lo </w:t>
      </w:r>
      <w:r w:rsidR="00013B0A" w:rsidRPr="005803D9">
        <w:rPr>
          <w:rFonts w:ascii="Palatino Linotype" w:hAnsi="Palatino Linotype" w:cs="Times New Roman"/>
          <w:lang w:val="es-ES"/>
        </w:rPr>
        <w:t>que,</w:t>
      </w:r>
      <w:r w:rsidRPr="005803D9">
        <w:rPr>
          <w:rFonts w:ascii="Palatino Linotype" w:hAnsi="Palatino Linotype" w:cs="Times New Roman"/>
          <w:lang w:val="es-ES"/>
        </w:rPr>
        <w:t xml:space="preserve"> en caso de incumplimiento del contrato, la empresa y sus accionistas serán notificados como CONTRATISTAS FALLIDOS DEL ESTADO en el registro del Sistema Nacional de Contratación Pública.</w:t>
      </w:r>
    </w:p>
    <w:p w:rsidR="00D03CAB"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D03CAB" w:rsidRPr="005803D9">
        <w:rPr>
          <w:rFonts w:ascii="Palatino Linotype" w:hAnsi="Palatino Linotype"/>
          <w:b/>
          <w:bCs/>
          <w:sz w:val="22"/>
          <w:szCs w:val="22"/>
          <w:lang w:val="es-ES"/>
        </w:rPr>
        <w:t xml:space="preserve">Perfil del proyecto y estudios de </w:t>
      </w:r>
      <w:proofErr w:type="spellStart"/>
      <w:r w:rsidR="00D03CAB" w:rsidRPr="005803D9">
        <w:rPr>
          <w:rFonts w:ascii="Palatino Linotype" w:hAnsi="Palatino Linotype"/>
          <w:b/>
          <w:bCs/>
          <w:sz w:val="22"/>
          <w:szCs w:val="22"/>
          <w:lang w:val="es-ES"/>
        </w:rPr>
        <w:t>prefactibilidad</w:t>
      </w:r>
      <w:proofErr w:type="spellEnd"/>
      <w:r w:rsidR="00D03CAB" w:rsidRPr="005803D9">
        <w:rPr>
          <w:rFonts w:ascii="Palatino Linotype" w:hAnsi="Palatino Linotype"/>
          <w:b/>
          <w:bCs/>
          <w:sz w:val="22"/>
          <w:szCs w:val="22"/>
          <w:lang w:val="es-ES"/>
        </w:rPr>
        <w:t xml:space="preserve">.- </w:t>
      </w:r>
      <w:r w:rsidR="00D03CAB" w:rsidRPr="005803D9">
        <w:rPr>
          <w:rFonts w:ascii="Palatino Linotype" w:hAnsi="Palatino Linotype"/>
          <w:sz w:val="22"/>
          <w:szCs w:val="22"/>
          <w:lang w:val="es-ES"/>
        </w:rPr>
        <w:t xml:space="preserve">Le corresponde a la entidad encargada del proceso, de manera directa o con el promotor de la iniciativa privada, conforme sea el inicio del proyecto, con sujeción al calendario de actividades ordinarias de la planificación material y financiera de la Administración pública, la realización de, al menos, las siguientes actividades: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(a) Establecer los problemas, efectos, causas y objetivos, y con esta base identificar las necesidades que se buscan satisfacer mediante la ejecución del proyecto específico, con arreglo a los instrumentos de planificación general que resulten aplicables a la Administración pública de la que se trate y, en</w:t>
      </w:r>
      <w:r w:rsidR="00281172" w:rsidRPr="005803D9">
        <w:rPr>
          <w:rFonts w:ascii="Palatino Linotype" w:hAnsi="Palatino Linotype"/>
          <w:sz w:val="22"/>
          <w:szCs w:val="22"/>
          <w:lang w:val="es-ES"/>
        </w:rPr>
        <w:t xml:space="preserve"> </w:t>
      </w:r>
      <w:r w:rsidRPr="005803D9">
        <w:rPr>
          <w:rFonts w:ascii="Palatino Linotype" w:hAnsi="Palatino Linotype"/>
          <w:sz w:val="22"/>
          <w:szCs w:val="22"/>
          <w:lang w:val="es-ES"/>
        </w:rPr>
        <w:t xml:space="preserve">particular, el Plan Nacional de Desarrollo y/o los instrumentos de planificación sectorial e institucional.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Determinar las posibles soluciones de política pública, sus criterios de evaluación y su modelo de gestión, y realizar los estudios comparativos entre las opciones determinadas y los de </w:t>
      </w:r>
      <w:proofErr w:type="spellStart"/>
      <w:r w:rsidRPr="005803D9">
        <w:rPr>
          <w:rFonts w:ascii="Palatino Linotype" w:hAnsi="Palatino Linotype"/>
          <w:sz w:val="22"/>
          <w:szCs w:val="22"/>
          <w:lang w:val="es-ES"/>
        </w:rPr>
        <w:t>prefactibilidad</w:t>
      </w:r>
      <w:proofErr w:type="spellEnd"/>
      <w:r w:rsidRPr="005803D9">
        <w:rPr>
          <w:rFonts w:ascii="Palatino Linotype" w:hAnsi="Palatino Linotype"/>
          <w:sz w:val="22"/>
          <w:szCs w:val="22"/>
          <w:lang w:val="es-ES"/>
        </w:rPr>
        <w:t xml:space="preserve"> del proyecto.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(c) Elegir la solución que se promoverá́, haciendo explícitos los criterios de justificación de la decisión adoptada.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(d) Expresar los resultados esperados de! proyecto como indicadores medibles.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Los documentos descriptivos del proyecto y los estudios desarrollados se elaborarán incorporando la información y documentos requeridos, si hubiesen sido expedidas, en las siguientes fuentes: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013B0A"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(i) La guía técnica del Comité </w:t>
      </w:r>
      <w:r w:rsidR="00D03CAB" w:rsidRPr="005803D9">
        <w:rPr>
          <w:rFonts w:ascii="Palatino Linotype" w:hAnsi="Palatino Linotype"/>
          <w:sz w:val="22"/>
          <w:szCs w:val="22"/>
          <w:lang w:val="es-ES"/>
        </w:rPr>
        <w:t>APP para los estudios</w:t>
      </w:r>
      <w:r w:rsidRPr="005803D9">
        <w:rPr>
          <w:rFonts w:ascii="Palatino Linotype" w:hAnsi="Palatino Linotype"/>
          <w:sz w:val="22"/>
          <w:szCs w:val="22"/>
          <w:lang w:val="es-ES"/>
        </w:rPr>
        <w:t xml:space="preserve"> de </w:t>
      </w:r>
      <w:proofErr w:type="spellStart"/>
      <w:r w:rsidRPr="005803D9">
        <w:rPr>
          <w:rFonts w:ascii="Palatino Linotype" w:hAnsi="Palatino Linotype"/>
          <w:sz w:val="22"/>
          <w:szCs w:val="22"/>
          <w:lang w:val="es-ES"/>
        </w:rPr>
        <w:t>prefactibilidad</w:t>
      </w:r>
      <w:proofErr w:type="spellEnd"/>
      <w:r w:rsidRPr="005803D9">
        <w:rPr>
          <w:rFonts w:ascii="Palatino Linotype" w:hAnsi="Palatino Linotype"/>
          <w:sz w:val="22"/>
          <w:szCs w:val="22"/>
          <w:lang w:val="es-ES"/>
        </w:rPr>
        <w:t xml:space="preserve"> que deberá </w:t>
      </w:r>
      <w:r w:rsidR="00D03CAB" w:rsidRPr="005803D9">
        <w:rPr>
          <w:rFonts w:ascii="Palatino Linotype" w:hAnsi="Palatino Linotype"/>
          <w:sz w:val="22"/>
          <w:szCs w:val="22"/>
          <w:lang w:val="es-ES"/>
        </w:rPr>
        <w:t xml:space="preserve">contener el caso de negocio inicial.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(ii) Las normas técnicas e instructivos establecidos por el órgano o entidad responsable de la planificación de la Administración pública de la que se trate.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(iii) Las normas técnicas expedidas por el ente rector de las finanzas públicas, para el caso de la Administración Pública Central, para el análisis de sostenibilidad y riesgos fiscales.</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(iv) Las buenas prácticas internacionales para ejecución de proyectos de </w:t>
      </w:r>
      <w:proofErr w:type="spellStart"/>
      <w:r w:rsidRPr="005803D9">
        <w:rPr>
          <w:rFonts w:ascii="Palatino Linotype" w:hAnsi="Palatino Linotype"/>
          <w:sz w:val="22"/>
          <w:szCs w:val="22"/>
          <w:lang w:val="es-ES"/>
        </w:rPr>
        <w:t>asociatividad</w:t>
      </w:r>
      <w:proofErr w:type="spellEnd"/>
      <w:r w:rsidRPr="005803D9">
        <w:rPr>
          <w:rFonts w:ascii="Palatino Linotype" w:hAnsi="Palatino Linotype"/>
          <w:sz w:val="22"/>
          <w:szCs w:val="22"/>
          <w:lang w:val="es-ES"/>
        </w:rPr>
        <w:t>.</w:t>
      </w:r>
    </w:p>
    <w:p w:rsidR="00281172" w:rsidRPr="005803D9" w:rsidRDefault="00D03CAB" w:rsidP="00BC4B45">
      <w:pPr>
        <w:jc w:val="both"/>
        <w:rPr>
          <w:rFonts w:ascii="Palatino Linotype" w:hAnsi="Palatino Linotype"/>
          <w:lang w:val="es-ES"/>
        </w:rPr>
      </w:pPr>
      <w:r w:rsidRPr="005803D9">
        <w:rPr>
          <w:rFonts w:ascii="Palatino Linotype" w:hAnsi="Palatino Linotype"/>
          <w:lang w:val="es-ES"/>
        </w:rPr>
        <w:lastRenderedPageBreak/>
        <w:t xml:space="preserve">El alcance de los estudios de ingeniería requeridos para la etapa, corresponderán a los estándares internacionales para el tipo de proyecto, y serán de tipo conceptual o </w:t>
      </w:r>
      <w:proofErr w:type="spellStart"/>
      <w:r w:rsidRPr="005803D9">
        <w:rPr>
          <w:rFonts w:ascii="Palatino Linotype" w:hAnsi="Palatino Linotype"/>
          <w:lang w:val="es-ES"/>
        </w:rPr>
        <w:t>prefactibilidad</w:t>
      </w:r>
      <w:proofErr w:type="spellEnd"/>
      <w:r w:rsidRPr="005803D9">
        <w:rPr>
          <w:rFonts w:ascii="Palatino Linotype" w:hAnsi="Palatino Linotype"/>
          <w:lang w:val="es-ES"/>
        </w:rPr>
        <w:t>.</w:t>
      </w:r>
    </w:p>
    <w:p w:rsidR="00D03CAB"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D03CAB" w:rsidRPr="005803D9">
        <w:rPr>
          <w:rFonts w:ascii="Palatino Linotype" w:hAnsi="Palatino Linotype"/>
          <w:b/>
          <w:bCs/>
          <w:sz w:val="22"/>
          <w:szCs w:val="22"/>
          <w:lang w:val="es-ES"/>
        </w:rPr>
        <w:t xml:space="preserve">Estudios de factibilidad.- </w:t>
      </w:r>
      <w:r w:rsidR="00D03CAB" w:rsidRPr="005803D9">
        <w:rPr>
          <w:rFonts w:ascii="Palatino Linotype" w:hAnsi="Palatino Linotype"/>
          <w:sz w:val="22"/>
          <w:szCs w:val="22"/>
          <w:lang w:val="es-ES"/>
        </w:rPr>
        <w:t xml:space="preserve">Los estudios de factibilidad que deberán conformar el caso final de negocio se desarrollarán de conformidad a los instrumentos o guías que se indicaron en el artículo anterior, y conforme las buenas prácticas internacionales.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El alcance de los estudios de ingeniería requeridos para la etapa, corresponderán a los estándares internacionales para el tipo de proyecto, y serán de tipo preliminar o básico.  Los estudios de demanda serán de alcance definitivos.</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jc w:val="both"/>
        <w:rPr>
          <w:rFonts w:ascii="Palatino Linotype" w:hAnsi="Palatino Linotype"/>
          <w:lang w:val="es-ES"/>
        </w:rPr>
      </w:pPr>
      <w:r w:rsidRPr="005803D9">
        <w:rPr>
          <w:rFonts w:ascii="Palatino Linotype" w:hAnsi="Palatino Linotype"/>
          <w:lang w:val="es-ES"/>
        </w:rPr>
        <w:t>En caso de requerirse esquemas tarifarios diferentes a los aprobados por el Concejo Metropolitano, se realizarán estudios de disponibilidad de pago.</w:t>
      </w:r>
    </w:p>
    <w:p w:rsidR="00D03CAB"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D03CAB" w:rsidRPr="005803D9">
        <w:rPr>
          <w:rFonts w:ascii="Palatino Linotype" w:hAnsi="Palatino Linotype"/>
          <w:b/>
          <w:bCs/>
          <w:sz w:val="22"/>
          <w:szCs w:val="22"/>
          <w:lang w:val="es-ES"/>
        </w:rPr>
        <w:t xml:space="preserve">Evaluación de sostenibilidad y riesgos fiscales.- </w:t>
      </w:r>
      <w:r w:rsidR="00D03CAB" w:rsidRPr="005803D9">
        <w:rPr>
          <w:rFonts w:ascii="Palatino Linotype" w:hAnsi="Palatino Linotype"/>
          <w:sz w:val="22"/>
          <w:szCs w:val="22"/>
          <w:lang w:val="es-ES"/>
        </w:rPr>
        <w:t xml:space="preserve">La evaluación de sostenibilidad y riesgos fiscales será realizada por la Gerencia Administrativa de cada Empresa Pública, y aprobada por el Directorio.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La evaluación será de tipo preliminar en la etapa de Identificación y Selección de Proyectos, y Final en la etapa de estructuración.</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Se regirá a los parámetros definidos por el Ente Rector de las Finanzas Públicas.</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Esta evaluación se practicará en relación con los límites presupuestarios y la capacidad de pago del Estado para asumir los compromisos financieros, firmes y contingentes, sin comprometer el equilibrio presupuestario en el corto, mediano ni largo plazo, ni la prestación regular de los servicios que se deriven directa e indirectamente de la ejecución del respectivo proyecto.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Para tal efecto, la unidad de negocios de la Empresa Pública, remitirá documentos descriptivos del proyecto y los estudios desarrollados de conformidad a la etapa de evaluación.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Si por cualquier razón la información financiera sobre la cual se emitió́ el informe de evaluación preliminar de sostenibilidad y riesgos fiscales varían durante la fase de estructuración, se requerirá́ un nuevo pronunciamiento antes de su incorporación en los instrumentos de planificación material y financieros.</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lastRenderedPageBreak/>
        <w:t>Una vez seleccionada la oferta, se realizará un nuevo informe, donde se determinen las condiciones finales con las que se contratará el proyecto, y el informe será integrante del expediente de adjudicación.</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jc w:val="both"/>
        <w:rPr>
          <w:rFonts w:ascii="Palatino Linotype" w:hAnsi="Palatino Linotype"/>
          <w:lang w:val="es-ES"/>
        </w:rPr>
      </w:pPr>
      <w:r w:rsidRPr="005803D9">
        <w:rPr>
          <w:rFonts w:ascii="Palatino Linotype" w:hAnsi="Palatino Linotype"/>
          <w:lang w:val="es-ES"/>
        </w:rPr>
        <w:t>Cuando el proyecto del que se trate no deba afectar el presupuesto público, los informes de sostenibilidad y riesgo fiscal dejarán constancia de este hecho, sin perjuicio de establecer y evaluar los pasivos contingentes que se derivarían del proyecto.</w:t>
      </w:r>
    </w:p>
    <w:p w:rsidR="00D03CAB"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D03CAB" w:rsidRPr="005803D9">
        <w:rPr>
          <w:rFonts w:ascii="Palatino Linotype" w:hAnsi="Palatino Linotype"/>
          <w:b/>
          <w:bCs/>
          <w:sz w:val="22"/>
          <w:szCs w:val="22"/>
          <w:lang w:val="es-ES"/>
        </w:rPr>
        <w:t xml:space="preserve">Beneficios e incentivos tributarios.- </w:t>
      </w:r>
      <w:r w:rsidR="00D03CAB" w:rsidRPr="005803D9">
        <w:rPr>
          <w:rFonts w:ascii="Palatino Linotype" w:hAnsi="Palatino Linotype"/>
          <w:sz w:val="22"/>
          <w:szCs w:val="22"/>
          <w:lang w:val="es-ES"/>
        </w:rPr>
        <w:t>Los proyectos de Alianzas Estratégicas no están sujetos a beneficios tributarios, salvo los generados por procesos de inversión o aquellos sectoriales.</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Dentro de la estructuración del modelo de negocio se tomarán en cuenta estas consideraciones.</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jc w:val="both"/>
        <w:rPr>
          <w:rFonts w:ascii="Palatino Linotype" w:hAnsi="Palatino Linotype"/>
          <w:lang w:val="es-ES"/>
        </w:rPr>
      </w:pPr>
      <w:r w:rsidRPr="005803D9">
        <w:rPr>
          <w:rFonts w:ascii="Palatino Linotype" w:hAnsi="Palatino Linotype"/>
          <w:lang w:val="es-ES"/>
        </w:rPr>
        <w:t>La Empresa Pública brindará todas las facilidades para lograr la suscripción de los convenios de inversión correspondientes, en especial si es necesario para el proceso de cierre financiero.</w:t>
      </w:r>
    </w:p>
    <w:p w:rsidR="00D03CAB" w:rsidRPr="005803D9" w:rsidRDefault="00412D17"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D03CAB" w:rsidRPr="005803D9">
        <w:rPr>
          <w:rFonts w:ascii="Palatino Linotype" w:hAnsi="Palatino Linotype"/>
          <w:b/>
          <w:bCs/>
          <w:sz w:val="22"/>
          <w:szCs w:val="22"/>
          <w:lang w:val="es-ES"/>
        </w:rPr>
        <w:t xml:space="preserve">Incorporación del proyecto en la planificación material y financiera públicas.- </w:t>
      </w:r>
      <w:r w:rsidR="00D03CAB" w:rsidRPr="005803D9">
        <w:rPr>
          <w:rFonts w:ascii="Palatino Linotype" w:hAnsi="Palatino Linotype"/>
          <w:sz w:val="22"/>
          <w:szCs w:val="22"/>
          <w:lang w:val="es-ES"/>
        </w:rPr>
        <w:t xml:space="preserve">La ejecución de cualquier proyecto con la participación de un aliado estratégico presupone el cumplimiento del régimen ordinario de planificación material y financiera a cargo de la entidad delegante, dentro de los plazos y términos ordinarios.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Cuando el proyecto del que se trate suponga compromisos presupuestarios y su modalidad de gestión implique la asociación con un gestor privado, el proyecto deberá́ ser considerado y tramitado, para su priorización e incorporación en el plan de inversiones del ejercicio en el que se inicie su ejecución, del mismo modo que cualquier otro proyecto que sea financiado con recursos fiscales o de endeudamiento público.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412D17" w:rsidRPr="005803D9" w:rsidRDefault="00D03CAB" w:rsidP="00BC4B45">
      <w:pPr>
        <w:jc w:val="both"/>
        <w:rPr>
          <w:rFonts w:ascii="Palatino Linotype" w:hAnsi="Palatino Linotype"/>
          <w:lang w:val="es-ES"/>
        </w:rPr>
      </w:pPr>
      <w:r w:rsidRPr="005803D9">
        <w:rPr>
          <w:rFonts w:ascii="Palatino Linotype" w:hAnsi="Palatino Linotype"/>
          <w:lang w:val="es-ES"/>
        </w:rPr>
        <w:t xml:space="preserve">Aquellos proyectos previamente incluidos en el banco de proyectos, esto es aquellos que no hayan sido priorizados e incorporados en los instrumentos de planificación y </w:t>
      </w:r>
      <w:proofErr w:type="spellStart"/>
      <w:r w:rsidRPr="005803D9">
        <w:rPr>
          <w:rFonts w:ascii="Palatino Linotype" w:hAnsi="Palatino Linotype"/>
          <w:lang w:val="es-ES"/>
        </w:rPr>
        <w:t>presupuestación</w:t>
      </w:r>
      <w:proofErr w:type="spellEnd"/>
      <w:r w:rsidRPr="005803D9">
        <w:rPr>
          <w:rFonts w:ascii="Palatino Linotype" w:hAnsi="Palatino Linotype"/>
          <w:lang w:val="es-ES"/>
        </w:rPr>
        <w:t xml:space="preserve"> de acuerdo con el régimen general, o en general, aquellos proyectos que para su ejecución no requieran financiamiento con partidas del presupuesto público podrán ser incorporados al Programa de Proyectos de la Empresa Pública.</w:t>
      </w:r>
    </w:p>
    <w:p w:rsidR="00D03CAB" w:rsidRPr="005803D9" w:rsidRDefault="00ED75AD"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D03CAB" w:rsidRPr="005803D9">
        <w:rPr>
          <w:rFonts w:ascii="Palatino Linotype" w:hAnsi="Palatino Linotype"/>
          <w:b/>
          <w:bCs/>
          <w:sz w:val="22"/>
          <w:szCs w:val="22"/>
          <w:lang w:val="es-ES"/>
        </w:rPr>
        <w:t>Derechos, obligaciones y cargas del proponente externo.-</w:t>
      </w:r>
      <w:r w:rsidR="00D03CAB" w:rsidRPr="005803D9">
        <w:rPr>
          <w:rFonts w:ascii="Palatino Linotype" w:hAnsi="Palatino Linotype"/>
          <w:sz w:val="22"/>
          <w:szCs w:val="22"/>
          <w:lang w:val="es-ES"/>
        </w:rPr>
        <w:t xml:space="preserve"> Son de la esencia de las propuestas efectuadas por el proponente externo, de conformidad con esta </w:t>
      </w:r>
      <w:proofErr w:type="spellStart"/>
      <w:r w:rsidR="00D03CAB" w:rsidRPr="005803D9">
        <w:rPr>
          <w:rFonts w:ascii="Palatino Linotype" w:hAnsi="Palatino Linotype"/>
          <w:sz w:val="22"/>
          <w:szCs w:val="22"/>
          <w:lang w:val="es-ES"/>
        </w:rPr>
        <w:t>Sección</w:t>
      </w:r>
      <w:proofErr w:type="spellEnd"/>
      <w:r w:rsidR="00D03CAB" w:rsidRPr="005803D9">
        <w:rPr>
          <w:rFonts w:ascii="Palatino Linotype" w:hAnsi="Palatino Linotype"/>
          <w:sz w:val="22"/>
          <w:szCs w:val="22"/>
          <w:lang w:val="es-ES"/>
        </w:rPr>
        <w:t xml:space="preserve">, los siguientes derechos, obligaciones y cargas: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a. El proponente externo no tendrá́ derecho a requerir de la empresa pública metropolitana ninguna prestación económica por costos generados en la identificación </w:t>
      </w:r>
      <w:r w:rsidRPr="005803D9">
        <w:rPr>
          <w:rFonts w:ascii="Palatino Linotype" w:hAnsi="Palatino Linotype"/>
          <w:sz w:val="22"/>
          <w:szCs w:val="22"/>
          <w:lang w:val="es-ES"/>
        </w:rPr>
        <w:lastRenderedPageBreak/>
        <w:t>o estructuración del proyecto, indemnización o retribución.</w:t>
      </w:r>
      <w:r w:rsidRPr="005803D9">
        <w:rPr>
          <w:rFonts w:ascii="Palatino Linotype" w:hAnsi="Palatino Linotype"/>
          <w:sz w:val="22"/>
          <w:szCs w:val="22"/>
          <w:lang w:val="es-ES"/>
        </w:rPr>
        <w:br/>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La empresa pública metropolitana no estará́ obligada a acoger la iniciativa del proponente externo, ni aun por silencio administrativo. Se notificará al proponente con el resultado en un plazo no mayor a 60 días.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br/>
        <w:t>c</w:t>
      </w:r>
      <w:r w:rsidR="00B70023" w:rsidRPr="005803D9">
        <w:rPr>
          <w:rFonts w:ascii="Palatino Linotype" w:hAnsi="Palatino Linotype"/>
          <w:sz w:val="22"/>
          <w:szCs w:val="22"/>
          <w:lang w:val="es-ES"/>
        </w:rPr>
        <w:t xml:space="preserve">. El proponente externo estará </w:t>
      </w:r>
      <w:r w:rsidRPr="005803D9">
        <w:rPr>
          <w:rFonts w:ascii="Palatino Linotype" w:hAnsi="Palatino Linotype"/>
          <w:sz w:val="22"/>
          <w:szCs w:val="22"/>
          <w:lang w:val="es-ES"/>
        </w:rPr>
        <w:t xml:space="preserve">sujeto al procedimiento público de selección, sin otra ventaja en relación con los otros oferentes que el puntaje de bonificación que en el correspondiente pliego de bases se establezca y que será́ del diez por ciento del puntaje total.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d. En caso de que el proponente externo no resulte adjudicatario en el procedimiento público de selección, tendrá́ derecho a obtener del adjudicatario final el valor que en el pliego de bases se hubiera determinado por concepto de costos y gastos de preparación del proyecto. Esta obligación del adjudicatario final deberá́ constar en el contrato. </w:t>
      </w:r>
    </w:p>
    <w:p w:rsidR="00896C6B" w:rsidRPr="005803D9" w:rsidRDefault="00896C6B" w:rsidP="00ED75AD">
      <w:pPr>
        <w:jc w:val="both"/>
        <w:rPr>
          <w:rFonts w:ascii="Palatino Linotype" w:hAnsi="Palatino Linotype" w:cs="Times New Roman"/>
          <w:lang w:val="es-ES"/>
        </w:rPr>
      </w:pPr>
    </w:p>
    <w:p w:rsidR="00C11894" w:rsidRPr="005803D9" w:rsidRDefault="00D03CAB" w:rsidP="00ED75AD">
      <w:pPr>
        <w:jc w:val="both"/>
        <w:rPr>
          <w:rFonts w:ascii="Palatino Linotype" w:hAnsi="Palatino Linotype" w:cs="Times New Roman"/>
          <w:lang w:val="es-ES"/>
        </w:rPr>
      </w:pPr>
      <w:r w:rsidRPr="005803D9">
        <w:rPr>
          <w:rFonts w:ascii="Palatino Linotype" w:hAnsi="Palatino Linotype" w:cs="Times New Roman"/>
          <w:lang w:val="es-ES"/>
        </w:rPr>
        <w:t>e. La empre</w:t>
      </w:r>
      <w:r w:rsidR="00B70023" w:rsidRPr="005803D9">
        <w:rPr>
          <w:rFonts w:ascii="Palatino Linotype" w:hAnsi="Palatino Linotype" w:cs="Times New Roman"/>
          <w:lang w:val="es-ES"/>
        </w:rPr>
        <w:t>sa pública metropolitana deberá</w:t>
      </w:r>
      <w:r w:rsidRPr="005803D9">
        <w:rPr>
          <w:rFonts w:ascii="Palatino Linotype" w:hAnsi="Palatino Linotype" w:cs="Times New Roman"/>
          <w:lang w:val="es-ES"/>
        </w:rPr>
        <w:t xml:space="preserve"> guardar confidencialidad sobre las propuestas externas mientras estás sean analizadas.</w:t>
      </w:r>
    </w:p>
    <w:p w:rsidR="00ED75AD" w:rsidRPr="005803D9" w:rsidRDefault="00ED75AD" w:rsidP="00ED75AD">
      <w:pPr>
        <w:jc w:val="both"/>
        <w:rPr>
          <w:rFonts w:ascii="Palatino Linotype" w:hAnsi="Palatino Linotype" w:cs="Times New Roman"/>
          <w:lang w:val="es-ES"/>
        </w:rPr>
      </w:pPr>
      <w:r w:rsidRPr="005803D9">
        <w:rPr>
          <w:rFonts w:ascii="Palatino Linotype" w:hAnsi="Palatino Linotype"/>
        </w:rPr>
        <w:t xml:space="preserve">En cuanto a las inhabilidades, se estará a lo dispuesto en el </w:t>
      </w:r>
      <w:r w:rsidR="00710A30" w:rsidRPr="005803D9">
        <w:rPr>
          <w:rFonts w:ascii="Palatino Linotype" w:hAnsi="Palatino Linotype"/>
        </w:rPr>
        <w:t>artículo</w:t>
      </w:r>
      <w:r w:rsidRPr="005803D9">
        <w:rPr>
          <w:rFonts w:ascii="Palatino Linotype" w:hAnsi="Palatino Linotype"/>
        </w:rPr>
        <w:t xml:space="preserve"> </w:t>
      </w:r>
      <w:r w:rsidR="00710A30" w:rsidRPr="005803D9">
        <w:rPr>
          <w:rFonts w:ascii="Palatino Linotype" w:hAnsi="Palatino Linotype"/>
        </w:rPr>
        <w:t xml:space="preserve">(…) </w:t>
      </w:r>
      <w:r w:rsidRPr="005803D9">
        <w:rPr>
          <w:rFonts w:ascii="Palatino Linotype" w:hAnsi="Palatino Linotype"/>
        </w:rPr>
        <w:t>de la presente Sección.</w:t>
      </w:r>
    </w:p>
    <w:p w:rsidR="00D03CAB" w:rsidRPr="005803D9" w:rsidRDefault="00ED75AD"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D03CAB" w:rsidRPr="005803D9">
        <w:rPr>
          <w:rFonts w:ascii="Palatino Linotype" w:hAnsi="Palatino Linotype"/>
          <w:b/>
          <w:bCs/>
          <w:sz w:val="22"/>
          <w:szCs w:val="22"/>
          <w:lang w:val="es-ES"/>
        </w:rPr>
        <w:t xml:space="preserve">Formulación del pliego de bases y documentos contractuales.- </w:t>
      </w:r>
      <w:r w:rsidR="00D03CAB" w:rsidRPr="005803D9">
        <w:rPr>
          <w:rFonts w:ascii="Palatino Linotype" w:hAnsi="Palatino Linotype"/>
          <w:sz w:val="22"/>
          <w:szCs w:val="22"/>
          <w:lang w:val="es-ES"/>
        </w:rPr>
        <w:t xml:space="preserve">El pliego de bases será́ preparado por la entidad delegante o la empresa pública y ha de contener las bases administrativas del procedimiento, técnicas y económico-financieras, los términos contractuales que regirán, en su caso, entre los participantes en el procedimiento y la que se entable entre la entidad delegante y el gestor privado.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En general las bases administrativas del pliego deberán contemplar, al menos, los siguientes aspectos: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(a) Información general del Proyecto.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El rol de cada órgano administrativo en el procedimiento precontractual y de aquellos responsables de él. tales como la comisión de contratación y las subcomisiones de apoyo.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(c) La descripción de los documentos del pliego, que suelen incluir: el cuerpo principal que contiene las bases administrativas, las bases técnicas, las bases económicas y los términos esenciales de contratación: los anexos, organizados en cuatro libros, según se trata de: (i) anexos administrativos; (ii) anexos técnicos; (iii) anexos económicos; y, (iv) </w:t>
      </w:r>
      <w:r w:rsidRPr="005803D9">
        <w:rPr>
          <w:rFonts w:ascii="Palatino Linotype" w:hAnsi="Palatino Linotype"/>
          <w:sz w:val="22"/>
          <w:szCs w:val="22"/>
          <w:lang w:val="es-ES"/>
        </w:rPr>
        <w:lastRenderedPageBreak/>
        <w:t xml:space="preserve">modelo de contrato y sus anexos; y, el contenido de las actas de aclaración y de modificación.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(d) El alcance y propósito de la información y documentos provistos por la entidad.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(e) La determinación de las reglas sobre oferentes, que ha de incluir, los requisitos de elegibilidad de los oferentes y el modo de acreditarlos.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(f) El procedimiento mismo de concurso público.</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0F058E"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(g) Contenido y forma de las ofertas.</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(h) Criterios de evaluación de las ofertas.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Las bases técnicas del pliego rigen todos los aspectos técnicos y funcionales que deben ser considerados y empleados por los oferentes en la preparación de sus ofertas. Tienen por objetivos, al menos, los siguientes: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(a) Definir el alcance de las obras, bienes o servicios del proyecto, cuando corresponde.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Precisar el contenido del proyecto técnico de la oferta que debe ser preparado por el oferente y presentado en el concurso. </w:t>
      </w: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p>
    <w:p w:rsidR="00D03CAB" w:rsidRPr="005803D9" w:rsidRDefault="00D03CAB"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Las bases económicas del pliego rigen todos los aspectos en esta materia que deben ser considerados y empleados por los oferentes en la preparación de su plan económico- financiero. </w:t>
      </w:r>
    </w:p>
    <w:p w:rsidR="00D03CAB" w:rsidRPr="005803D9" w:rsidRDefault="00D03CAB" w:rsidP="00BC4B45">
      <w:pPr>
        <w:jc w:val="both"/>
        <w:rPr>
          <w:rFonts w:ascii="Palatino Linotype" w:hAnsi="Palatino Linotype"/>
        </w:rPr>
      </w:pP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Los objetivos de las bases económicas son, al menos, los siguientes: </w:t>
      </w: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(a) Establecer las obligaciones y derechos esenciales del gestor privado vinculados con los aspectos económicos y financieros del proyecto. </w:t>
      </w: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Precisar el contenido del plan económico-financiero que debe ser preparado por el oferente. </w:t>
      </w: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(c) Describir los factores de adjudicación del concurso. Debe notarse que, dependiendo del tipo de procedimiento elegido, los aspectos técnicos de la oferta no suelen ser factores de adjudicación, pues, se entiende </w:t>
      </w:r>
      <w:r w:rsidR="00710A30" w:rsidRPr="005803D9">
        <w:rPr>
          <w:rFonts w:ascii="Palatino Linotype" w:hAnsi="Palatino Linotype"/>
          <w:sz w:val="22"/>
          <w:szCs w:val="22"/>
          <w:lang w:val="es-ES"/>
        </w:rPr>
        <w:t>que,</w:t>
      </w:r>
      <w:r w:rsidRPr="005803D9">
        <w:rPr>
          <w:rFonts w:ascii="Palatino Linotype" w:hAnsi="Palatino Linotype"/>
          <w:sz w:val="22"/>
          <w:szCs w:val="22"/>
          <w:lang w:val="es-ES"/>
        </w:rPr>
        <w:t xml:space="preserve"> en el mecanismo de cascada ordinario, únicamente se llega a la fase de revisión económica, si los aspectos técnicos del proyecto son satisfactorios. </w:t>
      </w: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lastRenderedPageBreak/>
        <w:t>(d) Los criterios para rechazar ofertas temerarias.</w:t>
      </w: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p>
    <w:p w:rsidR="0050112E" w:rsidRPr="005803D9" w:rsidRDefault="0050112E" w:rsidP="00BC4B45">
      <w:pPr>
        <w:jc w:val="both"/>
        <w:rPr>
          <w:rFonts w:ascii="Palatino Linotype" w:hAnsi="Palatino Linotype"/>
          <w:lang w:val="es-ES"/>
        </w:rPr>
      </w:pPr>
      <w:r w:rsidRPr="005803D9">
        <w:rPr>
          <w:rFonts w:ascii="Palatino Linotype" w:hAnsi="Palatino Linotype"/>
          <w:lang w:val="es-ES"/>
        </w:rPr>
        <w:t>Se podrán emplear modelos de contratos internacionales para este proceso, como el desarrollado por el FIDIC, NEC inglés, u otros con alto solvencia y probidad comercial.</w:t>
      </w:r>
    </w:p>
    <w:p w:rsidR="0050112E" w:rsidRPr="005803D9" w:rsidRDefault="00ED75AD"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0112E" w:rsidRPr="005803D9">
        <w:rPr>
          <w:rFonts w:ascii="Palatino Linotype" w:hAnsi="Palatino Linotype"/>
          <w:b/>
          <w:bCs/>
          <w:sz w:val="22"/>
          <w:szCs w:val="22"/>
          <w:lang w:val="es-ES"/>
        </w:rPr>
        <w:t xml:space="preserve">Sondeo de mercado.- </w:t>
      </w:r>
      <w:r w:rsidR="0050112E" w:rsidRPr="005803D9">
        <w:rPr>
          <w:rFonts w:ascii="Palatino Linotype" w:hAnsi="Palatino Linotype"/>
          <w:sz w:val="22"/>
          <w:szCs w:val="22"/>
          <w:lang w:val="es-ES"/>
        </w:rPr>
        <w:t>Concluidos los estudios de factibilidad, el pliego de bases y los documentos contractuales, o en paralelo, la entidad delegante deberá́ promocionar el proyecto, dentro de un procedimiento transparente de sondeo de mercado, con el objeto de recoger observaciones y recomendaciones para preparar la versión definitiva de los instrumentos que empleará en la fase de contratación</w:t>
      </w:r>
    </w:p>
    <w:p w:rsidR="0050112E" w:rsidRPr="005803D9" w:rsidRDefault="0050112E" w:rsidP="00BC4B45">
      <w:pPr>
        <w:pStyle w:val="NormalWeb"/>
        <w:spacing w:before="0" w:beforeAutospacing="0" w:after="0" w:afterAutospacing="0"/>
        <w:jc w:val="both"/>
        <w:rPr>
          <w:rFonts w:ascii="Palatino Linotype" w:hAnsi="Palatino Linotype"/>
          <w:sz w:val="22"/>
          <w:szCs w:val="22"/>
          <w:lang w:val="es-ES"/>
        </w:rPr>
      </w:pPr>
    </w:p>
    <w:p w:rsidR="0050112E" w:rsidRPr="005803D9" w:rsidRDefault="0050112E" w:rsidP="00BC4B45">
      <w:pPr>
        <w:jc w:val="both"/>
        <w:rPr>
          <w:rFonts w:ascii="Palatino Linotype" w:hAnsi="Palatino Linotype"/>
          <w:lang w:val="es-ES"/>
        </w:rPr>
      </w:pPr>
      <w:r w:rsidRPr="005803D9">
        <w:rPr>
          <w:rFonts w:ascii="Palatino Linotype" w:hAnsi="Palatino Linotype"/>
          <w:lang w:val="es-ES"/>
        </w:rPr>
        <w:t>Si en este proceso se determina la necesidad de ajustar la matriz de riesgos, se procederá con los cambios, para lo cual se evaluarán las repercusiones en la generación de valor por dinero, que serán comunicadas y analizadas en el modelo de negocio final que se presente al Directorio.</w:t>
      </w:r>
    </w:p>
    <w:p w:rsidR="005130D6" w:rsidRPr="005803D9" w:rsidRDefault="00ED75AD" w:rsidP="00BC4B45">
      <w:pPr>
        <w:jc w:val="both"/>
        <w:rPr>
          <w:rFonts w:ascii="Palatino Linotype" w:hAnsi="Palatino Linotype"/>
          <w:lang w:val="es-ES"/>
        </w:rPr>
      </w:pPr>
      <w:r w:rsidRPr="005803D9">
        <w:rPr>
          <w:rFonts w:ascii="Palatino Linotype" w:hAnsi="Palatino Linotype" w:cs="Times New Roman"/>
          <w:b/>
          <w:bCs/>
          <w:lang w:val="es-ES"/>
        </w:rPr>
        <w:t xml:space="preserve">Artículo (…).- </w:t>
      </w:r>
      <w:r w:rsidR="005130D6" w:rsidRPr="005803D9">
        <w:rPr>
          <w:rFonts w:ascii="Palatino Linotype" w:hAnsi="Palatino Linotype"/>
          <w:b/>
          <w:bCs/>
          <w:lang w:val="es-ES"/>
        </w:rPr>
        <w:t xml:space="preserve">Ajustes </w:t>
      </w:r>
      <w:r w:rsidR="005130D6" w:rsidRPr="005803D9">
        <w:rPr>
          <w:rFonts w:ascii="Palatino Linotype" w:hAnsi="Palatino Linotype"/>
          <w:lang w:val="es-ES"/>
        </w:rPr>
        <w:t xml:space="preserve">y </w:t>
      </w:r>
      <w:r w:rsidR="005130D6" w:rsidRPr="005803D9">
        <w:rPr>
          <w:rFonts w:ascii="Palatino Linotype" w:hAnsi="Palatino Linotype"/>
          <w:b/>
          <w:bCs/>
          <w:lang w:val="es-ES"/>
        </w:rPr>
        <w:t xml:space="preserve">declaración de viabilidad del proyecto.- </w:t>
      </w:r>
      <w:r w:rsidR="005130D6" w:rsidRPr="005803D9">
        <w:rPr>
          <w:rFonts w:ascii="Palatino Linotype" w:hAnsi="Palatino Linotype"/>
          <w:lang w:val="es-ES"/>
        </w:rPr>
        <w:t xml:space="preserve">Con base en los estudios de factibilidad, el pliego de bases y documentos contractuales y, en su caso, los ajustes que resulten del sondeo de mercado, la entidad delegante, de ser pertinente, declarará la viabilidad del proyecto y requerirá́ la actualización de la aprobación del modelo de negocio por parte del Directorio, respecto del caso de negocio final y su </w:t>
      </w:r>
      <w:proofErr w:type="spellStart"/>
      <w:r w:rsidR="005130D6" w:rsidRPr="005803D9">
        <w:rPr>
          <w:rFonts w:ascii="Palatino Linotype" w:hAnsi="Palatino Linotype"/>
          <w:lang w:val="es-ES"/>
        </w:rPr>
        <w:t>bancabilidad</w:t>
      </w:r>
      <w:proofErr w:type="spellEnd"/>
      <w:r w:rsidR="005130D6" w:rsidRPr="005803D9">
        <w:rPr>
          <w:rFonts w:ascii="Palatino Linotype" w:hAnsi="Palatino Linotype"/>
          <w:lang w:val="es-ES"/>
        </w:rPr>
        <w:t>.</w:t>
      </w:r>
    </w:p>
    <w:p w:rsidR="005130D6" w:rsidRPr="005803D9" w:rsidRDefault="00ED75AD"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Certificado de compromiso fiscal.- </w:t>
      </w:r>
      <w:r w:rsidR="005130D6" w:rsidRPr="005803D9">
        <w:rPr>
          <w:rFonts w:ascii="Palatino Linotype" w:hAnsi="Palatino Linotype"/>
          <w:sz w:val="22"/>
          <w:szCs w:val="22"/>
          <w:lang w:val="es-ES"/>
        </w:rPr>
        <w:t xml:space="preserve">Antes de la convocatoria a concurso público, una vez aprobado el modelo de negocio por parte del Directorio, la Gerencia Financiera emitirá el certificado de compromiso fiscal que se agregará a los documentos del pliego de bases como requisito habilitante para la convocatoria a concurso. </w:t>
      </w:r>
    </w:p>
    <w:p w:rsidR="0049004B" w:rsidRPr="005803D9" w:rsidRDefault="0049004B"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El certificado de compromiso fiscal es un instrumento que afecta el Registro de Compromisos de Alianzas Estratégicas instrumento de planificación en el sistema nacional de las finanzas públicas.</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Del certificado de compromiso fiscal se desprenden los siguientes efectos: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(a) Los montos comprometidos deberán presupuestarse como gasto, incorporándose los recursos destinados a los proyectos de Alianzas Estratégicas dentro de los instrumentos de planificación financiera anual y plurianual para su programación.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La entidad delegante debe considerar en el calendario de planificación material y financiera los montos comprometidos dentro del techo presupuestario asignado.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lastRenderedPageBreak/>
        <w:t xml:space="preserve">(c) Los demás previstos en la norma técnica expedida por el ente rector de las finanzas públicas.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Con independencia del certificado de compromiso fiscal, requisito para !a convocatoria a concurso público y para la suscripción del respectivo contrato de alianza estratégica y útil para la planificación financiera de corto, mediano y largo plazo, la entidad delegante deberá́ emitir el correspondiente certificado de disponibilidad presupuestaria desde el ejercicio en el que se deban iniciar los pagos con cargo al presupuesto institucional para atender los compromisos firmes asumidos en el respectivo contrato.</w:t>
      </w:r>
    </w:p>
    <w:p w:rsidR="00B70023" w:rsidRPr="005803D9" w:rsidRDefault="00B70023" w:rsidP="00BC4B45">
      <w:pPr>
        <w:jc w:val="both"/>
        <w:rPr>
          <w:rFonts w:ascii="Palatino Linotype" w:hAnsi="Palatino Linotype"/>
          <w:b/>
          <w:bCs/>
          <w:lang w:val="es-ES"/>
        </w:rPr>
      </w:pPr>
    </w:p>
    <w:p w:rsidR="005130D6" w:rsidRPr="005803D9" w:rsidRDefault="0094486E" w:rsidP="00BC4B45">
      <w:pPr>
        <w:jc w:val="both"/>
        <w:rPr>
          <w:rFonts w:ascii="Palatino Linotype" w:hAnsi="Palatino Linotype" w:cs="Times New Roman"/>
          <w:lang w:val="es-ES"/>
        </w:rPr>
      </w:pPr>
      <w:r w:rsidRPr="005803D9">
        <w:rPr>
          <w:rFonts w:ascii="Palatino Linotype" w:hAnsi="Palatino Linotype"/>
          <w:b/>
          <w:bCs/>
          <w:lang w:val="es-ES"/>
        </w:rPr>
        <w:t xml:space="preserve">Artículo (…).- </w:t>
      </w:r>
      <w:r w:rsidR="005130D6" w:rsidRPr="005803D9">
        <w:rPr>
          <w:rFonts w:ascii="Palatino Linotype" w:hAnsi="Palatino Linotype" w:cs="Times New Roman"/>
          <w:b/>
          <w:bCs/>
          <w:lang w:val="es-ES"/>
        </w:rPr>
        <w:t>Procedimiento especial para Alianzas Estratégicas para la ejecución de vivienda y proyectos inmobiliarios en predios municipales.-</w:t>
      </w:r>
      <w:r w:rsidR="005130D6" w:rsidRPr="005803D9">
        <w:rPr>
          <w:rFonts w:ascii="Palatino Linotype" w:hAnsi="Palatino Linotype" w:cs="Times New Roman"/>
          <w:lang w:val="es-ES"/>
        </w:rPr>
        <w:t xml:space="preserve">  Por ser una naturaleza distinta de aplicación, los proyectos de vivienda y de desarrollo inmobiliario de cualquier clase, estarán regidos por su propio principio, para lo cual la Empresa Pública encargada del desarrollo de vivienda, generará y dispondrá de un reglamento propio para el efecto, aprobado por el Directorio de la Empresa Pública.</w:t>
      </w: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En este procedimiento se determinará el procedimiento de enajenación de los bienes correspondientes.</w:t>
      </w: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 xml:space="preserve">Como parte de </w:t>
      </w:r>
      <w:r w:rsidR="0049004B" w:rsidRPr="005803D9">
        <w:rPr>
          <w:rFonts w:ascii="Palatino Linotype" w:hAnsi="Palatino Linotype" w:cs="Times New Roman"/>
          <w:lang w:val="es-ES"/>
        </w:rPr>
        <w:t>los fideicomisos</w:t>
      </w:r>
      <w:r w:rsidRPr="005803D9">
        <w:rPr>
          <w:rFonts w:ascii="Palatino Linotype" w:hAnsi="Palatino Linotype" w:cs="Times New Roman"/>
          <w:lang w:val="es-ES"/>
        </w:rPr>
        <w:t xml:space="preserve"> que se realicen, el predio municipal podrá ser integrante del mismo, pero el aliado estratégico dispondrá de garantías, en calidad de aportes y no como garantías.</w:t>
      </w: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Las Unidades Técnicas municipales establecerán procedimientos expeditos para agilizar los procesos de venta.</w:t>
      </w:r>
    </w:p>
    <w:p w:rsidR="005130D6" w:rsidRPr="005803D9" w:rsidRDefault="0094486E" w:rsidP="00BC4B45">
      <w:pPr>
        <w:jc w:val="both"/>
        <w:rPr>
          <w:rFonts w:ascii="Palatino Linotype" w:hAnsi="Palatino Linotype" w:cs="Times New Roman"/>
          <w:lang w:val="es-ES"/>
        </w:rPr>
      </w:pPr>
      <w:r w:rsidRPr="005803D9">
        <w:rPr>
          <w:rFonts w:ascii="Palatino Linotype" w:hAnsi="Palatino Linotype"/>
          <w:b/>
          <w:bCs/>
          <w:lang w:val="es-ES"/>
        </w:rPr>
        <w:t xml:space="preserve">Artículo (…).- </w:t>
      </w:r>
      <w:r w:rsidR="005130D6" w:rsidRPr="005803D9">
        <w:rPr>
          <w:rFonts w:ascii="Palatino Linotype" w:hAnsi="Palatino Linotype" w:cs="Times New Roman"/>
          <w:b/>
          <w:bCs/>
          <w:lang w:val="es-ES"/>
        </w:rPr>
        <w:t>Garantías.-</w:t>
      </w:r>
      <w:r w:rsidR="005130D6" w:rsidRPr="005803D9">
        <w:rPr>
          <w:rFonts w:ascii="Palatino Linotype" w:hAnsi="Palatino Linotype" w:cs="Times New Roman"/>
          <w:lang w:val="es-ES"/>
        </w:rPr>
        <w:t xml:space="preserve"> Para participar en el procedimiento público de selección a que se refieren los artículos anteriores, será́ necesario que el interesado garantice la seriedad de su oferta en la forma, monto y condiciones que se establezcan, de acuerdo al procedimiento público de selección definido.</w:t>
      </w: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El monto de seriedad de la oferta será del 2% del monto de inversión de proyecto, emitido por cualquiera de los mecanismos previstos en la Ley Orgánica del Sistema Nacional de Contratación Pública</w:t>
      </w: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Adicionalmente, se dispondrán de garantías de fiel cumplimiento, conforme la práctica del sector de inversión, y de los sondeos de mercado.</w:t>
      </w:r>
    </w:p>
    <w:p w:rsidR="005130D6" w:rsidRPr="005803D9" w:rsidRDefault="0094486E" w:rsidP="00BC4B45">
      <w:pPr>
        <w:jc w:val="both"/>
        <w:rPr>
          <w:rFonts w:ascii="Palatino Linotype" w:hAnsi="Palatino Linotype" w:cs="Times New Roman"/>
          <w:lang w:val="es-ES"/>
        </w:rPr>
      </w:pPr>
      <w:r w:rsidRPr="005803D9">
        <w:rPr>
          <w:rFonts w:ascii="Palatino Linotype" w:hAnsi="Palatino Linotype"/>
          <w:b/>
          <w:bCs/>
          <w:lang w:val="es-ES"/>
        </w:rPr>
        <w:lastRenderedPageBreak/>
        <w:t xml:space="preserve">Artículo (…).- </w:t>
      </w:r>
      <w:r w:rsidR="005130D6" w:rsidRPr="005803D9">
        <w:rPr>
          <w:rFonts w:ascii="Palatino Linotype" w:hAnsi="Palatino Linotype" w:cs="Times New Roman"/>
          <w:b/>
          <w:bCs/>
          <w:lang w:val="es-ES"/>
        </w:rPr>
        <w:t xml:space="preserve">Seguros.- </w:t>
      </w:r>
      <w:r w:rsidR="005130D6" w:rsidRPr="005803D9">
        <w:rPr>
          <w:rFonts w:ascii="Palatino Linotype" w:hAnsi="Palatino Linotype" w:cs="Times New Roman"/>
          <w:lang w:val="es-ES"/>
        </w:rPr>
        <w:t>Como parte del proceso de estructuración, se establecerán seguros conforme los riesgos y responsabilidades determinadas en las matriz de riesgo, y progresivas conformes las etapas del proyecto.</w:t>
      </w: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Los seguros estarán en función a las diferentes categorías determinados por el Organismo de Supervisión y Control de Bancos y Seguros.</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Promoción.- </w:t>
      </w:r>
      <w:r w:rsidR="005130D6" w:rsidRPr="005803D9">
        <w:rPr>
          <w:rFonts w:ascii="Palatino Linotype" w:hAnsi="Palatino Linotype"/>
          <w:sz w:val="22"/>
          <w:szCs w:val="22"/>
          <w:lang w:val="es-ES"/>
        </w:rPr>
        <w:t xml:space="preserve">Una vez publicada la convocatoria, la entidad delegante directamente o a través de terceros contratados para este propósito podrá́ emplear cualquier medio de divulgación </w:t>
      </w:r>
      <w:r w:rsidR="005130D6" w:rsidRPr="005803D9">
        <w:rPr>
          <w:rFonts w:ascii="Palatino Linotype" w:hAnsi="Palatino Linotype"/>
          <w:b/>
          <w:bCs/>
          <w:sz w:val="22"/>
          <w:szCs w:val="22"/>
          <w:lang w:val="es-ES"/>
        </w:rPr>
        <w:t xml:space="preserve">y </w:t>
      </w:r>
      <w:r w:rsidR="005130D6" w:rsidRPr="005803D9">
        <w:rPr>
          <w:rFonts w:ascii="Palatino Linotype" w:hAnsi="Palatino Linotype"/>
          <w:sz w:val="22"/>
          <w:szCs w:val="22"/>
          <w:lang w:val="es-ES"/>
        </w:rPr>
        <w:t xml:space="preserve">presentación del proyecto de manera transparente entre quienes presumiblemente puedan ser considerados eventuales interesados. </w:t>
      </w:r>
    </w:p>
    <w:p w:rsidR="0049004B" w:rsidRPr="005803D9" w:rsidRDefault="0049004B" w:rsidP="00BC4B45">
      <w:pPr>
        <w:jc w:val="both"/>
        <w:rPr>
          <w:rFonts w:ascii="Palatino Linotype" w:hAnsi="Palatino Linotype"/>
          <w:lang w:val="es-ES"/>
        </w:rPr>
      </w:pP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Las actividades de promoción incluyen, entre otros, conferencias de presentación del proyecto, producción de material digital o físico de divulgación.</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Procedimientos de concurso.- </w:t>
      </w:r>
      <w:r w:rsidR="005130D6" w:rsidRPr="005803D9">
        <w:rPr>
          <w:rFonts w:ascii="Palatino Linotype" w:hAnsi="Palatino Linotype"/>
          <w:sz w:val="22"/>
          <w:szCs w:val="22"/>
          <w:lang w:val="es-ES"/>
        </w:rPr>
        <w:t xml:space="preserve">La selección del aliado estratégico se efectuará, en todos los casos, mediante concurso público, convocado por la entidad delegante.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El procedimiento de concurso público ordinario será́ abierto y se desarrollará en fases escalonadas de evaluación de los componentes de la oferta, de modo que únicamente las ofertas que superen cada fase, según los criterios previstos en el pliego de bases, puedan llegar a ser evaluadas según los factores de adjudicación,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Todos los actos del procedimiento de concurso y las decisiones adoptadas serán públicos, sin ningún tipo de restricción, excepto en la parte que corresponde a información interna de los oferentes que haya sido calificada como comercialmente sensible en el pliego de bases y que no sea pertinente para la adopción de las decisiones en el procedimiento de concurso</w:t>
      </w:r>
    </w:p>
    <w:p w:rsidR="005130D6" w:rsidRPr="005803D9" w:rsidRDefault="005130D6" w:rsidP="00BC4B45">
      <w:pPr>
        <w:jc w:val="both"/>
        <w:rPr>
          <w:rFonts w:ascii="Palatino Linotype" w:hAnsi="Palatino Linotype" w:cs="Times New Roman"/>
          <w:lang w:val="es-ES"/>
        </w:rPr>
      </w:pP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 xml:space="preserve">El procedimiento de selección en todos los casos, será en </w:t>
      </w:r>
      <w:r w:rsidR="0049004B" w:rsidRPr="005803D9">
        <w:rPr>
          <w:rFonts w:ascii="Palatino Linotype" w:hAnsi="Palatino Linotype" w:cs="Times New Roman"/>
          <w:lang w:val="es-ES"/>
        </w:rPr>
        <w:t>una sola etapa</w:t>
      </w:r>
      <w:r w:rsidRPr="005803D9">
        <w:rPr>
          <w:rFonts w:ascii="Palatino Linotype" w:hAnsi="Palatino Linotype" w:cs="Times New Roman"/>
          <w:lang w:val="es-ES"/>
        </w:rPr>
        <w:t xml:space="preserve"> de licitación.</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49004B" w:rsidRPr="005803D9">
        <w:rPr>
          <w:rFonts w:ascii="Palatino Linotype" w:hAnsi="Palatino Linotype"/>
          <w:b/>
          <w:bCs/>
          <w:sz w:val="22"/>
          <w:szCs w:val="22"/>
          <w:lang w:val="es-ES"/>
        </w:rPr>
        <w:t>Comité</w:t>
      </w:r>
      <w:r w:rsidR="005130D6" w:rsidRPr="005803D9">
        <w:rPr>
          <w:rFonts w:ascii="Palatino Linotype" w:hAnsi="Palatino Linotype"/>
          <w:b/>
          <w:bCs/>
          <w:sz w:val="22"/>
          <w:szCs w:val="22"/>
          <w:lang w:val="es-ES"/>
        </w:rPr>
        <w:t xml:space="preserve"> de contratación.- </w:t>
      </w:r>
      <w:r w:rsidR="005130D6" w:rsidRPr="005803D9">
        <w:rPr>
          <w:rFonts w:ascii="Palatino Linotype" w:hAnsi="Palatino Linotype"/>
          <w:sz w:val="22"/>
          <w:szCs w:val="22"/>
          <w:lang w:val="es-ES"/>
        </w:rPr>
        <w:t>Las ofertas serán evaluadas por un comité́ de contratación cuyos miembros serán nombrados por el Gerente General.</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Los integrantes del comité́ de contratación, que serán cinco, en todo caso, de los cuales uno será el Gerente Comercial de la EP, y los otros serán expertos en los aspectos técnicos, económico-financieros y jurídicos cuya evaluación se pretende de acuerdo con el pliego de bases del concurso.  Todos los miembros tendrán voz y voto</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El Gerente de Proyecto actuará como Asesor del Comité, con voz y sin voto, y actuará solo a petición uno de los miembros del Comité.</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El comité́ de contratación será́ el encargado de aplicar las bases previstas en el pliego respectivo hasta establecer una lista de prelación de las ofertas conforme a los parámetros de evaluación y adjudicación, y poner a consideración de la autoridad competente de la entidad los resultados del procedimiento para que proceda, de ser el caso, con la respectiva adjudicación.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El Comité será presidido por el miembro que será escogido por el Gerente General de uno de los miembros del Comité, y contará con un Secretario Permanente, perteneciente al Unidad Jurídica de la Empresa Pública.</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Para la evaluación de las ofertas, contará con un subcomité de apoyo, constituido por un representante de cada miembro del Comité.</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Toda la documentación y reuniones que celebre el Comité y el Subcomité, serán públicas, y la documentación presentada se mantendrá en un área designada para las reuniones, y en la cual los interesados puedan constatar su permanencia.  Ningún documento podrá ser retirado de esta área, salvo autorización escrita del Presidente del Comité.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 xml:space="preserve">Durante el proceso de revisión de las ofertas presentadas, representantes de los oferentes y de la sociedad civil, podrán observar el procedimiento de revisión.  Los miembros de la subcomisión indicarán a todos los presentes las novedades que se han presentado, como proceso de transparencia, sin que los observadores puedan emitir comentarios u observaciones de los hallazgos.  Cada día se levantará un acta de hallazgos, que será subida de inmediato al Data </w:t>
      </w:r>
      <w:proofErr w:type="spellStart"/>
      <w:r w:rsidRPr="005803D9">
        <w:rPr>
          <w:rFonts w:ascii="Palatino Linotype" w:hAnsi="Palatino Linotype"/>
          <w:lang w:val="es-ES"/>
        </w:rPr>
        <w:t>Room</w:t>
      </w:r>
      <w:proofErr w:type="spellEnd"/>
      <w:r w:rsidRPr="005803D9">
        <w:rPr>
          <w:rFonts w:ascii="Palatino Linotype" w:hAnsi="Palatino Linotype"/>
          <w:lang w:val="es-ES"/>
        </w:rPr>
        <w:t>.</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Aclaraciones, consultas </w:t>
      </w:r>
      <w:r w:rsidR="005130D6" w:rsidRPr="005803D9">
        <w:rPr>
          <w:rFonts w:ascii="Palatino Linotype" w:hAnsi="Palatino Linotype"/>
          <w:sz w:val="22"/>
          <w:szCs w:val="22"/>
          <w:lang w:val="es-ES"/>
        </w:rPr>
        <w:t xml:space="preserve">e </w:t>
      </w:r>
      <w:r w:rsidR="005130D6" w:rsidRPr="005803D9">
        <w:rPr>
          <w:rFonts w:ascii="Palatino Linotype" w:hAnsi="Palatino Linotype"/>
          <w:b/>
          <w:bCs/>
          <w:sz w:val="22"/>
          <w:szCs w:val="22"/>
          <w:lang w:val="es-ES"/>
        </w:rPr>
        <w:t xml:space="preserve">inspecciones acompañadas.- </w:t>
      </w:r>
      <w:r w:rsidR="005130D6" w:rsidRPr="005803D9">
        <w:rPr>
          <w:rFonts w:ascii="Palatino Linotype" w:hAnsi="Palatino Linotype"/>
          <w:sz w:val="22"/>
          <w:szCs w:val="22"/>
          <w:lang w:val="es-ES"/>
        </w:rPr>
        <w:t xml:space="preserve">En las bases administrativas del pliego se incluirá́ la posibilidad de que los oferentes interesados puedan solicitar aclaraciones sobre el contenido de las bases del pliego o los modelos de los documentos contractuales. Las respuestas a las solicitudes de aclaración integrarán el pliego de bases y se comunicarán a todos los participantes en el proceso y se publicarán para conocimiento y acceso público.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La entidad delegante procederá́ del mismo modo, cuando de oficio requiera efectuar aclaraciones o ajustes en las bases del concurso.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Sólo a través de las aclaraciones o ajustes oportuna y oficialmente comunicados por parte de la entidad delegante en los términos antes señalados, se podrán realizar modificaciones al proyecto de contrato. Cualquier otra reforma del proyecto de contrato que altere las condiciones de competencia e igualdad del proceso concursal generará que el contrato esté incurso en causal de nulidad.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lastRenderedPageBreak/>
        <w:t>Durante el periodo de revisión de los interesados, la entidad delegante podrá́ organizar inspecciones o visitas guiadas para los interesados, de acuerdo con los criterios previstos en el pliego del concurso. A estas inspecciones podrá́ acudir todo aquel que tenga interés como oferente en el procedimiento. Los resultados de las inspecciones se verterá</w:t>
      </w:r>
      <w:r w:rsidR="0049004B" w:rsidRPr="005803D9">
        <w:rPr>
          <w:rFonts w:ascii="Palatino Linotype" w:hAnsi="Palatino Linotype"/>
          <w:sz w:val="22"/>
          <w:szCs w:val="22"/>
          <w:lang w:val="es-ES"/>
        </w:rPr>
        <w:t xml:space="preserve">n en una acta que también será </w:t>
      </w:r>
      <w:r w:rsidRPr="005803D9">
        <w:rPr>
          <w:rFonts w:ascii="Palatino Linotype" w:hAnsi="Palatino Linotype"/>
          <w:sz w:val="22"/>
          <w:szCs w:val="22"/>
          <w:lang w:val="es-ES"/>
        </w:rPr>
        <w:t xml:space="preserve">comunicada y publicada para acceso público.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A partir de la fecha del cierre preguntas, el Comité tendrá un plazo de 15 días para la contestación de las mismas.  A partir de esa fecha, el plazo de la presentación de propuestas será de al menos 45 días.  Durante ese plazo, la entidad no podrá formular alcances adicionales, salvo la decisión de terminación del proceso.</w:t>
      </w: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En esta etapa, no se podrán cambiar las matrices de riesgos dispuestas.</w:t>
      </w:r>
    </w:p>
    <w:p w:rsidR="005130D6" w:rsidRPr="005803D9" w:rsidRDefault="0094486E" w:rsidP="00BC4B45">
      <w:pPr>
        <w:pStyle w:val="NormalWeb"/>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Oferentes.- </w:t>
      </w:r>
      <w:r w:rsidR="005130D6" w:rsidRPr="005803D9">
        <w:rPr>
          <w:rFonts w:ascii="Palatino Linotype" w:hAnsi="Palatino Linotype"/>
          <w:sz w:val="22"/>
          <w:szCs w:val="22"/>
          <w:lang w:val="es-ES"/>
        </w:rPr>
        <w:t xml:space="preserve">Cualquier persona jurídica, nacional o extranjera, podrá́ participar en los procedimientos de concurso para la selección del aliado estratégico. Los interesados deberán cumplir los criterios de elegibilidad legal, técnica y de solvencia económica- financiera previstas en el pliego de bases. </w:t>
      </w:r>
    </w:p>
    <w:p w:rsidR="005130D6" w:rsidRPr="005803D9" w:rsidRDefault="005130D6" w:rsidP="00BC4B45">
      <w:pPr>
        <w:pStyle w:val="NormalWeb"/>
        <w:jc w:val="both"/>
        <w:rPr>
          <w:rFonts w:ascii="Palatino Linotype" w:hAnsi="Palatino Linotype"/>
          <w:sz w:val="22"/>
          <w:szCs w:val="22"/>
          <w:lang w:val="es-ES"/>
        </w:rPr>
      </w:pPr>
      <w:r w:rsidRPr="005803D9">
        <w:rPr>
          <w:rFonts w:ascii="Palatino Linotype" w:hAnsi="Palatino Linotype"/>
          <w:sz w:val="22"/>
          <w:szCs w:val="22"/>
          <w:lang w:val="es-ES"/>
        </w:rPr>
        <w:t>En el caso de un proponente de iniciativa privada, este podrá asociarse con otros para mejorar su capacidad empresarial, pero en ningún caso será inferior al 50% de la participación final.</w:t>
      </w: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En procedimientos presentados como iniciativas privadas de empresas públicas, no podrán generarse asociaciones o consorcios en la etapa licitatoria por parte del proponente acreedor de la calificación.</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Parámetros de adjudicación.- </w:t>
      </w:r>
      <w:r w:rsidR="005130D6" w:rsidRPr="005803D9">
        <w:rPr>
          <w:rFonts w:ascii="Palatino Linotype" w:hAnsi="Palatino Linotype"/>
          <w:sz w:val="22"/>
          <w:szCs w:val="22"/>
          <w:lang w:val="es-ES"/>
        </w:rPr>
        <w:t xml:space="preserve">La entidad delegante determinará los factores de adjudicación, en su caso, estableciendo los criterios de ponderación en función de su importancia en la decisión. </w:t>
      </w:r>
    </w:p>
    <w:p w:rsidR="005130D6" w:rsidRPr="005803D9" w:rsidRDefault="005130D6" w:rsidP="00BC4B45">
      <w:pPr>
        <w:jc w:val="both"/>
        <w:rPr>
          <w:rFonts w:ascii="Palatino Linotype" w:hAnsi="Palatino Linotype"/>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Se preferirá́ la selección de un único factor referido a la propuesta económica, siempre que se haya establecido un umbral técnico a ser superado.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 xml:space="preserve">El procedimiento de selección en todos los casos, será en </w:t>
      </w:r>
      <w:r w:rsidR="0049004B" w:rsidRPr="005803D9">
        <w:rPr>
          <w:rFonts w:ascii="Palatino Linotype" w:hAnsi="Palatino Linotype" w:cs="Times New Roman"/>
          <w:lang w:val="es-ES"/>
        </w:rPr>
        <w:t>una sola etapa</w:t>
      </w:r>
      <w:r w:rsidRPr="005803D9">
        <w:rPr>
          <w:rFonts w:ascii="Palatino Linotype" w:hAnsi="Palatino Linotype" w:cs="Times New Roman"/>
          <w:lang w:val="es-ES"/>
        </w:rPr>
        <w:t xml:space="preserve"> de licitación, empleando criterios de BEST VALUE.</w:t>
      </w:r>
    </w:p>
    <w:p w:rsidR="005130D6" w:rsidRPr="005803D9" w:rsidRDefault="005130D6" w:rsidP="00BC4B45">
      <w:pPr>
        <w:jc w:val="both"/>
        <w:rPr>
          <w:rFonts w:ascii="Palatino Linotype" w:hAnsi="Palatino Linotype" w:cs="Times New Roman"/>
          <w:lang w:val="es-ES"/>
        </w:rPr>
      </w:pPr>
      <w:r w:rsidRPr="005803D9">
        <w:rPr>
          <w:rFonts w:ascii="Palatino Linotype" w:hAnsi="Palatino Linotype" w:cs="Times New Roman"/>
          <w:lang w:val="es-ES"/>
        </w:rPr>
        <w:t xml:space="preserve">El proceso buscará que la oferta ganadora, sobre la base del modelo financiero sombra establecido en </w:t>
      </w:r>
      <w:r w:rsidR="0049004B" w:rsidRPr="005803D9">
        <w:rPr>
          <w:rFonts w:ascii="Palatino Linotype" w:hAnsi="Palatino Linotype" w:cs="Times New Roman"/>
          <w:lang w:val="es-ES"/>
        </w:rPr>
        <w:t>los lineamientos</w:t>
      </w:r>
      <w:r w:rsidRPr="005803D9">
        <w:rPr>
          <w:rFonts w:ascii="Palatino Linotype" w:hAnsi="Palatino Linotype" w:cs="Times New Roman"/>
          <w:lang w:val="es-ES"/>
        </w:rPr>
        <w:t xml:space="preserve"> del Ente Rector de las Finanzas Públicas, genere el mayor valor por dinero, y pudiendo considerar adicionalmente uno o varios de los siguientes parámetros:</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(a) Menor financiamiento de la Empresa Pública</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lastRenderedPageBreak/>
        <w:t>(b) Menor estructura tarifaria.</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(c) Menor valor presente de los ingresos brutos.</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Adjudicación.- </w:t>
      </w:r>
      <w:r w:rsidR="005130D6" w:rsidRPr="005803D9">
        <w:rPr>
          <w:rFonts w:ascii="Palatino Linotype" w:hAnsi="Palatino Linotype"/>
          <w:sz w:val="22"/>
          <w:szCs w:val="22"/>
          <w:lang w:val="es-ES"/>
        </w:rPr>
        <w:t>Mediante resolución motivada, previo conocimiento del Directorio, El Gerente General realizará la adjudicación del contrato o declarará desierto el concurso público.</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Esta decisión será́ notificada a los oferentes en la página WEB de la entidad.</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En el caso de que la resolución sea de adjudicación, se especificará los criterios y resultados de su aplicación en la decisión de adjudicación.</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Contratación.- </w:t>
      </w:r>
      <w:r w:rsidR="005130D6" w:rsidRPr="005803D9">
        <w:rPr>
          <w:rFonts w:ascii="Palatino Linotype" w:hAnsi="Palatino Linotype"/>
          <w:sz w:val="22"/>
          <w:szCs w:val="22"/>
          <w:lang w:val="es-ES"/>
        </w:rPr>
        <w:t xml:space="preserve">Con la adjudicación. la empresa pública convocará al oferente adjudicatario para que suscriba el respectivo contrato de alianza estratégica.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En el pliego de bases administrativas se definirán los requisitos documentales que el adjudicatario deberá́ satisfacer para proceder con la suscripción del contrato.</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Administración y fiscalización en los contratos suscritos en el marco de la presente ordenanza.-</w:t>
      </w:r>
      <w:r w:rsidR="005130D6" w:rsidRPr="005803D9">
        <w:rPr>
          <w:rFonts w:ascii="Palatino Linotype" w:hAnsi="Palatino Linotype"/>
          <w:sz w:val="22"/>
          <w:szCs w:val="22"/>
          <w:lang w:val="es-ES"/>
        </w:rPr>
        <w:t xml:space="preserve"> En la conformación del equipo de gestión del contrato, la entidad delegante deberá́ identificar los roles, las capacidades y las habilidades requeridas para llevar adelante este proceso.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Aunque la entidad hubiese determinado órganos internos para realizar tareas de administración y fiscalización del contrato, podrá́ también determinar en el contrato de gestión mecanismos de seguimiento y fijación de hechos relevantes para determinar el cumplimiento de obligaciones con la participación de terceros, públicos o privados.</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Cuando la Empresa Pública deba emplear mecanismos de administración y fiscalización externa o de terceros independientes se asegurará que esta base sea incorporada en el pliego de bases del concurso, de modo tal que los oferentes interesados consideren en su plan económico - financiero los gastos y costos que en esta materia deberán ser cubiertos con los ingresos del proyecto.</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Para la etapa contractual, la administración pública presentará como parte de los pliegos de contratación, el Término de Referencia con el cual se desarrollará y deberá contratar a la Administración y Fiscalización.</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 xml:space="preserve">La selección del administrador y fiscalizador, será mediante proceso público realizado por la EP, con un precio tope establecido en el contrato de gestión delegada o alianza </w:t>
      </w:r>
      <w:r w:rsidRPr="005803D9">
        <w:rPr>
          <w:rFonts w:ascii="Palatino Linotype" w:hAnsi="Palatino Linotype"/>
          <w:lang w:val="es-ES"/>
        </w:rPr>
        <w:lastRenderedPageBreak/>
        <w:t>estratégica, y el pago lo realizará directamente el Fideicomiso del Proyecto, con la sola autorización del Gerente de Proyecto.</w:t>
      </w:r>
    </w:p>
    <w:p w:rsidR="005130D6"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5130D6" w:rsidRPr="005803D9">
        <w:rPr>
          <w:rFonts w:ascii="Palatino Linotype" w:hAnsi="Palatino Linotype"/>
          <w:b/>
          <w:bCs/>
          <w:sz w:val="22"/>
          <w:szCs w:val="22"/>
          <w:lang w:val="es-ES"/>
        </w:rPr>
        <w:t xml:space="preserve">Estrategia para la gestión del contrato y manual de gestión del contrato.- </w:t>
      </w:r>
      <w:r w:rsidR="005130D6" w:rsidRPr="005803D9">
        <w:rPr>
          <w:rFonts w:ascii="Palatino Linotype" w:hAnsi="Palatino Linotype"/>
          <w:sz w:val="22"/>
          <w:szCs w:val="22"/>
          <w:lang w:val="es-ES"/>
        </w:rPr>
        <w:t xml:space="preserve">Le corresponde a la empresa pública el desarrollo de todas las actividades necesarias para alcanzar los objetivos previstos para la etapa de ejecución y seguimiento constante referidos en la regla precedente.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Para este propósito, la empresa pública deberá́ determinar las tareas de gestión en las áreas claves y los componentes del proyecto, los procedimientos que se emplearán y los medios -humanos, materiales y tecnológicos- necesarios, y la obligaciones y responsabilidades de las partes.</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La estrategia se hará́ constar en forma de un «manual de gestión del contrato», instrumento que se preparará atendiendo los objetivos, indicadores y medios de verificación aplicables a cada tipo de actividad encomendada al aliado estratégico - la construcción, operación o mantenimiento - sin innovar cargas u obligaciones formales </w:t>
      </w:r>
      <w:r w:rsidRPr="005803D9">
        <w:rPr>
          <w:rFonts w:ascii="Palatino Linotype" w:hAnsi="Palatino Linotype"/>
          <w:b/>
          <w:bCs/>
          <w:sz w:val="22"/>
          <w:szCs w:val="22"/>
          <w:lang w:val="es-ES"/>
        </w:rPr>
        <w:t xml:space="preserve">o </w:t>
      </w:r>
      <w:r w:rsidRPr="005803D9">
        <w:rPr>
          <w:rFonts w:ascii="Palatino Linotype" w:hAnsi="Palatino Linotype"/>
          <w:sz w:val="22"/>
          <w:szCs w:val="22"/>
          <w:lang w:val="es-ES"/>
        </w:rPr>
        <w:t>materiales para el aliado estratégico, y con una clara identificación de los órganos públicos y/o los asesores o consultores participantes en los procedimientos, y fijando los niveles de decisión que se les otorgue para atender las contingencias originadas en la ejecución del contrato.</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Estas consideraciones, también serán para la empresa pública, con el fin de que las obligaciones y responsabilidades también sean monitoreadas por el Gerente de Proyecto.</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Un borrador del manual de gestión del contrato deberá́ estar disponible para los interesados en el momento de convocatoria al concurso.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Sin perjuicio de las tareas, que en el contexto de la gestión de los contratos corresponden a cada actividad o componente del proyecto, encomendadas al aliado estratégico, o la empresa pública, se deberá́ considerar los procedimientos y acciones para la gestión del contrato en, al menos, las siguientes áreas claves: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(a) Relaciones con el Aliado Estratégico y terceros como subcontratistas, prestamistas, inversionistas, usuarios finales, reguladores, otros órganos o entidades públicas y la comunidad en general.</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(b) Captura y tratamiento de datos para su análisis y divulgación, y la producción de los informes de seguimiento del contrato.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lastRenderedPageBreak/>
        <w:t xml:space="preserve">(c) Modificaciones y cambios, destinados a asegurar que, si estos son posibles, se hagan de manera coordinada y planificada, se mantenga la asignación de riesgos original salvo que sea en interés de la Empresa Pública o la comunidad, y, mejorar o proteger los resultados del valor por dinero buscados a través de la modalidad empleada.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(d) Seguimiento y control de compromisos fiscales y otras obligaciones de información internas, con el propósito de que las decisiones públicas sean adoptadas con información adecuada y suficiente sobre la situación actual y proyectada, se dé seguimiento a los compromisos fiscales pendientes y estos se cumplan, se identifiquen los riesgos y su impacto en sistema financiero público, se monitoree el Programa de Alianzas Estratégicas y revelar a la comunidad toda la información relacionada con los proyectos y sus efectos en el presupuesto y las cuentas públicas. </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(e) Planificación de contingencias y gestión de eventos críticos, para responder a cualquier evento inesperado que ocurra durante la vigencia del contrato y mitigar los riesgos retenidos o compartidos de la Empresa Pública</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sz w:val="22"/>
          <w:szCs w:val="22"/>
          <w:lang w:val="es-ES"/>
        </w:rPr>
        <w:t xml:space="preserve">(f) Resolución de conflictos, para lo cual se aplicarán los mecanismos determinados en el artículo 19 de la Ley Orgánica de Incentivos para Asociaciones Público </w:t>
      </w:r>
      <w:r w:rsidR="00013B0A" w:rsidRPr="005803D9">
        <w:rPr>
          <w:rFonts w:ascii="Palatino Linotype" w:hAnsi="Palatino Linotype"/>
          <w:sz w:val="22"/>
          <w:szCs w:val="22"/>
          <w:lang w:val="es-ES"/>
        </w:rPr>
        <w:t>Privadas, cuya información será</w:t>
      </w:r>
      <w:r w:rsidRPr="005803D9">
        <w:rPr>
          <w:rFonts w:ascii="Palatino Linotype" w:hAnsi="Palatino Linotype"/>
          <w:sz w:val="22"/>
          <w:szCs w:val="22"/>
          <w:lang w:val="es-ES"/>
        </w:rPr>
        <w:t xml:space="preserve"> transparente, de acceso y disponibilidad pública, salvo en lo que respecte estrictamente a información de carácter confidencial de conformidad con la ley.</w:t>
      </w:r>
    </w:p>
    <w:p w:rsidR="005130D6" w:rsidRPr="005803D9" w:rsidRDefault="005130D6" w:rsidP="00BC4B45">
      <w:pPr>
        <w:pStyle w:val="NormalWeb"/>
        <w:spacing w:before="0" w:beforeAutospacing="0" w:after="0" w:afterAutospacing="0"/>
        <w:jc w:val="both"/>
        <w:rPr>
          <w:rFonts w:ascii="Palatino Linotype" w:hAnsi="Palatino Linotype"/>
          <w:sz w:val="22"/>
          <w:szCs w:val="22"/>
          <w:lang w:val="es-ES"/>
        </w:rPr>
      </w:pPr>
    </w:p>
    <w:p w:rsidR="005130D6" w:rsidRPr="005803D9" w:rsidRDefault="005130D6" w:rsidP="00BC4B45">
      <w:pPr>
        <w:jc w:val="both"/>
        <w:rPr>
          <w:rFonts w:ascii="Palatino Linotype" w:hAnsi="Palatino Linotype"/>
          <w:lang w:val="es-ES"/>
        </w:rPr>
      </w:pPr>
      <w:r w:rsidRPr="005803D9">
        <w:rPr>
          <w:rFonts w:ascii="Palatino Linotype" w:hAnsi="Palatino Linotype"/>
          <w:lang w:val="es-ES"/>
        </w:rPr>
        <w:t>El manual de gestión del contrato será́ publicado en el Registro de Alianzas Estratégicas junto con los restantes documentos del proyecto.</w:t>
      </w:r>
    </w:p>
    <w:p w:rsidR="000E78B7" w:rsidRPr="005803D9" w:rsidRDefault="0094486E" w:rsidP="00BC4B45">
      <w:pPr>
        <w:pStyle w:val="NormalWeb"/>
        <w:spacing w:before="0" w:beforeAutospacing="0" w:after="0" w:afterAutospacing="0"/>
        <w:jc w:val="both"/>
        <w:rPr>
          <w:rFonts w:ascii="Palatino Linotype" w:hAnsi="Palatino Linotype"/>
          <w:sz w:val="22"/>
          <w:szCs w:val="22"/>
          <w:lang w:val="es-ES"/>
        </w:rPr>
      </w:pPr>
      <w:r w:rsidRPr="005803D9">
        <w:rPr>
          <w:rFonts w:ascii="Palatino Linotype" w:hAnsi="Palatino Linotype"/>
          <w:b/>
          <w:bCs/>
          <w:sz w:val="22"/>
          <w:szCs w:val="22"/>
          <w:lang w:val="es-ES"/>
        </w:rPr>
        <w:t xml:space="preserve">Artículo (…).- </w:t>
      </w:r>
      <w:r w:rsidR="000E78B7" w:rsidRPr="005803D9">
        <w:rPr>
          <w:rFonts w:ascii="Palatino Linotype" w:hAnsi="Palatino Linotype"/>
          <w:b/>
          <w:bCs/>
          <w:sz w:val="22"/>
          <w:szCs w:val="22"/>
          <w:lang w:val="es-ES"/>
        </w:rPr>
        <w:t xml:space="preserve">Comunicación estratégica.- </w:t>
      </w:r>
      <w:r w:rsidR="000E78B7" w:rsidRPr="005803D9">
        <w:rPr>
          <w:rFonts w:ascii="Palatino Linotype" w:hAnsi="Palatino Linotype"/>
          <w:sz w:val="22"/>
          <w:szCs w:val="22"/>
          <w:lang w:val="es-ES"/>
        </w:rPr>
        <w:t>Las unidades de comunicación de las Entidades encargadas del proceso, establecerán responsables de comunicación estratégica para todo el proceso, que establecerán con el Gerente de Proyecto acciones y planes permanentes, que iniciarán con el cierre de la etapa de Identificación y Selección del Proyecto.</w:t>
      </w:r>
    </w:p>
    <w:p w:rsidR="005130D6" w:rsidRPr="005803D9" w:rsidRDefault="005130D6" w:rsidP="00BC4B45">
      <w:pPr>
        <w:jc w:val="both"/>
        <w:rPr>
          <w:rFonts w:ascii="Palatino Linotype" w:hAnsi="Palatino Linotype"/>
        </w:rPr>
      </w:pPr>
    </w:p>
    <w:p w:rsidR="000E78B7" w:rsidRPr="005803D9" w:rsidRDefault="000E78B7" w:rsidP="00BC4B45">
      <w:pPr>
        <w:jc w:val="both"/>
        <w:rPr>
          <w:rFonts w:ascii="Palatino Linotype" w:hAnsi="Palatino Linotype"/>
          <w:lang w:val="es-ES"/>
        </w:rPr>
      </w:pPr>
      <w:r w:rsidRPr="005803D9">
        <w:rPr>
          <w:rFonts w:ascii="Palatino Linotype" w:hAnsi="Palatino Linotype"/>
          <w:lang w:val="es-ES"/>
        </w:rPr>
        <w:t>Dentro del presupuesto del proyecto, se establecerán componentes para estos fines, así como para eventos de compensaciones comunitarias que puedan presentarse.</w:t>
      </w:r>
    </w:p>
    <w:p w:rsidR="000E78B7" w:rsidRPr="005803D9" w:rsidRDefault="0094486E" w:rsidP="00BC4B45">
      <w:pPr>
        <w:jc w:val="both"/>
        <w:rPr>
          <w:rFonts w:ascii="Palatino Linotype" w:hAnsi="Palatino Linotype" w:cs="Times New Roman"/>
          <w:lang w:val="es-ES"/>
        </w:rPr>
      </w:pPr>
      <w:r w:rsidRPr="005803D9">
        <w:rPr>
          <w:rFonts w:ascii="Palatino Linotype" w:hAnsi="Palatino Linotype"/>
          <w:b/>
          <w:bCs/>
          <w:lang w:val="es-ES"/>
        </w:rPr>
        <w:t xml:space="preserve">Artículo (…).- </w:t>
      </w:r>
      <w:r w:rsidR="000E78B7" w:rsidRPr="005803D9">
        <w:rPr>
          <w:rFonts w:ascii="Palatino Linotype" w:hAnsi="Palatino Linotype" w:cs="Times New Roman"/>
          <w:b/>
          <w:lang w:val="es-ES"/>
        </w:rPr>
        <w:t>Inhabilidades.-</w:t>
      </w:r>
      <w:r w:rsidR="000E78B7" w:rsidRPr="005803D9">
        <w:rPr>
          <w:rFonts w:ascii="Palatino Linotype" w:hAnsi="Palatino Linotype" w:cs="Times New Roman"/>
          <w:lang w:val="es-ES"/>
        </w:rPr>
        <w:t xml:space="preserve"> No podrán participar en el procedimiento público de selección, directa ni indirectamente, aquellas personas que estén consideradas como ADJUDICATARIO FALLIDO o CONTRATISTA INCUMPLIDO en el registro del Sistema Nacional de Contratación Pública.</w:t>
      </w:r>
    </w:p>
    <w:p w:rsidR="006042F2" w:rsidRPr="005803D9" w:rsidRDefault="006042F2" w:rsidP="006042F2">
      <w:pPr>
        <w:jc w:val="both"/>
        <w:rPr>
          <w:rFonts w:ascii="Palatino Linotype" w:hAnsi="Palatino Linotype" w:cs="Times New Roman"/>
          <w:b/>
          <w:bCs/>
          <w:color w:val="C10505"/>
          <w:lang w:val="es-ES"/>
        </w:rPr>
      </w:pPr>
      <w:r w:rsidRPr="005803D9">
        <w:rPr>
          <w:rStyle w:val="markedcontent"/>
          <w:rFonts w:ascii="Palatino Linotype" w:hAnsi="Palatino Linotype" w:cs="Arial"/>
          <w:b/>
        </w:rPr>
        <w:t>Artículo</w:t>
      </w:r>
      <w:r w:rsidR="0097452A" w:rsidRPr="005803D9">
        <w:rPr>
          <w:rStyle w:val="markedcontent"/>
          <w:rFonts w:ascii="Palatino Linotype" w:hAnsi="Palatino Linotype" w:cs="Arial"/>
          <w:b/>
        </w:rPr>
        <w:t xml:space="preserve"> (…</w:t>
      </w:r>
      <w:r w:rsidR="00FC7A1B" w:rsidRPr="005803D9">
        <w:rPr>
          <w:rStyle w:val="markedcontent"/>
          <w:rFonts w:ascii="Palatino Linotype" w:hAnsi="Palatino Linotype" w:cs="Arial"/>
          <w:b/>
        </w:rPr>
        <w:t>)</w:t>
      </w:r>
      <w:r w:rsidRPr="005803D9">
        <w:rPr>
          <w:rStyle w:val="markedcontent"/>
          <w:rFonts w:ascii="Palatino Linotype" w:hAnsi="Palatino Linotype" w:cs="Arial"/>
          <w:b/>
        </w:rPr>
        <w:t>.-</w:t>
      </w:r>
      <w:r w:rsidRPr="005803D9">
        <w:rPr>
          <w:rStyle w:val="markedcontent"/>
          <w:rFonts w:ascii="Palatino Linotype" w:hAnsi="Palatino Linotype" w:cs="Arial"/>
        </w:rPr>
        <w:t xml:space="preserve"> Las empresas públicas metropolitanas deberán emplear para el proyecto, actividad o</w:t>
      </w:r>
      <w:r w:rsidRPr="005803D9">
        <w:rPr>
          <w:rFonts w:ascii="Palatino Linotype" w:hAnsi="Palatino Linotype"/>
        </w:rPr>
        <w:t xml:space="preserve"> </w:t>
      </w:r>
      <w:r w:rsidRPr="005803D9">
        <w:rPr>
          <w:rStyle w:val="markedcontent"/>
          <w:rFonts w:ascii="Palatino Linotype" w:hAnsi="Palatino Linotype" w:cs="Arial"/>
        </w:rPr>
        <w:t>emprendimiento de interés público del Distrito, su propio patrimonio o el que le sea entregado por</w:t>
      </w:r>
      <w:r w:rsidRPr="005803D9">
        <w:rPr>
          <w:rFonts w:ascii="Palatino Linotype" w:hAnsi="Palatino Linotype"/>
        </w:rPr>
        <w:t xml:space="preserve"> </w:t>
      </w:r>
      <w:r w:rsidRPr="005803D9">
        <w:rPr>
          <w:rStyle w:val="markedcontent"/>
          <w:rFonts w:ascii="Palatino Linotype" w:hAnsi="Palatino Linotype" w:cs="Arial"/>
        </w:rPr>
        <w:t xml:space="preserve">el Municipio del Distrito Metropolitano de Quito, bajo cualquier </w:t>
      </w:r>
      <w:r w:rsidRPr="005803D9">
        <w:rPr>
          <w:rStyle w:val="markedcontent"/>
          <w:rFonts w:ascii="Palatino Linotype" w:hAnsi="Palatino Linotype" w:cs="Arial"/>
        </w:rPr>
        <w:lastRenderedPageBreak/>
        <w:t>título permitido por la ley. En este</w:t>
      </w:r>
      <w:r w:rsidRPr="005803D9">
        <w:rPr>
          <w:rFonts w:ascii="Palatino Linotype" w:hAnsi="Palatino Linotype"/>
        </w:rPr>
        <w:t xml:space="preserve"> </w:t>
      </w:r>
      <w:r w:rsidRPr="005803D9">
        <w:rPr>
          <w:rStyle w:val="markedcontent"/>
          <w:rFonts w:ascii="Palatino Linotype" w:hAnsi="Palatino Linotype" w:cs="Arial"/>
        </w:rPr>
        <w:t>último caso, el órgano competente de resolver la entrega se asegurará que el patrimonio entregado</w:t>
      </w:r>
      <w:r w:rsidRPr="005803D9">
        <w:rPr>
          <w:rFonts w:ascii="Palatino Linotype" w:hAnsi="Palatino Linotype"/>
        </w:rPr>
        <w:t xml:space="preserve"> </w:t>
      </w:r>
      <w:r w:rsidRPr="005803D9">
        <w:rPr>
          <w:rStyle w:val="markedcontent"/>
          <w:rFonts w:ascii="Palatino Linotype" w:hAnsi="Palatino Linotype" w:cs="Arial"/>
        </w:rPr>
        <w:t>sea utilizado en tales proyectos, actividades o emprendimientos, lo cual deberá ser debidamente</w:t>
      </w:r>
      <w:r w:rsidRPr="005803D9">
        <w:rPr>
          <w:rFonts w:ascii="Palatino Linotype" w:hAnsi="Palatino Linotype"/>
        </w:rPr>
        <w:t xml:space="preserve"> </w:t>
      </w:r>
      <w:r w:rsidRPr="005803D9">
        <w:rPr>
          <w:rStyle w:val="markedcontent"/>
          <w:rFonts w:ascii="Palatino Linotype" w:hAnsi="Palatino Linotype" w:cs="Arial"/>
        </w:rPr>
        <w:t>justificado por la empresa.</w:t>
      </w:r>
    </w:p>
    <w:p w:rsidR="005539EA" w:rsidRPr="005803D9" w:rsidRDefault="005539EA" w:rsidP="005539EA">
      <w:pPr>
        <w:jc w:val="both"/>
        <w:rPr>
          <w:rStyle w:val="markedcontent"/>
          <w:rFonts w:ascii="Palatino Linotype" w:hAnsi="Palatino Linotype" w:cs="Arial"/>
        </w:rPr>
      </w:pPr>
      <w:r w:rsidRPr="005803D9">
        <w:rPr>
          <w:rStyle w:val="markedcontent"/>
          <w:rFonts w:ascii="Palatino Linotype" w:hAnsi="Palatino Linotype" w:cs="Arial"/>
          <w:b/>
        </w:rPr>
        <w:t xml:space="preserve">Artículo </w:t>
      </w:r>
      <w:r w:rsidR="00AE17DB" w:rsidRPr="005803D9">
        <w:rPr>
          <w:rStyle w:val="markedcontent"/>
          <w:rFonts w:ascii="Palatino Linotype" w:hAnsi="Palatino Linotype" w:cs="Arial"/>
          <w:b/>
        </w:rPr>
        <w:t>(…)</w:t>
      </w:r>
      <w:r w:rsidRPr="005803D9">
        <w:rPr>
          <w:rStyle w:val="markedcontent"/>
          <w:rFonts w:ascii="Palatino Linotype" w:hAnsi="Palatino Linotype" w:cs="Arial"/>
          <w:b/>
        </w:rPr>
        <w:t>.</w:t>
      </w:r>
      <w:r w:rsidRPr="005803D9">
        <w:rPr>
          <w:rStyle w:val="markedcontent"/>
          <w:rFonts w:ascii="Palatino Linotype" w:hAnsi="Palatino Linotype" w:cs="Arial"/>
        </w:rPr>
        <w:t>- La contraparte asociativa de toda actividad, proyecto o emprendimiento regido por</w:t>
      </w:r>
      <w:r w:rsidRPr="005803D9">
        <w:rPr>
          <w:rFonts w:ascii="Palatino Linotype" w:hAnsi="Palatino Linotype"/>
        </w:rPr>
        <w:t xml:space="preserve"> </w:t>
      </w:r>
      <w:r w:rsidRPr="005803D9">
        <w:rPr>
          <w:rStyle w:val="markedcontent"/>
          <w:rFonts w:ascii="Palatino Linotype" w:hAnsi="Palatino Linotype" w:cs="Arial"/>
        </w:rPr>
        <w:t>la presente Sección, deberá obligatoriamente tomar las medidas necesarias para evitar, mitigar,</w:t>
      </w:r>
      <w:r w:rsidRPr="005803D9">
        <w:rPr>
          <w:rFonts w:ascii="Palatino Linotype" w:hAnsi="Palatino Linotype"/>
        </w:rPr>
        <w:t xml:space="preserve"> </w:t>
      </w:r>
      <w:r w:rsidRPr="005803D9">
        <w:rPr>
          <w:rStyle w:val="markedcontent"/>
          <w:rFonts w:ascii="Palatino Linotype" w:hAnsi="Palatino Linotype" w:cs="Arial"/>
        </w:rPr>
        <w:t>remediar y solucionar las afectaciones en el ámbito de la movilidad y el medio ambiente, a cuenta</w:t>
      </w:r>
      <w:r w:rsidRPr="005803D9">
        <w:rPr>
          <w:rFonts w:ascii="Palatino Linotype" w:hAnsi="Palatino Linotype"/>
        </w:rPr>
        <w:t xml:space="preserve"> </w:t>
      </w:r>
      <w:r w:rsidRPr="005803D9">
        <w:rPr>
          <w:rStyle w:val="markedcontent"/>
          <w:rFonts w:ascii="Palatino Linotype" w:hAnsi="Palatino Linotype" w:cs="Arial"/>
        </w:rPr>
        <w:t>de la contraparte asociativa.</w:t>
      </w:r>
    </w:p>
    <w:p w:rsidR="00530D42" w:rsidRPr="005803D9" w:rsidRDefault="00F74B7B" w:rsidP="00BC4B45">
      <w:pPr>
        <w:jc w:val="both"/>
        <w:rPr>
          <w:rStyle w:val="markedcontent"/>
          <w:rFonts w:ascii="Palatino Linotype" w:hAnsi="Palatino Linotype" w:cs="Arial"/>
        </w:rPr>
      </w:pPr>
      <w:r w:rsidRPr="005803D9">
        <w:rPr>
          <w:rStyle w:val="markedcontent"/>
          <w:rFonts w:ascii="Palatino Linotype" w:hAnsi="Palatino Linotype" w:cs="Arial"/>
          <w:b/>
        </w:rPr>
        <w:t>Artículo (…)</w:t>
      </w:r>
      <w:r w:rsidR="00530D42" w:rsidRPr="005803D9">
        <w:rPr>
          <w:rStyle w:val="markedcontent"/>
          <w:rFonts w:ascii="Palatino Linotype" w:hAnsi="Palatino Linotype" w:cs="Arial"/>
          <w:b/>
        </w:rPr>
        <w:t xml:space="preserve">.- </w:t>
      </w:r>
      <w:r w:rsidR="00530D42" w:rsidRPr="005803D9">
        <w:rPr>
          <w:rStyle w:val="markedcontent"/>
          <w:rFonts w:ascii="Palatino Linotype" w:hAnsi="Palatino Linotype" w:cs="Arial"/>
        </w:rPr>
        <w:t>Los procedimientos que incorporen colaboración público privada o de la economía</w:t>
      </w:r>
      <w:r w:rsidR="00530D42" w:rsidRPr="005803D9">
        <w:rPr>
          <w:rFonts w:ascii="Palatino Linotype" w:hAnsi="Palatino Linotype"/>
        </w:rPr>
        <w:t xml:space="preserve"> </w:t>
      </w:r>
      <w:r w:rsidR="00530D42" w:rsidRPr="005803D9">
        <w:rPr>
          <w:rStyle w:val="markedcontent"/>
          <w:rFonts w:ascii="Palatino Linotype" w:hAnsi="Palatino Linotype" w:cs="Arial"/>
        </w:rPr>
        <w:t>popular y solidaria, y que a futuro inicien las empresas públicas metropolitanas, se regirán</w:t>
      </w:r>
      <w:r w:rsidR="00530D42" w:rsidRPr="005803D9">
        <w:rPr>
          <w:rFonts w:ascii="Palatino Linotype" w:hAnsi="Palatino Linotype"/>
        </w:rPr>
        <w:t xml:space="preserve"> </w:t>
      </w:r>
      <w:r w:rsidR="00530D42" w:rsidRPr="005803D9">
        <w:rPr>
          <w:rStyle w:val="markedcontent"/>
          <w:rFonts w:ascii="Palatino Linotype" w:hAnsi="Palatino Linotype" w:cs="Arial"/>
        </w:rPr>
        <w:t>exclusivamente por esta Sección.</w:t>
      </w:r>
    </w:p>
    <w:p w:rsidR="00530D42" w:rsidRPr="005803D9" w:rsidRDefault="00F74B7B" w:rsidP="00BC4B45">
      <w:pPr>
        <w:jc w:val="both"/>
        <w:rPr>
          <w:rFonts w:ascii="Palatino Linotype" w:hAnsi="Palatino Linotype"/>
          <w:b/>
          <w:bCs/>
          <w:color w:val="C10505"/>
          <w:lang w:val="es-ES"/>
        </w:rPr>
      </w:pPr>
      <w:r w:rsidRPr="005803D9">
        <w:rPr>
          <w:rStyle w:val="markedcontent"/>
          <w:rFonts w:ascii="Palatino Linotype" w:hAnsi="Palatino Linotype" w:cs="Arial"/>
          <w:b/>
        </w:rPr>
        <w:t>Artículo (…)</w:t>
      </w:r>
      <w:r w:rsidR="00530D42" w:rsidRPr="005803D9">
        <w:rPr>
          <w:rStyle w:val="markedcontent"/>
          <w:rFonts w:ascii="Palatino Linotype" w:hAnsi="Palatino Linotype" w:cs="Arial"/>
        </w:rPr>
        <w:t>.- Este régimen se aplicará a todos los casos en que no exista uno especial, expresamente</w:t>
      </w:r>
      <w:r w:rsidR="00530D42" w:rsidRPr="005803D9">
        <w:rPr>
          <w:rFonts w:ascii="Palatino Linotype" w:hAnsi="Palatino Linotype"/>
        </w:rPr>
        <w:t xml:space="preserve"> </w:t>
      </w:r>
      <w:r w:rsidR="00530D42" w:rsidRPr="005803D9">
        <w:rPr>
          <w:rStyle w:val="markedcontent"/>
          <w:rFonts w:ascii="Palatino Linotype" w:hAnsi="Palatino Linotype" w:cs="Arial"/>
        </w:rPr>
        <w:t>establecido en la legislación vigente.</w:t>
      </w:r>
    </w:p>
    <w:p w:rsidR="00530D42" w:rsidRPr="005803D9" w:rsidRDefault="00530D42" w:rsidP="00530D42">
      <w:pPr>
        <w:jc w:val="both"/>
        <w:rPr>
          <w:rStyle w:val="markedcontent"/>
          <w:rFonts w:ascii="Palatino Linotype" w:hAnsi="Palatino Linotype" w:cs="Arial"/>
        </w:rPr>
      </w:pPr>
      <w:r w:rsidRPr="005803D9">
        <w:rPr>
          <w:rStyle w:val="markedcontent"/>
          <w:rFonts w:ascii="Palatino Linotype" w:hAnsi="Palatino Linotype" w:cs="Arial"/>
          <w:b/>
        </w:rPr>
        <w:t xml:space="preserve">Artículo </w:t>
      </w:r>
      <w:r w:rsidR="00F74B7B" w:rsidRPr="005803D9">
        <w:rPr>
          <w:rStyle w:val="markedcontent"/>
          <w:rFonts w:ascii="Palatino Linotype" w:hAnsi="Palatino Linotype" w:cs="Arial"/>
          <w:b/>
        </w:rPr>
        <w:t>(…)</w:t>
      </w:r>
      <w:r w:rsidRPr="005803D9">
        <w:rPr>
          <w:rStyle w:val="markedcontent"/>
          <w:rFonts w:ascii="Palatino Linotype" w:hAnsi="Palatino Linotype" w:cs="Arial"/>
          <w:b/>
        </w:rPr>
        <w:t xml:space="preserve">.- </w:t>
      </w:r>
      <w:r w:rsidRPr="005803D9">
        <w:rPr>
          <w:rStyle w:val="markedcontent"/>
          <w:rFonts w:ascii="Palatino Linotype" w:hAnsi="Palatino Linotype" w:cs="Arial"/>
        </w:rPr>
        <w:t>Este régimen no será aplicable en los convenios de cooperación interinstitucional que</w:t>
      </w:r>
      <w:r w:rsidRPr="005803D9">
        <w:rPr>
          <w:rFonts w:ascii="Palatino Linotype" w:hAnsi="Palatino Linotype"/>
        </w:rPr>
        <w:t xml:space="preserve"> </w:t>
      </w:r>
      <w:r w:rsidRPr="005803D9">
        <w:rPr>
          <w:rStyle w:val="markedcontent"/>
          <w:rFonts w:ascii="Palatino Linotype" w:hAnsi="Palatino Linotype" w:cs="Arial"/>
        </w:rPr>
        <w:t>efectúen las empresas públicas metropolitanas con otros organismos estatales.</w:t>
      </w:r>
    </w:p>
    <w:p w:rsidR="00530D42" w:rsidRPr="005803D9" w:rsidRDefault="00F93017" w:rsidP="00530D42">
      <w:pPr>
        <w:jc w:val="both"/>
        <w:rPr>
          <w:rFonts w:ascii="Palatino Linotype" w:hAnsi="Palatino Linotype"/>
          <w:b/>
          <w:bCs/>
          <w:color w:val="C10505"/>
          <w:lang w:val="es-ES"/>
        </w:rPr>
      </w:pPr>
      <w:r w:rsidRPr="005803D9">
        <w:rPr>
          <w:rStyle w:val="markedcontent"/>
          <w:rFonts w:ascii="Palatino Linotype" w:hAnsi="Palatino Linotype" w:cs="Arial"/>
        </w:rPr>
        <w:t>Artículo (…)</w:t>
      </w:r>
      <w:r w:rsidR="00530D42" w:rsidRPr="005803D9">
        <w:rPr>
          <w:rStyle w:val="markedcontent"/>
          <w:rFonts w:ascii="Palatino Linotype" w:hAnsi="Palatino Linotype" w:cs="Arial"/>
        </w:rPr>
        <w:t>.- Todas las empresas públicas metropolitanas que desarrollen alianzas estratégicas,</w:t>
      </w:r>
      <w:r w:rsidR="00530D42" w:rsidRPr="005803D9">
        <w:rPr>
          <w:rFonts w:ascii="Palatino Linotype" w:hAnsi="Palatino Linotype"/>
        </w:rPr>
        <w:t xml:space="preserve"> </w:t>
      </w:r>
      <w:r w:rsidR="00530D42" w:rsidRPr="005803D9">
        <w:rPr>
          <w:rStyle w:val="markedcontent"/>
          <w:rFonts w:ascii="Palatino Linotype" w:hAnsi="Palatino Linotype" w:cs="Arial"/>
        </w:rPr>
        <w:t>realizarán tareas de coordinación con la finalidad de evitar superposición de actividades y proyectos</w:t>
      </w:r>
      <w:r w:rsidR="00530D42" w:rsidRPr="005803D9">
        <w:rPr>
          <w:rFonts w:ascii="Palatino Linotype" w:hAnsi="Palatino Linotype"/>
        </w:rPr>
        <w:t xml:space="preserve"> </w:t>
      </w:r>
      <w:r w:rsidR="00530D42" w:rsidRPr="005803D9">
        <w:rPr>
          <w:rStyle w:val="markedcontent"/>
          <w:rFonts w:ascii="Palatino Linotype" w:hAnsi="Palatino Linotype" w:cs="Arial"/>
        </w:rPr>
        <w:t>de interés general.</w:t>
      </w:r>
    </w:p>
    <w:p w:rsidR="00E608DE" w:rsidRPr="005803D9" w:rsidRDefault="00EA0D1B" w:rsidP="00BC4B45">
      <w:pPr>
        <w:jc w:val="both"/>
        <w:rPr>
          <w:rFonts w:ascii="Palatino Linotype" w:hAnsi="Palatino Linotype" w:cs="Times New Roman"/>
          <w:lang w:val="es-ES"/>
        </w:rPr>
      </w:pPr>
      <w:r w:rsidRPr="005803D9">
        <w:rPr>
          <w:rFonts w:ascii="Palatino Linotype" w:hAnsi="Palatino Linotype"/>
          <w:b/>
          <w:bCs/>
          <w:lang w:val="es-ES"/>
        </w:rPr>
        <w:t xml:space="preserve">Artículo (…).- </w:t>
      </w:r>
      <w:r w:rsidR="00E608DE" w:rsidRPr="005803D9">
        <w:rPr>
          <w:rFonts w:ascii="Palatino Linotype" w:hAnsi="Palatino Linotype" w:cs="Times New Roman"/>
          <w:lang w:val="es-ES"/>
        </w:rPr>
        <w:t>En todos los casos, los informes necesarios que se requieran, por parte del Concejo y los Directorios, de las Secretarías y/o Unidades Técnicas municipales ajenos a la Empresa Pública y/o a la unidad encargada del proceso, tendrán un término de 15 días, incluidas los procesos de consulta y revisión, para su emisión.  Para este efecto, se emplearán métodos ágiles para el trámite de los requerimientos.</w:t>
      </w:r>
    </w:p>
    <w:p w:rsidR="00E608DE" w:rsidRPr="005803D9" w:rsidRDefault="00EA0D1B" w:rsidP="00BC4B45">
      <w:pPr>
        <w:jc w:val="both"/>
        <w:rPr>
          <w:rFonts w:ascii="Palatino Linotype" w:hAnsi="Palatino Linotype" w:cs="Times New Roman"/>
          <w:lang w:val="es-ES"/>
        </w:rPr>
      </w:pPr>
      <w:r w:rsidRPr="005803D9">
        <w:rPr>
          <w:rFonts w:ascii="Palatino Linotype" w:hAnsi="Palatino Linotype"/>
          <w:b/>
          <w:bCs/>
          <w:lang w:val="es-ES"/>
        </w:rPr>
        <w:t xml:space="preserve">Artículo (…).- </w:t>
      </w:r>
      <w:r w:rsidR="00E608DE" w:rsidRPr="005803D9">
        <w:rPr>
          <w:rFonts w:ascii="Palatino Linotype" w:hAnsi="Palatino Linotype" w:cs="Times New Roman"/>
          <w:lang w:val="es-ES"/>
        </w:rPr>
        <w:t>Las Empresas Públicas generarán reglamentos de contratación generales que complementen al presente, para los procesos específicos de cada una de ellas.</w:t>
      </w:r>
    </w:p>
    <w:p w:rsidR="00853781" w:rsidRPr="005803D9" w:rsidRDefault="00853781" w:rsidP="00853781">
      <w:pPr>
        <w:pStyle w:val="Textoindependiente"/>
        <w:spacing w:line="276" w:lineRule="auto"/>
        <w:rPr>
          <w:rFonts w:ascii="Palatino Linotype" w:hAnsi="Palatino Linotype"/>
          <w:sz w:val="22"/>
          <w:szCs w:val="22"/>
        </w:rPr>
      </w:pPr>
      <w:r w:rsidRPr="005803D9">
        <w:rPr>
          <w:rFonts w:ascii="Palatino Linotype" w:hAnsi="Palatino Linotype"/>
          <w:sz w:val="22"/>
          <w:szCs w:val="22"/>
        </w:rPr>
        <w:t>Dada, en la Sala de Sesiones del Concejo Metropolitano d</w:t>
      </w:r>
      <w:r w:rsidR="00C8237E" w:rsidRPr="005803D9">
        <w:rPr>
          <w:rFonts w:ascii="Palatino Linotype" w:hAnsi="Palatino Linotype"/>
          <w:sz w:val="22"/>
          <w:szCs w:val="22"/>
        </w:rPr>
        <w:t>e Quito, el.…… de …………. del 2022</w:t>
      </w:r>
    </w:p>
    <w:p w:rsidR="00853781" w:rsidRPr="005803D9" w:rsidRDefault="00853781" w:rsidP="00853781">
      <w:pPr>
        <w:jc w:val="center"/>
        <w:rPr>
          <w:rFonts w:ascii="Palatino Linotype" w:hAnsi="Palatino Linotype"/>
        </w:rPr>
      </w:pPr>
    </w:p>
    <w:p w:rsidR="00853781" w:rsidRPr="005803D9" w:rsidRDefault="00853781" w:rsidP="00853781">
      <w:pPr>
        <w:pStyle w:val="Textopredeterminado"/>
        <w:shd w:val="clear" w:color="auto" w:fill="FFFFFF"/>
        <w:jc w:val="center"/>
        <w:rPr>
          <w:rFonts w:ascii="Palatino Linotype" w:hAnsi="Palatino Linotype"/>
          <w:sz w:val="22"/>
          <w:szCs w:val="22"/>
          <w:lang w:val="es-ES"/>
        </w:rPr>
      </w:pPr>
    </w:p>
    <w:p w:rsidR="00853781" w:rsidRPr="005803D9" w:rsidRDefault="00853781" w:rsidP="00853781">
      <w:pPr>
        <w:pStyle w:val="Textosinformato"/>
        <w:jc w:val="center"/>
        <w:rPr>
          <w:rFonts w:ascii="Palatino Linotype" w:eastAsia="MS Mincho" w:hAnsi="Palatino Linotype"/>
          <w:sz w:val="22"/>
          <w:szCs w:val="22"/>
        </w:rPr>
      </w:pPr>
      <w:r w:rsidRPr="005803D9">
        <w:rPr>
          <w:rFonts w:ascii="Palatino Linotype" w:eastAsia="MS Mincho" w:hAnsi="Palatino Linotype"/>
          <w:sz w:val="22"/>
          <w:szCs w:val="22"/>
        </w:rPr>
        <w:t xml:space="preserve"> </w:t>
      </w:r>
      <w:r w:rsidRPr="005803D9">
        <w:rPr>
          <w:rFonts w:ascii="Palatino Linotype" w:hAnsi="Palatino Linotype"/>
          <w:sz w:val="22"/>
          <w:szCs w:val="22"/>
        </w:rPr>
        <w:t>Abg. Pablo Santillán Paredes</w:t>
      </w:r>
    </w:p>
    <w:p w:rsidR="00853781" w:rsidRPr="005803D9" w:rsidRDefault="00853781" w:rsidP="00853781">
      <w:pPr>
        <w:pStyle w:val="Textosinformato"/>
        <w:spacing w:after="240"/>
        <w:jc w:val="center"/>
        <w:rPr>
          <w:rFonts w:ascii="Palatino Linotype" w:eastAsia="MS Mincho" w:hAnsi="Palatino Linotype"/>
          <w:b/>
          <w:bCs/>
          <w:sz w:val="22"/>
          <w:szCs w:val="22"/>
        </w:rPr>
      </w:pPr>
      <w:r w:rsidRPr="005803D9">
        <w:rPr>
          <w:rFonts w:ascii="Palatino Linotype" w:eastAsia="MS Mincho" w:hAnsi="Palatino Linotype"/>
          <w:b/>
          <w:bCs/>
          <w:sz w:val="22"/>
          <w:szCs w:val="22"/>
        </w:rPr>
        <w:t xml:space="preserve">SECRETARIO GENERAL DEL CONCEJO METROPOLITANO DE QUITO </w:t>
      </w:r>
    </w:p>
    <w:p w:rsidR="00853781" w:rsidRPr="005803D9" w:rsidRDefault="00853781" w:rsidP="00853781">
      <w:pPr>
        <w:pStyle w:val="Textopredeterminado"/>
        <w:shd w:val="clear" w:color="auto" w:fill="FFFFFF"/>
        <w:rPr>
          <w:rFonts w:ascii="Palatino Linotype" w:hAnsi="Palatino Linotype"/>
          <w:sz w:val="22"/>
          <w:szCs w:val="22"/>
          <w:lang w:val="es-ES"/>
        </w:rPr>
      </w:pPr>
    </w:p>
    <w:p w:rsidR="00853781" w:rsidRPr="005803D9" w:rsidRDefault="00853781" w:rsidP="00853781">
      <w:pPr>
        <w:pStyle w:val="Ttulo1"/>
        <w:tabs>
          <w:tab w:val="center" w:pos="4394"/>
          <w:tab w:val="left" w:pos="7575"/>
        </w:tabs>
        <w:rPr>
          <w:rFonts w:ascii="Palatino Linotype" w:eastAsia="MS Mincho" w:hAnsi="Palatino Linotype" w:cs="Times New Roman"/>
          <w:color w:val="auto"/>
          <w:sz w:val="22"/>
          <w:szCs w:val="22"/>
        </w:rPr>
      </w:pPr>
      <w:r w:rsidRPr="005803D9">
        <w:rPr>
          <w:rFonts w:ascii="Palatino Linotype" w:eastAsia="MS Mincho" w:hAnsi="Palatino Linotype" w:cs="Times New Roman"/>
          <w:color w:val="auto"/>
          <w:sz w:val="22"/>
          <w:szCs w:val="22"/>
        </w:rPr>
        <w:lastRenderedPageBreak/>
        <w:tab/>
        <w:t>CERTIFICADO DE DISCUSIÓN</w:t>
      </w:r>
      <w:r w:rsidRPr="005803D9">
        <w:rPr>
          <w:rFonts w:ascii="Palatino Linotype" w:eastAsia="MS Mincho" w:hAnsi="Palatino Linotype" w:cs="Times New Roman"/>
          <w:color w:val="auto"/>
          <w:sz w:val="22"/>
          <w:szCs w:val="22"/>
        </w:rPr>
        <w:tab/>
      </w:r>
    </w:p>
    <w:p w:rsidR="00853781" w:rsidRPr="005803D9" w:rsidRDefault="00853781" w:rsidP="00853781">
      <w:pPr>
        <w:jc w:val="center"/>
        <w:rPr>
          <w:rFonts w:ascii="Palatino Linotype" w:eastAsia="MS Mincho" w:hAnsi="Palatino Linotype"/>
        </w:rPr>
      </w:pPr>
    </w:p>
    <w:p w:rsidR="00853781" w:rsidRPr="005803D9" w:rsidRDefault="00853781" w:rsidP="00853781">
      <w:pPr>
        <w:pStyle w:val="Textoindependiente"/>
        <w:jc w:val="center"/>
        <w:rPr>
          <w:rFonts w:ascii="Palatino Linotype" w:eastAsia="MS Mincho" w:hAnsi="Palatino Linotype"/>
          <w:sz w:val="22"/>
          <w:szCs w:val="22"/>
        </w:rPr>
      </w:pPr>
      <w:r w:rsidRPr="005803D9">
        <w:rPr>
          <w:rFonts w:ascii="Palatino Linotype" w:eastAsia="MS Mincho" w:hAnsi="Palatino Linotype"/>
          <w:sz w:val="22"/>
          <w:szCs w:val="22"/>
        </w:rPr>
        <w:t>El infrascrito Secretario General del Concejo Metropolitano de Quito, certifica que la presente ordenanza fue discutida y aprobada en dos debates, en sesiones de …..de ……..  y ….. de …………. de 2022- Quito,</w:t>
      </w:r>
    </w:p>
    <w:p w:rsidR="00853781" w:rsidRPr="005803D9" w:rsidRDefault="00853781" w:rsidP="00853781">
      <w:pPr>
        <w:jc w:val="center"/>
        <w:rPr>
          <w:rFonts w:ascii="Palatino Linotype" w:eastAsia="MS Mincho" w:hAnsi="Palatino Linotype"/>
        </w:rPr>
      </w:pPr>
    </w:p>
    <w:p w:rsidR="00853781" w:rsidRPr="005803D9" w:rsidRDefault="00853781" w:rsidP="00853781">
      <w:pPr>
        <w:pStyle w:val="Textosinformato"/>
        <w:jc w:val="center"/>
        <w:rPr>
          <w:rFonts w:ascii="Palatino Linotype" w:eastAsia="MS Mincho" w:hAnsi="Palatino Linotype"/>
          <w:sz w:val="22"/>
          <w:szCs w:val="22"/>
        </w:rPr>
      </w:pPr>
      <w:r w:rsidRPr="005803D9">
        <w:rPr>
          <w:rFonts w:ascii="Palatino Linotype" w:hAnsi="Palatino Linotype"/>
          <w:sz w:val="22"/>
          <w:szCs w:val="22"/>
        </w:rPr>
        <w:t>Abg. Pablo Santillán Paredes</w:t>
      </w:r>
    </w:p>
    <w:p w:rsidR="00853781" w:rsidRPr="005803D9" w:rsidRDefault="00853781" w:rsidP="00853781">
      <w:pPr>
        <w:pStyle w:val="Textosinformato"/>
        <w:spacing w:after="240"/>
        <w:jc w:val="center"/>
        <w:rPr>
          <w:rFonts w:ascii="Palatino Linotype" w:eastAsia="MS Mincho" w:hAnsi="Palatino Linotype"/>
          <w:b/>
          <w:bCs/>
          <w:sz w:val="22"/>
          <w:szCs w:val="22"/>
        </w:rPr>
      </w:pPr>
      <w:r w:rsidRPr="005803D9">
        <w:rPr>
          <w:rFonts w:ascii="Palatino Linotype" w:eastAsia="MS Mincho" w:hAnsi="Palatino Linotype"/>
          <w:b/>
          <w:bCs/>
          <w:sz w:val="22"/>
          <w:szCs w:val="22"/>
        </w:rPr>
        <w:t xml:space="preserve">SECRETARIO GENERAL DEL CONCEJO METROPOLITANO DE QUITO </w:t>
      </w:r>
    </w:p>
    <w:p w:rsidR="00853781" w:rsidRPr="005803D9" w:rsidRDefault="00853781" w:rsidP="00853781">
      <w:pPr>
        <w:pStyle w:val="Ttulo1"/>
        <w:jc w:val="center"/>
        <w:rPr>
          <w:rFonts w:ascii="Palatino Linotype" w:eastAsia="MS Mincho" w:hAnsi="Palatino Linotype" w:cs="Times New Roman"/>
          <w:color w:val="auto"/>
          <w:sz w:val="22"/>
          <w:szCs w:val="22"/>
        </w:rPr>
      </w:pPr>
    </w:p>
    <w:p w:rsidR="00853781" w:rsidRPr="005803D9" w:rsidRDefault="00853781" w:rsidP="00853781">
      <w:pPr>
        <w:rPr>
          <w:rFonts w:ascii="Palatino Linotype" w:hAnsi="Palatino Linotype"/>
          <w:lang w:val="es-ES"/>
        </w:rPr>
      </w:pPr>
    </w:p>
    <w:p w:rsidR="00853781" w:rsidRPr="005803D9" w:rsidRDefault="00853781" w:rsidP="00853781">
      <w:pPr>
        <w:pStyle w:val="Ttulo1"/>
        <w:jc w:val="center"/>
        <w:rPr>
          <w:rFonts w:ascii="Palatino Linotype" w:eastAsia="MS Mincho" w:hAnsi="Palatino Linotype" w:cs="Times New Roman"/>
          <w:color w:val="auto"/>
          <w:sz w:val="22"/>
          <w:szCs w:val="22"/>
        </w:rPr>
      </w:pPr>
      <w:r w:rsidRPr="005803D9">
        <w:rPr>
          <w:rFonts w:ascii="Palatino Linotype" w:eastAsia="MS Mincho" w:hAnsi="Palatino Linotype" w:cs="Times New Roman"/>
          <w:color w:val="auto"/>
          <w:sz w:val="22"/>
          <w:szCs w:val="22"/>
        </w:rPr>
        <w:t>EJECÚTESE:</w:t>
      </w:r>
    </w:p>
    <w:p w:rsidR="00853781" w:rsidRPr="005803D9" w:rsidRDefault="00853781" w:rsidP="00853781">
      <w:pPr>
        <w:pStyle w:val="Textosinformato"/>
        <w:jc w:val="center"/>
        <w:rPr>
          <w:rFonts w:ascii="Palatino Linotype" w:eastAsia="MS Mincho" w:hAnsi="Palatino Linotype"/>
          <w:sz w:val="22"/>
          <w:szCs w:val="22"/>
        </w:rPr>
      </w:pPr>
      <w:r w:rsidRPr="005803D9">
        <w:rPr>
          <w:rFonts w:ascii="Palatino Linotype" w:eastAsia="MS Mincho" w:hAnsi="Palatino Linotype"/>
          <w:sz w:val="22"/>
          <w:szCs w:val="22"/>
        </w:rPr>
        <w:t xml:space="preserve">Dr. Santiago </w:t>
      </w:r>
      <w:proofErr w:type="spellStart"/>
      <w:r w:rsidRPr="005803D9">
        <w:rPr>
          <w:rFonts w:ascii="Palatino Linotype" w:eastAsia="MS Mincho" w:hAnsi="Palatino Linotype"/>
          <w:sz w:val="22"/>
          <w:szCs w:val="22"/>
        </w:rPr>
        <w:t>Guarderas</w:t>
      </w:r>
      <w:proofErr w:type="spellEnd"/>
      <w:r w:rsidRPr="005803D9">
        <w:rPr>
          <w:rFonts w:ascii="Palatino Linotype" w:eastAsia="MS Mincho" w:hAnsi="Palatino Linotype"/>
          <w:sz w:val="22"/>
          <w:szCs w:val="22"/>
        </w:rPr>
        <w:t xml:space="preserve"> Izquierdo</w:t>
      </w:r>
    </w:p>
    <w:p w:rsidR="00853781" w:rsidRPr="005803D9" w:rsidRDefault="00853781" w:rsidP="00853781">
      <w:pPr>
        <w:pStyle w:val="Textosinformato"/>
        <w:jc w:val="center"/>
        <w:rPr>
          <w:rFonts w:ascii="Palatino Linotype" w:eastAsia="MS Mincho" w:hAnsi="Palatino Linotype"/>
          <w:b/>
          <w:bCs/>
          <w:sz w:val="22"/>
          <w:szCs w:val="22"/>
        </w:rPr>
      </w:pPr>
      <w:r w:rsidRPr="005803D9">
        <w:rPr>
          <w:rFonts w:ascii="Palatino Linotype" w:eastAsia="MS Mincho" w:hAnsi="Palatino Linotype"/>
          <w:b/>
          <w:bCs/>
          <w:sz w:val="22"/>
          <w:szCs w:val="22"/>
        </w:rPr>
        <w:t>ALCALDE DEL DISTRITO METROPOLITANO DE QUITO</w:t>
      </w:r>
    </w:p>
    <w:p w:rsidR="00853781" w:rsidRPr="005803D9" w:rsidRDefault="00853781" w:rsidP="00853781">
      <w:pPr>
        <w:jc w:val="center"/>
        <w:rPr>
          <w:rFonts w:ascii="Palatino Linotype" w:eastAsia="MS Mincho" w:hAnsi="Palatino Linotype"/>
        </w:rPr>
      </w:pPr>
    </w:p>
    <w:p w:rsidR="00853781" w:rsidRPr="005803D9" w:rsidRDefault="00853781" w:rsidP="00853781">
      <w:pPr>
        <w:jc w:val="center"/>
        <w:rPr>
          <w:rFonts w:ascii="Palatino Linotype" w:eastAsia="MS Mincho" w:hAnsi="Palatino Linotype"/>
        </w:rPr>
      </w:pPr>
    </w:p>
    <w:p w:rsidR="00853781" w:rsidRPr="005803D9" w:rsidRDefault="00853781" w:rsidP="00853781">
      <w:pPr>
        <w:pStyle w:val="Textosinformato"/>
        <w:jc w:val="both"/>
        <w:rPr>
          <w:rFonts w:ascii="Palatino Linotype" w:hAnsi="Palatino Linotype"/>
          <w:sz w:val="22"/>
          <w:szCs w:val="22"/>
        </w:rPr>
      </w:pPr>
      <w:r w:rsidRPr="005803D9">
        <w:rPr>
          <w:rFonts w:ascii="Palatino Linotype" w:eastAsia="MS Mincho" w:hAnsi="Palatino Linotype"/>
          <w:b/>
          <w:bCs/>
          <w:sz w:val="22"/>
          <w:szCs w:val="22"/>
        </w:rPr>
        <w:t>CERTIFICO,</w:t>
      </w:r>
      <w:r w:rsidRPr="005803D9">
        <w:rPr>
          <w:rFonts w:ascii="Palatino Linotype" w:eastAsia="MS Mincho" w:hAnsi="Palatino Linotype"/>
          <w:sz w:val="22"/>
          <w:szCs w:val="22"/>
        </w:rPr>
        <w:t xml:space="preserve"> que la presente ordenanza fue sancionada por el Dr. Santiago </w:t>
      </w:r>
      <w:proofErr w:type="spellStart"/>
      <w:r w:rsidRPr="005803D9">
        <w:rPr>
          <w:rFonts w:ascii="Palatino Linotype" w:eastAsia="MS Mincho" w:hAnsi="Palatino Linotype"/>
          <w:sz w:val="22"/>
          <w:szCs w:val="22"/>
        </w:rPr>
        <w:t>Guarderas</w:t>
      </w:r>
      <w:proofErr w:type="spellEnd"/>
      <w:r w:rsidRPr="005803D9">
        <w:rPr>
          <w:rFonts w:ascii="Palatino Linotype" w:eastAsia="MS Mincho" w:hAnsi="Palatino Linotype"/>
          <w:sz w:val="22"/>
          <w:szCs w:val="22"/>
        </w:rPr>
        <w:t xml:space="preserve"> Izquierdo, Alcalde del Distrito Metropolitano de Quito, el………………….- Distrito Metropolitano de Quito.</w:t>
      </w:r>
    </w:p>
    <w:p w:rsidR="00853781" w:rsidRPr="005803D9" w:rsidRDefault="00853781" w:rsidP="00853781">
      <w:pPr>
        <w:jc w:val="center"/>
        <w:rPr>
          <w:rFonts w:ascii="Palatino Linotype" w:hAnsi="Palatino Linotype" w:cs="Times New Roman"/>
          <w:b/>
        </w:rPr>
      </w:pPr>
    </w:p>
    <w:p w:rsidR="00853781" w:rsidRPr="005803D9" w:rsidRDefault="00853781" w:rsidP="00BC4B45">
      <w:pPr>
        <w:jc w:val="both"/>
        <w:rPr>
          <w:rFonts w:ascii="Palatino Linotype" w:hAnsi="Palatino Linotype"/>
          <w:color w:val="C00000"/>
        </w:rPr>
      </w:pPr>
    </w:p>
    <w:p w:rsidR="0018662C" w:rsidRPr="00EE7F65" w:rsidRDefault="0018662C" w:rsidP="00BC4B45">
      <w:pPr>
        <w:jc w:val="both"/>
        <w:rPr>
          <w:rFonts w:ascii="Palatino Linotype" w:hAnsi="Palatino Linotype"/>
          <w:color w:val="C00000"/>
        </w:rPr>
      </w:pPr>
    </w:p>
    <w:p w:rsidR="00E25AF7" w:rsidRPr="00E25AF7" w:rsidRDefault="00E25AF7" w:rsidP="00BC4B45">
      <w:pPr>
        <w:jc w:val="both"/>
        <w:rPr>
          <w:rFonts w:ascii="Palatino Linotype" w:hAnsi="Palatino Linotype"/>
          <w:b/>
        </w:rPr>
      </w:pPr>
      <w:bookmarkStart w:id="0" w:name="_GoBack"/>
      <w:bookmarkEnd w:id="0"/>
    </w:p>
    <w:sectPr w:rsidR="00E25AF7" w:rsidRPr="00E25AF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11" w:rsidRDefault="00B91A11" w:rsidP="00F86F54">
      <w:pPr>
        <w:spacing w:after="0" w:line="240" w:lineRule="auto"/>
      </w:pPr>
      <w:r>
        <w:separator/>
      </w:r>
    </w:p>
  </w:endnote>
  <w:endnote w:type="continuationSeparator" w:id="0">
    <w:p w:rsidR="00B91A11" w:rsidRDefault="00B91A11" w:rsidP="00F8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082906"/>
      <w:docPartObj>
        <w:docPartGallery w:val="Page Numbers (Bottom of Page)"/>
        <w:docPartUnique/>
      </w:docPartObj>
    </w:sdtPr>
    <w:sdtContent>
      <w:p w:rsidR="005803D9" w:rsidRDefault="005803D9">
        <w:pPr>
          <w:pStyle w:val="Piedepgina"/>
          <w:jc w:val="right"/>
        </w:pPr>
        <w:r>
          <w:fldChar w:fldCharType="begin"/>
        </w:r>
        <w:r>
          <w:instrText>PAGE   \* MERGEFORMAT</w:instrText>
        </w:r>
        <w:r>
          <w:fldChar w:fldCharType="separate"/>
        </w:r>
        <w:r w:rsidRPr="005803D9">
          <w:rPr>
            <w:noProof/>
            <w:lang w:val="es-ES"/>
          </w:rPr>
          <w:t>29</w:t>
        </w:r>
        <w:r>
          <w:fldChar w:fldCharType="end"/>
        </w:r>
      </w:p>
    </w:sdtContent>
  </w:sdt>
  <w:p w:rsidR="003D1E62" w:rsidRDefault="003D1E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11" w:rsidRDefault="00B91A11" w:rsidP="00F86F54">
      <w:pPr>
        <w:spacing w:after="0" w:line="240" w:lineRule="auto"/>
      </w:pPr>
      <w:r>
        <w:separator/>
      </w:r>
    </w:p>
  </w:footnote>
  <w:footnote w:type="continuationSeparator" w:id="0">
    <w:p w:rsidR="00B91A11" w:rsidRDefault="00B91A11" w:rsidP="00F86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EA" w:rsidRDefault="007D5FEA">
    <w:pPr>
      <w:pStyle w:val="Encabezado"/>
    </w:pPr>
    <w:r>
      <w:rPr>
        <w:rFonts w:ascii="Palatino Linotype" w:hAnsi="Palatino Linotype"/>
        <w:b/>
        <w:noProof/>
        <w:lang w:val="es-419" w:eastAsia="es-419"/>
      </w:rPr>
      <w:drawing>
        <wp:anchor distT="0" distB="0" distL="114300" distR="114300" simplePos="0" relativeHeight="251659264" behindDoc="0" locked="0" layoutInCell="1" allowOverlap="1" wp14:anchorId="3E70364D" wp14:editId="71E009D4">
          <wp:simplePos x="0" y="0"/>
          <wp:positionH relativeFrom="margin">
            <wp:align>center</wp:align>
          </wp:positionH>
          <wp:positionV relativeFrom="paragraph">
            <wp:posOffset>-156845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p w:rsidR="007D5FEA" w:rsidRDefault="007D5FEA">
    <w:pPr>
      <w:pStyle w:val="Encabezado"/>
    </w:pPr>
  </w:p>
  <w:p w:rsidR="007D5FEA" w:rsidRDefault="007D5FEA">
    <w:pPr>
      <w:pStyle w:val="Encabezado"/>
    </w:pPr>
  </w:p>
  <w:p w:rsidR="007D5FEA" w:rsidRDefault="007D5FEA">
    <w:pPr>
      <w:pStyle w:val="Encabezado"/>
    </w:pPr>
  </w:p>
  <w:p w:rsidR="007D5FEA" w:rsidRDefault="007D5FEA">
    <w:pPr>
      <w:pStyle w:val="Encabezado"/>
    </w:pPr>
    <w:r>
      <w:ptab w:relativeTo="margin" w:alignment="right" w:leader="none"/>
    </w:r>
  </w:p>
  <w:p w:rsidR="007D5FEA" w:rsidRPr="0018018F" w:rsidRDefault="007D5FEA" w:rsidP="00F86F54">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proofErr w:type="spellStart"/>
    <w:r>
      <w:rPr>
        <w:rFonts w:ascii="Palatino Linotype" w:hAnsi="Palatino Linotype"/>
        <w:b/>
        <w:bCs/>
        <w:color w:val="000000" w:themeColor="text1"/>
        <w:sz w:val="22"/>
        <w:szCs w:val="22"/>
      </w:rPr>
      <w:t>xxxxx</w:t>
    </w:r>
    <w:proofErr w:type="spellEnd"/>
  </w:p>
  <w:p w:rsidR="007D5FEA" w:rsidRDefault="007D5F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28D4"/>
    <w:multiLevelType w:val="hybridMultilevel"/>
    <w:tmpl w:val="F1CA8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72"/>
    <w:rsid w:val="00003406"/>
    <w:rsid w:val="00013012"/>
    <w:rsid w:val="00013B0A"/>
    <w:rsid w:val="00037BBA"/>
    <w:rsid w:val="00043CF6"/>
    <w:rsid w:val="00060176"/>
    <w:rsid w:val="00077805"/>
    <w:rsid w:val="000C0765"/>
    <w:rsid w:val="000E4128"/>
    <w:rsid w:val="000E4F4A"/>
    <w:rsid w:val="000E78B7"/>
    <w:rsid w:val="000F058E"/>
    <w:rsid w:val="000F47B0"/>
    <w:rsid w:val="001122C4"/>
    <w:rsid w:val="00125A6D"/>
    <w:rsid w:val="00125FF7"/>
    <w:rsid w:val="00146081"/>
    <w:rsid w:val="00150486"/>
    <w:rsid w:val="0018662C"/>
    <w:rsid w:val="001B2444"/>
    <w:rsid w:val="001F6432"/>
    <w:rsid w:val="002124BE"/>
    <w:rsid w:val="00225984"/>
    <w:rsid w:val="00281172"/>
    <w:rsid w:val="00295377"/>
    <w:rsid w:val="002B043C"/>
    <w:rsid w:val="002B5DF2"/>
    <w:rsid w:val="002C493B"/>
    <w:rsid w:val="002D1E16"/>
    <w:rsid w:val="002E1357"/>
    <w:rsid w:val="002E1B16"/>
    <w:rsid w:val="002F39B4"/>
    <w:rsid w:val="00332FA1"/>
    <w:rsid w:val="003369FE"/>
    <w:rsid w:val="00353A9C"/>
    <w:rsid w:val="0036251B"/>
    <w:rsid w:val="00381C6C"/>
    <w:rsid w:val="003C01FA"/>
    <w:rsid w:val="003C2AED"/>
    <w:rsid w:val="003D1E62"/>
    <w:rsid w:val="003D30EE"/>
    <w:rsid w:val="003D6CD7"/>
    <w:rsid w:val="00412D17"/>
    <w:rsid w:val="00430736"/>
    <w:rsid w:val="004523CB"/>
    <w:rsid w:val="0047677E"/>
    <w:rsid w:val="0049004B"/>
    <w:rsid w:val="004C446E"/>
    <w:rsid w:val="004C564A"/>
    <w:rsid w:val="004D2706"/>
    <w:rsid w:val="0050112E"/>
    <w:rsid w:val="00501777"/>
    <w:rsid w:val="005023B9"/>
    <w:rsid w:val="005130D6"/>
    <w:rsid w:val="00530D42"/>
    <w:rsid w:val="005539EA"/>
    <w:rsid w:val="005717B6"/>
    <w:rsid w:val="005803D9"/>
    <w:rsid w:val="005A0346"/>
    <w:rsid w:val="005A4AF7"/>
    <w:rsid w:val="006042F2"/>
    <w:rsid w:val="006062D0"/>
    <w:rsid w:val="00614171"/>
    <w:rsid w:val="0069003A"/>
    <w:rsid w:val="006B55F8"/>
    <w:rsid w:val="006F4C40"/>
    <w:rsid w:val="00710A30"/>
    <w:rsid w:val="00734F65"/>
    <w:rsid w:val="0075093A"/>
    <w:rsid w:val="00752893"/>
    <w:rsid w:val="007857EE"/>
    <w:rsid w:val="007B7780"/>
    <w:rsid w:val="007D3E7C"/>
    <w:rsid w:val="007D5FEA"/>
    <w:rsid w:val="007D6A10"/>
    <w:rsid w:val="007F74C7"/>
    <w:rsid w:val="008220EB"/>
    <w:rsid w:val="00853781"/>
    <w:rsid w:val="00875683"/>
    <w:rsid w:val="00896C6B"/>
    <w:rsid w:val="008A7C71"/>
    <w:rsid w:val="008D59E1"/>
    <w:rsid w:val="008F5E85"/>
    <w:rsid w:val="00926AE7"/>
    <w:rsid w:val="00943330"/>
    <w:rsid w:val="0094486E"/>
    <w:rsid w:val="009736B2"/>
    <w:rsid w:val="0097452A"/>
    <w:rsid w:val="00974D4E"/>
    <w:rsid w:val="00980145"/>
    <w:rsid w:val="009B70EA"/>
    <w:rsid w:val="009C0971"/>
    <w:rsid w:val="009C3AA7"/>
    <w:rsid w:val="009F237B"/>
    <w:rsid w:val="009F6612"/>
    <w:rsid w:val="00A56E9C"/>
    <w:rsid w:val="00A86CC6"/>
    <w:rsid w:val="00AE17DB"/>
    <w:rsid w:val="00B01BE8"/>
    <w:rsid w:val="00B1080E"/>
    <w:rsid w:val="00B2305C"/>
    <w:rsid w:val="00B33D62"/>
    <w:rsid w:val="00B37B53"/>
    <w:rsid w:val="00B401CF"/>
    <w:rsid w:val="00B4068D"/>
    <w:rsid w:val="00B4410C"/>
    <w:rsid w:val="00B70023"/>
    <w:rsid w:val="00B91A11"/>
    <w:rsid w:val="00BC4035"/>
    <w:rsid w:val="00BC4B45"/>
    <w:rsid w:val="00BC5DD2"/>
    <w:rsid w:val="00BC5E2C"/>
    <w:rsid w:val="00BC7EDB"/>
    <w:rsid w:val="00BE2116"/>
    <w:rsid w:val="00C11894"/>
    <w:rsid w:val="00C27EE3"/>
    <w:rsid w:val="00C7642E"/>
    <w:rsid w:val="00C8237E"/>
    <w:rsid w:val="00CF2CA7"/>
    <w:rsid w:val="00D03CAB"/>
    <w:rsid w:val="00D0400D"/>
    <w:rsid w:val="00D11CD0"/>
    <w:rsid w:val="00D20518"/>
    <w:rsid w:val="00D43123"/>
    <w:rsid w:val="00D6395A"/>
    <w:rsid w:val="00D765E2"/>
    <w:rsid w:val="00D85B93"/>
    <w:rsid w:val="00E025C9"/>
    <w:rsid w:val="00E148ED"/>
    <w:rsid w:val="00E1606F"/>
    <w:rsid w:val="00E2516C"/>
    <w:rsid w:val="00E25AF7"/>
    <w:rsid w:val="00E52F42"/>
    <w:rsid w:val="00E608DE"/>
    <w:rsid w:val="00E653EA"/>
    <w:rsid w:val="00EA0D1B"/>
    <w:rsid w:val="00ED75AD"/>
    <w:rsid w:val="00EE7F65"/>
    <w:rsid w:val="00F13CD3"/>
    <w:rsid w:val="00F56C8F"/>
    <w:rsid w:val="00F626C4"/>
    <w:rsid w:val="00F74B7B"/>
    <w:rsid w:val="00F86F54"/>
    <w:rsid w:val="00F93017"/>
    <w:rsid w:val="00F94071"/>
    <w:rsid w:val="00FB4A1C"/>
    <w:rsid w:val="00FC7A1B"/>
    <w:rsid w:val="00FD371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CC88"/>
  <w15:chartTrackingRefBased/>
  <w15:docId w15:val="{AEFDB64A-0C3A-4E7E-8DD4-FAA386F8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86F54"/>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1172"/>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10C"/>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Encabezado">
    <w:name w:val="header"/>
    <w:basedOn w:val="Normal"/>
    <w:link w:val="EncabezadoCar"/>
    <w:uiPriority w:val="99"/>
    <w:unhideWhenUsed/>
    <w:rsid w:val="00B4410C"/>
    <w:pPr>
      <w:tabs>
        <w:tab w:val="center" w:pos="4513"/>
        <w:tab w:val="right" w:pos="9026"/>
      </w:tabs>
      <w:spacing w:after="0" w:line="240" w:lineRule="auto"/>
    </w:pPr>
    <w:rPr>
      <w:lang w:val="es-EC"/>
    </w:rPr>
  </w:style>
  <w:style w:type="character" w:customStyle="1" w:styleId="EncabezadoCar">
    <w:name w:val="Encabezado Car"/>
    <w:basedOn w:val="Fuentedeprrafopredeter"/>
    <w:link w:val="Encabezado"/>
    <w:uiPriority w:val="99"/>
    <w:rsid w:val="00B4410C"/>
    <w:rPr>
      <w:lang w:val="es-EC"/>
    </w:rPr>
  </w:style>
  <w:style w:type="paragraph" w:styleId="Piedepgina">
    <w:name w:val="footer"/>
    <w:basedOn w:val="Normal"/>
    <w:link w:val="PiedepginaCar"/>
    <w:uiPriority w:val="99"/>
    <w:unhideWhenUsed/>
    <w:rsid w:val="00B4410C"/>
    <w:pPr>
      <w:tabs>
        <w:tab w:val="center" w:pos="4513"/>
        <w:tab w:val="right" w:pos="9026"/>
      </w:tabs>
      <w:spacing w:after="0" w:line="240" w:lineRule="auto"/>
    </w:pPr>
    <w:rPr>
      <w:lang w:val="es-EC"/>
    </w:rPr>
  </w:style>
  <w:style w:type="character" w:customStyle="1" w:styleId="PiedepginaCar">
    <w:name w:val="Pie de página Car"/>
    <w:basedOn w:val="Fuentedeprrafopredeter"/>
    <w:link w:val="Piedepgina"/>
    <w:uiPriority w:val="99"/>
    <w:rsid w:val="00B4410C"/>
    <w:rPr>
      <w:lang w:val="es-EC"/>
    </w:rPr>
  </w:style>
  <w:style w:type="paragraph" w:styleId="Prrafodelista">
    <w:name w:val="List Paragraph"/>
    <w:basedOn w:val="Normal"/>
    <w:uiPriority w:val="34"/>
    <w:qFormat/>
    <w:rsid w:val="00430736"/>
    <w:pPr>
      <w:ind w:left="720"/>
      <w:contextualSpacing/>
    </w:pPr>
    <w:rPr>
      <w:lang w:val="es-EC"/>
    </w:rPr>
  </w:style>
  <w:style w:type="character" w:customStyle="1" w:styleId="Ttulo1Car">
    <w:name w:val="Título 1 Car"/>
    <w:basedOn w:val="Fuentedeprrafopredeter"/>
    <w:link w:val="Ttulo1"/>
    <w:uiPriority w:val="9"/>
    <w:rsid w:val="00F86F54"/>
    <w:rPr>
      <w:rFonts w:asciiTheme="majorHAnsi" w:eastAsiaTheme="majorEastAsia" w:hAnsiTheme="majorHAnsi" w:cstheme="majorBidi"/>
      <w:color w:val="2E74B5" w:themeColor="accent1" w:themeShade="BF"/>
      <w:sz w:val="32"/>
      <w:szCs w:val="32"/>
      <w:lang w:val="es-ES"/>
    </w:rPr>
  </w:style>
  <w:style w:type="paragraph" w:styleId="Textoindependiente">
    <w:name w:val="Body Text"/>
    <w:basedOn w:val="Normal"/>
    <w:link w:val="TextoindependienteCar"/>
    <w:rsid w:val="00853781"/>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53781"/>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5378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53781"/>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53781"/>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295377"/>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21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32</Pages>
  <Words>10994</Words>
  <Characters>60471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Danmer Vilma Freire Ocania</dc:creator>
  <cp:keywords/>
  <dc:description/>
  <cp:lastModifiedBy>Danmer Vilma Freire Ocania</cp:lastModifiedBy>
  <cp:revision>111</cp:revision>
  <dcterms:created xsi:type="dcterms:W3CDTF">2022-09-21T14:57:00Z</dcterms:created>
  <dcterms:modified xsi:type="dcterms:W3CDTF">2022-09-21T16:13:00Z</dcterms:modified>
</cp:coreProperties>
</file>