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025"/>
        </w:tabs>
        <w:spacing w:after="0" w:line="276" w:lineRule="auto"/>
        <w:ind w:left="1418" w:right="-1" w:hanging="1418"/>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EXPOSICIÓN DE MOTIVOS</w:t>
      </w:r>
      <w:r w:rsidDel="00000000" w:rsidR="00000000" w:rsidRPr="00000000">
        <w:rPr>
          <w:rtl w:val="0"/>
        </w:rPr>
      </w:r>
    </w:p>
    <w:p w:rsidR="00000000" w:rsidDel="00000000" w:rsidP="00000000" w:rsidRDefault="00000000" w:rsidRPr="00000000" w14:paraId="00000002">
      <w:pPr>
        <w:tabs>
          <w:tab w:val="left" w:pos="4025"/>
        </w:tabs>
        <w:spacing w:after="0" w:line="276" w:lineRule="auto"/>
        <w:ind w:left="1418" w:right="-1" w:hanging="1418"/>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tabs>
          <w:tab w:val="left" w:pos="992"/>
        </w:tabs>
        <w:spacing w:after="0" w:line="276" w:lineRule="auto"/>
        <w:ind w:right="-1"/>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La Ordenanza Metropolitana No. 341, sancionada el 10 de enero de 2013, aprobó el proyecto urbano arquitectónico especial “Sol Quito - Oasis”,  implantado en el lote con número de predio 416286, localizada en la parroquia San Antonio de Pichincha,  para el desarrollo de un estacionamiento temporal de vehículos, con lo que se mantuvo la asignación de uso de suelo establecida para el sector Residencial 1 (R1), autorizando exclusivamente para el funcionamiento del proyecto especial la compatibilidad con la actividad logística: </w:t>
      </w:r>
      <w:r w:rsidDel="00000000" w:rsidR="00000000" w:rsidRPr="00000000">
        <w:rPr>
          <w:rFonts w:ascii="Calibri" w:cs="Calibri" w:eastAsia="Calibri" w:hAnsi="Calibri"/>
          <w:i w:val="1"/>
          <w:sz w:val="22"/>
          <w:szCs w:val="22"/>
          <w:vertAlign w:val="baseline"/>
          <w:rtl w:val="0"/>
        </w:rPr>
        <w:t xml:space="preserve">“estacionamiento temporal de automotores previo a la distribución para la venta  taller para remediación de daños producidos por el transporte de automotores nuevos”.</w:t>
      </w:r>
      <w:r w:rsidDel="00000000" w:rsidR="00000000" w:rsidRPr="00000000">
        <w:rPr>
          <w:rtl w:val="0"/>
        </w:rPr>
      </w:r>
    </w:p>
    <w:p w:rsidR="00000000" w:rsidDel="00000000" w:rsidP="00000000" w:rsidRDefault="00000000" w:rsidRPr="00000000" w14:paraId="00000004">
      <w:pPr>
        <w:tabs>
          <w:tab w:val="left" w:pos="992"/>
        </w:tabs>
        <w:spacing w:after="0" w:line="276" w:lineRule="auto"/>
        <w:ind w:right="-1"/>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05">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 el paso del tiempo, el proyecto especial “Sol Quito - Oasis” perdió el giro del negocio que lo motivó y sin satisfacer las condiciones previstas en la Ordenanza. El dueño del lote vendió la propiedad a la empresa CONSULTERMS S.A (el «Promotor»), la que se propone desarrollar en el lote un proyecto especial inmobiliario de vivienda, por lo que solicitó la aprobación del proyecto y la sustitución la Ordenanza No. 341. </w:t>
      </w:r>
    </w:p>
    <w:p w:rsidR="00000000" w:rsidDel="00000000" w:rsidP="00000000" w:rsidRDefault="00000000" w:rsidRPr="00000000" w14:paraId="00000006">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proyecto especial tiene como objetivo presentar una oferta habitacional que optimice y densifique vivienda, disminuyendo el déficit registrado en el Distrito Metropolitano, de forma que se alinea con la política del Estado ecuatoriano para la promoción de vivienda popular, sea de - público o de interés social, conforme consta en el Decreto 681 de 25 de febrero de 2019.</w:t>
      </w:r>
    </w:p>
    <w:p w:rsidR="00000000" w:rsidDel="00000000" w:rsidP="00000000" w:rsidRDefault="00000000" w:rsidRPr="00000000" w14:paraId="00000008">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tabs>
          <w:tab w:val="left" w:pos="567"/>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Código Municipal vigente, aprobado con Ordenanza Metropolitana No. 001 de marzo de 2019, determina que los Proyectos Urbanísticos Arquitectónicos Especiales (PUAE)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p>
    <w:p w:rsidR="00000000" w:rsidDel="00000000" w:rsidP="00000000" w:rsidRDefault="00000000" w:rsidRPr="00000000" w14:paraId="0000000A">
      <w:pPr>
        <w:tabs>
          <w:tab w:val="left" w:pos="567"/>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Promotor tiene entre sus objetivos el contribuir a incrementar la oferta de vivienda para familias con recursos económicos limitados y/o que carecen de ellas; mediante la habilitación, planificación y urbanización del suelo apto para este fin, así como, ofrecer una vivienda digna para reducir el déficit habitacional en el país. </w:t>
      </w:r>
    </w:p>
    <w:p w:rsidR="00000000" w:rsidDel="00000000" w:rsidP="00000000" w:rsidRDefault="00000000" w:rsidRPr="00000000" w14:paraId="0000000C">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predio donde se emplaza el proyecto se sitúa en las inmediaciones de San Antonio de Pichincha, en la zona de la Mitad del Mundo. El Plan Metropolitano de Desarrollo y Ordenamiento Territorial plantea entre sus objetivos la densificación del territorio urbanizado, y constitución de una estructura de centralidades que favorezcan un urbanismo dinámico y compacto. El sistema de centralidades metropolitanas considera una centralidad a la Mitad del Mundo, de carácter turístico y residencial.  </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22203410</wp:posOffset>
            </wp:positionV>
            <wp:extent cx="5759450" cy="5327650"/>
            <wp:effectExtent b="0" l="0" r="0" t="0"/>
            <wp:wrapNone/>
            <wp:docPr id="104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759450" cy="5327650"/>
                    </a:xfrm>
                    <a:prstGeom prst="rect"/>
                    <a:ln/>
                  </pic:spPr>
                </pic:pic>
              </a:graphicData>
            </a:graphic>
          </wp:anchor>
        </w:drawing>
      </w:r>
    </w:p>
    <w:p w:rsidR="00000000" w:rsidDel="00000000" w:rsidP="00000000" w:rsidRDefault="00000000" w:rsidRPr="00000000" w14:paraId="0000000E">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objetivo de mejorar la calidad de las infraestructuras en las zonas de consolidación de centralidades ha impulsado la construcción del corredor vial de la extensión de la Avenida Simón Bolívar, el que se constituye en un elemento fundamental para el desarrollo noroccidental del Distrito Metropolitano de Quito, el mismo que facilita el desplazamiento seguro de los usuarios a través de una vía alterna a la autopista Manuel Córdova Galarza, e incorpora nuevos asentamientos poblacionales en la movilidad del distrito. La prolongación de la avenida Simón Bolívar se convierte en un eje clave que conecta Calderón, y Carapungo con la Mitad del Mundo, así como con las parroquias y cantones del Noroccidente del Distrito, y con los puertos de Esmeraldas y Manta.</w:t>
      </w:r>
    </w:p>
    <w:p w:rsidR="00000000" w:rsidDel="00000000" w:rsidP="00000000" w:rsidRDefault="00000000" w:rsidRPr="00000000" w14:paraId="00000010">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dicho sector además de todos los atributos turísticos, centros comerciales, servicios e infraestructura de recreación, se encuentran también conjuntos habitacionales de vivienda</w:t>
      </w:r>
      <w:r w:rsidDel="00000000" w:rsidR="00000000" w:rsidRPr="00000000">
        <w:rPr>
          <w:rFonts w:ascii="Calibri" w:cs="Calibri" w:eastAsia="Calibri" w:hAnsi="Calibri"/>
          <w:strike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unifamiliar de baja densidad.</w:t>
      </w:r>
    </w:p>
    <w:p w:rsidR="00000000" w:rsidDel="00000000" w:rsidP="00000000" w:rsidRDefault="00000000" w:rsidRPr="00000000" w14:paraId="00000012">
      <w:pPr>
        <w:tabs>
          <w:tab w:val="left" w:pos="992"/>
        </w:tabs>
        <w:spacing w:after="0" w:line="276" w:lineRule="auto"/>
        <w:ind w:right="-1"/>
        <w:jc w:val="both"/>
        <w:rPr>
          <w:rFonts w:ascii="Calibri" w:cs="Calibri" w:eastAsia="Calibri" w:hAnsi="Calibri"/>
          <w:strike w:val="0"/>
          <w:sz w:val="22"/>
          <w:szCs w:val="22"/>
          <w:vertAlign w:val="baseline"/>
        </w:rPr>
      </w:pPr>
      <w:r w:rsidDel="00000000" w:rsidR="00000000" w:rsidRPr="00000000">
        <w:rPr>
          <w:rtl w:val="0"/>
        </w:rPr>
      </w:r>
    </w:p>
    <w:p w:rsidR="00000000" w:rsidDel="00000000" w:rsidP="00000000" w:rsidRDefault="00000000" w:rsidRPr="00000000" w14:paraId="00000013">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proyecto propuesto conformará un sistema diverso en donde se incluyen áreas verdes y espacios públicos logrando articular los parques, corredores verdes y plazas que posibilitan el vínculo del nuevo barrio al sistema natural existente del sector (Río Monjas).</w:t>
      </w:r>
    </w:p>
    <w:p w:rsidR="00000000" w:rsidDel="00000000" w:rsidP="00000000" w:rsidRDefault="00000000" w:rsidRPr="00000000" w14:paraId="00000014">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 propone una regeneración ambiental protegiendo y recuperando la cobertura vegetal del corredor ecológico natural del río Monjas y ampliando su conectividad con una red verde urbana que mejore las condiciones ambientales del sitio. En el extremo occidental del terreno, sobre la autopista Manuel Córdova Galarza, se propone crear un fuelle verde como amortiguador de la contaminación ambiental, sonora y visual que pueda producir está vía.</w:t>
      </w:r>
    </w:p>
    <w:p w:rsidR="00000000" w:rsidDel="00000000" w:rsidP="00000000" w:rsidRDefault="00000000" w:rsidRPr="00000000" w14:paraId="00000016">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PUAE aporta con un modelo que favorecerá la densificación de las áreas en vías de consolidación, con una estructura de usos que potenciará la mixtura de funciones. Del mismo modo, para dinamizar las áreas verdes, se proyectarán los espacios destinados a equipamientos públicos que mantendrán una estrecha relación con estas.</w:t>
      </w:r>
    </w:p>
    <w:p w:rsidR="00000000" w:rsidDel="00000000" w:rsidP="00000000" w:rsidRDefault="00000000" w:rsidRPr="00000000" w14:paraId="00000018">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propiedad consta de dos lotes: uno de gran extensión 214.704,67 m2, que está conformado por tres plataformas entre la Av. Manuel Córdova Galarza y el río Monjas; y el otro, con un área mucho menor de 3.068,12 m2, localizado al otro lado de la prolongación de la Av. Simón Bolívar que conecta con la Av. Manuel Córdova Galarza, colindando con el río Monjas.</w:t>
      </w:r>
    </w:p>
    <w:p w:rsidR="00000000" w:rsidDel="00000000" w:rsidP="00000000" w:rsidRDefault="00000000" w:rsidRPr="00000000" w14:paraId="0000001A">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primero lote, se encuentra entre los 2.355 a los 2.403 msnm y presenta tres plataformas mayormente planas:</w:t>
      </w:r>
    </w:p>
    <w:p w:rsidR="00000000" w:rsidDel="00000000" w:rsidP="00000000" w:rsidRDefault="00000000" w:rsidRPr="00000000" w14:paraId="0000001C">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la plataforma superior y de mayor área, el planteamiento urbano propone una red vial pública abierta y continua con proporciones que le dan una percepción espacial de amplitud, modernidad y que habilita un desplazamiento más amigable por el territorio.  El tránsito vehicular y los estacionamientos, que en parte se resuelven en subsuelos, se reducen al mínimo necesario para evitar la contaminación visual y espacial que por lo general tienen los vehículos en el espacio público, potenciando un uso óptimo y seguro de los espacios públicos, al recuperar estas áreas como lugar de encuentro y propiciando una movilidad más saludable tanto de peatones como de medios de transporte alternativo.</w:t>
      </w:r>
    </w:p>
    <w:p w:rsidR="00000000" w:rsidDel="00000000" w:rsidP="00000000" w:rsidRDefault="00000000" w:rsidRPr="00000000" w14:paraId="0000001E">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la plataforma intermedia, de forma circular, cuya forma de ocupación plantea una relación con una forma semicircular. Finalmente, la tercera plataforma da lugar a una generosa área de protección del Río Monjas.</w:t>
      </w:r>
    </w:p>
    <w:p w:rsidR="00000000" w:rsidDel="00000000" w:rsidP="00000000" w:rsidRDefault="00000000" w:rsidRPr="00000000" w14:paraId="00000020">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nuevo tejido urbano, se ubica principalmente en las zonas más altas apartándose de los lugares de mayor importancia ecológica como los taludes, la ribera del río monjas y los macizos de vegetación nativa que la rodean.</w:t>
      </w:r>
    </w:p>
    <w:p w:rsidR="00000000" w:rsidDel="00000000" w:rsidP="00000000" w:rsidRDefault="00000000" w:rsidRPr="00000000" w14:paraId="00000022">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río Monjas, en el área parte del proyecto tiene la forma de “U” con taludes variados entre 45grados a casi verticales y un ancho aproximado de 40 m, con dirección de flujo recto y con playas aluviales pequeñas (20m x 40 m) las cuales están compuestas por arena y limos.</w:t>
      </w:r>
    </w:p>
    <w:p w:rsidR="00000000" w:rsidDel="00000000" w:rsidP="00000000" w:rsidRDefault="00000000" w:rsidRPr="00000000" w14:paraId="00000024">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Conforme al estudio de impacto ambiental de los “Estudios de ingeniería definitivos del Proyecto Corredor vial Nororiental de la ciudad de Quito”, EPMMOP-ASTEC, 2012, se establece que los afloramientos en el margen derecho del río Monjas, acusan facilidad erosiva por viento y agua meteóricas, por lo que los diseños deben contemplar sistemas estáticos de estabilización que podrían incluir hormigón lanzado sobre mallas metálicas ancladas y sistemas de drenaje no erosivo; mientras que los afloramientos en el margen izquierdo del río Monjas, se observa la presencia de depósitos lagunares en un espesor de 30 m, que, por su separación, no afecta al proyecto urbanístico.</w:t>
      </w:r>
    </w:p>
    <w:p w:rsidR="00000000" w:rsidDel="00000000" w:rsidP="00000000" w:rsidRDefault="00000000" w:rsidRPr="00000000" w14:paraId="00000026">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 lotes de vivienda resultantes del proceso de habilitación del suelo serán ocupados por conjuntos habitacionales que se desarrollarán bajo el régimen de propiedad horizontal.</w:t>
      </w:r>
    </w:p>
    <w:p w:rsidR="00000000" w:rsidDel="00000000" w:rsidP="00000000" w:rsidRDefault="00000000" w:rsidRPr="00000000" w14:paraId="00000028">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el proyecto “Bosques de la Pampa” se edificará en coeficientes de ocupación variable, dependiendo del criterio urbanístico, en los lotes destinados a edificios residenciales.  El Área Útil Construida en planta baja es alrededor de un 32% en relación con el Área Útil (Neta) Urbanizable y alrededor de un 21% en relación con el Área Bruta (Total) Urbanizable. A su vez del 20% aproximadamente del Área Útil Urbanizable será destinado a Áreas Verdes y Equipamiento comunales.</w:t>
      </w:r>
    </w:p>
    <w:p w:rsidR="00000000" w:rsidDel="00000000" w:rsidP="00000000" w:rsidRDefault="00000000" w:rsidRPr="00000000" w14:paraId="0000002A">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D">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E">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F">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0">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1">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2">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3">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4">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5">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6">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7">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8">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A">
      <w:pPr>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B">
      <w:pPr>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C">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D">
      <w:pPr>
        <w:spacing w:after="0"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ORDENANZA ESPECIAL N°</w:t>
      </w:r>
      <w:r w:rsidDel="00000000" w:rsidR="00000000" w:rsidRPr="00000000">
        <w:rPr>
          <w:rtl w:val="0"/>
        </w:rPr>
      </w:r>
    </w:p>
    <w:p w:rsidR="00000000" w:rsidDel="00000000" w:rsidP="00000000" w:rsidRDefault="00000000" w:rsidRPr="00000000" w14:paraId="0000003E">
      <w:pPr>
        <w:tabs>
          <w:tab w:val="left" w:pos="992"/>
        </w:tabs>
        <w:spacing w:after="0" w:line="276" w:lineRule="auto"/>
        <w:ind w:right="-1"/>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EL CONCEJO METROPOLITANO DE QUITO</w:t>
      </w:r>
      <w:r w:rsidDel="00000000" w:rsidR="00000000" w:rsidRPr="00000000">
        <w:rPr>
          <w:rtl w:val="0"/>
        </w:rPr>
      </w:r>
    </w:p>
    <w:p w:rsidR="00000000" w:rsidDel="00000000" w:rsidP="00000000" w:rsidRDefault="00000000" w:rsidRPr="00000000" w14:paraId="0000003F">
      <w:pPr>
        <w:tabs>
          <w:tab w:val="left" w:pos="992"/>
        </w:tabs>
        <w:spacing w:after="0" w:line="276" w:lineRule="auto"/>
        <w:ind w:left="284" w:hanging="284"/>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tabs>
          <w:tab w:val="left" w:pos="992"/>
        </w:tabs>
        <w:spacing w:after="0" w:line="276" w:lineRule="auto"/>
        <w:ind w:left="284" w:right="-1" w:hanging="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Visto el Informe N °…….. de …. de 2022, de la Comisión de Suelo del Concejo Metropolitano de Quito.</w:t>
      </w:r>
    </w:p>
    <w:p w:rsidR="00000000" w:rsidDel="00000000" w:rsidP="00000000" w:rsidRDefault="00000000" w:rsidRPr="00000000" w14:paraId="00000041">
      <w:pPr>
        <w:tabs>
          <w:tab w:val="left" w:pos="992"/>
        </w:tabs>
        <w:spacing w:after="0" w:line="276" w:lineRule="auto"/>
        <w:ind w:left="284" w:right="-1" w:hanging="284"/>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2">
      <w:pPr>
        <w:tabs>
          <w:tab w:val="left" w:pos="992"/>
        </w:tabs>
        <w:spacing w:after="0" w:line="276" w:lineRule="auto"/>
        <w:ind w:left="284" w:right="-1" w:hanging="284"/>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CONSIDERANDO</w:t>
      </w:r>
      <w:r w:rsidDel="00000000" w:rsidR="00000000" w:rsidRPr="00000000">
        <w:rPr>
          <w:rtl w:val="0"/>
        </w:rPr>
      </w:r>
    </w:p>
    <w:p w:rsidR="00000000" w:rsidDel="00000000" w:rsidP="00000000" w:rsidRDefault="00000000" w:rsidRPr="00000000" w14:paraId="00000043">
      <w:pPr>
        <w:tabs>
          <w:tab w:val="left" w:pos="992"/>
        </w:tabs>
        <w:spacing w:after="0" w:line="276" w:lineRule="auto"/>
        <w:ind w:left="284" w:right="-1" w:hanging="284"/>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4">
      <w:pPr>
        <w:tabs>
          <w:tab w:val="left" w:pos="992"/>
        </w:tabs>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 </w:t>
        <w:tab/>
        <w:t xml:space="preserve">los numerales 1 y 2 del artículo 264 de la Constitución de la República del Ecuador en concordancia con el artículo 266, establecen que: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rsidR="00000000" w:rsidDel="00000000" w:rsidP="00000000" w:rsidRDefault="00000000" w:rsidRPr="00000000" w14:paraId="00000045">
      <w:pPr>
        <w:tabs>
          <w:tab w:val="left" w:pos="992"/>
        </w:tabs>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6">
      <w:pPr>
        <w:tabs>
          <w:tab w:val="left" w:pos="567"/>
        </w:tabs>
        <w:spacing w:after="0" w:line="276" w:lineRule="auto"/>
        <w:ind w:left="567" w:hanging="567"/>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Que</w:t>
      </w:r>
      <w:r w:rsidDel="00000000" w:rsidR="00000000" w:rsidRPr="00000000">
        <w:rPr>
          <w:rFonts w:ascii="Calibri" w:cs="Calibri" w:eastAsia="Calibri" w:hAnsi="Calibri"/>
          <w:b w:val="1"/>
          <w:sz w:val="22"/>
          <w:szCs w:val="22"/>
          <w:vertAlign w:val="baseline"/>
          <w:rtl w:val="0"/>
        </w:rPr>
        <w:t xml:space="preserve">, </w:t>
        <w:tab/>
      </w:r>
      <w:r w:rsidDel="00000000" w:rsidR="00000000" w:rsidRPr="00000000">
        <w:rPr>
          <w:rFonts w:ascii="Calibri" w:cs="Calibri" w:eastAsia="Calibri" w:hAnsi="Calibri"/>
          <w:sz w:val="22"/>
          <w:szCs w:val="22"/>
          <w:vertAlign w:val="baseline"/>
          <w:rtl w:val="0"/>
        </w:rPr>
        <w:t xml:space="preserve">el artículo 2 de la Ley Orgánica de Régimen para el Distrito Metropolitano de Quito establece que el Municipio del Distrito Metropolitano de Quito deberá “</w:t>
      </w:r>
      <w:r w:rsidDel="00000000" w:rsidR="00000000" w:rsidRPr="00000000">
        <w:rPr>
          <w:rFonts w:ascii="Calibri" w:cs="Calibri" w:eastAsia="Calibri" w:hAnsi="Calibri"/>
          <w:i w:val="1"/>
          <w:sz w:val="22"/>
          <w:szCs w:val="22"/>
          <w:vertAlign w:val="baseline"/>
          <w:rtl w:val="0"/>
        </w:rPr>
        <w:t xml:space="preserve">(…) regular el uso y la adecuada ocupación del suelo (…)”;</w:t>
      </w:r>
      <w:r w:rsidDel="00000000" w:rsidR="00000000" w:rsidRPr="00000000">
        <w:rPr>
          <w:rtl w:val="0"/>
        </w:rPr>
      </w:r>
    </w:p>
    <w:p w:rsidR="00000000" w:rsidDel="00000000" w:rsidP="00000000" w:rsidRDefault="00000000" w:rsidRPr="00000000" w14:paraId="00000047">
      <w:pPr>
        <w:tabs>
          <w:tab w:val="left" w:pos="567"/>
        </w:tabs>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el literal f) del artículo 54 del Código Orgánico de Organización Territorial, Autonomía y Descentralización “COOTAD”, establece que son funciones del gobierno autónomo descentralizado municipal, entre otras, la siguiente: “(…)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p>
    <w:p w:rsidR="00000000" w:rsidDel="00000000" w:rsidP="00000000" w:rsidRDefault="00000000" w:rsidRPr="00000000" w14:paraId="00000049">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tabs>
          <w:tab w:val="left" w:pos="567"/>
        </w:tabs>
        <w:spacing w:after="0" w:line="276" w:lineRule="auto"/>
        <w:ind w:left="560" w:hanging="560"/>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Que, </w:t>
        <w:tab/>
        <w:t xml:space="preserve">el artículo 84 del COOTAD establece como funciones del gobierno del distrito metropolitano</w:t>
      </w:r>
      <w:r w:rsidDel="00000000" w:rsidR="00000000" w:rsidRPr="00000000">
        <w:rPr>
          <w:rFonts w:ascii="Calibri" w:cs="Calibri" w:eastAsia="Calibri" w:hAnsi="Calibri"/>
          <w:i w:val="1"/>
          <w:sz w:val="22"/>
          <w:szCs w:val="22"/>
          <w:vertAlign w:val="baseline"/>
          <w:rtl w:val="0"/>
        </w:rPr>
        <w:t xml:space="preserve">: “a) Promover el desarrollo sustentable de su circunscripción distrital metropolitana, para garantizar la realización del buen vivir a través de la implementación de políticas públicas metropolitanas, en el marco de sus competencias constitucionales y legales”;</w:t>
      </w:r>
      <w:r w:rsidDel="00000000" w:rsidR="00000000" w:rsidRPr="00000000">
        <w:rPr>
          <w:rtl w:val="0"/>
        </w:rPr>
      </w:r>
    </w:p>
    <w:p w:rsidR="00000000" w:rsidDel="00000000" w:rsidP="00000000" w:rsidRDefault="00000000" w:rsidRPr="00000000" w14:paraId="0000004B">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tabs>
          <w:tab w:val="left" w:pos="567"/>
        </w:tabs>
        <w:spacing w:after="0" w:line="276" w:lineRule="auto"/>
        <w:ind w:left="560" w:hanging="560"/>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el artículo 87 del COOTAD establece como atribuciones del Concejo Metropolitano: </w:t>
      </w:r>
      <w:r w:rsidDel="00000000" w:rsidR="00000000" w:rsidRPr="00000000">
        <w:rPr>
          <w:rFonts w:ascii="Calibri" w:cs="Calibri" w:eastAsia="Calibri" w:hAnsi="Calibri"/>
          <w:i w:val="1"/>
          <w:sz w:val="22"/>
          <w:szCs w:val="22"/>
          <w:vertAlign w:val="baseline"/>
          <w:rtl w:val="0"/>
        </w:rPr>
        <w:t xml:space="preserve">“Ejercer la facultad normativa en las materias de competencia del gobierno autónomo descentralizado metropolitano, mediante la expedición de ordenanzas metropolitanas, acuerdos y resoluciones”;</w:t>
      </w:r>
      <w:r w:rsidDel="00000000" w:rsidR="00000000" w:rsidRPr="00000000">
        <w:rPr>
          <w:rtl w:val="0"/>
        </w:rPr>
      </w:r>
    </w:p>
    <w:p w:rsidR="00000000" w:rsidDel="00000000" w:rsidP="00000000" w:rsidRDefault="00000000" w:rsidRPr="00000000" w14:paraId="0000004D">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E">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los literales a), w) y x) del artículo 57 del Código de Organización Territorial, Autonomía y Descentralización, en concordancia con los literales a) y v) del artículo 87 del mismo cuerpo normativo, establecen que son competencias del Concejo Municipal: “a) El ejercicio de la facultad normativa en las materias de competencia del gobierno autónomo descentralizado municipal, mediante la  expedición de ordenanzas cantonales, acuerdos y resoluciones;</w:t>
      </w:r>
      <w:r w:rsidDel="00000000" w:rsidR="00000000" w:rsidRPr="00000000">
        <w:rPr>
          <w:rFonts w:ascii="Calibri" w:cs="Calibri" w:eastAsia="Calibri" w:hAnsi="Calibri"/>
          <w:color w:val="0070c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y, x) Regular y controlar, mediante normativa cantonal correspondiente, el uso del suelo en el territorio del cantón, de conformidad con las leyes sobre la materia, y establecer el régimen urbanístico de la tierra”;</w:t>
      </w:r>
    </w:p>
    <w:p w:rsidR="00000000" w:rsidDel="00000000" w:rsidP="00000000" w:rsidRDefault="00000000" w:rsidRPr="00000000" w14:paraId="0000004F">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 </w:t>
        <w:tab/>
        <w:t xml:space="preserve">de conformidad con los artículos 72 y 73 de la Ley Orgánica de Ordenamiento Territorial, Uso y Gestión de Suelo (LOOTUGS), entre los instrumentos de financiamiento del desarrollo urbano, regula la concesión onerosa de derechos y como mecanismo de pago en especie la transferencia de suelo urbanizado, vivienda de interés social, equipamiento comunitario o infraestructura. Adicionalmente, se señala que, con la finalidad de incentivar la construcción de vivienda de interés social o de renovación urbana, el Gobierno Autónomo Descentralizado municipal o metropolitano podrá exonerar o rebajar el pago por la concesión onerosa de los derechos.</w:t>
      </w:r>
    </w:p>
    <w:p w:rsidR="00000000" w:rsidDel="00000000" w:rsidP="00000000" w:rsidRDefault="00000000" w:rsidRPr="00000000" w14:paraId="00000051">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2">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el Código Municipal vigente, aprobado con Ordenanza Metropolitana No. 001 en marzo de 2019, determina que los proyectos urbanísticos arquitectónicos especiales (PUAE)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p>
    <w:p w:rsidR="00000000" w:rsidDel="00000000" w:rsidP="00000000" w:rsidRDefault="00000000" w:rsidRPr="00000000" w14:paraId="00000053">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tabs>
          <w:tab w:val="left" w:pos="567"/>
        </w:tabs>
        <w:spacing w:after="0" w:line="276" w:lineRule="auto"/>
        <w:ind w:left="560" w:hanging="560"/>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Que,  El artículo 2471 del Código Municipal para el Distrito Metropolitano de Quito determina que: </w:t>
      </w:r>
      <w:r w:rsidDel="00000000" w:rsidR="00000000" w:rsidRPr="00000000">
        <w:rPr>
          <w:rFonts w:ascii="Calibri" w:cs="Calibri" w:eastAsia="Calibri" w:hAnsi="Calibri"/>
          <w:i w:val="1"/>
          <w:sz w:val="22"/>
          <w:szCs w:val="22"/>
          <w:vertAlign w:val="baseline"/>
          <w:rtl w:val="0"/>
        </w:rPr>
        <w:t xml:space="preserve">"Están exentos del pago de la concesión onerosa de derechos de clasificación, uso y zonificación, todas las personas naturales o jurídicas de derecho público o privado y organizaciones pertenecientes a la economía popular y solidaria que promuevan los siguientes tipos de proyectos, sin perjuicio que es obligación de los exonerados cumplir con las medidas de mitigación derivadas de la aprobación del proyecto: a. Los proyectos públicos y/o privados de vivienda de interés social (VIS), incluyendo en esta categoría a los proyectos de vivienda de interés público (VIP)..."</w:t>
      </w:r>
      <w:r w:rsidDel="00000000" w:rsidR="00000000" w:rsidRPr="00000000">
        <w:rPr>
          <w:rtl w:val="0"/>
        </w:rPr>
      </w:r>
    </w:p>
    <w:p w:rsidR="00000000" w:rsidDel="00000000" w:rsidP="00000000" w:rsidRDefault="00000000" w:rsidRPr="00000000" w14:paraId="00000055">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6">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el Código Municipal vigente, introdujo al régimen jurídico metropolitano las regulaciones sobre la concesión onerosa de derechos en proyectos urbanísticos arquitectónicos.</w:t>
      </w:r>
    </w:p>
    <w:p w:rsidR="00000000" w:rsidDel="00000000" w:rsidP="00000000" w:rsidRDefault="00000000" w:rsidRPr="00000000" w14:paraId="00000057">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8">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el Decreto Ejecutivo No. 681, de 25 de febrero de 2019, se expidió el Reglamento para el acceso de subsidios e incentivos del programa de vivienda de interés social y público en el marco de la intervención emblemática “Casa para Todos”, del Gobierno Nacional.</w:t>
      </w:r>
    </w:p>
    <w:p w:rsidR="00000000" w:rsidDel="00000000" w:rsidP="00000000" w:rsidRDefault="00000000" w:rsidRPr="00000000" w14:paraId="00000059">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el artículo 4, «Condiciones Generales de los Créditos de Vivienda Elegibles», de la Resolución 045-2015-F de la Junta de Política y Regulación Monetaria y Financiera, establece que, para acceder a los beneficios de esta Política, los créditos de vivienda de interés público podrán ser otorgados por las entidades de los Sectores Financiero Privado y Popular y Solidario. </w:t>
      </w:r>
    </w:p>
    <w:p w:rsidR="00000000" w:rsidDel="00000000" w:rsidP="00000000" w:rsidRDefault="00000000" w:rsidRPr="00000000" w14:paraId="0000005B">
      <w:pPr>
        <w:tabs>
          <w:tab w:val="left" w:pos="567"/>
        </w:tabs>
        <w:spacing w:after="0" w:line="276" w:lineRule="auto"/>
        <w:ind w:left="560" w:hanging="5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tabs>
          <w:tab w:val="left" w:pos="567"/>
        </w:tabs>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mediante Informe de la Secretaría de Movilidad No 2524-2018 del 27 de diciembre de 2018, se emitió criterio favorable de viabilidad para el proyecto al que se refiere esta ordenanza. </w:t>
      </w:r>
    </w:p>
    <w:p w:rsidR="00000000" w:rsidDel="00000000" w:rsidP="00000000" w:rsidRDefault="00000000" w:rsidRPr="00000000" w14:paraId="0000005D">
      <w:pPr>
        <w:tabs>
          <w:tab w:val="left" w:pos="567"/>
        </w:tabs>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tabs>
          <w:tab w:val="left" w:pos="567"/>
        </w:tabs>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 mediante Informe Técnico IT-SM-DMPPM-042/2019 de 21 de agosto de 2019, la Dirección de Políticas y Planeamiento de la Movilidad de la Secretaría de Movilidad, emitió informe favorable al estudio de impacto de tráfico y propuestas de mitigación del Proyecto Bosques de la Pampa.</w:t>
      </w:r>
    </w:p>
    <w:p w:rsidR="00000000" w:rsidDel="00000000" w:rsidP="00000000" w:rsidRDefault="00000000" w:rsidRPr="00000000" w14:paraId="0000005F">
      <w:pPr>
        <w:tabs>
          <w:tab w:val="left" w:pos="567"/>
        </w:tabs>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spacing w:after="0" w:line="276" w:lineRule="auto"/>
        <w:ind w:left="567" w:hanging="567"/>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Que, mediante Informe Técnico No. 004-AT-DMGR-2019, la Dirección Metropolitana de Gestión de Riesgos analizó los niveles de riesgos presentes en las distintas plataformas del predio 416286 y concluyó que </w:t>
      </w:r>
      <w:r w:rsidDel="00000000" w:rsidR="00000000" w:rsidRPr="00000000">
        <w:rPr>
          <w:rFonts w:ascii="Calibri" w:cs="Calibri" w:eastAsia="Calibri" w:hAnsi="Calibri"/>
          <w:i w:val="1"/>
          <w:sz w:val="22"/>
          <w:szCs w:val="22"/>
          <w:vertAlign w:val="baseline"/>
          <w:rtl w:val="0"/>
        </w:rPr>
        <w:t xml:space="preserve">“el nivel de riesgo se considera mitigable siempre y cuando se implementen las correspondientes obras de mitigación del riesgo, obras que deberán ser desarrolladas por un profesional competente y validadas por esta dependencia”.</w:t>
      </w:r>
      <w:r w:rsidDel="00000000" w:rsidR="00000000" w:rsidRPr="00000000">
        <w:rPr>
          <w:rtl w:val="0"/>
        </w:rPr>
      </w:r>
    </w:p>
    <w:p w:rsidR="00000000" w:rsidDel="00000000" w:rsidP="00000000" w:rsidRDefault="00000000" w:rsidRPr="00000000" w14:paraId="00000061">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mediante Informe de la Secretaría de Ambiente No SA-POL-2019-893 del 28 de febrero de 2019, se emitió Informe con criterio favorable al estudio de medio ambiente del Proyecto Bosques de la Pampa. </w:t>
      </w:r>
    </w:p>
    <w:p w:rsidR="00000000" w:rsidDel="00000000" w:rsidP="00000000" w:rsidRDefault="00000000" w:rsidRPr="00000000" w14:paraId="00000063">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 mediante Informe Técnico de Accidentes Geográficos No. 375-EYSIG de 21 de febrero de 2020, la Dirección Metropolitana de Catastro determinó los taludes naturales, natural histórico y artificial; ribera de río y cuerpo de agua correspondientes al predio 416286.</w:t>
      </w:r>
    </w:p>
    <w:p w:rsidR="00000000" w:rsidDel="00000000" w:rsidP="00000000" w:rsidRDefault="00000000" w:rsidRPr="00000000" w14:paraId="00000065">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mediante oficio No. STHV-DMPPS-1377 de fecha 22 de marzo de 2019, suscrito por el arquitecto Jacobo Herdoíza, Secretario de Territorio, Hábitat y Vivienda, y dirigido al Ing. Juan Francisco Merino, promotor inmobiliario del proyecto urbanístico arquitectónico especial "BOSQUES DE LA PAMPA" se informó al administrado sobre la viabilidad del proyecto, resolución que fue determinada por la Mesa Técnica de PUAE en la sesión extraordinaria realizada el viernes 8 de marzo de 2019.</w:t>
      </w:r>
    </w:p>
    <w:p w:rsidR="00000000" w:rsidDel="00000000" w:rsidP="00000000" w:rsidRDefault="00000000" w:rsidRPr="00000000" w14:paraId="00000067">
      <w:pPr>
        <w:spacing w:after="0" w:line="276" w:lineRule="auto"/>
        <w:ind w:left="284" w:hanging="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el Concejo Metropolitano de Quito, en sesión pública ordinaria de 22 de octubre de 2019, RESOLVIÓ: Aprobar la moción presentada por el concejal Rene Bedón, que señala: «Devolver a la Comisión de Uso de Suelo el proyecto urbanístico arquitectónico especial Bosques de la Pampa "El Oasis", previo a conocimiento del proyecto en primer debate».</w:t>
      </w:r>
    </w:p>
    <w:p w:rsidR="00000000" w:rsidDel="00000000" w:rsidP="00000000" w:rsidRDefault="00000000" w:rsidRPr="00000000" w14:paraId="00000069">
      <w:pPr>
        <w:spacing w:after="0" w:line="276" w:lineRule="auto"/>
        <w:ind w:left="284" w:hanging="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A">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mediante oficio sin número de fecha 27 de marzo de 2020 la Sra. Martha Patricia Baca Samaniego, Gerente General de CONSULTERM S.A, reingresó el proyecto reformulado PUAE “Bosques de la Pampa” con los planos del nuevo proyecto, acogiendo las observaciones planteadas en el informe de viabilidad del proyecto. </w:t>
      </w:r>
    </w:p>
    <w:p w:rsidR="00000000" w:rsidDel="00000000" w:rsidP="00000000" w:rsidRDefault="00000000" w:rsidRPr="00000000" w14:paraId="0000006B">
      <w:pPr>
        <w:spacing w:after="0" w:line="276" w:lineRule="auto"/>
        <w:ind w:left="284" w:hanging="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15 de mayo de 2020, se realizó la sesión extraordinaria de PUAE en la que se presentó el proyecto “Bosques de la Pampa”, y en virtud de que se trataba de un nuevo planteamiento urbanístico, se estableció que debía contar con los informes favorables de las entidades correspondientes.</w:t>
      </w:r>
    </w:p>
    <w:p w:rsidR="00000000" w:rsidDel="00000000" w:rsidP="00000000" w:rsidRDefault="00000000" w:rsidRPr="00000000" w14:paraId="0000006D">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17 de mayo de 2021 mediante oficio Nro. GADDMQ-SA-2021-0606-O, la Secretaría de Ambiente ratifica el criterio técnico favorable al PUAE Bosques de la Pampa, expuesto en el oficio No. SA-POL-2019-893 del 28 de febrero de 2019.</w:t>
      </w:r>
    </w:p>
    <w:p w:rsidR="00000000" w:rsidDel="00000000" w:rsidP="00000000" w:rsidRDefault="00000000" w:rsidRPr="00000000" w14:paraId="0000006F">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24 de mayo de 2021 mediante oficio Nro. STHV-2021-0502-O la Secretaría de Territorio, Hábitat y Vivienda remitió el Informe técnico IT-STHV-DMPPS-2021-0020, con criterio técnico favorable para este proyecto.</w:t>
      </w:r>
    </w:p>
    <w:p w:rsidR="00000000" w:rsidDel="00000000" w:rsidP="00000000" w:rsidRDefault="00000000" w:rsidRPr="00000000" w14:paraId="00000071">
      <w:pPr>
        <w:spacing w:after="0" w:line="276" w:lineRule="auto"/>
        <w:ind w:left="284" w:hanging="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mediante oficio No. SM-202-1384 de 31 de mayo de 2020 suscrito por el Lcdo. Guillermo Abad, Secretario de Movilidad, se ratificó en todo lo contenido en el Informe Técnico No. IT-SM-DMPPM-042/2019 del proyecto Bosques de la Pampa, con un alcance remitido mediante oficio Nro. STHV-2022-1735-O de fecha 02 de noviembre de 2022.</w:t>
      </w:r>
    </w:p>
    <w:p w:rsidR="00000000" w:rsidDel="00000000" w:rsidP="00000000" w:rsidRDefault="00000000" w:rsidRPr="00000000" w14:paraId="00000073">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15 de septiembre de 2022 la Secretaría de Territorio, Hábitat y Vivienda, remitió a la Secretaría General del Concejo Metropolitano de Quito el proyecto de ordenanza del PUAE Bosques de la Pampa</w:t>
      </w:r>
    </w:p>
    <w:p w:rsidR="00000000" w:rsidDel="00000000" w:rsidP="00000000" w:rsidRDefault="00000000" w:rsidRPr="00000000" w14:paraId="00000075">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 </w:t>
        <w:tab/>
        <w:t xml:space="preserve">el Proyecto Urbanístico Arquitectónico Especial PUAE “Bosques de la Pampa” ha sido analizado en sesión ordinaria en la Comisión de Uso de Suelo de fecha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 2022.</w:t>
      </w:r>
    </w:p>
    <w:p w:rsidR="00000000" w:rsidDel="00000000" w:rsidP="00000000" w:rsidRDefault="00000000" w:rsidRPr="00000000" w14:paraId="00000077">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la Procuraduría Metropolitana mediante oficio No.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 2022 expediente No.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emite criterio legal favorable para la aprobación de la Ordenanza del Proyecto Urbanístico Arquitectónico Especial (PUAE) denominado</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Bosques de la Pampa;</w:t>
      </w:r>
    </w:p>
    <w:p w:rsidR="00000000" w:rsidDel="00000000" w:rsidP="00000000" w:rsidRDefault="00000000" w:rsidRPr="00000000" w14:paraId="00000079">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A">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08 de noviembre de 2022 en Sesión Ordinaria Nro. 254 el Concejo Metropolitano de Quito conoció en primer debate el proyecto de Ordenanza del proyecto Urbanístico Arquitectónico Especial Bosques de la Pampa, en base al informe de Comisión Nro. IC-O-CUS-2022-080.</w:t>
      </w:r>
    </w:p>
    <w:p w:rsidR="00000000" w:rsidDel="00000000" w:rsidP="00000000" w:rsidRDefault="00000000" w:rsidRPr="00000000" w14:paraId="0000007B">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10 de noviembre de 2022 mediante oficio Nro. GADDMQ-SGCM-2022-6099-O, la Secretaría General del Concejo Metropolitano de Quito, remite las observaciones generadas por las y los señores Concejales al proyecto de Ordenanza del proyecto Urbanístico Arquitectónico Especial Bosques de la Pampa.</w:t>
      </w:r>
    </w:p>
    <w:p w:rsidR="00000000" w:rsidDel="00000000" w:rsidP="00000000" w:rsidRDefault="00000000" w:rsidRPr="00000000" w14:paraId="0000007D">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E">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09 de diciembre de 2022 mediante oficio Nro.</w:t>
      </w:r>
      <w:r w:rsidDel="00000000" w:rsidR="00000000" w:rsidRPr="00000000">
        <w:rPr>
          <w:vertAlign w:val="baseline"/>
          <w:rtl w:val="0"/>
        </w:rPr>
        <w:t xml:space="preserve"> </w:t>
      </w:r>
      <w:r w:rsidDel="00000000" w:rsidR="00000000" w:rsidRPr="00000000">
        <w:rPr>
          <w:rFonts w:ascii="Calibri" w:cs="Calibri" w:eastAsia="Calibri" w:hAnsi="Calibri"/>
          <w:sz w:val="22"/>
          <w:szCs w:val="22"/>
          <w:vertAlign w:val="baseline"/>
          <w:rtl w:val="0"/>
        </w:rPr>
        <w:t xml:space="preserve">GADDMQ-SGCM-2022-6616-O la Secretaría General del Concejo Metropolitano de Quito, convocó a una mesa de trabajo de la Comisión de Uso de Suelo para el tratamiento de observaciones de primer debate del proyecto de Ordenanza del proyecto Urbanístico Arquitectónico Especial Bosques de La Pampa. Esta mesa se llevó a cabo el día lunes 12 de diciembre de 2022 a las 14h30, en la sala de sesiones del Concejo Metropolitano de Quito.</w:t>
      </w:r>
    </w:p>
    <w:p w:rsidR="00000000" w:rsidDel="00000000" w:rsidP="00000000" w:rsidRDefault="00000000" w:rsidRPr="00000000" w14:paraId="0000007F">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0">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13 de diciembre de 2022 mediante oficio Nro.</w:t>
      </w:r>
      <w:r w:rsidDel="00000000" w:rsidR="00000000" w:rsidRPr="00000000">
        <w:rPr>
          <w:vertAlign w:val="baseline"/>
          <w:rtl w:val="0"/>
        </w:rPr>
        <w:t xml:space="preserve"> </w:t>
      </w:r>
      <w:r w:rsidDel="00000000" w:rsidR="00000000" w:rsidRPr="00000000">
        <w:rPr>
          <w:rFonts w:ascii="Calibri" w:cs="Calibri" w:eastAsia="Calibri" w:hAnsi="Calibri"/>
          <w:sz w:val="22"/>
          <w:szCs w:val="22"/>
          <w:vertAlign w:val="baseline"/>
          <w:rtl w:val="0"/>
        </w:rPr>
        <w:t xml:space="preserve">STHV-DMPPS-2022-0994-O la Secretaría de Territorio, Hábitat y Vivienda solicitó a la Dirección Metropolitana de gestión de Riesgos, un informe de riesgos actualizado para el área donde se desarrolla el PUAE Bosques de la Pampa.</w:t>
      </w:r>
    </w:p>
    <w:p w:rsidR="00000000" w:rsidDel="00000000" w:rsidP="00000000" w:rsidRDefault="00000000" w:rsidRPr="00000000" w14:paraId="00000081">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2">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15 de diciembre de 2022 mediante memorando Nro. GADDMQ-STHV-DMC-USIGC-2022-1514-M la Dirección Metropolitana de Catastro actualizó el Informe Técnico de Accidentes Geográficos, con  Nro. STHV-DMC-USIGC-2022-1175-M. </w:t>
      </w:r>
    </w:p>
    <w:p w:rsidR="00000000" w:rsidDel="00000000" w:rsidP="00000000" w:rsidRDefault="00000000" w:rsidRPr="00000000" w14:paraId="00000083">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spacing w:after="0" w:line="276" w:lineRule="auto"/>
        <w:ind w:left="567" w:hanging="56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w:t>
        <w:tab/>
        <w:t xml:space="preserve">con fecha 19 de diciembre de 2022 mediante oficio Nro. STHV-2022-1945-O, la Secretaría de Territorio, Hábitat y Vivienda remitió a la Secretaría General del Concejo Metropolitano de Quito, las respuestas a las observaciones planteadas por las señoras y señores Concejales en el Primer debate del Proyecto de Ordenanza del proyecto Urbanístico Arquitectónico Especial Bosques de La Pampa.</w:t>
      </w:r>
    </w:p>
    <w:p w:rsidR="00000000" w:rsidDel="00000000" w:rsidP="00000000" w:rsidRDefault="00000000" w:rsidRPr="00000000" w14:paraId="00000085">
      <w:pPr>
        <w:spacing w:after="0" w:line="276" w:lineRule="auto"/>
        <w:ind w:left="567" w:hanging="567"/>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7">
      <w:pPr>
        <w:tabs>
          <w:tab w:val="left" w:pos="992"/>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ejercicio de sus atribuciones constantes en el artículo 240 y el numeral 1 del artículo 264 de la Constitución de la República del Ecuador; 54 y 57 letras a) y x) del Código Orgánico de Organización Territorial, Autonomía y Descentralización; y, artículo 26 de la Ordenanza Metropolitana No. 172.</w:t>
      </w:r>
    </w:p>
    <w:p w:rsidR="00000000" w:rsidDel="00000000" w:rsidP="00000000" w:rsidRDefault="00000000" w:rsidRPr="00000000" w14:paraId="00000088">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9">
      <w:pPr>
        <w:tabs>
          <w:tab w:val="left" w:pos="992"/>
        </w:tabs>
        <w:spacing w:after="0" w:line="276" w:lineRule="auto"/>
        <w:ind w:right="-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A">
      <w:pPr>
        <w:tabs>
          <w:tab w:val="left" w:pos="992"/>
        </w:tabs>
        <w:spacing w:after="0" w:line="276" w:lineRule="auto"/>
        <w:ind w:left="284" w:right="-1" w:hanging="284"/>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EXPIDE:</w:t>
      </w:r>
      <w:r w:rsidDel="00000000" w:rsidR="00000000" w:rsidRPr="00000000">
        <w:rPr>
          <w:rtl w:val="0"/>
        </w:rPr>
      </w:r>
    </w:p>
    <w:p w:rsidR="00000000" w:rsidDel="00000000" w:rsidP="00000000" w:rsidRDefault="00000000" w:rsidRPr="00000000" w14:paraId="0000008B">
      <w:pPr>
        <w:tabs>
          <w:tab w:val="left" w:pos="992"/>
        </w:tabs>
        <w:spacing w:after="0" w:line="276" w:lineRule="auto"/>
        <w:ind w:left="284" w:right="-1" w:hanging="284"/>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C">
      <w:pPr>
        <w:tabs>
          <w:tab w:val="left" w:pos="992"/>
        </w:tabs>
        <w:spacing w:after="0" w:line="276" w:lineRule="auto"/>
        <w:ind w:left="284" w:hanging="284"/>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LA ORDENANZA DEL PROYECTO URBANÍSTICO ARQUITECTÓNICO</w:t>
      </w:r>
      <w:r w:rsidDel="00000000" w:rsidR="00000000" w:rsidRPr="00000000">
        <w:rPr>
          <w:rtl w:val="0"/>
        </w:rPr>
      </w:r>
    </w:p>
    <w:p w:rsidR="00000000" w:rsidDel="00000000" w:rsidP="00000000" w:rsidRDefault="00000000" w:rsidRPr="00000000" w14:paraId="0000008D">
      <w:pPr>
        <w:tabs>
          <w:tab w:val="left" w:pos="992"/>
        </w:tabs>
        <w:spacing w:after="0" w:line="276" w:lineRule="auto"/>
        <w:ind w:left="284" w:hanging="284"/>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ESPECIAL BOSQUES DE LA PAMPA</w:t>
      </w:r>
      <w:r w:rsidDel="00000000" w:rsidR="00000000" w:rsidRPr="00000000">
        <w:rPr>
          <w:rtl w:val="0"/>
        </w:rPr>
      </w:r>
    </w:p>
    <w:p w:rsidR="00000000" w:rsidDel="00000000" w:rsidP="00000000" w:rsidRDefault="00000000" w:rsidRPr="00000000" w14:paraId="0000008E">
      <w:pPr>
        <w:tabs>
          <w:tab w:val="left" w:pos="992"/>
        </w:tabs>
        <w:spacing w:after="0" w:line="276" w:lineRule="auto"/>
        <w:ind w:left="284" w:hanging="284"/>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F">
      <w:pPr>
        <w:tabs>
          <w:tab w:val="left" w:pos="568"/>
        </w:tabs>
        <w:spacing w:after="0" w:line="276" w:lineRule="auto"/>
        <w:ind w:left="284" w:hanging="284"/>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CAPÍTULO I</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CONSIDERACIONES GENERALES</w:t>
      </w:r>
    </w:p>
    <w:p w:rsidR="00000000" w:rsidDel="00000000" w:rsidP="00000000" w:rsidRDefault="00000000" w:rsidRPr="00000000" w14:paraId="00000092">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Artículo 1.- Objeto.-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presente ordenanza establece las regulaciones urbanísticas, zonificación, uso de suelo, áreas verdes, vías y equipamientos, aplicables al Proyecto Urbanístico Arquitectónico Especial (PUAE) “Bosques de la Pampa”, proyecto destinado al desarrollo de vivienda popular, bajo las modalidades de vivienda de interés social (VIS) o vivienda de interés público (VIP) previstas en la normativa nacional vigent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su implementación en el predio actualmente signado con el número 416286 (en adelante, el «Proyecto»).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2.- Ubicación, áreas, estado de propiedad y linderos.-</w:t>
      </w:r>
      <w:r w:rsidDel="00000000" w:rsidR="00000000" w:rsidRPr="00000000">
        <w:rPr>
          <w:rFonts w:ascii="Calibri" w:cs="Calibri" w:eastAsia="Calibri" w:hAnsi="Calibri"/>
          <w:sz w:val="22"/>
          <w:szCs w:val="22"/>
          <w:vertAlign w:val="baseline"/>
          <w:rtl w:val="0"/>
        </w:rPr>
        <w:t xml:space="preserve"> El Proyecto Urbanístico Arquitectónico Especial (PUAE) denominado “Bosques de la Pampa” se ubica en la Parroquia San Antonio de Pichincha, sector Oasis. El predio en el que se desarrolla el proyecto está comprendido entre la Av. Manuel Córdova Galarza (oeste), Av. Simón Bolívar (noreste), el Río Monjas (este) y conjuntos habitacionales hacia el sur, referido en el Anexo 1. Cuadro No. 1 Linderos del predio. Las áreas y la localización se identifican en el Plano 01 Ubicación, que consta en el Anexo 2 de la presente ordenanza.</w:t>
      </w:r>
    </w:p>
    <w:p w:rsidR="00000000" w:rsidDel="00000000" w:rsidP="00000000" w:rsidRDefault="00000000" w:rsidRPr="00000000" w14:paraId="00000096">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Corresponde al predio No. 416286, de propiedad del promotor. De acuerdo con el título de propiedad, el predio tuvo una superficie de 221.400 m2. Mediante sentencia de juicio No. 17230-2016-13690 se procedió con la expropiación de una superficie de 3.627,21 m2. Producto de la expropiación, el predio actualmente está conformado por dos porciones: una de mayor tamaño, con una superficie de 214.704,67 m2 y otra de menor tamaño, con una superficie de 3.068,12 m2, dando una totalidad de 217.772,79 m2; cuyas características principales se describen en el Plano 02 “Topografía”, que consta en el Anexo 2 de la presente ordenanza.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efectos de la aplicación de esta ordenanza y de los futuros procedimientos administrativos a cargo de los órganos municipales, el promotor será el agente urbanístico; el desarrollador del Proyecto Urbanístico designado por la empresa propietaria del predio o simplemente el propietario del proyecto o del suelo.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3.- Objetivo general.-  </w:t>
      </w:r>
      <w:r w:rsidDel="00000000" w:rsidR="00000000" w:rsidRPr="00000000">
        <w:rPr>
          <w:rFonts w:ascii="Calibri" w:cs="Calibri" w:eastAsia="Calibri" w:hAnsi="Calibri"/>
          <w:sz w:val="22"/>
          <w:szCs w:val="22"/>
          <w:vertAlign w:val="baseline"/>
          <w:rtl w:val="0"/>
        </w:rPr>
        <w:t xml:space="preserve">El Proyecto aportará a la concreción del Plan Metropolitano de Desarrollo y Ordenamiento Territorial, instrumento que plantea entre sus objetivos la densificación del territorio urbanizado y la constitución de una estructura de centralidades que favorezcan un urbanismo dinámico y compacto. El sistema de centralidades metropolitanas considera a la Mitad del Mundo como una centralidad de carácter turístico y residencial y consecuentemente el proyecto generará las condiciones urbanísticas y de gestión del suelo necesarias para este fin.</w:t>
      </w:r>
    </w:p>
    <w:p w:rsidR="00000000" w:rsidDel="00000000" w:rsidP="00000000" w:rsidRDefault="00000000" w:rsidRPr="00000000" w14:paraId="0000009C">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D">
      <w:pPr>
        <w:tabs>
          <w:tab w:val="left" w:pos="426"/>
        </w:tabs>
        <w:spacing w:after="0" w:line="276" w:lineRule="auto"/>
        <w:jc w:val="both"/>
        <w:rPr>
          <w:rFonts w:ascii="Calibri" w:cs="Calibri" w:eastAsia="Calibri" w:hAnsi="Calibri"/>
          <w:sz w:val="22"/>
          <w:szCs w:val="22"/>
          <w:vertAlign w:val="baseline"/>
        </w:rPr>
      </w:pPr>
      <w:bookmarkStart w:colFirst="0" w:colLast="0" w:name="_heading=h.gjdgxs" w:id="0"/>
      <w:bookmarkEnd w:id="0"/>
      <w:r w:rsidDel="00000000" w:rsidR="00000000" w:rsidRPr="00000000">
        <w:rPr>
          <w:rFonts w:ascii="Calibri" w:cs="Calibri" w:eastAsia="Calibri" w:hAnsi="Calibri"/>
          <w:b w:val="1"/>
          <w:sz w:val="22"/>
          <w:szCs w:val="22"/>
          <w:vertAlign w:val="baseline"/>
          <w:rtl w:val="0"/>
        </w:rPr>
        <w:t xml:space="preserve">Artículo 4.- Objetivos Específicos. -</w:t>
      </w:r>
      <w:r w:rsidDel="00000000" w:rsidR="00000000" w:rsidRPr="00000000">
        <w:rPr>
          <w:rFonts w:ascii="Calibri" w:cs="Calibri" w:eastAsia="Calibri" w:hAnsi="Calibri"/>
          <w:sz w:val="22"/>
          <w:szCs w:val="22"/>
          <w:vertAlign w:val="baseline"/>
          <w:rtl w:val="0"/>
        </w:rPr>
        <w:t xml:space="preserve"> El Proyecto se desarrollará bajo un planteamiento urbanístico para:</w:t>
      </w:r>
    </w:p>
    <w:p w:rsidR="00000000" w:rsidDel="00000000" w:rsidP="00000000" w:rsidRDefault="00000000" w:rsidRPr="00000000" w14:paraId="0000009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las normas urbanas necesarias para promover el acceso a la vivienda popular, sea de interés social o de interés público, impulsando el concepto de micro centralidad articulada al territorio.</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el uso de las áreas verdes, equipamiento y de las plantas bajas activas, cuya estructura de usos destinada a vivienda, comercio, servicios y equipamiento, enriquecen y potencian la vida en el espacio público.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Artículo 5.- Características generales del proyecto.-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el proyecto Bosques de la Pampa se edificará aproximadamente dos mil ochocientas unidades habitacionales, a estructurarse en conjuntos declarados bajo el régimen de propiedad horizontal; además de las viviendas, se construirán áreas comerciales y de servicios, de igual forma se prevé áreas de propiedad pública y otras de propiedad privada destinadas a equipamientos.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generan parques y plazas públicas, en las que se ubicarán espacios para la recreación.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contempla un sistema de vías que se integra a la red vial circundante del sector y principalmente a la Avenida Manuel Córdoba Galarza, así como a la Av. Simón Bolívar según el Plano 03 Características Generales que consta en el Anexo 2 de la presente ordenanza.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CAPÍTULO II</w:t>
      </w:r>
      <w:r w:rsidDel="00000000" w:rsidR="00000000" w:rsidRPr="00000000">
        <w:rPr>
          <w:rtl w:val="0"/>
        </w:rPr>
      </w:r>
    </w:p>
    <w:p w:rsidR="00000000" w:rsidDel="00000000" w:rsidP="00000000" w:rsidRDefault="00000000" w:rsidRPr="00000000" w14:paraId="000000A8">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9">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CONFORMACIÓN Y CESIONES METROPOLITANAS</w:t>
      </w:r>
      <w:r w:rsidDel="00000000" w:rsidR="00000000" w:rsidRPr="00000000">
        <w:rPr>
          <w:rtl w:val="0"/>
        </w:rPr>
      </w:r>
    </w:p>
    <w:p w:rsidR="00000000" w:rsidDel="00000000" w:rsidP="00000000" w:rsidRDefault="00000000" w:rsidRPr="00000000" w14:paraId="000000AA">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B">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6.- Conformación y cesiones metropolitanas. - </w:t>
      </w:r>
      <w:r w:rsidDel="00000000" w:rsidR="00000000" w:rsidRPr="00000000">
        <w:rPr>
          <w:rFonts w:ascii="Calibri" w:cs="Calibri" w:eastAsia="Calibri" w:hAnsi="Calibri"/>
          <w:sz w:val="22"/>
          <w:szCs w:val="22"/>
          <w:vertAlign w:val="baseline"/>
          <w:rtl w:val="0"/>
        </w:rPr>
        <w:t xml:space="preserve">Para efectos del desarrollo del Proyecto se ha determinado el área bruta a urbanizar en 21,78 ha, de la que se restan las afectaciones viales, la protección del río Monjas y el área de protección ecológica. Estas áreas de protección y afectación ocupan un total de 5,14 ha, el área de las vías ocupa un total de 3,24 ha, por lo cual área útil urbanizable es de 13,40 ha (134.023,39 m2). </w:t>
      </w:r>
    </w:p>
    <w:p w:rsidR="00000000" w:rsidDel="00000000" w:rsidP="00000000" w:rsidRDefault="00000000" w:rsidRPr="00000000" w14:paraId="000000AC">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D">
      <w:pPr>
        <w:tabs>
          <w:tab w:val="left" w:pos="426"/>
        </w:tabs>
        <w:spacing w:after="0" w:line="276" w:lineRule="auto"/>
        <w:jc w:val="both"/>
        <w:rPr>
          <w:rFonts w:ascii="Calibri" w:cs="Calibri" w:eastAsia="Calibri" w:hAnsi="Calibri"/>
          <w:sz w:val="22"/>
          <w:szCs w:val="22"/>
          <w:vertAlign w:val="baseline"/>
        </w:rPr>
      </w:pPr>
      <w:bookmarkStart w:colFirst="0" w:colLast="0" w:name="_heading=h.1fob9te" w:id="2"/>
      <w:bookmarkEnd w:id="2"/>
      <w:r w:rsidDel="00000000" w:rsidR="00000000" w:rsidRPr="00000000">
        <w:rPr>
          <w:rFonts w:ascii="Calibri" w:cs="Calibri" w:eastAsia="Calibri" w:hAnsi="Calibri"/>
          <w:sz w:val="22"/>
          <w:szCs w:val="22"/>
          <w:vertAlign w:val="baseline"/>
          <w:rtl w:val="0"/>
        </w:rPr>
        <w:t xml:space="preserve">El área útil urbanizable incluye 7 áreas verdes, 2 plazas y 3 áreas para el desarrollo de equipamiento para cesión a favor de la Municipalidad. Las 7 áreas verdes, 2 plazas y 3 áreas para el desarrollo de equipamiento quedan determinadas en el Cuadro No. 2</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Superficies PUAE Bosques de la Pampa, y en el Plano 04 Áreas de Lotes y Linderos, que consta en el Anexo 2 de la presente ordenanza. </w:t>
      </w:r>
    </w:p>
    <w:p w:rsidR="00000000" w:rsidDel="00000000" w:rsidP="00000000" w:rsidRDefault="00000000" w:rsidRPr="00000000" w14:paraId="000000A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F">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Quedan establecidos los aportes al Municipio en suelo para área verde y equipamiento comunal en 26.287,55 m2, lo que ocupa el 19,62% en relación con el área útil urbanizable del terreno. Esta superficie y porcentaje corresponde a los numerales 5 y 6 del cuadro No. 2A Áreas de lotes a Catastrar, y corresponde a las 7 áreas verdes, las plazas 1 y 2, así como a las 3 áreas de equipamiento, cuadro No. 3 Áreas de cesión al Municipio del anexo 1 de la presente ordenanza.</w:t>
      </w:r>
    </w:p>
    <w:p w:rsidR="00000000" w:rsidDel="00000000" w:rsidP="00000000" w:rsidRDefault="00000000" w:rsidRPr="00000000" w14:paraId="000000B0">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1">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Una vez protocolizada la presente ordenanza inscríbase en el Registro de la Propiedad y catástrese a favor de la Municipalidad las cesiones previstas en este artículo.</w:t>
      </w:r>
    </w:p>
    <w:p w:rsidR="00000000" w:rsidDel="00000000" w:rsidP="00000000" w:rsidRDefault="00000000" w:rsidRPr="00000000" w14:paraId="000000B2">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Artículo 7.- Condiciones urbanísticas.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contemplará las siguientes condiciones: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uso de suelo principal es residencial, complementado con equipamiento y servicios urbanos en general. </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contempla el proceso de habilitación del suelo, delimitando el espacio para la implantación de conjuntos residenciales a ser declarados en propiedad horizontal y otros destinados a espacio público y equipamiento a ser de desarrollados en bienes de dominio público y en bienes de dominio privado.</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se integra al tejido urbano y a la red vial pública, asegurando su adecuada conexión con los sistemas urbanos. </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espacios públicos: aceras, plazas y parques, áreas verdes públicas son de libre acceso y permiten su uso sin restricciones, garantizando accesibilidad universal.</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contempla estacionamientos públicos en las vías, así como estacionamientos privados: cubiertos y descubiertos, al interior de los conjuntos habitacionales.</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puede destinar espacios para edificar con usos complementarios al residencial, de propiedad y gestión privada, tales como estacionamientos, garitas, locales de comercio, equipamiento y servicios múltiples para el vecindario, bahías de parqueo provisional y semejantes.</w:t>
      </w:r>
    </w:p>
    <w:p w:rsidR="00000000" w:rsidDel="00000000" w:rsidP="00000000" w:rsidRDefault="00000000" w:rsidRPr="00000000" w14:paraId="000000BB">
      <w:pPr>
        <w:numPr>
          <w:ilvl w:val="0"/>
          <w:numId w:val="5"/>
        </w:numPr>
        <w:tabs>
          <w:tab w:val="left" w:pos="426"/>
        </w:tabs>
        <w:spacing w:after="0" w:line="276" w:lineRule="auto"/>
        <w:ind w:left="714" w:hanging="35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condiciones urbanísticas se grafican en el Plano 03 Características Generales, Plano 08 Áreas Verdes y Equipamiento y Plano 07 Plano Vial, del Anexo 2 de la presente ordenanza. </w:t>
      </w:r>
    </w:p>
    <w:p w:rsidR="00000000" w:rsidDel="00000000" w:rsidP="00000000" w:rsidRDefault="00000000" w:rsidRPr="00000000" w14:paraId="000000BC">
      <w:pPr>
        <w:tabs>
          <w:tab w:val="left" w:pos="426"/>
        </w:tabs>
        <w:spacing w:after="0" w:line="276" w:lineRule="auto"/>
        <w:jc w:val="both"/>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BD">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8.- Superficies y linderos.-  </w:t>
      </w:r>
      <w:r w:rsidDel="00000000" w:rsidR="00000000" w:rsidRPr="00000000">
        <w:rPr>
          <w:rFonts w:ascii="Calibri" w:cs="Calibri" w:eastAsia="Calibri" w:hAnsi="Calibri"/>
          <w:sz w:val="22"/>
          <w:szCs w:val="22"/>
          <w:vertAlign w:val="baseline"/>
          <w:rtl w:val="0"/>
        </w:rPr>
        <w:t xml:space="preserve">La identificación, individualización y conformación de los espacios edificables se regulan conforme a lo dispuesto en el cuadro No. 4 Superficies y linderos y planos,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que consta en los Anexos de la presente ordenanza. </w:t>
      </w:r>
    </w:p>
    <w:p w:rsidR="00000000" w:rsidDel="00000000" w:rsidP="00000000" w:rsidRDefault="00000000" w:rsidRPr="00000000" w14:paraId="000000B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F">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0">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1">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CAPÍTULO III</w:t>
      </w:r>
      <w:r w:rsidDel="00000000" w:rsidR="00000000" w:rsidRPr="00000000">
        <w:rPr>
          <w:rtl w:val="0"/>
        </w:rPr>
      </w:r>
    </w:p>
    <w:p w:rsidR="00000000" w:rsidDel="00000000" w:rsidP="00000000" w:rsidRDefault="00000000" w:rsidRPr="00000000" w14:paraId="000000C2">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3">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DEL ESPACIO PÚBLICO, RED VERDE URBANA Y EQUIPAMIENTO</w:t>
      </w:r>
      <w:r w:rsidDel="00000000" w:rsidR="00000000" w:rsidRPr="00000000">
        <w:rPr>
          <w:rtl w:val="0"/>
        </w:rPr>
      </w:r>
    </w:p>
    <w:p w:rsidR="00000000" w:rsidDel="00000000" w:rsidP="00000000" w:rsidRDefault="00000000" w:rsidRPr="00000000" w14:paraId="000000C4">
      <w:pPr>
        <w:tabs>
          <w:tab w:val="left" w:pos="426"/>
        </w:tabs>
        <w:spacing w:after="0" w:line="276" w:lineRule="auto"/>
        <w:jc w:val="center"/>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C5">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9.- Espacios públicos y trama verde.- </w:t>
      </w:r>
      <w:r w:rsidDel="00000000" w:rsidR="00000000" w:rsidRPr="00000000">
        <w:rPr>
          <w:rFonts w:ascii="Calibri" w:cs="Calibri" w:eastAsia="Calibri" w:hAnsi="Calibri"/>
          <w:b w:val="0"/>
          <w:sz w:val="22"/>
          <w:szCs w:val="22"/>
          <w:vertAlign w:val="baseline"/>
          <w:rtl w:val="0"/>
        </w:rPr>
        <w:t xml:space="preserve">Se habilitarán y construirán de conformidad con los planos que acompañan a la presente ordenanza: Plano 03 Características Generales, </w:t>
      </w:r>
      <w:r w:rsidDel="00000000" w:rsidR="00000000" w:rsidRPr="00000000">
        <w:rPr>
          <w:rFonts w:ascii="Calibri" w:cs="Calibri" w:eastAsia="Calibri" w:hAnsi="Calibri"/>
          <w:sz w:val="22"/>
          <w:szCs w:val="22"/>
          <w:vertAlign w:val="baseline"/>
          <w:rtl w:val="0"/>
        </w:rPr>
        <w:t xml:space="preserve">que consta en el Anexo 2 de la presente ordenanza</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14:paraId="000000C6">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7">
      <w:pPr>
        <w:tabs>
          <w:tab w:val="left" w:pos="426"/>
        </w:tabs>
        <w:spacing w:after="0" w:line="276" w:lineRule="auto"/>
        <w:jc w:val="both"/>
        <w:rPr>
          <w:rFonts w:ascii="Calibri" w:cs="Calibri" w:eastAsia="Calibri" w:hAnsi="Calibri"/>
          <w:b w:val="0"/>
          <w:sz w:val="22"/>
          <w:szCs w:val="22"/>
          <w:vertAlign w:val="baseline"/>
        </w:rPr>
      </w:pPr>
      <w:bookmarkStart w:colFirst="0" w:colLast="0" w:name="_heading=h.3znysh7" w:id="3"/>
      <w:bookmarkEnd w:id="3"/>
      <w:r w:rsidDel="00000000" w:rsidR="00000000" w:rsidRPr="00000000">
        <w:rPr>
          <w:rFonts w:ascii="Calibri" w:cs="Calibri" w:eastAsia="Calibri" w:hAnsi="Calibri"/>
          <w:b w:val="0"/>
          <w:sz w:val="22"/>
          <w:szCs w:val="22"/>
          <w:vertAlign w:val="baseline"/>
          <w:rtl w:val="0"/>
        </w:rPr>
        <w:t xml:space="preserve">Estas áreas están diferenciadas de la siguiente manera:</w:t>
      </w:r>
    </w:p>
    <w:p w:rsidR="00000000" w:rsidDel="00000000" w:rsidP="00000000" w:rsidRDefault="00000000" w:rsidRPr="00000000" w14:paraId="000000C8">
      <w:pPr>
        <w:tabs>
          <w:tab w:val="left" w:pos="426"/>
        </w:tabs>
        <w:spacing w:after="0" w:line="276" w:lineRule="auto"/>
        <w:jc w:val="both"/>
        <w:rPr>
          <w:rFonts w:ascii="Calibri" w:cs="Calibri" w:eastAsia="Calibri" w:hAnsi="Calibri"/>
          <w:sz w:val="22"/>
          <w:szCs w:val="22"/>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Faja de protección del Río Monjas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Sobre el predio de propiedad privada, se establece una faja de seguridad de 50 m desde la ribera occidental del Río Monjas, por todo su recorrido a lo largo del predio, ocupando un área de 18.115,72 m2 (1.81Ha). En la ribera, tomando las precauciones de estabilidad y seguridad correspondientes, se podrá ejecutar una vía de acceso para vehículos de emergencia y movilidad con fines de mantenimiento y vigilancia. Está prohibida cualquier forma de explotación o destrucción de las especies naturales preexistentes y queda integrada al área de protección ecológica.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Área de protección por Accidentes Geográficos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proyecto respetará los retiros y  las áreas de protección por accidentes geográficos en base a lo establecido en la normativa vigente previo al licenciamiento respectivo de las edificaciones.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Área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protección ecológica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Zona adyacente a la faja de seguridad del Río Monjas, se califica como área de protección ecológica y afecta el predio de propiedad privada. Ocupa un área de 13.092.42 m2 (1.31ha). Dicha área se acogerá a lo previsto en la legislación ambiental correspondiente y en la presente ordenanza. Dentro de esta faja de protección ecológica está previsto emplazar infraestructura deportiva con su debido equipamiento, así como realizar mejoramiento del suelo y enriquecimiento forestal respetando y consolidando los taludes.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ff0000"/>
          <w:sz w:val="22"/>
          <w:szCs w:val="22"/>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Áreas verdes y plazas: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siete áreas verdes y dos plazas, son bienes de dominio público con acceso público sin restricciones. En estos espacios, según consta en el Plano 03 Características Generales, del Anexo 2 de la presente ordenanza, se generarán recorridos peatonales, áreas recreativas para niños, adultos y ancianos, las mismas que contendrán variedad de paseos detallados en el Plano 08 Áreas Verdes y Equipamiento.</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Arborización: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espacios públicos, tales como aceras, parterres, áreas residuales y espacios verdes serán arborizados con especies ornamentales nativas o similares. El tipo de árbol, cantidad o densidad y variedad dependerá de los diseños específicos a cargo del promotor.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quebradas y fajas de protección deben conservar la vegetación endémica y/o combinarla con nueva vegetación arbórea y arbustiva, también nativa o similares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un modelo de gestión privado para su conservación.</w:t>
      </w:r>
    </w:p>
    <w:p w:rsidR="00000000" w:rsidDel="00000000" w:rsidP="00000000" w:rsidRDefault="00000000" w:rsidRPr="00000000" w14:paraId="000000D3">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4">
      <w:pPr>
        <w:tabs>
          <w:tab w:val="left" w:pos="426"/>
        </w:tabs>
        <w:spacing w:after="0" w:line="276" w:lineRule="auto"/>
        <w:jc w:val="both"/>
        <w:rPr>
          <w:rFonts w:ascii="Calibri" w:cs="Calibri" w:eastAsia="Calibri" w:hAnsi="Calibri"/>
          <w:sz w:val="22"/>
          <w:szCs w:val="22"/>
          <w:vertAlign w:val="baseline"/>
        </w:rPr>
      </w:pPr>
      <w:bookmarkStart w:colFirst="0" w:colLast="0" w:name="_heading=h.1t3h5sf" w:id="7"/>
      <w:bookmarkEnd w:id="7"/>
      <w:r w:rsidDel="00000000" w:rsidR="00000000" w:rsidRPr="00000000">
        <w:rPr>
          <w:rFonts w:ascii="Calibri" w:cs="Calibri" w:eastAsia="Calibri" w:hAnsi="Calibri"/>
          <w:b w:val="1"/>
          <w:sz w:val="22"/>
          <w:szCs w:val="22"/>
          <w:vertAlign w:val="baseline"/>
          <w:rtl w:val="0"/>
        </w:rPr>
        <w:t xml:space="preserve">Artículo 10.- Aceras.- </w:t>
      </w:r>
      <w:r w:rsidDel="00000000" w:rsidR="00000000" w:rsidRPr="00000000">
        <w:rPr>
          <w:rFonts w:ascii="Calibri" w:cs="Calibri" w:eastAsia="Calibri" w:hAnsi="Calibri"/>
          <w:sz w:val="22"/>
          <w:szCs w:val="22"/>
          <w:vertAlign w:val="baseline"/>
          <w:rtl w:val="0"/>
        </w:rPr>
        <w:t xml:space="preserve">Las aceras se construirán bajo los siguientes lineamientos:</w:t>
      </w:r>
    </w:p>
    <w:p w:rsidR="00000000" w:rsidDel="00000000" w:rsidP="00000000" w:rsidRDefault="00000000" w:rsidRPr="00000000" w14:paraId="000000D5">
      <w:pPr>
        <w:tabs>
          <w:tab w:val="left" w:pos="426"/>
        </w:tabs>
        <w:spacing w:after="0" w:line="276" w:lineRule="auto"/>
        <w:jc w:val="both"/>
        <w:rPr>
          <w:rFonts w:ascii="Calibri" w:cs="Calibri" w:eastAsia="Calibri" w:hAnsi="Calibri"/>
          <w:sz w:val="22"/>
          <w:szCs w:val="22"/>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Superficie continua, sin obstáculos a la circulación de personas y/o vehículos no motorizados.</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la acera y el lugar de paso de peatones, en la calzada, se encuentren a distinto nivel, los peatones accederán a la calzada por medio de una rampa. El desarrollo de dicha rampa deberá ser mínimo de 0,60 metros y el ancho de 1,50 m, sin que por ello en ningún momento el ancho libre de la acera sea inferior a 1,20 m.</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superficies deberán realizarse con materiales antideslizantes que eviten riesgo para los peatones bajo diversas condiciones climáticas.</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Brindarán facilidades de accesibilidad para los peatones, primordialmente con discapacidades, coches de niños o sillas de ruedas, principalmente en las zonas de seguridad y/o cruces de calles.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tabs>
          <w:tab w:val="left" w:pos="426"/>
          <w:tab w:val="left" w:pos="2268"/>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11.- Equipamientos</w:t>
      </w:r>
      <w:r w:rsidDel="00000000" w:rsidR="00000000" w:rsidRPr="00000000">
        <w:rPr>
          <w:rFonts w:ascii="Calibri" w:cs="Calibri" w:eastAsia="Calibri" w:hAnsi="Calibri"/>
          <w:sz w:val="22"/>
          <w:szCs w:val="22"/>
          <w:vertAlign w:val="baseline"/>
          <w:rtl w:val="0"/>
        </w:rPr>
        <w:t xml:space="preserve">.-  Se ha destinado tres espacios para el desarrollo del equipamiento público y otros tres espacios se destinan a equipamiento privado, cuyos usos quedan definidos en el cuadro 4C Usos de Equipamientos, que consta en el Anexo 1 de la presente ordenanza metropolitana. El diseño y construcción estarán a cargo del promotor de acuerdo con el cronograma de obras planificado para la ejecución del proyecto.</w:t>
      </w:r>
    </w:p>
    <w:p w:rsidR="00000000" w:rsidDel="00000000" w:rsidP="00000000" w:rsidRDefault="00000000" w:rsidRPr="00000000" w14:paraId="000000DC">
      <w:pPr>
        <w:tabs>
          <w:tab w:val="left" w:pos="426"/>
          <w:tab w:val="left" w:pos="2268"/>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D">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CAPÍTULO IV</w:t>
      </w:r>
      <w:r w:rsidDel="00000000" w:rsidR="00000000" w:rsidRPr="00000000">
        <w:rPr>
          <w:rtl w:val="0"/>
        </w:rPr>
      </w:r>
    </w:p>
    <w:p w:rsidR="00000000" w:rsidDel="00000000" w:rsidP="00000000" w:rsidRDefault="00000000" w:rsidRPr="00000000" w14:paraId="000000DE">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F">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USOS DE SUELO Y EDIFICABILIDAD</w:t>
      </w:r>
      <w:r w:rsidDel="00000000" w:rsidR="00000000" w:rsidRPr="00000000">
        <w:rPr>
          <w:rtl w:val="0"/>
        </w:rPr>
      </w:r>
    </w:p>
    <w:p w:rsidR="00000000" w:rsidDel="00000000" w:rsidP="00000000" w:rsidRDefault="00000000" w:rsidRPr="00000000" w14:paraId="000000E0">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1">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12.- Usos de suelo y Compatibilidades.-  </w:t>
      </w:r>
      <w:r w:rsidDel="00000000" w:rsidR="00000000" w:rsidRPr="00000000">
        <w:rPr>
          <w:rFonts w:ascii="Calibri" w:cs="Calibri" w:eastAsia="Calibri" w:hAnsi="Calibri"/>
          <w:sz w:val="22"/>
          <w:szCs w:val="22"/>
          <w:vertAlign w:val="baseline"/>
          <w:rtl w:val="0"/>
        </w:rPr>
        <w:t xml:space="preserve">El uso de suelo del presente PUAE es Residencial Urbano 3 (RU3) combinado con edificación de uso múltiple en la plataforma uno, cercana a la autopista Córdova Galarza; de igual forma Residencial Urbano 3 (RU3) en la plataforma 2, ubicada al Este de la plataforma uno. </w:t>
      </w:r>
    </w:p>
    <w:p w:rsidR="00000000" w:rsidDel="00000000" w:rsidP="00000000" w:rsidRDefault="00000000" w:rsidRPr="00000000" w14:paraId="000000E2">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3">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uso de suelo estará sujeto a las prescripciones consignadas en el Anexo 3 de la Ordenanza Metropolitana No. 001 del Código Municipal para el Distrito Metropolitano de Quito, en el capítulo relativo a la Concesión Onerosa de Derechos; y a los coeficientes de ocupación (COS) y edificabilidad establecidos en el cuadro No. 6 Forma de Ocupación y Edificabilidad, que constan en el Anexo 1 de esta ordenanza. Los diferentes usos constan en el Plano 05 Usos de Suelo, detallados en el cuadro No. 5 Usos del suelo permitidos y no permitidos de los Anexos. </w:t>
      </w:r>
    </w:p>
    <w:p w:rsidR="00000000" w:rsidDel="00000000" w:rsidP="00000000" w:rsidRDefault="00000000" w:rsidRPr="00000000" w14:paraId="000000E4">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se permitirán usos prohibidos o incompatibles con el uso residencial establecido, conforme lo previsto en el Código Municipal para el Distrito Metropolitano de Quito.</w:t>
      </w:r>
    </w:p>
    <w:p w:rsidR="00000000" w:rsidDel="00000000" w:rsidP="00000000" w:rsidRDefault="00000000" w:rsidRPr="00000000" w14:paraId="000000E6">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7">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las plantas bajas de las construcciones, el uso residencial se complementará con actividades comerciales, servicios y equipamiento barrial de promoción privada y productivas; actividades que estarán sujetas a las normas técnicas vigentes en el Distrito Metropolitano de Quito. </w:t>
      </w:r>
    </w:p>
    <w:p w:rsidR="00000000" w:rsidDel="00000000" w:rsidP="00000000" w:rsidRDefault="00000000" w:rsidRPr="00000000" w14:paraId="000000E8">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 prohíben usos no compatibles, tales como industrias y/o talleres que generen contaminación por gases, ruidos, líquidos, partículas o semejantes, y actividades económicas tales como establecimientos de tolerancia, casas de masajes, cantinas o cervecerías y otros de similar impacto.</w:t>
      </w:r>
    </w:p>
    <w:p w:rsidR="00000000" w:rsidDel="00000000" w:rsidP="00000000" w:rsidRDefault="00000000" w:rsidRPr="00000000" w14:paraId="000000EA">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B">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13.- Forma de ocupación y edificabilidad.- </w:t>
      </w:r>
      <w:r w:rsidDel="00000000" w:rsidR="00000000" w:rsidRPr="00000000">
        <w:rPr>
          <w:rFonts w:ascii="Calibri" w:cs="Calibri" w:eastAsia="Calibri" w:hAnsi="Calibri"/>
          <w:sz w:val="22"/>
          <w:szCs w:val="22"/>
          <w:vertAlign w:val="baseline"/>
          <w:rtl w:val="0"/>
        </w:rPr>
        <w:t xml:space="preserve">Se asigna la zonificación D5 (D304-80) y D6 (D406-70) para los lotes ubicados en las plataformas 1 y 2.</w:t>
      </w:r>
    </w:p>
    <w:p w:rsidR="00000000" w:rsidDel="00000000" w:rsidP="00000000" w:rsidRDefault="00000000" w:rsidRPr="00000000" w14:paraId="000000EC">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D">
      <w:pPr>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 lotes 43 y 44 tendrán código de zonificación A31 (PQ), en la que no se establecen datos de edificabilidad, la posibilidad de edificación está sujeta a las condiciones establecidas en la normativa vigente.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Artículo 14.- Normativa constructiva de las edificaciones.-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construcción en el proyecto observará la normativa nacional y metropolitana pertinente, vigentes al momento de expedición de la presente ordenanza.</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V</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LA MOVILIDAD Y LA ACCESIBILIDAD</w:t>
      </w:r>
      <w:r w:rsidDel="00000000" w:rsidR="00000000" w:rsidRPr="00000000">
        <w:rPr>
          <w:rtl w:val="0"/>
        </w:rPr>
      </w:r>
    </w:p>
    <w:p w:rsidR="00000000" w:rsidDel="00000000" w:rsidP="00000000" w:rsidRDefault="00000000" w:rsidRPr="00000000" w14:paraId="000000F4">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15.- Sistema vial, movilidad y accesibilidad.- </w:t>
      </w:r>
      <w:r w:rsidDel="00000000" w:rsidR="00000000" w:rsidRPr="00000000">
        <w:rPr>
          <w:rFonts w:ascii="Calibri" w:cs="Calibri" w:eastAsia="Calibri" w:hAnsi="Calibri"/>
          <w:sz w:val="22"/>
          <w:szCs w:val="22"/>
          <w:vertAlign w:val="baseline"/>
          <w:rtl w:val="0"/>
        </w:rPr>
        <w:t xml:space="preserve"> Se regirá a las especificaciones que se indican en el Plano 07 Plano Vial, que consta en el Anexo 2 de la presente ordenanza y que se detallan a continuación:</w:t>
      </w:r>
    </w:p>
    <w:p w:rsidR="00000000" w:rsidDel="00000000" w:rsidP="00000000" w:rsidRDefault="00000000" w:rsidRPr="00000000" w14:paraId="000000F6">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7">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trama vial se adapta y conecta a la malla urbana preexistente del sector e incorporará vías de jerarquía local, de acuerdo al plano 07. Esta malla determina la conformación parcelaria de las unidades urbanas. Las vías principales que bordean el proyecto son la Av. Manuel Córdova Galarza que se desarrolla de Sur a Norte y la Av. Simón Bolívar que va de Este a Oeste. El proyecto urbanístico, que colinda con las Avenidas Simón Bolívar y Manuel Córdova Galarza, prevé conexiones desde el interior con estos importantes ejes viales. Las características de estas vías son las siguientes:</w:t>
      </w:r>
    </w:p>
    <w:p w:rsidR="00000000" w:rsidDel="00000000" w:rsidP="00000000" w:rsidRDefault="00000000" w:rsidRPr="00000000" w14:paraId="000000F8">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Vías Locales. -</w:t>
      </w:r>
      <w:r w:rsidDel="00000000" w:rsidR="00000000" w:rsidRPr="00000000">
        <w:rPr>
          <w:rFonts w:ascii="Calibri" w:cs="Calibri" w:eastAsia="Calibri" w:hAnsi="Calibri"/>
          <w:sz w:val="22"/>
          <w:szCs w:val="22"/>
          <w:vertAlign w:val="baseline"/>
          <w:rtl w:val="0"/>
        </w:rPr>
        <w:t xml:space="preserve"> Permitirán el acceso a los predios frentistas y en algunos casos el estacionamiento lateral, admitirán intersecciones a nivel con dispositivos de seguridad y control. Corresponde a las calles que componen y articulan toda la trama urbana interna del proyecto; son vías de sección variable, de conformidad al Plano de Vías de la presente ordenanza con sus anexos respectivos que se describen a continuación:</w:t>
      </w:r>
    </w:p>
    <w:p w:rsidR="00000000" w:rsidDel="00000000" w:rsidP="00000000" w:rsidRDefault="00000000" w:rsidRPr="00000000" w14:paraId="000000FA">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7A: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Sección vía de Servicio, junto a Avenida Manuel Córdova Galarza; el ancho de vía será de 10.00 m. de un solo sentido, compuesto por un carril de 3.80 m., con estacionamiento lateral a un solo lado de 2.20 m.; la acera tendrá un ancho de 4.00 m.</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7B: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Vía tipo VP1; el ancho de vía será de 20.00 m. de doble sentido, compuesto por dos carriles de 3.65 m. cada uno, con estacionamiento lateral a un solo lado de 2.70 m.; las veredas tendrán un ancho de 3.00 m. hacia un lado y 7.00m hacia el otro lado</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7C: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Vía tipo VP2; el ancho de vía será de 20.00 m., de doble sentido, compuesto por dos carriles de 3.00 m. cada uno con estacionamiento lateral de 2.20 m. a ambos lados; las veredas tendrán un ancho de 3.00 m. hacia un lado y 6.60 m hacia el otro lado.</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7D: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Vía tipo VP3; el ancho de vía será de 16.00 m. de doble sentido, compuesto por dos carriles de 3.00 m. con estacionamiento lateral de 2,20 m. a ambos lados; las veredas tendrán un ancho de 2,80 m hacia cada lado.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numPr>
          <w:ilvl w:val="0"/>
          <w:numId w:val="16"/>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Anexo 7E:</w:t>
      </w:r>
      <w:r w:rsidDel="00000000" w:rsidR="00000000" w:rsidRPr="00000000">
        <w:rPr>
          <w:rFonts w:ascii="Calibri" w:cs="Calibri" w:eastAsia="Calibri" w:hAnsi="Calibri"/>
          <w:sz w:val="22"/>
          <w:szCs w:val="22"/>
          <w:vertAlign w:val="baseline"/>
          <w:rtl w:val="0"/>
        </w:rPr>
        <w:t xml:space="preserve"> Vía tipo VP4; el ancho de vía será de 20.00 m. de doble sentido, compuesto por dos carriles de 3.65 m. cada uno, con estacionamiento lateral a un solo lado de 2.70 m.; las veredas tendrán un ancho de 3.00 m. hacia un lado y 7.00m hacia el otro lado.</w:t>
      </w:r>
    </w:p>
    <w:p w:rsidR="00000000" w:rsidDel="00000000" w:rsidP="00000000" w:rsidRDefault="00000000" w:rsidRPr="00000000" w14:paraId="00000104">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5">
      <w:pPr>
        <w:numPr>
          <w:ilvl w:val="0"/>
          <w:numId w:val="16"/>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Anexo 7F</w:t>
      </w:r>
      <w:r w:rsidDel="00000000" w:rsidR="00000000" w:rsidRPr="00000000">
        <w:rPr>
          <w:rFonts w:ascii="Calibri" w:cs="Calibri" w:eastAsia="Calibri" w:hAnsi="Calibri"/>
          <w:sz w:val="22"/>
          <w:szCs w:val="22"/>
          <w:vertAlign w:val="baseline"/>
          <w:rtl w:val="0"/>
        </w:rPr>
        <w:t xml:space="preserve">: Vía tipo VP5 y VP6; el ancho de vía será de 10.00 m., de doble sentido, compuesto por dos carriles de 3.00 m. sin estacionamiento lateral; las veredas tendrán un ancho de 2.00 m. hacia cada lado.</w:t>
      </w:r>
    </w:p>
    <w:p w:rsidR="00000000" w:rsidDel="00000000" w:rsidP="00000000" w:rsidRDefault="00000000" w:rsidRPr="00000000" w14:paraId="00000106">
      <w:pPr>
        <w:tabs>
          <w:tab w:val="left" w:pos="426"/>
        </w:tabs>
        <w:spacing w:after="0" w:line="276" w:lineRule="auto"/>
        <w:ind w:left="720"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7">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trama vial se presenta en el cuadro 7 “Parámetros de diseño del sistema vial local”, anexo 1, propone un sistema de movilidad compartido entre peatones, ciclistas y vehículos los cuales podrán circular a una velocidad máxima de 30 km por hora. Para mantener esta velocidad se dispondrá de los elementos físicos informativos, tales como señalización vial.</w:t>
      </w:r>
    </w:p>
    <w:p w:rsidR="00000000" w:rsidDel="00000000" w:rsidP="00000000" w:rsidRDefault="00000000" w:rsidRPr="00000000" w14:paraId="00000108">
      <w:pPr>
        <w:tabs>
          <w:tab w:val="left" w:pos="426"/>
        </w:tabs>
        <w:spacing w:after="0" w:line="276" w:lineRule="auto"/>
        <w:jc w:val="both"/>
        <w:rPr>
          <w:rFonts w:ascii="Calibri" w:cs="Calibri" w:eastAsia="Calibri" w:hAnsi="Calibri"/>
          <w:sz w:val="22"/>
          <w:szCs w:val="22"/>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10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16.-</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Estacionamientos.-</w:t>
      </w:r>
      <w:r w:rsidDel="00000000" w:rsidR="00000000" w:rsidRPr="00000000">
        <w:rPr>
          <w:rFonts w:ascii="Calibri" w:cs="Calibri" w:eastAsia="Calibri" w:hAnsi="Calibri"/>
          <w:sz w:val="22"/>
          <w:szCs w:val="22"/>
          <w:vertAlign w:val="baseline"/>
          <w:rtl w:val="0"/>
        </w:rPr>
        <w:t xml:space="preserve"> A fin de favorecer un modelo de desarrollo urbano que priorice al peatón, se podrá emplazar estacionamientos, para uso de residentes y visitantes, en planta baja, subsuelos y al interior de los lotes. Se prevé la dotación de estacionamientos públicos en calles. La cantidad de estacionamientos privados cumplirá lo establecido en la normativa vigente a la fecha de aprobación de esta ordenanza.</w:t>
      </w:r>
    </w:p>
    <w:p w:rsidR="00000000" w:rsidDel="00000000" w:rsidP="00000000" w:rsidRDefault="00000000" w:rsidRPr="00000000" w14:paraId="0000010A">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B">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promotor del proyecto o quien asumiere sus funciones, será el responsable de coordinar y consolidar la demanda de estacionamientos y de gestionar su oportuna provisión. </w:t>
      </w:r>
    </w:p>
    <w:p w:rsidR="00000000" w:rsidDel="00000000" w:rsidP="00000000" w:rsidRDefault="00000000" w:rsidRPr="00000000" w14:paraId="0000010C">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D">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Como mínimo el 30% de los estacionamientos privados que exige la norma serán cubiertos.</w:t>
      </w:r>
    </w:p>
    <w:p w:rsidR="00000000" w:rsidDel="00000000" w:rsidP="00000000" w:rsidRDefault="00000000" w:rsidRPr="00000000" w14:paraId="0000010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VI</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REDES DE INFRAESTRUCTURA Y SERVICIOS BÁSICOS</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113">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17.- Redes y Servicios Básicos. -</w:t>
      </w:r>
      <w:r w:rsidDel="00000000" w:rsidR="00000000" w:rsidRPr="00000000">
        <w:rPr>
          <w:rFonts w:ascii="Calibri" w:cs="Calibri" w:eastAsia="Calibri" w:hAnsi="Calibri"/>
          <w:sz w:val="22"/>
          <w:szCs w:val="22"/>
          <w:vertAlign w:val="baseline"/>
          <w:rtl w:val="0"/>
        </w:rPr>
        <w:t xml:space="preserve"> Los servicios públicos de agua potable, alcantarillado, red eléctrica, y telecomunicaciones se habilitarán y serán construidos por el promotor a su costo, según las regulaciones y especificaciones técnicas de la municipalidad y/o empresas de servicios. La red y servicios básicos deberán conectarse al sistema de agua potable y alcantarillado respectivamente, bajo ningún motivo podrá contemplar ninguna solución del sistema que afecte al río monjas y sus retiros de quebrada. </w:t>
      </w:r>
    </w:p>
    <w:p w:rsidR="00000000" w:rsidDel="00000000" w:rsidP="00000000" w:rsidRDefault="00000000" w:rsidRPr="00000000" w14:paraId="00000114">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1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alumbrado público, la red eléctrica y de telecomunicaciones se realizarán con el soterramiento de todos los cables, conforme a la normativa vigente y obteniendo todas las autorizaciones de las entidades competentes.</w:t>
      </w:r>
    </w:p>
    <w:p w:rsidR="00000000" w:rsidDel="00000000" w:rsidP="00000000" w:rsidRDefault="00000000" w:rsidRPr="00000000" w14:paraId="00000116">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7">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dotación de servicios públicos se realizará cumpliendo las siguientes determinaciones:</w:t>
      </w:r>
    </w:p>
    <w:p w:rsidR="00000000" w:rsidDel="00000000" w:rsidP="00000000" w:rsidRDefault="00000000" w:rsidRPr="00000000" w14:paraId="00000118">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9">
      <w:pPr>
        <w:numPr>
          <w:ilvl w:val="0"/>
          <w:numId w:val="7"/>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Red de agua potable:</w:t>
      </w:r>
      <w:r w:rsidDel="00000000" w:rsidR="00000000" w:rsidRPr="00000000">
        <w:rPr>
          <w:rFonts w:ascii="Calibri" w:cs="Calibri" w:eastAsia="Calibri" w:hAnsi="Calibri"/>
          <w:sz w:val="22"/>
          <w:szCs w:val="22"/>
          <w:vertAlign w:val="baseline"/>
          <w:rtl w:val="0"/>
        </w:rPr>
        <w:t xml:space="preserve"> El promotor construirá a su costo el sistema de provisión de agua potable. El sistema contará con la aprobación de la Empresa Pública Metropolitana de Agua Potable y Saneamiento. El sistema de agua potable contará con accesorios para el ahorro en el consumo de agua y mecanismos de identificación de fugas. La red de hidrantes será incorporada a las vías y espacios públicos del proyecto para el acceso adecuado del Cuerpo de Bomberos. </w:t>
      </w:r>
    </w:p>
    <w:p w:rsidR="00000000" w:rsidDel="00000000" w:rsidP="00000000" w:rsidRDefault="00000000" w:rsidRPr="00000000" w14:paraId="0000011A">
      <w:pPr>
        <w:numPr>
          <w:ilvl w:val="0"/>
          <w:numId w:val="7"/>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Red de Alcantarillado y Tratamiento</w:t>
      </w:r>
      <w:r w:rsidDel="00000000" w:rsidR="00000000" w:rsidRPr="00000000">
        <w:rPr>
          <w:rFonts w:ascii="Calibri" w:cs="Calibri" w:eastAsia="Calibri" w:hAnsi="Calibri"/>
          <w:sz w:val="22"/>
          <w:szCs w:val="22"/>
          <w:vertAlign w:val="baseline"/>
          <w:rtl w:val="0"/>
        </w:rPr>
        <w:t xml:space="preserve">: El promotor construirá a su costo un sistema separado de aguas lluvias y aguas servidas con los sistemas de tratamiento necesarios. El sistema contará con la aprobación de la Empresa Pública Metropolitana de Agua Potable y Saneamiento. </w:t>
      </w:r>
    </w:p>
    <w:p w:rsidR="00000000" w:rsidDel="00000000" w:rsidP="00000000" w:rsidRDefault="00000000" w:rsidRPr="00000000" w14:paraId="0000011B">
      <w:pPr>
        <w:numPr>
          <w:ilvl w:val="0"/>
          <w:numId w:val="7"/>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Red eléctrica</w:t>
      </w:r>
      <w:r w:rsidDel="00000000" w:rsidR="00000000" w:rsidRPr="00000000">
        <w:rPr>
          <w:rFonts w:ascii="Calibri" w:cs="Calibri" w:eastAsia="Calibri" w:hAnsi="Calibri"/>
          <w:sz w:val="22"/>
          <w:szCs w:val="22"/>
          <w:vertAlign w:val="baseline"/>
          <w:rtl w:val="0"/>
        </w:rPr>
        <w:t xml:space="preserve">: El promotor construirá a su costo la red para proveer la energía necesaria para el desarrollo del proyecto. La provisión del servicio será responsabilidad de la Empresa Eléctrica Quito como parte del servicio eléctrico para el sector. El sistema contará con la aprobación de la EEQ. </w:t>
      </w:r>
    </w:p>
    <w:p w:rsidR="00000000" w:rsidDel="00000000" w:rsidP="00000000" w:rsidRDefault="00000000" w:rsidRPr="00000000" w14:paraId="0000011C">
      <w:pPr>
        <w:numPr>
          <w:ilvl w:val="0"/>
          <w:numId w:val="7"/>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Alumbrado Público y telecomunicaciones:</w:t>
      </w:r>
      <w:r w:rsidDel="00000000" w:rsidR="00000000" w:rsidRPr="00000000">
        <w:rPr>
          <w:rFonts w:ascii="Calibri" w:cs="Calibri" w:eastAsia="Calibri" w:hAnsi="Calibri"/>
          <w:sz w:val="22"/>
          <w:szCs w:val="22"/>
          <w:vertAlign w:val="baseline"/>
          <w:rtl w:val="0"/>
        </w:rPr>
        <w:t xml:space="preserve"> El promotor construirá a su costo la red de alumbrado público y telecomunicaciones bajo la normativa vigente para el efecto, el sistema contará con la aprobación de la entidad competente. </w:t>
      </w:r>
    </w:p>
    <w:p w:rsidR="00000000" w:rsidDel="00000000" w:rsidP="00000000" w:rsidRDefault="00000000" w:rsidRPr="00000000" w14:paraId="0000011D">
      <w:pPr>
        <w:numPr>
          <w:ilvl w:val="0"/>
          <w:numId w:val="7"/>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Mobiliario Urbano. -</w:t>
      </w:r>
      <w:r w:rsidDel="00000000" w:rsidR="00000000" w:rsidRPr="00000000">
        <w:rPr>
          <w:rFonts w:ascii="Calibri" w:cs="Calibri" w:eastAsia="Calibri" w:hAnsi="Calibri"/>
          <w:sz w:val="22"/>
          <w:szCs w:val="22"/>
          <w:vertAlign w:val="baseline"/>
          <w:rtl w:val="0"/>
        </w:rPr>
        <w:t xml:space="preserve"> La provisión y ubicación de mobiliario urbano se realizará a costo del promotor y cumplirá con lo establecido en las Normas y estándares del Municipio del Distrito Metropolitano de Quito establecidos para el efecto.</w:t>
      </w:r>
    </w:p>
    <w:p w:rsidR="00000000" w:rsidDel="00000000" w:rsidP="00000000" w:rsidRDefault="00000000" w:rsidRPr="00000000" w14:paraId="0000011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Artículo 18.- Disposición final de residuos.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en forma general contempla dos momentos para el manejo de residuos: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567" w:right="49"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26"/>
        </w:tabs>
        <w:spacing w:after="0" w:before="0" w:line="276" w:lineRule="auto"/>
        <w:ind w:left="1080" w:right="4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la fase de construcción de viviendas.</w:t>
      </w:r>
    </w:p>
    <w:p w:rsidR="00000000" w:rsidDel="00000000" w:rsidP="00000000" w:rsidRDefault="00000000" w:rsidRPr="00000000" w14:paraId="000001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26"/>
        </w:tabs>
        <w:spacing w:after="0" w:before="0" w:line="276" w:lineRule="auto"/>
        <w:ind w:left="1080" w:right="4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la fase operación de viviendas.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la fase de construcción de viviendas, se ha previsto establecer sitios para el manejo de residuos sólidos producidos durante las diferentes fases de construcción, estos sitios dispondrán de acceso y maniobra de vehículos para carga y descarga de material de construcción, los mismos que posteriormente se dirigirán a escombreras autorizadas por EMGIRS; y por otro lado, un sitio de almacenamiento para el aprovechamiento de material residual reutilizable, identificado por parte de gestores ambientales. Todos estos sitios estarán rotulados como depósito de madera, vidrio, concreto, hierro y asfalto, con el fin de minimizar y mitigar impactos ambientales conforme lo establece el libro IV.3 del Ambiente Título I De la Prevención y Control del Medio Ambiente, Capítulo 1 Del Sistema de Gestión Integral de Residuos Sólidos de la Ordenanza Metropolitana No. 001 del Código Municipal para el Distrito Metropolitano de Quito. Con relación al movimiento de tierra o de suelo fértil, este será distribuido en la zona de protección para ser utilizado en el mejoramiento de suelo e iniciar el proceso de reforestación que permita consolidar el corredor verde próximo al río Monjas. Es importante mencionar que el suelo removido será utilizado también para nivelar y formar relieves que mejoren suelos y drenajes de parques, bosquetes y zona de recuperación de suelo en las distintas plataformas.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Así también durante la fase de construcción del proyecto se prevé ubicar en un área única la planta de producción.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la fase de operación, los recipientes o contenedores de desechos domiciliarios se instalarán en sitios de fácil acceso de vehículos de recolección de basura o reciclaje, estos sitios estarán diseñados para compartir el espacio en plazas, parques y bosquetes y tendrán acceso peatonal y al servicio de recolección de basura por parte de EMASEO. Es importante mencionar que los contenedores cumplirán con los estándares conforme la normativa vigente establecidos por EMASEO, para carga y descarga de residuos inorgánicos comunes y desechos inorgánico-reciclables (plásticos, vidrios, metales, papeles y cartones).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Artículo 19.- Manejo de residuos orgánicos.-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relación al manejo de residuos orgánicos producto de residuos domiciliarios y podas se establecerá un sitio de acopio para el almacenamiento y tratamiento, como abono orgánico, el mismo que será distribuido en el área verde del proyecto.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cumplir con este propósito la administración de la urbanización elaborará un manual de tratamiento de residuos orgánicos, a partir de la construcción y ocupación del primer conjunto habitacional. El plano de las ubicaciones sugeridas de acopio de residuos esta graficada en el Plano No. 10 Ubicación de centros de acopio de basura, Anexo 2.</w:t>
      </w:r>
    </w:p>
    <w:p w:rsidR="00000000" w:rsidDel="00000000" w:rsidP="00000000" w:rsidRDefault="00000000" w:rsidRPr="00000000" w14:paraId="0000012D">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VII</w:t>
      </w:r>
    </w:p>
    <w:p w:rsidR="00000000" w:rsidDel="00000000" w:rsidP="00000000" w:rsidRDefault="00000000" w:rsidRPr="00000000" w14:paraId="0000012F">
      <w:pPr>
        <w:rP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LAS EDIFICACIONES</w:t>
      </w:r>
    </w:p>
    <w:p w:rsidR="00000000" w:rsidDel="00000000" w:rsidP="00000000" w:rsidRDefault="00000000" w:rsidRPr="00000000" w14:paraId="00000131">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2">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20.- Normas específicas para las edificaciones.-</w:t>
      </w:r>
      <w:r w:rsidDel="00000000" w:rsidR="00000000" w:rsidRPr="00000000">
        <w:rPr>
          <w:rFonts w:ascii="Calibri" w:cs="Calibri" w:eastAsia="Calibri" w:hAnsi="Calibri"/>
          <w:sz w:val="22"/>
          <w:szCs w:val="22"/>
          <w:vertAlign w:val="baseline"/>
          <w:rtl w:val="0"/>
        </w:rPr>
        <w:t xml:space="preserve"> Las edificaciones del Proyecto se someterán a las siguientes normas específicas; y en todo lo no especificado, a la normativa metropolitana y nacional, vigentes. </w:t>
      </w:r>
    </w:p>
    <w:p w:rsidR="00000000" w:rsidDel="00000000" w:rsidP="00000000" w:rsidRDefault="00000000" w:rsidRPr="00000000" w14:paraId="00000133">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edificaciones no exhibirán muros sin ventanas hacia los espacios públicos, ni hacia los espacios comunales del interior de las manzanas.</w:t>
      </w:r>
    </w:p>
    <w:p w:rsidR="00000000" w:rsidDel="00000000" w:rsidP="00000000" w:rsidRDefault="00000000" w:rsidRPr="00000000" w14:paraId="000001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proyectos arquitectónicos se desarrollarán como un solo conjunto en cada predio, no obstante, podrán ser construidos y desarrollados por etapas.</w:t>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ubicar los secaderos de ropa en exteriores en la terraza del último piso, se establecerán retiros de al menos 2,00 metros medidos a partir del perímetro de la edificación o se construirán antepechos de 1,80 metros para delimitar el área de lavandería; si en ellas se construyen cubiertas, estas serán con estructuras livianas y se realizarán las estrategias necesarias para que no sean visibles desde el exterior. En ningún caso se permitirá la consolidación de un piso adicional para secaderos; en caso de que las zonas de lavado se encuentren en el interior de las viviendas, podrán desarrollarse en continuidad con las cocinas, sin que estas tengan que aumentar su superficie mínima.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21.- Dimensiones y Áreas Mínimas Útiles de Locales de Vivienda.- </w:t>
      </w:r>
      <w:r w:rsidDel="00000000" w:rsidR="00000000" w:rsidRPr="00000000">
        <w:rPr>
          <w:rFonts w:ascii="Calibri" w:cs="Calibri" w:eastAsia="Calibri" w:hAnsi="Calibri"/>
          <w:sz w:val="22"/>
          <w:szCs w:val="22"/>
          <w:vertAlign w:val="baseline"/>
          <w:rtl w:val="0"/>
        </w:rPr>
        <w:t xml:space="preserve">Las dimensiones y áreas mínimas de los locales de vivienda popular, sea de interés social o interés público, serán las de la normativa vigente, con las siguientes consideraciones: </w:t>
      </w:r>
    </w:p>
    <w:p w:rsidR="00000000" w:rsidDel="00000000" w:rsidP="00000000" w:rsidRDefault="00000000" w:rsidRPr="00000000" w14:paraId="0000013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altura mínima libre, piso-techo interior de viviendas será de al menos 2,40 m.  </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altura mínima libre interior de las zonas comunales será de al menos 2,60 m, cuando éstas no se sitúen en una planta de viviendas, pues en este caso podrá cumplir la altura mínima para viviendas indicada en el literal “a”.</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22.- Áreas Recreativas Comunales en los lotes. -</w:t>
      </w:r>
      <w:r w:rsidDel="00000000" w:rsidR="00000000" w:rsidRPr="00000000">
        <w:rPr>
          <w:rFonts w:ascii="Calibri" w:cs="Calibri" w:eastAsia="Calibri" w:hAnsi="Calibri"/>
          <w:sz w:val="22"/>
          <w:szCs w:val="22"/>
          <w:vertAlign w:val="baseline"/>
          <w:rtl w:val="0"/>
        </w:rPr>
        <w:t xml:space="preserve">En los macrolotes o predios a declararse en propiedad horizontal la superficie resultante de área recreativa comunal será la que rige para el DMQ al momento de aprobación de la presente ordenanza.</w:t>
      </w:r>
    </w:p>
    <w:p w:rsidR="00000000" w:rsidDel="00000000" w:rsidP="00000000" w:rsidRDefault="00000000" w:rsidRPr="00000000" w14:paraId="0000013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F">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áreas verdes comunales serán dimensionadas de acuerdo con la normativa municipal. Las áreas verdes comunales se computarán como tales mientras no resulten espacios residuales o inutilizables para sus fines específicos, sin que por esto deban limitarse a un número predeterminado de cuerpos.  </w:t>
      </w:r>
    </w:p>
    <w:p w:rsidR="00000000" w:rsidDel="00000000" w:rsidP="00000000" w:rsidRDefault="00000000" w:rsidRPr="00000000" w14:paraId="00000140">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proyecto de ubicación y detalle de mobiliario urbano debe estar incorporado al proyecto arquitectónico de cada conjunto, respondiendo a los siguientes criterios generales: </w:t>
      </w:r>
    </w:p>
    <w:p w:rsidR="00000000" w:rsidDel="00000000" w:rsidP="00000000" w:rsidRDefault="00000000" w:rsidRPr="00000000" w14:paraId="00000141">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2">
      <w:pPr>
        <w:numPr>
          <w:ilvl w:val="0"/>
          <w:numId w:val="13"/>
        </w:numPr>
        <w:tabs>
          <w:tab w:val="left" w:pos="426"/>
        </w:tabs>
        <w:spacing w:after="0" w:line="276" w:lineRule="auto"/>
        <w:ind w:left="1146"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se permite colocar contenedores de los conjuntos habitacionales en las aceras.      Deberá el proyecto prever un espacio adecuado para el efecto. </w:t>
      </w:r>
    </w:p>
    <w:p w:rsidR="00000000" w:rsidDel="00000000" w:rsidP="00000000" w:rsidRDefault="00000000" w:rsidRPr="00000000" w14:paraId="00000143">
      <w:pPr>
        <w:numPr>
          <w:ilvl w:val="0"/>
          <w:numId w:val="13"/>
        </w:numPr>
        <w:tabs>
          <w:tab w:val="left" w:pos="426"/>
        </w:tabs>
        <w:spacing w:after="0" w:line="276" w:lineRule="auto"/>
        <w:ind w:left="1146"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guardianías o cualquier equipamiento de beneficio de los conjuntos habitacionales, pueden ubicarse solamente dentro del área de propiedad particular y no en las aceras.</w:t>
      </w:r>
    </w:p>
    <w:p w:rsidR="00000000" w:rsidDel="00000000" w:rsidP="00000000" w:rsidRDefault="00000000" w:rsidRPr="00000000" w14:paraId="00000144">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Dotaciones mínimas: Al interior de los conjuntos habitacionales debe colocarse el siguiente equipamiento: </w:t>
      </w:r>
    </w:p>
    <w:p w:rsidR="00000000" w:rsidDel="00000000" w:rsidP="00000000" w:rsidRDefault="00000000" w:rsidRPr="00000000" w14:paraId="00000146">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7">
      <w:pPr>
        <w:numPr>
          <w:ilvl w:val="0"/>
          <w:numId w:val="14"/>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Arborización: mínimo un árbol por cada vivienda, a sembrar en las áreas comunales y aceras, con su respectivo protector. </w:t>
      </w:r>
    </w:p>
    <w:p w:rsidR="00000000" w:rsidDel="00000000" w:rsidP="00000000" w:rsidRDefault="00000000" w:rsidRPr="00000000" w14:paraId="00000148">
      <w:pPr>
        <w:numPr>
          <w:ilvl w:val="0"/>
          <w:numId w:val="14"/>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Bancas: disponibilidad de asientos para una persona por cada siete viviendas.</w:t>
      </w:r>
    </w:p>
    <w:p w:rsidR="00000000" w:rsidDel="00000000" w:rsidP="00000000" w:rsidRDefault="00000000" w:rsidRPr="00000000" w14:paraId="00000149">
      <w:pPr>
        <w:numPr>
          <w:ilvl w:val="0"/>
          <w:numId w:val="14"/>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Papeleras: mínimo a razón de una por cada diez viviendas, a instalar en áreas comunales y aceras. </w:t>
      </w:r>
    </w:p>
    <w:p w:rsidR="00000000" w:rsidDel="00000000" w:rsidP="00000000" w:rsidRDefault="00000000" w:rsidRPr="00000000" w14:paraId="0000014A">
      <w:pPr>
        <w:numPr>
          <w:ilvl w:val="0"/>
          <w:numId w:val="14"/>
        </w:numPr>
        <w:tabs>
          <w:tab w:val="left" w:pos="426"/>
        </w:tabs>
        <w:spacing w:after="0"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Postes metálicos para las luminarias de acuerdo a la norma.</w:t>
      </w:r>
    </w:p>
    <w:p w:rsidR="00000000" w:rsidDel="00000000" w:rsidP="00000000" w:rsidRDefault="00000000" w:rsidRPr="00000000" w14:paraId="0000014B">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VIII</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EXONERACIÓN Y COMPROMISOS DEL PROYECTO</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shd w:fill="ffffff" w:val="clear"/>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Artículo 23.- Exoneración y Aportes del promotor.-  </w:t>
      </w:r>
      <w:r w:rsidDel="00000000" w:rsidR="00000000" w:rsidRPr="00000000">
        <w:rPr>
          <w:rFonts w:ascii="Calibri" w:cs="Calibri" w:eastAsia="Calibri" w:hAnsi="Calibri"/>
          <w:sz w:val="22"/>
          <w:szCs w:val="22"/>
          <w:vertAlign w:val="baseline"/>
          <w:rtl w:val="0"/>
        </w:rPr>
        <w:t xml:space="preserve">En base a lo determinado en el artículo 72 de la Ley Orgánica de Ordenamiento Territorial, Uso y Gestión de Suelo, el Proyecto Urbanístico Arquitectónico Especial está exento del pago de la concesión onerosa de derechos de clasificación, uso y zonificación, los proyectos públicos y/o privados de vivienda de interés social (VIS). No obstante, el promotor asumirá los siguientes compromisos:</w:t>
      </w:r>
    </w:p>
    <w:p w:rsidR="00000000" w:rsidDel="00000000" w:rsidP="00000000" w:rsidRDefault="00000000" w:rsidRPr="00000000" w14:paraId="00000151">
      <w:pPr>
        <w:shd w:fill="ffffff" w:val="clear"/>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49"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Área verde central.- Se gestionará la consecución de los árboles nativos u ornamentales que se utilizarán en su perímetro y coordinará las tareas relativas a su plantación y siembra con los promotores o constructores a cargo de los conjuntos habitacionales.</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4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Obras de protección.- Se ejecutarán conforme al «Estudio de suelos para el diseño y construcción de un plan habitacional», que consta en el Anexo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presente ordenanza.</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establece que los cortes de las zanjas para la construcción de las zapatas y de los muros deben protegerse, durante el período de construcción, del humedecimiento de las caras de los taludes para evitar su desmoronamiento y erosión. Esta protección puede ser provista por la colocación de plásticos, que impermeabilicen las caras de las paredes formadas mientras dure su exposición, para minimizar la erosión eólica e hidráulica, en especial en temporadas de lluvia. Debido a la baja resistencia a la erosión y socavación que presentan los limos y las arenas del sector, se recomienda tener un especial cuidado en las instalaciones y conexiones de las tuberías de aguas potables y servidas bajo el área de construcción. El lecho de las cajas de revisión y de las tuberías debe estar protegido mediante una capa del suelo natural, bien compactado o a su vez de una cama de hormigón o de mezcla de suelo mejorado.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76" w:lineRule="auto"/>
        <w:ind w:left="765" w:right="4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Aportes en relación con el ambiente. Se han establecido los siguientes: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40" w:right="49" w:hanging="430.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propuesta de reforestación: El promotor buscará favorecer la vegetación nativa y se utilizarán jardines para fortalecer la Red Verde en el sector. Se considerará la posibilidad de utilizar los lodos remanentes como abono para las áreas verdes.</w:t>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40" w:right="49" w:hanging="430.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propuesta de uso y eficiencia de agua: El promotor solicitará la ratificación de aprovechamiento de agua para riego a SENAGUA; y contemplará generar diseños de calzada que direccione el agua lluvia hacia las áreas verdes. El promotor buscará una alternativa de tratamiento de aguas residuales que cumplirá con los parámetros establecidos por la normativa ambiental, sólo en caso de que no exista factibilidad de conexión a la red pública del sistema de interceptores por parte de la EPMAPS. Se estudiará la posibilidad en la selección de equipos e instalaciones hidráulicas con tecnologías diseñadas con criterios de ahorro y eficiencia en el consumo de agua</w:t>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40" w:right="49" w:hanging="430.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propuesta de Residuos Sólidos: El promotor solicitará la factibilidad del servicio a EMASEO. Respecto de la Disposición final de Residuos inorgánicos y orgánicos, como se indica en el siguiente artículo.</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DISPOSICIONES GENERALES</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Primera. - </w:t>
      </w:r>
      <w:r w:rsidDel="00000000" w:rsidR="00000000" w:rsidRPr="00000000">
        <w:rPr>
          <w:rFonts w:ascii="Calibri" w:cs="Calibri" w:eastAsia="Calibri" w:hAnsi="Calibri"/>
          <w:sz w:val="22"/>
          <w:szCs w:val="22"/>
          <w:vertAlign w:val="baseline"/>
          <w:rtl w:val="0"/>
        </w:rPr>
        <w:t xml:space="preserve">Los procedimientos administrativos para la implementación del proyecto quedan sujetos al régimen vigente. </w:t>
      </w:r>
    </w:p>
    <w:p w:rsidR="00000000" w:rsidDel="00000000" w:rsidP="00000000" w:rsidRDefault="00000000" w:rsidRPr="00000000" w14:paraId="00000161">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Segunda.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Integran esta ordenanza los siguientes anexos: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567" w:right="49"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Anexo 1: Cuadros de la Memoria Técnica del proyecto que sustentan este instrumento,</w:t>
      </w:r>
    </w:p>
    <w:p w:rsidR="00000000" w:rsidDel="00000000" w:rsidP="00000000" w:rsidRDefault="00000000" w:rsidRPr="00000000" w14:paraId="0000016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Anexo 2: Planos del estudio urbano que sustentan este instrumento.</w:t>
      </w:r>
    </w:p>
    <w:p w:rsidR="00000000" w:rsidDel="00000000" w:rsidP="00000000" w:rsidRDefault="00000000" w:rsidRPr="00000000" w14:paraId="00000166">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Anexo 3: Estudio de suelo para el diseño y construcción de un plan habitacional, que se deberá ejecutar para obras de protección, de acuerdo con la letra c) del artículo 21 de los «Aportes del Promotor» de este instrumento.</w:t>
      </w:r>
    </w:p>
    <w:p w:rsidR="00000000" w:rsidDel="00000000" w:rsidP="00000000" w:rsidRDefault="00000000" w:rsidRPr="00000000" w14:paraId="00000167">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8">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Tercera. -</w:t>
      </w:r>
      <w:r w:rsidDel="00000000" w:rsidR="00000000" w:rsidRPr="00000000">
        <w:rPr>
          <w:rFonts w:ascii="Calibri" w:cs="Calibri" w:eastAsia="Calibri" w:hAnsi="Calibri"/>
          <w:sz w:val="22"/>
          <w:szCs w:val="22"/>
          <w:vertAlign w:val="baseline"/>
          <w:rtl w:val="0"/>
        </w:rPr>
        <w:t xml:space="preserve">  Los aspectos técnicos no previstos en la presente ordenanza, serán resueltos por el órgano responsable del Territorio, Hábitat y Vivienda del Municipio del Distrito Metropolitano de Quito, de conformidad a la normativa vigente, como también aprobar cambios que no alteren la configuración urbanística y normativa del proyecto.</w:t>
      </w:r>
    </w:p>
    <w:p w:rsidR="00000000" w:rsidDel="00000000" w:rsidP="00000000" w:rsidRDefault="00000000" w:rsidRPr="00000000" w14:paraId="0000016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Cuarta.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El análisis y aprobación de los proyectos constructivos, así como cualquiera de sus formas alternativas de ocupación o implantación arquitectónica de las diversas manzanas, respecto de lo especificado como referencial en los planos urbanísticos de la presente ordenanza, le corresponderá a la unidad administrativa zonal y/o entidad colaboradora correspondiente, de acuerdo a lo especificado en el código metropolitano vigente.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Quinta.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implantaciones de las edificaciones que se hacen constar en los planos anexos a esta ordenanza son referenciales y ellas están sujetas en todos sus aspectos a las previsiones contenidas en esta ordenanza.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Sexta.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El proyecto se desarrollará en etapas de acuerdo con la planificación de implementación del Proyecto por parte del promotor. Así mismo, en cada etapa se considerará el desarrollo escalonado de sub etapas de acuerdo con las necesidades de nuevas habilitaciones del suelo o de la declaratoria de propiedad horizontal por edificación de acuerdo con el ordenamiento jurídico vigente y los diseños específicos para cada lote.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obras de infraestructura y de equipamientos públicos se desarrollarán progresivamente conforme se ejecuten las etapas y sub etapas del proyecto, de acuerdo con el cronograma de obras.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Séptima.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área en donde se desarrolla el Proyecto Urbanístico Arquitectónico Especial “Bosques de la Pampa”, únicamente se podrá construir vivienda popular, sea de interés social y/o de interés público, calificada como tal por el órgano nacional competente, en cumplimiento de la normativa nacional y metropolitana vigente.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expedirán licencias metropolitanas urbanísticas de edificación (LMU 20) para proyectos que no cumplan con este requisito.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Octava.</w:t>
      </w:r>
      <w:r w:rsidDel="00000000" w:rsidR="00000000" w:rsidRPr="00000000">
        <w:rPr>
          <w:rFonts w:ascii="Calibri" w:cs="Calibri" w:eastAsia="Calibri" w:hAnsi="Calibri"/>
          <w:sz w:val="22"/>
          <w:szCs w:val="22"/>
          <w:vertAlign w:val="baseline"/>
          <w:rtl w:val="0"/>
        </w:rPr>
        <w:t xml:space="preserve"> - Al momento que se transfieren las vías al MDMQ, la gestión de los estacionamientos públicos en la vía pública se regirá por la norma municipal vigente y estará a cargo de la empresa metropolitana competente. </w:t>
      </w:r>
    </w:p>
    <w:p w:rsidR="00000000" w:rsidDel="00000000" w:rsidP="00000000" w:rsidRDefault="00000000" w:rsidRPr="00000000" w14:paraId="00000177">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8">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Novena.-</w:t>
      </w:r>
      <w:r w:rsidDel="00000000" w:rsidR="00000000" w:rsidRPr="00000000">
        <w:rPr>
          <w:rFonts w:ascii="Calibri" w:cs="Calibri" w:eastAsia="Calibri" w:hAnsi="Calibri"/>
          <w:sz w:val="22"/>
          <w:szCs w:val="22"/>
          <w:vertAlign w:val="baseline"/>
          <w:rtl w:val="0"/>
        </w:rPr>
        <w:t xml:space="preserve"> Las áreas verdes y de equipamiento comunal se entregarán a la Municipalidad en el momento de la inscripción de la correspondiente licencia metropolitana urbanístico (LMU10) para la  habilitación del suelo en el Registro de la Propiedad.</w:t>
      </w:r>
    </w:p>
    <w:p w:rsidR="00000000" w:rsidDel="00000000" w:rsidP="00000000" w:rsidRDefault="00000000" w:rsidRPr="00000000" w14:paraId="0000017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A">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Décima.-</w:t>
      </w:r>
      <w:r w:rsidDel="00000000" w:rsidR="00000000" w:rsidRPr="00000000">
        <w:rPr>
          <w:rFonts w:ascii="Calibri" w:cs="Calibri" w:eastAsia="Calibri" w:hAnsi="Calibri"/>
          <w:sz w:val="22"/>
          <w:szCs w:val="22"/>
          <w:vertAlign w:val="baseline"/>
          <w:rtl w:val="0"/>
        </w:rPr>
        <w:t xml:space="preserve"> El presente Proyecto Urbanístico Arquitectónico Especial se exonera del pago de Contribución Onerosa de Derechos únicamente en las áreas destinadas a Vivienda de Interés Social determinadas por el ente rector nacional de hábitat y vivienda. Las áreas del proyectoque no tengan esta calificación deberán cancelar el valor por Concesión Onerosa de Derechos en base a lo determinado en la normativa general vigente para el Distrito Metropolitano de Quito, previo a su respectivo licenciamiento de construcción (LMU 20). </w:t>
      </w:r>
    </w:p>
    <w:p w:rsidR="00000000" w:rsidDel="00000000" w:rsidP="00000000" w:rsidRDefault="00000000" w:rsidRPr="00000000" w14:paraId="0000017B">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C">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Décima Primera</w:t>
      </w:r>
      <w:r w:rsidDel="00000000" w:rsidR="00000000" w:rsidRPr="00000000">
        <w:rPr>
          <w:rFonts w:ascii="Calibri" w:cs="Calibri" w:eastAsia="Calibri" w:hAnsi="Calibri"/>
          <w:sz w:val="22"/>
          <w:szCs w:val="22"/>
          <w:vertAlign w:val="baseline"/>
          <w:rtl w:val="0"/>
        </w:rPr>
        <w:t xml:space="preserve">: Previo al respectivo licenciamiento que permita la habilitación del suelo en el predio Nro. 416286, el Promotor deberá realizar el estudio de fallas tectónicas, que garanticen la estabilidad estructural de las construcciones a ser implantadas en el proyecto. </w:t>
      </w:r>
    </w:p>
    <w:p w:rsidR="00000000" w:rsidDel="00000000" w:rsidP="00000000" w:rsidRDefault="00000000" w:rsidRPr="00000000" w14:paraId="0000017D">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Décima Segunda</w:t>
      </w:r>
      <w:r w:rsidDel="00000000" w:rsidR="00000000" w:rsidRPr="00000000">
        <w:rPr>
          <w:rFonts w:ascii="Calibri" w:cs="Calibri" w:eastAsia="Calibri" w:hAnsi="Calibri"/>
          <w:sz w:val="22"/>
          <w:szCs w:val="22"/>
          <w:vertAlign w:val="baseline"/>
          <w:rtl w:val="0"/>
        </w:rPr>
        <w:t xml:space="preserve">: La aprobación de la presente Ordenanza no constituye la licencia para la habilitación del suelo en este proyecto. El procedimiento para la habilitación del suelo en un PUAE está establecido en el anexo 4 de la Ordenanza Metropolitana Nro. 044-2022 que contiene el Régimen Administrativo del Suelo para el DMQ.</w:t>
      </w:r>
    </w:p>
    <w:p w:rsidR="00000000" w:rsidDel="00000000" w:rsidP="00000000" w:rsidRDefault="00000000" w:rsidRPr="00000000" w14:paraId="0000017F">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0">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DISPOSICIONES TRANSITORIAS</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Primera. -</w:t>
      </w:r>
      <w:r w:rsidDel="00000000" w:rsidR="00000000" w:rsidRPr="00000000">
        <w:rPr>
          <w:rFonts w:ascii="Calibri" w:cs="Calibri" w:eastAsia="Calibri" w:hAnsi="Calibri"/>
          <w:sz w:val="22"/>
          <w:szCs w:val="22"/>
          <w:vertAlign w:val="baseline"/>
          <w:rtl w:val="0"/>
        </w:rPr>
        <w:t xml:space="preserve"> Una vez aprobada la ordenanza, en un plazo de 90 días, el promotor coordinará con la Administración Zonal las tipologías de equipamientos públicos que deberá ejecutar de acuerdo con las necesidades y déficit de la zona. Su diseño y ejecución dependerá de las condiciones establecidas en la programación de obra.</w:t>
      </w:r>
    </w:p>
    <w:p w:rsidR="00000000" w:rsidDel="00000000" w:rsidP="00000000" w:rsidRDefault="00000000" w:rsidRPr="00000000" w14:paraId="00000184">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DISPOSICIONES DEROGATORIAS</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5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Única.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Deróguese la Ordenanza Metropolitana No. 341, sancionada el 10 de enero de 2013 que aprobó el Proyecto Urbano Arquitectónico Especial “Sol Quito - Oasis”.</w:t>
      </w:r>
    </w:p>
    <w:p w:rsidR="00000000" w:rsidDel="00000000" w:rsidP="00000000" w:rsidRDefault="00000000" w:rsidRPr="00000000" w14:paraId="00000189">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A">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B">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DISPOSICIÓN FINAL</w:t>
      </w:r>
      <w:r w:rsidDel="00000000" w:rsidR="00000000" w:rsidRPr="00000000">
        <w:rPr>
          <w:rtl w:val="0"/>
        </w:rPr>
      </w:r>
    </w:p>
    <w:p w:rsidR="00000000" w:rsidDel="00000000" w:rsidP="00000000" w:rsidRDefault="00000000" w:rsidRPr="00000000" w14:paraId="0000018C">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D">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Esta Ordenanza entrará en vigencia a partir de la fecha de su respectiva sanción, sin perjuicio de su publicación en la Gaceta Oficial y página web institucional del municipio.  </w:t>
      </w:r>
    </w:p>
    <w:p w:rsidR="00000000" w:rsidDel="00000000" w:rsidP="00000000" w:rsidRDefault="00000000" w:rsidRPr="00000000" w14:paraId="0000018E">
      <w:pPr>
        <w:tabs>
          <w:tab w:val="left" w:pos="426"/>
        </w:tabs>
        <w:spacing w:after="0"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Dada en la Sala de Sesiones del Concejo Metropolitano, el………de……………………de 2022</w:t>
      </w: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Cuadros de la Memoria Técnica del proyecto.</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426" w:right="-1" w:hanging="426"/>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Cuadro No. 1: Linderos del predio</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426" w:right="-1" w:hanging="426"/>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60720" cy="1626235"/>
            <wp:effectExtent b="0" l="0" r="0" t="0"/>
            <wp:docPr id="103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760720" cy="1626235"/>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5">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6">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Cuadro No. 2 - Superficies PUAE Bosques de la Pampa</w:t>
      </w:r>
      <w:r w:rsidDel="00000000" w:rsidR="00000000" w:rsidRPr="00000000">
        <w:rPr>
          <w:rtl w:val="0"/>
        </w:rPr>
      </w:r>
    </w:p>
    <w:p w:rsidR="00000000" w:rsidDel="00000000" w:rsidP="00000000" w:rsidRDefault="00000000" w:rsidRPr="00000000" w14:paraId="00000197">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tbl>
      <w:tblPr>
        <w:tblStyle w:val="Table1"/>
        <w:tblW w:w="9286.0" w:type="dxa"/>
        <w:jc w:val="left"/>
        <w:tblInd w:w="-108.0" w:type="dxa"/>
        <w:tblLayout w:type="fixed"/>
        <w:tblLook w:val="0000"/>
      </w:tblPr>
      <w:tblGrid>
        <w:gridCol w:w="495"/>
        <w:gridCol w:w="4318"/>
        <w:gridCol w:w="1792"/>
        <w:gridCol w:w="2681"/>
        <w:tblGridChange w:id="0">
          <w:tblGrid>
            <w:gridCol w:w="495"/>
            <w:gridCol w:w="4318"/>
            <w:gridCol w:w="1792"/>
            <w:gridCol w:w="2681"/>
          </w:tblGrid>
        </w:tblGridChange>
      </w:tblGrid>
      <w:tr>
        <w:trPr>
          <w:cantSplit w:val="1"/>
          <w:trHeight w:val="39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DEL AREA BRUTA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44546a" w:val="clear"/>
            <w:vAlign w:val="center"/>
          </w:tcPr>
          <w:p w:rsidR="00000000" w:rsidDel="00000000" w:rsidP="00000000" w:rsidRDefault="00000000" w:rsidRPr="00000000" w14:paraId="0000019A">
            <w:pPr>
              <w:spacing w:after="0" w:line="276" w:lineRule="auto"/>
              <w:jc w:val="center"/>
              <w:rPr>
                <w:rFonts w:ascii="Calibri" w:cs="Calibri" w:eastAsia="Calibri" w:hAnsi="Calibri"/>
                <w:b w:val="0"/>
                <w:color w:val="ffffff"/>
                <w:sz w:val="22"/>
                <w:szCs w:val="22"/>
                <w:vertAlign w:val="baseline"/>
              </w:rPr>
            </w:pPr>
            <w:r w:rsidDel="00000000" w:rsidR="00000000" w:rsidRPr="00000000">
              <w:rPr>
                <w:rFonts w:ascii="Calibri" w:cs="Calibri" w:eastAsia="Calibri" w:hAnsi="Calibri"/>
                <w:b w:val="1"/>
                <w:color w:val="ffffff"/>
                <w:sz w:val="22"/>
                <w:szCs w:val="22"/>
                <w:vertAlign w:val="baseline"/>
                <w:rtl w:val="0"/>
              </w:rPr>
              <w:t xml:space="preserve">AREA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44546a" w:val="clear"/>
            <w:vAlign w:val="center"/>
          </w:tcPr>
          <w:p w:rsidR="00000000" w:rsidDel="00000000" w:rsidP="00000000" w:rsidRDefault="00000000" w:rsidRPr="00000000" w14:paraId="0000019B">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r>
      <w:tr>
        <w:trPr>
          <w:cantSplit w:val="1"/>
          <w:trHeight w:val="60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center"/>
          </w:tcPr>
          <w:p w:rsidR="00000000" w:rsidDel="00000000" w:rsidP="00000000" w:rsidRDefault="00000000" w:rsidRPr="00000000" w14:paraId="0000019E">
            <w:pPr>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(m²)</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center"/>
          </w:tcPr>
          <w:p w:rsidR="00000000" w:rsidDel="00000000" w:rsidP="00000000" w:rsidRDefault="00000000" w:rsidRPr="00000000" w14:paraId="0000019F">
            <w:pPr>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RESPECTO AL AREA BRUTA</w:t>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0">
            <w:pPr>
              <w:spacing w:after="0" w:line="276"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A1">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ÁREA BRUTA A URBANIZAR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A2">
            <w:pPr>
              <w:spacing w:after="0" w:line="276" w:lineRule="auto"/>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217.772,79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A3">
            <w:pPr>
              <w:spacing w:after="0" w:line="276" w:lineRule="auto"/>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100,00%</w:t>
            </w: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4">
            <w:pPr>
              <w:spacing w:after="0" w:line="276" w:lineRule="auto"/>
              <w:jc w:val="right"/>
              <w:rPr>
                <w:rFonts w:ascii="Calibri" w:cs="Calibri" w:eastAsia="Calibri" w:hAnsi="Calibri"/>
                <w:b w:val="0"/>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5">
            <w:pPr>
              <w:spacing w:after="0" w:line="276" w:lineRule="auto"/>
              <w:jc w:val="center"/>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6">
            <w:pPr>
              <w:spacing w:after="0" w:line="276" w:lineRule="auto"/>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7">
            <w:pPr>
              <w:spacing w:after="0" w:line="276" w:lineRule="auto"/>
              <w:rPr>
                <w:rFonts w:ascii="Calibri" w:cs="Calibri" w:eastAsia="Calibri" w:hAnsi="Calibri"/>
                <w:sz w:val="22"/>
                <w:szCs w:val="22"/>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A8">
            <w:pPr>
              <w:spacing w:after="0" w:line="276"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A9">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AFECTACIONES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bdd7ee" w:val="clear"/>
          </w:tcPr>
          <w:p w:rsidR="00000000" w:rsidDel="00000000" w:rsidP="00000000" w:rsidRDefault="00000000" w:rsidRPr="00000000" w14:paraId="000001AA">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shd w:fill="bdd7ee" w:val="clear"/>
          </w:tcPr>
          <w:p w:rsidR="00000000" w:rsidDel="00000000" w:rsidP="00000000" w:rsidRDefault="00000000" w:rsidRPr="00000000" w14:paraId="000001AB">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C">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VÍA ARTERIAL C. GALARZA (25m)</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E">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3.471,87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F">
            <w:pPr>
              <w:spacing w:after="0" w:line="276" w:lineRule="auto"/>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1,60%</w:t>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0">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1">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VÍA COLECTORA S. BOLIVAR (17,25m)</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2">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1.280,27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3">
            <w:pPr>
              <w:spacing w:after="0"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0,59%</w:t>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4">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5">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PROTECCIÓN RÍO MONJAS (50m)</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6">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18.115,72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7">
            <w:pPr>
              <w:spacing w:after="0"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8,32%</w:t>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8">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9">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PROTECCIÓN ECOLOGICA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A">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12.567,70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B">
            <w:pPr>
              <w:spacing w:after="0"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5,77%</w:t>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C">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D">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PROTECCIÓN DE TALUD*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E">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4.321,05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F">
            <w:pPr>
              <w:spacing w:after="0"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1,98%</w:t>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0">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1">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TALUD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2">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11.625,84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3">
            <w:pPr>
              <w:spacing w:after="0"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5,34%</w:t>
            </w:r>
          </w:p>
        </w:tc>
      </w:tr>
      <w:tr>
        <w:trPr>
          <w:cantSplit w:val="0"/>
          <w:trHeight w:val="311" w:hRule="atLeast"/>
          <w:tblHeader w:val="0"/>
        </w:trPr>
        <w:tc>
          <w:tcPr>
            <w:tcBorders>
              <w:top w:color="000000" w:space="0" w:sz="0" w:val="nil"/>
              <w:left w:color="000000" w:space="0" w:sz="4" w:val="single"/>
              <w:bottom w:color="000000" w:space="0" w:sz="4" w:val="single"/>
              <w:right w:color="000000" w:space="0" w:sz="0" w:val="nil"/>
            </w:tcBorders>
            <w:shd w:fill="bdd7ee" w:val="clear"/>
            <w:vAlign w:val="center"/>
          </w:tcPr>
          <w:p w:rsidR="00000000" w:rsidDel="00000000" w:rsidP="00000000" w:rsidRDefault="00000000" w:rsidRPr="00000000" w14:paraId="000001C4">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4" w:val="single"/>
              <w:left w:color="000000" w:space="0" w:sz="0" w:val="nil"/>
              <w:bottom w:color="000000" w:space="0" w:sz="4" w:val="single"/>
              <w:right w:color="000000" w:space="0" w:sz="0" w:val="nil"/>
            </w:tcBorders>
            <w:shd w:fill="bdd7ee" w:val="clear"/>
            <w:vAlign w:val="center"/>
          </w:tcPr>
          <w:p w:rsidR="00000000" w:rsidDel="00000000" w:rsidP="00000000" w:rsidRDefault="00000000" w:rsidRPr="00000000" w14:paraId="000001C5">
            <w:pPr>
              <w:spacing w:after="0" w:line="276" w:lineRule="auto"/>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6">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51.382,45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7">
            <w:pPr>
              <w:spacing w:after="0" w:line="276" w:lineRule="auto"/>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23,60%</w:t>
            </w:r>
            <w:r w:rsidDel="00000000" w:rsidR="00000000" w:rsidRPr="00000000">
              <w:rPr>
                <w:rtl w:val="0"/>
              </w:rPr>
            </w:r>
          </w:p>
        </w:tc>
      </w:tr>
      <w:tr>
        <w:trPr>
          <w:cantSplit w:val="0"/>
          <w:trHeight w:val="29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C8">
            <w:pPr>
              <w:spacing w:after="0" w:line="276" w:lineRule="auto"/>
              <w:jc w:val="right"/>
              <w:rPr>
                <w:rFonts w:ascii="Calibri" w:cs="Calibri" w:eastAsia="Calibri" w:hAnsi="Calibri"/>
                <w:b w:val="0"/>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C9">
            <w:pPr>
              <w:spacing w:after="0" w:line="276" w:lineRule="auto"/>
              <w:jc w:val="center"/>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CA">
            <w:pPr>
              <w:spacing w:after="0" w:line="276" w:lineRule="auto"/>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CB">
            <w:pPr>
              <w:spacing w:after="0" w:line="276" w:lineRule="auto"/>
              <w:rPr>
                <w:rFonts w:ascii="Calibri" w:cs="Calibri" w:eastAsia="Calibri" w:hAnsi="Calibri"/>
                <w:sz w:val="22"/>
                <w:szCs w:val="22"/>
                <w:vertAlign w:val="baseline"/>
              </w:rPr>
            </w:pPr>
            <w:r w:rsidDel="00000000" w:rsidR="00000000" w:rsidRPr="00000000">
              <w:rPr>
                <w:rtl w:val="0"/>
              </w:rPr>
            </w:r>
          </w:p>
        </w:tc>
      </w:tr>
      <w:tr>
        <w:trPr>
          <w:cantSplit w:val="0"/>
          <w:trHeight w:val="410"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C">
            <w:pPr>
              <w:spacing w:after="0" w:line="276"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D">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AREA TOTAL DE VÍAS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E">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32.366,95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F">
            <w:pPr>
              <w:spacing w:after="0" w:line="276" w:lineRule="auto"/>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14,86%</w:t>
            </w:r>
            <w:r w:rsidDel="00000000" w:rsidR="00000000" w:rsidRPr="00000000">
              <w:rPr>
                <w:rtl w:val="0"/>
              </w:rPr>
            </w:r>
          </w:p>
        </w:tc>
      </w:tr>
      <w:tr>
        <w:trPr>
          <w:cantSplit w:val="0"/>
          <w:trHeight w:val="41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0">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1">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AREA DE VIAS A CONTABILIZAR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2">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30.221,69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3">
            <w:pPr>
              <w:spacing w:after="0" w:line="276" w:lineRule="auto"/>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13,88%</w:t>
            </w:r>
          </w:p>
        </w:tc>
      </w:tr>
      <w:tr>
        <w:trPr>
          <w:cantSplit w:val="0"/>
          <w:trHeight w:val="41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4">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5">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AREA DE VIA EN PROTECCIÓN DE TALUD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6">
            <w:pPr>
              <w:spacing w:after="0"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1.620,54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7">
            <w:pPr>
              <w:spacing w:after="0" w:line="276" w:lineRule="auto"/>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0,74%</w:t>
            </w:r>
          </w:p>
        </w:tc>
      </w:tr>
      <w:tr>
        <w:trPr>
          <w:cantSplit w:val="0"/>
          <w:trHeight w:val="297"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8">
            <w:pPr>
              <w:spacing w:after="0" w:line="276" w:lineRule="auto"/>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9">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AREA DE VIA SOBRE PROTECCIÓN ECOLÓGICA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A">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524,72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B">
            <w:pPr>
              <w:spacing w:after="0" w:line="276" w:lineRule="auto"/>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0,24%</w:t>
            </w:r>
          </w:p>
        </w:tc>
      </w:tr>
      <w:tr>
        <w:trPr>
          <w:cantSplit w:val="0"/>
          <w:trHeight w:val="29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DC">
            <w:pPr>
              <w:spacing w:after="0" w:line="276" w:lineRule="auto"/>
              <w:jc w:val="right"/>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D">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E">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F">
            <w:pPr>
              <w:spacing w:after="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r>
      <w:tr>
        <w:trPr>
          <w:cantSplit w:val="0"/>
          <w:trHeight w:val="410"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E0">
            <w:pPr>
              <w:spacing w:after="0" w:line="276" w:lineRule="auto"/>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E1">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AUU: ÁREA ÚTIL (NETA) URBANIZABLE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E2">
            <w:pPr>
              <w:spacing w:after="0" w:line="276"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134.023,39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E3">
            <w:pPr>
              <w:spacing w:after="0" w:line="276" w:lineRule="auto"/>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61,54%</w:t>
            </w:r>
            <w:r w:rsidDel="00000000" w:rsidR="00000000" w:rsidRPr="00000000">
              <w:rPr>
                <w:rtl w:val="0"/>
              </w:rPr>
            </w:r>
          </w:p>
        </w:tc>
      </w:tr>
    </w:tbl>
    <w:p w:rsidR="00000000" w:rsidDel="00000000" w:rsidP="00000000" w:rsidRDefault="00000000" w:rsidRPr="00000000" w14:paraId="000001E4">
      <w:pPr>
        <w:tabs>
          <w:tab w:val="left" w:pos="426"/>
        </w:tabs>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Cuadro N° 2A.- Área de lotes a Catastrar</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50560" cy="8578850"/>
            <wp:effectExtent b="0" l="0" r="0" t="0"/>
            <wp:docPr id="103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50560" cy="8578850"/>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EB">
      <w:pPr>
        <w:tabs>
          <w:tab w:val="left" w:pos="426"/>
        </w:tabs>
        <w:spacing w:after="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5750560" cy="1416685"/>
            <wp:effectExtent b="0" l="0" r="0" t="0"/>
            <wp:docPr id="1038"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750560" cy="1416685"/>
                    </a:xfrm>
                    <a:prstGeom prst="rect"/>
                    <a:ln/>
                  </pic:spPr>
                </pic:pic>
              </a:graphicData>
            </a:graphic>
          </wp:inline>
        </w:drawing>
      </w:r>
      <w:r w:rsidDel="00000000" w:rsidR="00000000" w:rsidRPr="00000000">
        <w:rPr>
          <w:rtl w:val="0"/>
        </w:rPr>
      </w:r>
    </w:p>
    <w:p w:rsidR="00000000" w:rsidDel="00000000" w:rsidP="00000000" w:rsidRDefault="00000000" w:rsidRPr="00000000" w14:paraId="000001EC">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D">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E">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Cuadro No. 3 – Áreas de Cesión al MDMQ</w:t>
      </w:r>
      <w:r w:rsidDel="00000000" w:rsidR="00000000" w:rsidRPr="00000000">
        <w:rPr>
          <w:rtl w:val="0"/>
        </w:rPr>
      </w:r>
    </w:p>
    <w:p w:rsidR="00000000" w:rsidDel="00000000" w:rsidP="00000000" w:rsidRDefault="00000000" w:rsidRPr="00000000" w14:paraId="000001EF">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58180" cy="4627245"/>
            <wp:effectExtent b="0" l="0" r="0" t="0"/>
            <wp:docPr id="1037"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58180" cy="4627245"/>
                    </a:xfrm>
                    <a:prstGeom prst="rect"/>
                    <a:ln/>
                  </pic:spPr>
                </pic:pic>
              </a:graphicData>
            </a:graphic>
          </wp:inline>
        </w:drawing>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2">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3">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Área útil transferible al municipio              = 26.287,55 m2</w:t>
      </w:r>
    </w:p>
    <w:p w:rsidR="00000000" w:rsidDel="00000000" w:rsidP="00000000" w:rsidRDefault="00000000" w:rsidRPr="00000000" w14:paraId="000001F4">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Área en protección de talud y en talud     = 1.576,54 m2</w:t>
      </w:r>
    </w:p>
    <w:p w:rsidR="00000000" w:rsidDel="00000000" w:rsidP="00000000" w:rsidRDefault="00000000" w:rsidRPr="00000000" w14:paraId="000001F5">
      <w:pPr>
        <w:tabs>
          <w:tab w:val="left" w:pos="426"/>
        </w:tabs>
        <w:spacing w:after="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Área Total Bruta a transferir al municipio = 27.864, 09 m2</w:t>
      </w:r>
    </w:p>
    <w:p w:rsidR="00000000" w:rsidDel="00000000" w:rsidP="00000000" w:rsidRDefault="00000000" w:rsidRPr="00000000" w14:paraId="000001F6">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7">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8">
      <w:pPr>
        <w:tabs>
          <w:tab w:val="left" w:pos="426"/>
        </w:tabs>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9">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CUADRO N°. 4 Superficies y linderos</w:t>
      </w:r>
      <w:r w:rsidDel="00000000" w:rsidR="00000000" w:rsidRPr="00000000">
        <w:rPr>
          <w:rtl w:val="0"/>
        </w:rPr>
      </w:r>
    </w:p>
    <w:p w:rsidR="00000000" w:rsidDel="00000000" w:rsidP="00000000" w:rsidRDefault="00000000" w:rsidRPr="00000000" w14:paraId="000001FA">
      <w:pPr>
        <w:tabs>
          <w:tab w:val="left" w:pos="426"/>
        </w:tabs>
        <w:spacing w:after="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5427980" cy="8366760"/>
            <wp:effectExtent b="0" l="0" r="0" t="0"/>
            <wp:docPr id="104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27980" cy="8366760"/>
                    </a:xfrm>
                    <a:prstGeom prst="rect"/>
                    <a:ln/>
                  </pic:spPr>
                </pic:pic>
              </a:graphicData>
            </a:graphic>
          </wp:inline>
        </w:drawing>
      </w:r>
      <w:r w:rsidDel="00000000" w:rsidR="00000000" w:rsidRPr="00000000">
        <w:rPr>
          <w:rtl w:val="0"/>
        </w:rPr>
      </w:r>
    </w:p>
    <w:p w:rsidR="00000000" w:rsidDel="00000000" w:rsidP="00000000" w:rsidRDefault="00000000" w:rsidRPr="00000000" w14:paraId="000001FB">
      <w:pPr>
        <w:tabs>
          <w:tab w:val="left" w:pos="426"/>
        </w:tabs>
        <w:spacing w:after="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5758180" cy="4055110"/>
            <wp:effectExtent b="0" l="0" r="0" t="0"/>
            <wp:docPr id="103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758180" cy="4055110"/>
                    </a:xfrm>
                    <a:prstGeom prst="rect"/>
                    <a:ln/>
                  </pic:spPr>
                </pic:pic>
              </a:graphicData>
            </a:graphic>
          </wp:inline>
        </w:drawing>
      </w:r>
      <w:r w:rsidDel="00000000" w:rsidR="00000000" w:rsidRPr="00000000">
        <w:rPr>
          <w:rtl w:val="0"/>
        </w:rPr>
      </w:r>
    </w:p>
    <w:p w:rsidR="00000000" w:rsidDel="00000000" w:rsidP="00000000" w:rsidRDefault="00000000" w:rsidRPr="00000000" w14:paraId="000001FC">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D">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E">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F">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0">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1">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2">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3">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4">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5">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6">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7">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8">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9">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A">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B">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C">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D">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E">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F">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0">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1">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2">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3">
      <w:pPr>
        <w:tabs>
          <w:tab w:val="left" w:pos="426"/>
          <w:tab w:val="left" w:pos="2268"/>
        </w:tabs>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4">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CUADRO 4C.- Usos de equipamientos</w:t>
      </w:r>
      <w:r w:rsidDel="00000000" w:rsidR="00000000" w:rsidRPr="00000000">
        <w:rPr>
          <w:rtl w:val="0"/>
        </w:rPr>
      </w:r>
    </w:p>
    <w:p w:rsidR="00000000" w:rsidDel="00000000" w:rsidP="00000000" w:rsidRDefault="00000000" w:rsidRPr="00000000" w14:paraId="00000215">
      <w:pPr>
        <w:tabs>
          <w:tab w:val="left" w:pos="426"/>
          <w:tab w:val="left" w:pos="2268"/>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6">
      <w:pPr>
        <w:tabs>
          <w:tab w:val="left" w:pos="426"/>
          <w:tab w:val="left" w:pos="2268"/>
        </w:tabs>
        <w:spacing w:after="0" w:line="276" w:lineRule="auto"/>
        <w:jc w:val="both"/>
        <w:rPr>
          <w:rFonts w:ascii="Calibri" w:cs="Calibri" w:eastAsia="Calibri" w:hAnsi="Calibri"/>
          <w:b w:val="0"/>
          <w:sz w:val="22"/>
          <w:szCs w:val="22"/>
          <w:highlight w:val="yellow"/>
          <w:vertAlign w:val="baseline"/>
        </w:rPr>
      </w:pPr>
      <w:r w:rsidDel="00000000" w:rsidR="00000000" w:rsidRPr="00000000">
        <w:rPr>
          <w:rFonts w:ascii="Calibri" w:cs="Calibri" w:eastAsia="Calibri" w:hAnsi="Calibri"/>
          <w:sz w:val="22"/>
          <w:szCs w:val="22"/>
          <w:vertAlign w:val="baseline"/>
        </w:rPr>
        <w:drawing>
          <wp:inline distB="0" distT="0" distL="114300" distR="114300">
            <wp:extent cx="5758180" cy="2173605"/>
            <wp:effectExtent b="0" l="0" r="0" t="0"/>
            <wp:docPr id="104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758180" cy="2173605"/>
                    </a:xfrm>
                    <a:prstGeom prst="rect"/>
                    <a:ln/>
                  </pic:spPr>
                </pic:pic>
              </a:graphicData>
            </a:graphic>
          </wp:inline>
        </w:drawing>
      </w:r>
      <w:r w:rsidDel="00000000" w:rsidR="00000000" w:rsidRPr="00000000">
        <w:rPr>
          <w:rtl w:val="0"/>
        </w:rPr>
      </w:r>
    </w:p>
    <w:p w:rsidR="00000000" w:rsidDel="00000000" w:rsidP="00000000" w:rsidRDefault="00000000" w:rsidRPr="00000000" w14:paraId="00000217">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8">
      <w:pPr>
        <w:tabs>
          <w:tab w:val="left" w:pos="426"/>
        </w:tabs>
        <w:spacing w:after="0"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9">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Cuadro No. 5. Usos del Suelo permitidos y no permitidos</w:t>
      </w:r>
      <w:r w:rsidDel="00000000" w:rsidR="00000000" w:rsidRPr="00000000">
        <w:rPr>
          <w:rtl w:val="0"/>
        </w:rPr>
      </w:r>
    </w:p>
    <w:p w:rsidR="00000000" w:rsidDel="00000000" w:rsidP="00000000" w:rsidRDefault="00000000" w:rsidRPr="00000000" w14:paraId="0000021A">
      <w:pPr>
        <w:tabs>
          <w:tab w:val="left" w:pos="426"/>
        </w:tabs>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B">
      <w:pPr>
        <w:tabs>
          <w:tab w:val="left" w:pos="426"/>
        </w:tabs>
        <w:spacing w:after="0"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5753100" cy="3720465"/>
            <wp:effectExtent b="0" l="0" r="0" t="0"/>
            <wp:docPr id="104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53100" cy="3720465"/>
                    </a:xfrm>
                    <a:prstGeom prst="rect"/>
                    <a:ln/>
                  </pic:spPr>
                </pic:pic>
              </a:graphicData>
            </a:graphic>
          </wp:inline>
        </w:drawing>
      </w:r>
      <w:r w:rsidDel="00000000" w:rsidR="00000000" w:rsidRPr="00000000">
        <w:rPr>
          <w:rtl w:val="0"/>
        </w:rPr>
      </w:r>
    </w:p>
    <w:p w:rsidR="00000000" w:rsidDel="00000000" w:rsidP="00000000" w:rsidRDefault="00000000" w:rsidRPr="00000000" w14:paraId="0000021C">
      <w:pPr>
        <w:tabs>
          <w:tab w:val="left" w:pos="426"/>
        </w:tabs>
        <w:spacing w:after="0" w:line="276" w:lineRule="auto"/>
        <w:jc w:val="both"/>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Cuadro No. 6.  Forma de ocupación y edificabilidad</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56275" cy="7042785"/>
            <wp:effectExtent b="0" l="0" r="0" t="0"/>
            <wp:docPr id="1045"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756275" cy="7042785"/>
                    </a:xfrm>
                    <a:prstGeom prst="rect"/>
                    <a:ln/>
                  </pic:spPr>
                </pic:pic>
              </a:graphicData>
            </a:graphic>
          </wp:inline>
        </w:drawing>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9">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A">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B">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C">
      <w:pPr>
        <w:spacing w:after="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D">
      <w:pPr>
        <w:spacing w:after="0"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Cuadro No. 7. Parámetros de diseño del Sistema Vial Local</w:t>
      </w:r>
      <w:r w:rsidDel="00000000" w:rsidR="00000000" w:rsidRPr="00000000">
        <w:rPr>
          <w:rtl w:val="0"/>
        </w:rPr>
      </w:r>
    </w:p>
    <w:p w:rsidR="00000000" w:rsidDel="00000000" w:rsidP="00000000" w:rsidRDefault="00000000" w:rsidRPr="00000000" w14:paraId="0000022E">
      <w:pPr>
        <w:spacing w:after="0" w:line="276"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114300" distR="114300">
            <wp:extent cx="5757545" cy="1202690"/>
            <wp:effectExtent b="0" l="0" r="0" t="0"/>
            <wp:docPr id="104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757545" cy="1202690"/>
                    </a:xfrm>
                    <a:prstGeom prst="rect"/>
                    <a:ln/>
                  </pic:spPr>
                </pic:pic>
              </a:graphicData>
            </a:graphic>
          </wp:inline>
        </w:drawing>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4">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5">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6">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7">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8">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9">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A">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B">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C">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D">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E">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F">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0">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1">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2">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2. </w:t>
      </w:r>
    </w:p>
    <w:p w:rsidR="00000000" w:rsidDel="00000000" w:rsidP="00000000" w:rsidRDefault="00000000" w:rsidRPr="00000000" w14:paraId="00000255">
      <w:pPr>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6">
      <w:pPr>
        <w:tabs>
          <w:tab w:val="left" w:pos="426"/>
        </w:tabs>
        <w:spacing w:after="0" w:line="276" w:lineRule="auto"/>
        <w:ind w:right="49"/>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PLANOS DEL ESTUDIO URBANO PARA EL PROYECTO URBANÍSTICO ARQUITECTÓNICO ESPECIAL BOSQUES DE LA PAMPA</w:t>
      </w:r>
      <w:r w:rsidDel="00000000" w:rsidR="00000000" w:rsidRPr="00000000">
        <w:rPr>
          <w:rtl w:val="0"/>
        </w:rPr>
      </w:r>
    </w:p>
    <w:p w:rsidR="00000000" w:rsidDel="00000000" w:rsidP="00000000" w:rsidRDefault="00000000" w:rsidRPr="00000000" w14:paraId="00000257">
      <w:pPr>
        <w:tabs>
          <w:tab w:val="left" w:pos="426"/>
        </w:tabs>
        <w:spacing w:after="0" w:line="276" w:lineRule="auto"/>
        <w:ind w:right="49"/>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58">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UBICACIÓN Y ARTICULACIÓN</w:t>
      </w:r>
    </w:p>
    <w:p w:rsidR="00000000" w:rsidDel="00000000" w:rsidP="00000000" w:rsidRDefault="00000000" w:rsidRPr="00000000" w14:paraId="00000259">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TOPOGRAFÍA: ESTADO PREVIO </w:t>
      </w:r>
    </w:p>
    <w:p w:rsidR="00000000" w:rsidDel="00000000" w:rsidP="00000000" w:rsidRDefault="00000000" w:rsidRPr="00000000" w14:paraId="0000025A">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CARACTERÍSTICAS GENERALES</w:t>
      </w:r>
    </w:p>
    <w:p w:rsidR="00000000" w:rsidDel="00000000" w:rsidP="00000000" w:rsidRDefault="00000000" w:rsidRPr="00000000" w14:paraId="0000025B">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ÁREAS Y LINDEROS DE LOTES</w:t>
      </w:r>
    </w:p>
    <w:p w:rsidR="00000000" w:rsidDel="00000000" w:rsidP="00000000" w:rsidRDefault="00000000" w:rsidRPr="00000000" w14:paraId="0000025C">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USOS DE SUELO</w:t>
      </w:r>
    </w:p>
    <w:p w:rsidR="00000000" w:rsidDel="00000000" w:rsidP="00000000" w:rsidRDefault="00000000" w:rsidRPr="00000000" w14:paraId="0000025D">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FORMAS DE OCUPACION Y ALTURA DE EDIFICACION</w:t>
      </w:r>
    </w:p>
    <w:p w:rsidR="00000000" w:rsidDel="00000000" w:rsidP="00000000" w:rsidRDefault="00000000" w:rsidRPr="00000000" w14:paraId="0000025E">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PLANO VIAL (incluye adjunto de secciones de vías)</w:t>
      </w:r>
    </w:p>
    <w:p w:rsidR="00000000" w:rsidDel="00000000" w:rsidP="00000000" w:rsidRDefault="00000000" w:rsidRPr="00000000" w14:paraId="0000025F">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AREAS VERDES Y EQUIPAMIENTOS</w:t>
      </w:r>
    </w:p>
    <w:p w:rsidR="00000000" w:rsidDel="00000000" w:rsidP="00000000" w:rsidRDefault="00000000" w:rsidRPr="00000000" w14:paraId="00000260">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DETALLE DE AREAS VERDES Y EQUIPAMIENTOS</w:t>
      </w:r>
    </w:p>
    <w:p w:rsidR="00000000" w:rsidDel="00000000" w:rsidP="00000000" w:rsidRDefault="00000000" w:rsidRPr="00000000" w14:paraId="00000261">
      <w:pPr>
        <w:numPr>
          <w:ilvl w:val="0"/>
          <w:numId w:val="10"/>
        </w:numPr>
        <w:tabs>
          <w:tab w:val="left" w:pos="426"/>
        </w:tabs>
        <w:spacing w:after="0" w:line="276" w:lineRule="auto"/>
        <w:ind w:left="0" w:right="4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UBICACIÓN DE CENTROS DE ACOPIO DE BASURA.</w:t>
      </w:r>
    </w:p>
    <w:p w:rsidR="00000000" w:rsidDel="00000000" w:rsidP="00000000" w:rsidRDefault="00000000" w:rsidRPr="00000000" w14:paraId="00000262">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3">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4">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5">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6">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7">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8">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9">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A">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B">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C">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D">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E">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F">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0">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1">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2">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3">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4">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5">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6">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7">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8">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9">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A">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B">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C">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D">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E">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F">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3.  Estudio de suelo para el diseño y construcción de un plan habitacional, que se deberá ejecutar para obras de protección, de acuerdo con la letra c) del artículo 21 de los «Aportes del Promotor».</w:t>
      </w:r>
    </w:p>
    <w:p w:rsidR="00000000" w:rsidDel="00000000" w:rsidP="00000000" w:rsidRDefault="00000000" w:rsidRPr="00000000" w14:paraId="00000281">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82">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83">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84">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85">
      <w:pPr>
        <w:tabs>
          <w:tab w:val="left" w:pos="426"/>
        </w:tabs>
        <w:spacing w:after="0" w:line="276" w:lineRule="auto"/>
        <w:rPr>
          <w:rFonts w:ascii="Calibri" w:cs="Calibri" w:eastAsia="Calibri" w:hAnsi="Calibri"/>
          <w:sz w:val="22"/>
          <w:szCs w:val="22"/>
          <w:vertAlign w:val="baseline"/>
        </w:rPr>
      </w:pPr>
      <w:r w:rsidDel="00000000" w:rsidR="00000000" w:rsidRPr="00000000">
        <w:rPr>
          <w:rtl w:val="0"/>
        </w:rPr>
      </w:r>
    </w:p>
    <w:sectPr>
      <w:footerReference r:id="rId18" w:type="default"/>
      <w:pgSz w:h="16838" w:w="11906" w:orient="portrait"/>
      <w:pgMar w:bottom="1134"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Roman"/>
      <w:lvlText w:val="(%1)"/>
      <w:lvlJc w:val="left"/>
      <w:pPr>
        <w:ind w:left="1140" w:hanging="720"/>
      </w:pPr>
      <w:rPr>
        <w:b w:val="0"/>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Zero"/>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C"/>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16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Título1">
    <w:name w:val="Título 1"/>
    <w:basedOn w:val="Puesto"/>
    <w:next w:val="Normal"/>
    <w:autoRedefine w:val="0"/>
    <w:hidden w:val="0"/>
    <w:qFormat w:val="0"/>
    <w:pPr>
      <w:suppressAutoHyphens w:val="0"/>
      <w:spacing w:after="160" w:line="240" w:lineRule="auto"/>
      <w:ind w:left="0" w:leftChars="-1" w:rightChars="0" w:firstLine="0" w:firstLineChars="-1"/>
      <w:jc w:val="both"/>
      <w:textDirection w:val="btLr"/>
      <w:textAlignment w:val="top"/>
      <w:outlineLvl w:val="0"/>
    </w:pPr>
    <w:rPr>
      <w:rFonts w:ascii="Arial" w:cs="Arial" w:eastAsia="Arial Unicode MS" w:hAnsi="Arial"/>
      <w:b w:val="1"/>
      <w:w w:val="100"/>
      <w:kern w:val="1"/>
      <w:position w:val="-1"/>
      <w:sz w:val="22"/>
      <w:szCs w:val="22"/>
      <w:effect w:val="none"/>
      <w:vertAlign w:val="baseline"/>
      <w:cs w:val="0"/>
      <w:em w:val="none"/>
      <w:lang w:bidi="ar-SA" w:eastAsia="ar-SA" w:val="es-EC"/>
    </w:rPr>
  </w:style>
  <w:style w:type="paragraph" w:styleId="Título2">
    <w:name w:val="Título 2"/>
    <w:basedOn w:val="Textodebloque"/>
    <w:next w:val="Normal"/>
    <w:autoRedefine w:val="0"/>
    <w:hidden w:val="0"/>
    <w:qFormat w:val="0"/>
    <w:pPr>
      <w:suppressAutoHyphens w:val="1"/>
      <w:spacing w:after="160" w:line="240" w:lineRule="auto"/>
      <w:ind w:left="357" w:right="-1" w:leftChars="-1" w:rightChars="0" w:hanging="357" w:firstLineChars="-1"/>
      <w:jc w:val="both"/>
      <w:textDirection w:val="btLr"/>
      <w:textAlignment w:val="top"/>
      <w:outlineLvl w:val="1"/>
    </w:pPr>
    <w:rPr>
      <w:rFonts w:ascii="Arial" w:cs="Arial" w:eastAsia="Times New Roman" w:hAnsi="Arial"/>
      <w:b w:val="1"/>
      <w:w w:val="100"/>
      <w:kern w:val="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uesto">
    <w:name w:val="Puesto"/>
    <w:basedOn w:val="Normal"/>
    <w:next w:val="Normal"/>
    <w:autoRedefine w:val="0"/>
    <w:hidden w:val="0"/>
    <w:qFormat w:val="0"/>
    <w:pPr>
      <w:suppressAutoHyphens w:val="0"/>
      <w:spacing w:after="160" w:line="240" w:lineRule="auto"/>
      <w:ind w:left="357" w:leftChars="-1" w:rightChars="0" w:hanging="357" w:firstLineChars="-1"/>
      <w:jc w:val="both"/>
      <w:textDirection w:val="btLr"/>
      <w:textAlignment w:val="top"/>
      <w:outlineLvl w:val="0"/>
    </w:pPr>
    <w:rPr>
      <w:rFonts w:ascii="Arial" w:cs="Arial" w:eastAsia="Arial Unicode MS" w:hAnsi="Arial"/>
      <w:b w:val="1"/>
      <w:w w:val="100"/>
      <w:kern w:val="1"/>
      <w:position w:val="-1"/>
      <w:sz w:val="22"/>
      <w:szCs w:val="22"/>
      <w:effect w:val="none"/>
      <w:vertAlign w:val="baseline"/>
      <w:cs w:val="0"/>
      <w:em w:val="none"/>
      <w:lang w:bidi="ar-SA" w:eastAsia="ar-SA" w:val="es-EC"/>
    </w:rPr>
  </w:style>
  <w:style w:type="paragraph" w:styleId="Textodebloque">
    <w:name w:val="Texto de bloque"/>
    <w:basedOn w:val="Normal"/>
    <w:next w:val="Textodebloque"/>
    <w:autoRedefine w:val="0"/>
    <w:hidden w:val="0"/>
    <w:qFormat w:val="0"/>
    <w:pPr>
      <w:suppressAutoHyphens w:val="1"/>
      <w:spacing w:after="160" w:line="240" w:lineRule="atLeast"/>
      <w:ind w:left="567" w:right="49" w:leftChars="-1" w:rightChars="0" w:hanging="567" w:firstLineChars="-1"/>
      <w:jc w:val="both"/>
      <w:textDirection w:val="btLr"/>
      <w:textAlignment w:val="top"/>
      <w:outlineLvl w:val="0"/>
    </w:pPr>
    <w:rPr>
      <w:w w:val="100"/>
      <w:kern w:val="0"/>
      <w:position w:val="-1"/>
      <w:sz w:val="22"/>
      <w:szCs w:val="22"/>
      <w:effect w:val="none"/>
      <w:vertAlign w:val="baseline"/>
      <w:cs w:val="0"/>
      <w:em w:val="none"/>
      <w:lang w:bidi="ar-SA" w:eastAsia="es-ES" w:val="es-ES"/>
    </w:rPr>
  </w:style>
  <w:style w:type="paragraph" w:styleId="Índice1">
    <w:name w:val="Índice 1"/>
    <w:basedOn w:val="Normal"/>
    <w:next w:val="Normal"/>
    <w:autoRedefine w:val="0"/>
    <w:hidden w:val="0"/>
    <w:qFormat w:val="1"/>
    <w:pPr>
      <w:suppressAutoHyphens w:val="0"/>
      <w:spacing w:after="160" w:line="100" w:lineRule="atLeast"/>
      <w:ind w:left="24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Índice7">
    <w:name w:val="Índice 7"/>
    <w:basedOn w:val="Normal"/>
    <w:next w:val="Normal"/>
    <w:autoRedefine w:val="0"/>
    <w:hidden w:val="0"/>
    <w:qFormat w:val="1"/>
    <w:pPr>
      <w:suppressAutoHyphens w:val="0"/>
      <w:spacing w:after="160" w:line="100" w:lineRule="atLeast"/>
      <w:ind w:left="168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TDC1">
    <w:name w:val="TDC 1"/>
    <w:basedOn w:val="Normal"/>
    <w:next w:val="Normal"/>
    <w:autoRedefine w:val="0"/>
    <w:hidden w:val="0"/>
    <w:qFormat w:val="1"/>
    <w:pPr>
      <w:suppressAutoHyphens w:val="0"/>
      <w:spacing w:after="10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Índice4">
    <w:name w:val="Índice 4"/>
    <w:basedOn w:val="Normal"/>
    <w:next w:val="Normal"/>
    <w:autoRedefine w:val="0"/>
    <w:hidden w:val="0"/>
    <w:qFormat w:val="1"/>
    <w:pPr>
      <w:suppressAutoHyphens w:val="0"/>
      <w:spacing w:after="160" w:line="100" w:lineRule="atLeast"/>
      <w:ind w:left="96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TDC2">
    <w:name w:val="TDC 2"/>
    <w:basedOn w:val="Normal"/>
    <w:next w:val="Normal"/>
    <w:autoRedefine w:val="0"/>
    <w:hidden w:val="0"/>
    <w:qFormat w:val="1"/>
    <w:pPr>
      <w:suppressAutoHyphens w:val="0"/>
      <w:spacing w:after="100" w:line="100" w:lineRule="atLeast"/>
      <w:ind w:left="240"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Índice3">
    <w:name w:val="Índice 3"/>
    <w:basedOn w:val="Normal"/>
    <w:next w:val="Normal"/>
    <w:autoRedefine w:val="0"/>
    <w:hidden w:val="0"/>
    <w:qFormat w:val="1"/>
    <w:pPr>
      <w:suppressAutoHyphens w:val="0"/>
      <w:spacing w:after="160" w:line="100" w:lineRule="atLeast"/>
      <w:ind w:left="72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Índice8">
    <w:name w:val="Índice 8"/>
    <w:basedOn w:val="Normal"/>
    <w:next w:val="Normal"/>
    <w:autoRedefine w:val="0"/>
    <w:hidden w:val="0"/>
    <w:qFormat w:val="1"/>
    <w:pPr>
      <w:suppressAutoHyphens w:val="0"/>
      <w:spacing w:after="160" w:line="100" w:lineRule="atLeast"/>
      <w:ind w:left="192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Índice5">
    <w:name w:val="Índice 5"/>
    <w:basedOn w:val="Normal"/>
    <w:next w:val="Normal"/>
    <w:autoRedefine w:val="0"/>
    <w:hidden w:val="0"/>
    <w:qFormat w:val="1"/>
    <w:pPr>
      <w:suppressAutoHyphens w:val="0"/>
      <w:spacing w:after="160" w:line="100" w:lineRule="atLeast"/>
      <w:ind w:left="120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Índice2">
    <w:name w:val="Índice 2"/>
    <w:basedOn w:val="Normal"/>
    <w:next w:val="Normal"/>
    <w:autoRedefine w:val="0"/>
    <w:hidden w:val="0"/>
    <w:qFormat w:val="1"/>
    <w:pPr>
      <w:suppressAutoHyphens w:val="0"/>
      <w:spacing w:after="160" w:line="100" w:lineRule="atLeast"/>
      <w:ind w:left="48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Asuntodelcomentario">
    <w:name w:val="Asunto del comentario"/>
    <w:basedOn w:val="Textocomentario"/>
    <w:next w:val="Textocomentario"/>
    <w:autoRedefine w:val="0"/>
    <w:hidden w:val="0"/>
    <w:qFormat w:val="1"/>
    <w:pPr>
      <w:suppressAutoHyphens w:val="0"/>
      <w:spacing w:after="160" w:line="100" w:lineRule="atLeast"/>
      <w:ind w:leftChars="-1" w:rightChars="0" w:firstLineChars="-1"/>
      <w:textDirection w:val="btLr"/>
      <w:textAlignment w:val="top"/>
      <w:outlineLvl w:val="0"/>
    </w:pPr>
    <w:rPr>
      <w:b w:val="1"/>
      <w:bCs w:val="1"/>
      <w:w w:val="100"/>
      <w:kern w:val="1"/>
      <w:position w:val="-1"/>
      <w:sz w:val="20"/>
      <w:szCs w:val="20"/>
      <w:effect w:val="none"/>
      <w:vertAlign w:val="baseline"/>
      <w:cs w:val="0"/>
      <w:em w:val="none"/>
      <w:lang w:bidi="ar-SA" w:eastAsia="ar-SA" w:val="es-EC"/>
    </w:rPr>
  </w:style>
  <w:style w:type="paragraph" w:styleId="Textocomentario">
    <w:name w:val="Texto comentario"/>
    <w:basedOn w:val="Normal"/>
    <w:next w:val="Textocomentario"/>
    <w:autoRedefine w:val="0"/>
    <w:hidden w:val="0"/>
    <w:qFormat w:val="1"/>
    <w:pPr>
      <w:suppressAutoHyphens w:val="0"/>
      <w:spacing w:after="160" w:line="100"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ar-SA" w:val="es-EC"/>
    </w:rPr>
  </w:style>
  <w:style w:type="paragraph" w:styleId="Textodeglobo">
    <w:name w:val="Texto de globo"/>
    <w:basedOn w:val="Normal"/>
    <w:next w:val="Textodeglobo"/>
    <w:autoRedefine w:val="0"/>
    <w:hidden w:val="0"/>
    <w:qFormat w:val="0"/>
    <w:pPr>
      <w:suppressAutoHyphens w:val="0"/>
      <w:spacing w:after="160" w:line="240" w:lineRule="auto"/>
      <w:ind w:leftChars="-1" w:rightChars="0" w:firstLineChars="-1"/>
      <w:textDirection w:val="btLr"/>
      <w:textAlignment w:val="top"/>
      <w:outlineLvl w:val="0"/>
    </w:pPr>
    <w:rPr>
      <w:rFonts w:ascii="Tahoma" w:cs="Tahoma" w:eastAsia="Arial Unicode MS" w:hAnsi="Tahoma"/>
      <w:w w:val="100"/>
      <w:kern w:val="1"/>
      <w:position w:val="-1"/>
      <w:sz w:val="16"/>
      <w:szCs w:val="16"/>
      <w:effect w:val="none"/>
      <w:vertAlign w:val="baseline"/>
      <w:cs w:val="0"/>
      <w:em w:val="none"/>
      <w:lang w:bidi="ar-SA" w:eastAsia="ar-SA" w:val="es-EC"/>
    </w:rPr>
  </w:style>
  <w:style w:type="paragraph" w:styleId="Índice9">
    <w:name w:val="Índice 9"/>
    <w:basedOn w:val="Normal"/>
    <w:next w:val="Normal"/>
    <w:autoRedefine w:val="0"/>
    <w:hidden w:val="0"/>
    <w:qFormat w:val="1"/>
    <w:pPr>
      <w:suppressAutoHyphens w:val="0"/>
      <w:spacing w:after="160" w:line="100" w:lineRule="atLeast"/>
      <w:ind w:left="216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Índice6">
    <w:name w:val="Índice 6"/>
    <w:basedOn w:val="Normal"/>
    <w:next w:val="Normal"/>
    <w:autoRedefine w:val="0"/>
    <w:hidden w:val="0"/>
    <w:qFormat w:val="1"/>
    <w:pPr>
      <w:suppressAutoHyphens w:val="0"/>
      <w:spacing w:after="160" w:line="100" w:lineRule="atLeast"/>
      <w:ind w:left="1440" w:leftChars="-1" w:rightChars="0" w:hanging="240" w:firstLineChars="-1"/>
      <w:textDirection w:val="btLr"/>
      <w:textAlignment w:val="top"/>
      <w:outlineLvl w:val="0"/>
    </w:pPr>
    <w:rPr>
      <w:rFonts w:ascii="Calibri" w:cs="Calibri" w:eastAsia="Arial Unicode MS" w:hAnsi="Calibri"/>
      <w:w w:val="100"/>
      <w:kern w:val="1"/>
      <w:position w:val="-1"/>
      <w:sz w:val="18"/>
      <w:szCs w:val="18"/>
      <w:effect w:val="none"/>
      <w:vertAlign w:val="baseline"/>
      <w:cs w:val="0"/>
      <w:em w:val="none"/>
      <w:lang w:bidi="ar-SA" w:eastAsia="ar-SA" w:val="es-EC"/>
    </w:rPr>
  </w:style>
  <w:style w:type="paragraph" w:styleId="Títulodeíndice">
    <w:name w:val="Título de índice"/>
    <w:basedOn w:val="Normal"/>
    <w:next w:val="Índice1"/>
    <w:autoRedefine w:val="0"/>
    <w:hidden w:val="0"/>
    <w:qFormat w:val="1"/>
    <w:pPr>
      <w:suppressAutoHyphens w:val="0"/>
      <w:spacing w:after="120" w:before="240" w:line="100" w:lineRule="atLeast"/>
      <w:ind w:leftChars="-1" w:rightChars="0" w:firstLineChars="-1"/>
      <w:jc w:val="center"/>
      <w:textDirection w:val="btLr"/>
      <w:textAlignment w:val="top"/>
      <w:outlineLvl w:val="0"/>
    </w:pPr>
    <w:rPr>
      <w:rFonts w:ascii="Calibri" w:cs="Calibri" w:eastAsia="Arial Unicode MS" w:hAnsi="Calibri"/>
      <w:b w:val="1"/>
      <w:bCs w:val="1"/>
      <w:w w:val="100"/>
      <w:kern w:val="1"/>
      <w:position w:val="-1"/>
      <w:sz w:val="26"/>
      <w:szCs w:val="26"/>
      <w:effect w:val="none"/>
      <w:vertAlign w:val="baseline"/>
      <w:cs w:val="0"/>
      <w:em w:val="none"/>
      <w:lang w:bidi="ar-SA" w:eastAsia="ar-SA" w:val="es-EC"/>
    </w:rPr>
  </w:style>
  <w:style w:type="paragraph" w:styleId="Encabezado">
    <w:name w:val="Encabezado"/>
    <w:basedOn w:val="Normal"/>
    <w:next w:val="Encabezado"/>
    <w:autoRedefine w:val="0"/>
    <w:hidden w:val="0"/>
    <w:qFormat w:val="1"/>
    <w:pPr>
      <w:suppressAutoHyphens w:val="0"/>
      <w:spacing w:after="16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Lista">
    <w:name w:val="Lista"/>
    <w:basedOn w:val="Textoindependiente"/>
    <w:next w:val="Lista"/>
    <w:autoRedefine w:val="0"/>
    <w:hidden w:val="0"/>
    <w:qFormat w:val="0"/>
    <w:pPr>
      <w:suppressAutoHyphens w:val="0"/>
      <w:spacing w:after="12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Textoindependiente">
    <w:name w:val="Texto independiente"/>
    <w:basedOn w:val="Normal"/>
    <w:next w:val="Textoindependiente"/>
    <w:autoRedefine w:val="0"/>
    <w:hidden w:val="0"/>
    <w:qFormat w:val="0"/>
    <w:pPr>
      <w:suppressAutoHyphens w:val="0"/>
      <w:spacing w:after="12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Piedepágina">
    <w:name w:val="Pie de página"/>
    <w:basedOn w:val="Normal"/>
    <w:next w:val="Piedepágina"/>
    <w:autoRedefine w:val="0"/>
    <w:hidden w:val="0"/>
    <w:qFormat w:val="1"/>
    <w:pPr>
      <w:suppressAutoHyphens w:val="0"/>
      <w:spacing w:after="16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Subtítulo">
    <w:name w:val="Subtítulo"/>
    <w:basedOn w:val="Textodebloque"/>
    <w:next w:val="Normal"/>
    <w:autoRedefine w:val="0"/>
    <w:hidden w:val="0"/>
    <w:qFormat w:val="0"/>
    <w:pPr>
      <w:suppressAutoHyphens w:val="1"/>
      <w:spacing w:after="160" w:line="240" w:lineRule="auto"/>
      <w:ind w:left="357" w:right="-1" w:leftChars="-1" w:rightChars="0" w:hanging="357" w:firstLineChars="-1"/>
      <w:jc w:val="both"/>
      <w:textDirection w:val="btLr"/>
      <w:textAlignment w:val="top"/>
      <w:outlineLvl w:val="0"/>
    </w:pPr>
    <w:rPr>
      <w:rFonts w:ascii="Arial" w:cs="Arial" w:eastAsia="Times New Roman" w:hAnsi="Arial"/>
      <w:b w:val="1"/>
      <w:w w:val="100"/>
      <w:kern w:val="0"/>
      <w:position w:val="-1"/>
      <w:sz w:val="22"/>
      <w:szCs w:val="22"/>
      <w:effect w:val="none"/>
      <w:vertAlign w:val="baseline"/>
      <w:cs w:val="0"/>
      <w:em w:val="none"/>
      <w:lang w:bidi="ar-SA" w:eastAsia="es-ES" w:val="es-EC"/>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WW8Num1z0">
    <w:name w:val="WW8Num1z0"/>
    <w:next w:val="WW8Num1z0"/>
    <w:autoRedefine w:val="0"/>
    <w:hidden w:val="0"/>
    <w:qFormat w:val="0"/>
    <w:rPr>
      <w:rFonts w:ascii="Symbol" w:cs="StarSymbol" w:hAnsi="Symbol"/>
      <w:w w:val="100"/>
      <w:position w:val="-1"/>
      <w:sz w:val="18"/>
      <w:szCs w:val="18"/>
      <w:effect w:val="none"/>
      <w:vertAlign w:val="baseline"/>
      <w:cs w:val="0"/>
      <w:em w:val="none"/>
      <w:lang/>
    </w:rPr>
  </w:style>
  <w:style w:type="character" w:styleId="WW8Num1z2">
    <w:name w:val="WW8Num1z2"/>
    <w:next w:val="WW8Num1z2"/>
    <w:autoRedefine w:val="0"/>
    <w:hidden w:val="0"/>
    <w:qFormat w:val="0"/>
    <w:rPr>
      <w:rFonts w:ascii="Wingdings" w:hAnsi="Wingdings"/>
      <w:w w:val="100"/>
      <w:position w:val="-1"/>
      <w:effect w:val="none"/>
      <w:vertAlign w:val="baseline"/>
      <w:cs w:val="0"/>
      <w:em w:val="none"/>
      <w:lang/>
    </w:rPr>
  </w:style>
  <w:style w:type="character" w:styleId="WW8Num1z3">
    <w:name w:val="WW8Num1z3"/>
    <w:next w:val="WW8Num1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cs="OpenSymbol" w:hAnsi="Symbol"/>
      <w:w w:val="100"/>
      <w:position w:val="-1"/>
      <w:effect w:val="none"/>
      <w:vertAlign w:val="baseline"/>
      <w:cs w:val="0"/>
      <w:em w:val="none"/>
      <w:lang/>
    </w:rPr>
  </w:style>
  <w:style w:type="character" w:styleId="WW8Num6z0">
    <w:name w:val="WW8Num6z0"/>
    <w:next w:val="WW8Num6z0"/>
    <w:autoRedefine w:val="0"/>
    <w:hidden w:val="0"/>
    <w:qFormat w:val="0"/>
    <w:rPr>
      <w:rFonts w:ascii="Symbol" w:cs="StarSymbol" w:hAnsi="Symbol"/>
      <w:w w:val="100"/>
      <w:position w:val="-1"/>
      <w:sz w:val="18"/>
      <w:szCs w:val="18"/>
      <w:effect w:val="none"/>
      <w:vertAlign w:val="baseline"/>
      <w:cs w:val="0"/>
      <w:em w:val="none"/>
      <w:lang/>
    </w:rPr>
  </w:style>
  <w:style w:type="character" w:styleId="WW8Num6z1">
    <w:name w:val="WW8Num6z1"/>
    <w:next w:val="WW8Num6z1"/>
    <w:autoRedefine w:val="0"/>
    <w:hidden w:val="0"/>
    <w:qFormat w:val="0"/>
    <w:rPr>
      <w:rFonts w:ascii="OpenSymbol" w:cs="OpenSymbol" w:hAnsi="OpenSymbol"/>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Symbol" w:cs="OpenSymbol" w:hAnsi="Symbol"/>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OpenSymbol" w:cs="OpenSymbol" w:hAnsi="OpenSymbol"/>
      <w:w w:val="100"/>
      <w:position w:val="-1"/>
      <w:effect w:val="none"/>
      <w:vertAlign w:val="baseline"/>
      <w:cs w:val="0"/>
      <w:em w:val="none"/>
      <w:lang/>
    </w:rPr>
  </w:style>
  <w:style w:type="character" w:styleId="WW8Num5z0">
    <w:name w:val="WW8Num5z0"/>
    <w:next w:val="WW8Num5z0"/>
    <w:autoRedefine w:val="0"/>
    <w:hidden w:val="0"/>
    <w:qFormat w:val="0"/>
    <w:rPr>
      <w:rFonts w:ascii="Courier New" w:cs="StarSymbol" w:hAnsi="Courier New"/>
      <w:w w:val="100"/>
      <w:position w:val="-1"/>
      <w:sz w:val="18"/>
      <w:szCs w:val="18"/>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8z0">
    <w:name w:val="WW8Num8z0"/>
    <w:next w:val="WW8Num8z0"/>
    <w:autoRedefine w:val="0"/>
    <w:hidden w:val="0"/>
    <w:qFormat w:val="0"/>
    <w:rPr>
      <w:rFonts w:ascii="Symbol" w:cs="Open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Wingdings" w:cs="StarSymbol" w:hAnsi="Wingdings"/>
      <w:w w:val="100"/>
      <w:position w:val="-1"/>
      <w:sz w:val="18"/>
      <w:szCs w:val="18"/>
      <w:effect w:val="none"/>
      <w:vertAlign w:val="baseline"/>
      <w:cs w:val="0"/>
      <w:em w:val="none"/>
      <w:lang/>
    </w:rPr>
  </w:style>
  <w:style w:type="character" w:styleId="WW8Num10z1">
    <w:name w:val="WW8Num10z1"/>
    <w:next w:val="WW8Num10z1"/>
    <w:autoRedefine w:val="0"/>
    <w:hidden w:val="0"/>
    <w:qFormat w:val="0"/>
    <w:rPr>
      <w:rFonts w:ascii="OpenSymbol" w:cs="OpenSymbol" w:hAnsi="OpenSymbol"/>
      <w:w w:val="100"/>
      <w:position w:val="-1"/>
      <w:effect w:val="none"/>
      <w:vertAlign w:val="baseline"/>
      <w:cs w:val="0"/>
      <w:em w:val="none"/>
      <w:lang/>
    </w:rPr>
  </w:style>
  <w:style w:type="character" w:styleId="WW8Num12z0">
    <w:name w:val="WW8Num12z0"/>
    <w:next w:val="WW8Num12z0"/>
    <w:autoRedefine w:val="0"/>
    <w:hidden w:val="0"/>
    <w:qFormat w:val="0"/>
    <w:rPr>
      <w:rFonts w:ascii="Symbol" w:cs="StarSymbol" w:hAnsi="Symbol"/>
      <w:w w:val="100"/>
      <w:position w:val="-1"/>
      <w:sz w:val="18"/>
      <w:szCs w:val="18"/>
      <w:effect w:val="none"/>
      <w:vertAlign w:val="baseline"/>
      <w:cs w:val="0"/>
      <w:em w:val="none"/>
      <w:lang/>
    </w:rPr>
  </w:style>
  <w:style w:type="character" w:styleId="WW8Num12z1">
    <w:name w:val="WW8Num12z1"/>
    <w:next w:val="WW8Num12z1"/>
    <w:autoRedefine w:val="0"/>
    <w:hidden w:val="0"/>
    <w:qFormat w:val="0"/>
    <w:rPr>
      <w:rFonts w:ascii="OpenSymbol" w:cs="OpenSymbol" w:hAnsi="OpenSymbol"/>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w w:val="100"/>
      <w:position w:val="-1"/>
      <w:effect w:val="none"/>
      <w:vertAlign w:val="baseline"/>
      <w:cs w:val="0"/>
      <w:em w:val="none"/>
      <w:lang/>
    </w:rPr>
  </w:style>
  <w:style w:type="character" w:styleId="WW8Num15z2">
    <w:name w:val="WW8Num15z2"/>
    <w:next w:val="WW8Num15z2"/>
    <w:autoRedefine w:val="0"/>
    <w:hidden w:val="0"/>
    <w:qFormat w:val="0"/>
    <w:rPr>
      <w:rFonts w:ascii="Wingdings" w:hAnsi="Wingdings"/>
      <w:w w:val="100"/>
      <w:position w:val="-1"/>
      <w:effect w:val="none"/>
      <w:vertAlign w:val="baseline"/>
      <w:cs w:val="0"/>
      <w:em w:val="none"/>
      <w:lang/>
    </w:rPr>
  </w:style>
  <w:style w:type="character" w:styleId="WW8Num16z0">
    <w:name w:val="WW8Num16z0"/>
    <w:next w:val="WW8Num16z0"/>
    <w:autoRedefine w:val="0"/>
    <w:hidden w:val="0"/>
    <w:qFormat w:val="0"/>
    <w:rPr>
      <w:rFonts w:ascii="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w w:val="100"/>
      <w:position w:val="-1"/>
      <w:effect w:val="none"/>
      <w:vertAlign w:val="baseline"/>
      <w:cs w:val="0"/>
      <w:em w:val="none"/>
      <w:lang/>
    </w:rPr>
  </w:style>
  <w:style w:type="character" w:styleId="WW8Num19z2">
    <w:name w:val="WW8Num19z2"/>
    <w:next w:val="WW8Num19z2"/>
    <w:autoRedefine w:val="0"/>
    <w:hidden w:val="0"/>
    <w:qFormat w:val="0"/>
    <w:rPr>
      <w:rFonts w:ascii="Wingdings" w:hAnsi="Wingdings"/>
      <w:w w:val="100"/>
      <w:position w:val="-1"/>
      <w:effect w:val="none"/>
      <w:vertAlign w:val="baseline"/>
      <w:cs w:val="0"/>
      <w:em w:val="none"/>
      <w:lang/>
    </w:rPr>
  </w:style>
  <w:style w:type="character" w:styleId="WW8Num20z0">
    <w:name w:val="WW8Num20z0"/>
    <w:next w:val="WW8Num20z0"/>
    <w:autoRedefine w:val="0"/>
    <w:hidden w:val="0"/>
    <w:qFormat w:val="0"/>
    <w:rPr>
      <w:rFonts w:ascii="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Fuentedepárrafopredeter.3">
    <w:name w:val="Fuente de párrafo predeter.3"/>
    <w:next w:val="Fuentedepárrafopredeter.3"/>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6z2">
    <w:name w:val="WW8Num16z2"/>
    <w:next w:val="WW8Num16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OpenSymbol" w:cs="OpenSymbol" w:hAnsi="OpenSymbol"/>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9z0">
    <w:name w:val="WW8Num9z0"/>
    <w:next w:val="WW8Num9z0"/>
    <w:autoRedefine w:val="0"/>
    <w:hidden w:val="0"/>
    <w:qFormat w:val="0"/>
    <w:rPr>
      <w:rFonts w:ascii="Symbol" w:cs="StarSymbol" w:hAnsi="Symbol"/>
      <w:w w:val="100"/>
      <w:position w:val="-1"/>
      <w:sz w:val="18"/>
      <w:szCs w:val="18"/>
      <w:effect w:val="none"/>
      <w:vertAlign w:val="baseline"/>
      <w:cs w:val="0"/>
      <w:em w:val="none"/>
      <w:lang/>
    </w:rPr>
  </w:style>
  <w:style w:type="character" w:styleId="WW8Num11z0">
    <w:name w:val="WW8Num11z0"/>
    <w:next w:val="WW8Num11z0"/>
    <w:autoRedefine w:val="0"/>
    <w:hidden w:val="0"/>
    <w:qFormat w:val="0"/>
    <w:rPr>
      <w:rFonts w:ascii="Wingdings" w:cs="StarSymbol" w:hAnsi="Wingdings"/>
      <w:w w:val="100"/>
      <w:position w:val="-1"/>
      <w:sz w:val="18"/>
      <w:szCs w:val="18"/>
      <w:effect w:val="none"/>
      <w:vertAlign w:val="baseline"/>
      <w:cs w:val="0"/>
      <w:em w:val="none"/>
      <w:lang/>
    </w:rPr>
  </w:style>
  <w:style w:type="character" w:styleId="WW8Num11z1">
    <w:name w:val="WW8Num11z1"/>
    <w:next w:val="WW8Num11z1"/>
    <w:autoRedefine w:val="0"/>
    <w:hidden w:val="0"/>
    <w:qFormat w:val="0"/>
    <w:rPr>
      <w:rFonts w:ascii="OpenSymbol" w:cs="OpenSymbol" w:hAnsi="OpenSymbol"/>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7z0">
    <w:name w:val="WW8Num17z0"/>
    <w:next w:val="WW8Num17z0"/>
    <w:autoRedefine w:val="0"/>
    <w:hidden w:val="0"/>
    <w:qFormat w:val="0"/>
    <w:rPr>
      <w:rFonts w:ascii="Symbol" w:hAnsi="Symbo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8z1">
    <w:name w:val="WW8Num8z1"/>
    <w:next w:val="WW8Num8z1"/>
    <w:autoRedefine w:val="0"/>
    <w:hidden w:val="0"/>
    <w:qFormat w:val="0"/>
    <w:rPr>
      <w:rFonts w:ascii="OpenSymbol" w:cs="OpenSymbol" w:hAnsi="OpenSymbol"/>
      <w:w w:val="100"/>
      <w:position w:val="-1"/>
      <w:effect w:val="none"/>
      <w:vertAlign w:val="baseline"/>
      <w:cs w:val="0"/>
      <w:em w:val="none"/>
      <w:lang/>
    </w:rPr>
  </w:style>
  <w:style w:type="character" w:styleId="WW8Num8z2">
    <w:name w:val="WW8Num8z2"/>
    <w:next w:val="WW8Num8z2"/>
    <w:autoRedefine w:val="0"/>
    <w:hidden w:val="0"/>
    <w:qFormat w:val="0"/>
    <w:rPr>
      <w:rFonts w:ascii="Wingdings" w:hAnsi="Wingdings"/>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tarSymbol" w:hAnsi="Symbol"/>
      <w:w w:val="100"/>
      <w:position w:val="-1"/>
      <w:sz w:val="18"/>
      <w:szCs w:val="18"/>
      <w:effect w:val="none"/>
      <w:vertAlign w:val="baseline"/>
      <w:cs w:val="0"/>
      <w:em w:val="none"/>
      <w:lang/>
    </w:rPr>
  </w:style>
  <w:style w:type="character" w:styleId="WW8Num3z1">
    <w:name w:val="WW8Num3z1"/>
    <w:next w:val="WW8Num3z1"/>
    <w:autoRedefine w:val="0"/>
    <w:hidden w:val="0"/>
    <w:qFormat w:val="0"/>
    <w:rPr>
      <w:rFonts w:ascii="OpenSymbol" w:cs="OpenSymbol" w:hAnsi="OpenSymbol"/>
      <w:w w:val="100"/>
      <w:position w:val="-1"/>
      <w:effect w:val="none"/>
      <w:vertAlign w:val="baseline"/>
      <w:cs w:val="0"/>
      <w:em w:val="none"/>
      <w:lang/>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4z3">
    <w:name w:val="WW8Num14z3"/>
    <w:next w:val="WW8Num14z3"/>
    <w:autoRedefine w:val="0"/>
    <w:hidden w:val="0"/>
    <w:qFormat w:val="0"/>
    <w:rPr>
      <w:rFonts w:ascii="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Symbol" w:cs="StarSymbol" w:hAnsi="Symbol"/>
      <w:w w:val="100"/>
      <w:position w:val="-1"/>
      <w:sz w:val="18"/>
      <w:szCs w:val="18"/>
      <w:effect w:val="none"/>
      <w:vertAlign w:val="baseline"/>
      <w:cs w:val="0"/>
      <w:em w:val="none"/>
      <w:lang/>
    </w:rPr>
  </w:style>
  <w:style w:type="character" w:styleId="WW8Num21z1">
    <w:name w:val="WW8Num21z1"/>
    <w:next w:val="WW8Num21z1"/>
    <w:autoRedefine w:val="0"/>
    <w:hidden w:val="0"/>
    <w:qFormat w:val="0"/>
    <w:rPr>
      <w:rFonts w:ascii="OpenSymbol" w:cs="OpenSymbol" w:hAnsi="OpenSymbol"/>
      <w:w w:val="100"/>
      <w:position w:val="-1"/>
      <w:effect w:val="none"/>
      <w:vertAlign w:val="baseline"/>
      <w:cs w:val="0"/>
      <w:em w:val="none"/>
      <w:lang/>
    </w:rPr>
  </w:style>
  <w:style w:type="character" w:styleId="WW8Num23z0">
    <w:name w:val="WW8Num23z0"/>
    <w:next w:val="WW8Num23z0"/>
    <w:autoRedefine w:val="0"/>
    <w:hidden w:val="0"/>
    <w:qFormat w:val="0"/>
    <w:rPr>
      <w:rFonts w:ascii="Symbol" w:cs="StarSymbol" w:hAnsi="Symbol"/>
      <w:w w:val="100"/>
      <w:position w:val="-1"/>
      <w:sz w:val="18"/>
      <w:szCs w:val="18"/>
      <w:effect w:val="none"/>
      <w:vertAlign w:val="baseline"/>
      <w:cs w:val="0"/>
      <w:em w:val="none"/>
      <w:lang/>
    </w:rPr>
  </w:style>
  <w:style w:type="character" w:styleId="WW8Num23z1">
    <w:name w:val="WW8Num23z1"/>
    <w:next w:val="WW8Num23z1"/>
    <w:autoRedefine w:val="0"/>
    <w:hidden w:val="0"/>
    <w:qFormat w:val="0"/>
    <w:rPr>
      <w:rFonts w:ascii="OpenSymbol" w:cs="OpenSymbol" w:hAnsi="OpenSymbol"/>
      <w:w w:val="100"/>
      <w:position w:val="-1"/>
      <w:effect w:val="none"/>
      <w:vertAlign w:val="baseline"/>
      <w:cs w:val="0"/>
      <w:em w:val="none"/>
      <w:lang/>
    </w:rPr>
  </w:style>
  <w:style w:type="character" w:styleId="WW8Num24z0">
    <w:name w:val="WW8Num24z0"/>
    <w:next w:val="WW8Num24z0"/>
    <w:autoRedefine w:val="0"/>
    <w:hidden w:val="0"/>
    <w:qFormat w:val="0"/>
    <w:rPr>
      <w:rFonts w:ascii="Symbol" w:cs="OpenSymbol" w:hAnsi="Symbol"/>
      <w:w w:val="100"/>
      <w:position w:val="-1"/>
      <w:effect w:val="none"/>
      <w:vertAlign w:val="baseline"/>
      <w:cs w:val="0"/>
      <w:em w:val="none"/>
      <w:lang/>
    </w:rPr>
  </w:style>
  <w:style w:type="character" w:styleId="WW8Num24z1">
    <w:name w:val="WW8Num24z1"/>
    <w:next w:val="WW8Num24z1"/>
    <w:autoRedefine w:val="0"/>
    <w:hidden w:val="0"/>
    <w:qFormat w:val="0"/>
    <w:rPr>
      <w:rFonts w:ascii="OpenSymbol" w:cs="OpenSymbol" w:hAnsi="OpenSymbol"/>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5z0">
    <w:name w:val="WW8Num25z0"/>
    <w:next w:val="WW8Num25z0"/>
    <w:autoRedefine w:val="0"/>
    <w:hidden w:val="0"/>
    <w:qFormat w:val="0"/>
    <w:rPr>
      <w:rFonts w:ascii="Symbol" w:cs="OpenSymbol" w:hAnsi="Symbol"/>
      <w:w w:val="100"/>
      <w:position w:val="-1"/>
      <w:effect w:val="none"/>
      <w:vertAlign w:val="baseline"/>
      <w:cs w:val="0"/>
      <w:em w:val="none"/>
      <w:lang/>
    </w:rPr>
  </w:style>
  <w:style w:type="character" w:styleId="WW8Num30z0">
    <w:name w:val="WW8Num30z0"/>
    <w:next w:val="WW8Num30z0"/>
    <w:autoRedefine w:val="0"/>
    <w:hidden w:val="0"/>
    <w:qFormat w:val="0"/>
    <w:rPr>
      <w:rFonts w:ascii="Symbol" w:cs="StarSymbol" w:hAnsi="Symbol"/>
      <w:w w:val="100"/>
      <w:position w:val="-1"/>
      <w:sz w:val="18"/>
      <w:szCs w:val="18"/>
      <w:effect w:val="none"/>
      <w:vertAlign w:val="baseline"/>
      <w:cs w:val="0"/>
      <w:em w:val="none"/>
      <w:lang/>
    </w:rPr>
  </w:style>
  <w:style w:type="character" w:styleId="WW8Num30z1">
    <w:name w:val="WW8Num30z1"/>
    <w:next w:val="WW8Num30z1"/>
    <w:autoRedefine w:val="0"/>
    <w:hidden w:val="0"/>
    <w:qFormat w:val="0"/>
    <w:rPr>
      <w:rFonts w:ascii="OpenSymbol" w:cs="OpenSymbol" w:hAnsi="OpenSymbol"/>
      <w:w w:val="100"/>
      <w:position w:val="-1"/>
      <w:effect w:val="none"/>
      <w:vertAlign w:val="baseline"/>
      <w:cs w:val="0"/>
      <w:em w:val="none"/>
      <w:lang/>
    </w:rPr>
  </w:style>
  <w:style w:type="character" w:styleId="WW8Num31z0">
    <w:name w:val="WW8Num31z0"/>
    <w:next w:val="WW8Num31z0"/>
    <w:autoRedefine w:val="0"/>
    <w:hidden w:val="0"/>
    <w:qFormat w:val="0"/>
    <w:rPr>
      <w:rFonts w:ascii="Symbol" w:hAnsi="Symbol"/>
      <w:w w:val="100"/>
      <w:position w:val="-1"/>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w w:val="100"/>
      <w:position w:val="-1"/>
      <w:effect w:val="none"/>
      <w:vertAlign w:val="baseline"/>
      <w:cs w:val="0"/>
      <w:em w:val="none"/>
      <w:lang/>
    </w:rPr>
  </w:style>
  <w:style w:type="character" w:styleId="WW8Num31z2">
    <w:name w:val="WW8Num31z2"/>
    <w:next w:val="WW8Num31z2"/>
    <w:autoRedefine w:val="0"/>
    <w:hidden w:val="0"/>
    <w:qFormat w:val="0"/>
    <w:rPr>
      <w:rFonts w:ascii="Wingdings" w:hAnsi="Wingdings"/>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rFonts w:ascii="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Symbol" w:cs="StarSymbol" w:hAnsi="Symbol"/>
      <w:w w:val="100"/>
      <w:position w:val="-1"/>
      <w:sz w:val="18"/>
      <w:szCs w:val="18"/>
      <w:effect w:val="none"/>
      <w:vertAlign w:val="baseline"/>
      <w:cs w:val="0"/>
      <w:em w:val="none"/>
      <w:lang/>
    </w:rPr>
  </w:style>
  <w:style w:type="character" w:styleId="WW8Num22z1">
    <w:name w:val="WW8Num22z1"/>
    <w:next w:val="WW8Num22z1"/>
    <w:autoRedefine w:val="0"/>
    <w:hidden w:val="0"/>
    <w:qFormat w:val="0"/>
    <w:rPr>
      <w:rFonts w:ascii="OpenSymbol" w:cs="OpenSymbol" w:hAnsi="OpenSymbol"/>
      <w:w w:val="100"/>
      <w:position w:val="-1"/>
      <w:effect w:val="none"/>
      <w:vertAlign w:val="baseline"/>
      <w:cs w:val="0"/>
      <w:em w:val="none"/>
      <w:lang/>
    </w:rPr>
  </w:style>
  <w:style w:type="character" w:styleId="WW8Num25z1">
    <w:name w:val="WW8Num25z1"/>
    <w:next w:val="WW8Num25z1"/>
    <w:autoRedefine w:val="0"/>
    <w:hidden w:val="0"/>
    <w:qFormat w:val="0"/>
    <w:rPr>
      <w:rFonts w:ascii="OpenSymbol" w:cs="OpenSymbol" w:hAnsi="OpenSymbol"/>
      <w:w w:val="100"/>
      <w:position w:val="-1"/>
      <w:effect w:val="none"/>
      <w:vertAlign w:val="baseline"/>
      <w:cs w:val="0"/>
      <w:em w:val="none"/>
      <w:lang/>
    </w:rPr>
  </w:style>
  <w:style w:type="character" w:styleId="WW8Num25z3">
    <w:name w:val="WW8Num25z3"/>
    <w:next w:val="WW8Num25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Symbol" w:cs="OpenSymbol" w:hAnsi="Symbol"/>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rFonts w:ascii="Wingdings" w:cs="OpenSymbol" w:hAnsi="Wingdings"/>
      <w:w w:val="100"/>
      <w:position w:val="-1"/>
      <w:effect w:val="none"/>
      <w:vertAlign w:val="baseline"/>
      <w:cs w:val="0"/>
      <w:em w:val="none"/>
      <w:lang/>
    </w:rPr>
  </w:style>
  <w:style w:type="character" w:styleId="WW8Num27z1">
    <w:name w:val="WW8Num27z1"/>
    <w:next w:val="WW8Num27z1"/>
    <w:autoRedefine w:val="0"/>
    <w:hidden w:val="0"/>
    <w:qFormat w:val="0"/>
    <w:rPr>
      <w:rFonts w:ascii="OpenSymbol" w:hAnsi="OpenSymbol"/>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Wingdings" w:cs="OpenSymbol" w:hAnsi="Wingdings"/>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8Num28z1">
    <w:name w:val="WW8Num28z1"/>
    <w:next w:val="WW8Num28z1"/>
    <w:autoRedefine w:val="0"/>
    <w:hidden w:val="0"/>
    <w:qFormat w:val="0"/>
    <w:rPr>
      <w:rFonts w:ascii="OpenSymbol" w:hAnsi="OpenSymbol"/>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Absatz-Standardschriftart1111111111111111111111111111111">
    <w:name w:val="WW-Absatz-Standardschriftart1111111111111111111111111111111"/>
    <w:next w:val="WW-Absatz-Standardschriftart1111111111111111111111111111111"/>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Wingdings" w:cs="OpenSymbol" w:hAnsi="Wingdings"/>
      <w:w w:val="100"/>
      <w:position w:val="-1"/>
      <w:effect w:val="none"/>
      <w:vertAlign w:val="baseline"/>
      <w:cs w:val="0"/>
      <w:em w:val="none"/>
      <w:lang/>
    </w:rPr>
  </w:style>
  <w:style w:type="character" w:styleId="WW8Num29z1">
    <w:name w:val="WW8Num29z1"/>
    <w:next w:val="WW8Num29z1"/>
    <w:autoRedefine w:val="0"/>
    <w:hidden w:val="0"/>
    <w:qFormat w:val="0"/>
    <w:rPr>
      <w:rFonts w:ascii="OpenSymbol" w:hAnsi="OpenSymbol"/>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
    <w:name w:val="WW-Absatz-Standardschriftart111111111111111111111111111111111"/>
    <w:next w:val="WW-Absatz-Standardschriftart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
    <w:name w:val="WW-Absatz-Standardschriftart1111111111111111111111111111111111"/>
    <w:next w:val="WW-Absatz-Standardschriftart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
    <w:name w:val="WW-Absatz-Standardschriftart11111111111111111111111111111111111"/>
    <w:next w:val="WW-Absatz-Standardschriftart11111111111111111111111111111111111"/>
    <w:autoRedefine w:val="0"/>
    <w:hidden w:val="0"/>
    <w:qFormat w:val="0"/>
    <w:rPr>
      <w:w w:val="100"/>
      <w:position w:val="-1"/>
      <w:effect w:val="none"/>
      <w:vertAlign w:val="baseline"/>
      <w:cs w:val="0"/>
      <w:em w:val="none"/>
      <w:lang/>
    </w:rPr>
  </w:style>
  <w:style w:type="character" w:styleId="Fuentedepárrafopredeter.4">
    <w:name w:val="Fuente de párrafo predeter.4"/>
    <w:next w:val="Fuentedepárrafopredeter.4"/>
    <w:autoRedefine w:val="0"/>
    <w:hidden w:val="0"/>
    <w:qFormat w:val="0"/>
    <w:rPr>
      <w:w w:val="100"/>
      <w:position w:val="-1"/>
      <w:effect w:val="none"/>
      <w:vertAlign w:val="baseline"/>
      <w:cs w:val="0"/>
      <w:em w:val="none"/>
      <w:lang/>
    </w:rPr>
  </w:style>
  <w:style w:type="character" w:styleId="Símbolodenotaalpie">
    <w:name w:val="Símbolo de nota al pie"/>
    <w:next w:val="Símbolodenotaalpie"/>
    <w:autoRedefine w:val="0"/>
    <w:hidden w:val="0"/>
    <w:qFormat w:val="0"/>
    <w:rPr>
      <w:rFonts w:ascii="Century Gothic" w:hAnsi="Century Gothic"/>
      <w:color w:val="000080"/>
      <w:w w:val="100"/>
      <w:position w:val="-1"/>
      <w:sz w:val="16"/>
      <w:effect w:val="none"/>
      <w:vertAlign w:val="baseline"/>
      <w:cs w:val="0"/>
      <w:em w:val="none"/>
      <w:lang/>
    </w:rPr>
  </w:style>
  <w:style w:type="character" w:styleId="TextoindependienteCar">
    <w:name w:val="Texto independiente Car"/>
    <w:next w:val="TextoindependienteCar"/>
    <w:autoRedefine w:val="0"/>
    <w:hidden w:val="0"/>
    <w:qFormat w:val="0"/>
    <w:rPr>
      <w:rFonts w:ascii="Times New Roman" w:cs="Times New Roman" w:eastAsia="Arial Unicode MS" w:hAnsi="Times New Roman"/>
      <w:w w:val="100"/>
      <w:kern w:val="1"/>
      <w:position w:val="-1"/>
      <w:sz w:val="24"/>
      <w:szCs w:val="24"/>
      <w:effect w:val="none"/>
      <w:vertAlign w:val="baseline"/>
      <w:cs w:val="0"/>
      <w:em w:val="none"/>
      <w:lang/>
    </w:rPr>
  </w:style>
  <w:style w:type="character" w:styleId="ListLabel1">
    <w:name w:val="ListLabel 1"/>
    <w:next w:val="ListLabel1"/>
    <w:autoRedefine w:val="0"/>
    <w:hidden w:val="0"/>
    <w:qFormat w:val="0"/>
    <w:rPr>
      <w:w w:val="100"/>
      <w:position w:val="-1"/>
      <w:sz w:val="18"/>
      <w:szCs w:val="18"/>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character" w:styleId="Ref.decomentario1">
    <w:name w:val="Ref. de comentario1"/>
    <w:next w:val="Ref.decomentario1"/>
    <w:autoRedefine w:val="0"/>
    <w:hidden w:val="0"/>
    <w:qFormat w:val="0"/>
    <w:rPr>
      <w:w w:val="100"/>
      <w:position w:val="-1"/>
      <w:sz w:val="16"/>
      <w:szCs w:val="16"/>
      <w:effect w:val="none"/>
      <w:vertAlign w:val="baseline"/>
      <w:cs w:val="0"/>
      <w:em w:val="none"/>
      <w:lang/>
    </w:rPr>
  </w:style>
  <w:style w:type="character" w:styleId="TextocomentarioCar">
    <w:name w:val="Texto comentario Car"/>
    <w:next w:val="TextocomentarioCar"/>
    <w:autoRedefine w:val="0"/>
    <w:hidden w:val="0"/>
    <w:qFormat w:val="0"/>
    <w:rPr>
      <w:w w:val="100"/>
      <w:position w:val="-1"/>
      <w:effect w:val="none"/>
      <w:vertAlign w:val="baseline"/>
      <w:cs w:val="0"/>
      <w:em w:val="none"/>
      <w:lang w:val="en-US"/>
    </w:rPr>
  </w:style>
  <w:style w:type="character" w:styleId="TextodegloboCar">
    <w:name w:val="Texto de globo Car"/>
    <w:next w:val="TextodegloboCar"/>
    <w:autoRedefine w:val="0"/>
    <w:hidden w:val="0"/>
    <w:qFormat w:val="0"/>
    <w:rPr>
      <w:rFonts w:ascii="Tahoma" w:cs="Tahoma" w:eastAsia="Arial Unicode MS" w:hAnsi="Tahoma"/>
      <w:w w:val="100"/>
      <w:kern w:val="1"/>
      <w:position w:val="-1"/>
      <w:sz w:val="16"/>
      <w:szCs w:val="16"/>
      <w:effect w:val="none"/>
      <w:vertAlign w:val="baseline"/>
      <w:cs w:val="0"/>
      <w:em w:val="none"/>
      <w:lang/>
    </w:rPr>
  </w:style>
  <w:style w:type="paragraph" w:styleId="Encabezado4">
    <w:name w:val="Encabezado4"/>
    <w:basedOn w:val="Normal"/>
    <w:next w:val="Textoindependiente"/>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Tahoma" w:eastAsia="Arial Unicode MS" w:hAnsi="Arial"/>
      <w:w w:val="100"/>
      <w:kern w:val="1"/>
      <w:position w:val="-1"/>
      <w:sz w:val="28"/>
      <w:szCs w:val="28"/>
      <w:effect w:val="none"/>
      <w:vertAlign w:val="baseline"/>
      <w:cs w:val="0"/>
      <w:em w:val="none"/>
      <w:lang w:bidi="ar-SA" w:eastAsia="ar-SA" w:val="es-EC"/>
    </w:rPr>
  </w:style>
  <w:style w:type="paragraph" w:styleId="Etiqueta">
    <w:name w:val="Etiqueta"/>
    <w:basedOn w:val="Normal"/>
    <w:next w:val="Etiqueta"/>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es-EC"/>
    </w:rPr>
  </w:style>
  <w:style w:type="paragraph" w:styleId="Índice">
    <w:name w:val="Índice"/>
    <w:basedOn w:val="Normal"/>
    <w:next w:val="Índice"/>
    <w:autoRedefine w:val="0"/>
    <w:hidden w:val="0"/>
    <w:qFormat w:val="0"/>
    <w:pPr>
      <w:suppressLineNumbers w:val="1"/>
      <w:suppressAutoHyphens w:val="0"/>
      <w:spacing w:after="16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Encabezado3">
    <w:name w:val="Encabezado3"/>
    <w:basedOn w:val="Normal"/>
    <w:next w:val="Textoindependiente"/>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Tahoma" w:eastAsia="Arial Unicode MS" w:hAnsi="Arial"/>
      <w:w w:val="100"/>
      <w:kern w:val="1"/>
      <w:position w:val="-1"/>
      <w:sz w:val="28"/>
      <w:szCs w:val="28"/>
      <w:effect w:val="none"/>
      <w:vertAlign w:val="baseline"/>
      <w:cs w:val="0"/>
      <w:em w:val="none"/>
      <w:lang w:bidi="ar-SA" w:eastAsia="ar-SA" w:val="es-EC"/>
    </w:rPr>
  </w:style>
  <w:style w:type="paragraph" w:styleId="Encabezado2">
    <w:name w:val="Encabezado2"/>
    <w:basedOn w:val="Normal"/>
    <w:next w:val="Textoindependiente"/>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Tahoma" w:eastAsia="Arial Unicode MS" w:hAnsi="Arial"/>
      <w:w w:val="100"/>
      <w:kern w:val="1"/>
      <w:position w:val="-1"/>
      <w:sz w:val="28"/>
      <w:szCs w:val="28"/>
      <w:effect w:val="none"/>
      <w:vertAlign w:val="baseline"/>
      <w:cs w:val="0"/>
      <w:em w:val="none"/>
      <w:lang w:bidi="ar-SA" w:eastAsia="ar-SA" w:val="es-EC"/>
    </w:rPr>
  </w:style>
  <w:style w:type="paragraph" w:styleId="Encabezado1">
    <w:name w:val="Encabezado1"/>
    <w:basedOn w:val="Normal"/>
    <w:next w:val="Textoindependiente"/>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Tahoma" w:eastAsia="Arial Unicode MS" w:hAnsi="Arial"/>
      <w:w w:val="100"/>
      <w:kern w:val="1"/>
      <w:position w:val="-1"/>
      <w:sz w:val="28"/>
      <w:szCs w:val="28"/>
      <w:effect w:val="none"/>
      <w:vertAlign w:val="baseline"/>
      <w:cs w:val="0"/>
      <w:em w:val="none"/>
      <w:lang w:bidi="ar-SA" w:eastAsia="ar-SA" w:val="es-EC"/>
    </w:rPr>
  </w:style>
  <w:style w:type="paragraph" w:styleId="Párrafodelista1">
    <w:name w:val="Párrafo de lista1"/>
    <w:basedOn w:val="Normal"/>
    <w:next w:val="Párrafodelista1"/>
    <w:autoRedefine w:val="0"/>
    <w:hidden w:val="0"/>
    <w:qFormat w:val="0"/>
    <w:pPr>
      <w:suppressAutoHyphens w:val="0"/>
      <w:spacing w:after="160" w:line="100" w:lineRule="atLeast"/>
      <w:ind w:left="708"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Default">
    <w:name w:val="Default"/>
    <w:next w:val="Default"/>
    <w:autoRedefine w:val="0"/>
    <w:hidden w:val="0"/>
    <w:qFormat w:val="0"/>
    <w:pPr>
      <w:suppressAutoHyphens w:val="0"/>
      <w:autoSpaceDE w:val="0"/>
      <w:spacing w:after="160" w:line="259" w:lineRule="auto"/>
      <w:ind w:leftChars="-1" w:rightChars="0" w:firstLineChars="-1"/>
      <w:textDirection w:val="btLr"/>
      <w:textAlignment w:val="top"/>
      <w:outlineLvl w:val="0"/>
    </w:pPr>
    <w:rPr>
      <w:rFonts w:ascii="Arial" w:cs="Arial" w:eastAsia="Arial" w:hAnsi="Arial"/>
      <w:color w:val="000000"/>
      <w:w w:val="100"/>
      <w:position w:val="-1"/>
      <w:sz w:val="24"/>
      <w:szCs w:val="24"/>
      <w:effect w:val="none"/>
      <w:vertAlign w:val="baseline"/>
      <w:cs w:val="0"/>
      <w:em w:val="none"/>
      <w:lang w:bidi="ar-SA" w:eastAsia="ar-SA" w:val="en-US"/>
    </w:rPr>
  </w:style>
  <w:style w:type="paragraph" w:styleId="Textocomentario1">
    <w:name w:val="Texto comentario1"/>
    <w:basedOn w:val="Normal"/>
    <w:next w:val="Textocomentario1"/>
    <w:autoRedefine w:val="0"/>
    <w:hidden w:val="0"/>
    <w:qFormat w:val="0"/>
    <w:pPr>
      <w:suppressAutoHyphens w:val="1"/>
      <w:spacing w:after="160" w:line="240" w:lineRule="auto"/>
      <w:ind w:leftChars="-1" w:rightChars="0" w:firstLineChars="-1"/>
      <w:textDirection w:val="btLr"/>
      <w:textAlignment w:val="top"/>
      <w:outlineLvl w:val="0"/>
    </w:pPr>
    <w:rPr>
      <w:w w:val="100"/>
      <w:kern w:val="1"/>
      <w:position w:val="-1"/>
      <w:sz w:val="20"/>
      <w:szCs w:val="20"/>
      <w:effect w:val="none"/>
      <w:vertAlign w:val="baseline"/>
      <w:cs w:val="0"/>
      <w:em w:val="none"/>
      <w:lang w:bidi="ar-SA" w:eastAsia="ar-SA" w:val="en-US"/>
    </w:rPr>
  </w:style>
  <w:style w:type="paragraph" w:styleId="Cuadrículaclara-Énfasis31">
    <w:name w:val="Cuadrícula clara - Énfasis 31"/>
    <w:basedOn w:val="Normal"/>
    <w:next w:val="Cuadrículaclara-Énfasis31"/>
    <w:autoRedefine w:val="0"/>
    <w:hidden w:val="0"/>
    <w:qFormat w:val="0"/>
    <w:pPr>
      <w:suppressAutoHyphens w:val="0"/>
      <w:spacing w:after="160" w:line="100" w:lineRule="atLeast"/>
      <w:ind w:left="708"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Contenidodelatabla">
    <w:name w:val="Contenido de la tabla"/>
    <w:basedOn w:val="Normal"/>
    <w:next w:val="Contenidodelatabla"/>
    <w:autoRedefine w:val="0"/>
    <w:hidden w:val="0"/>
    <w:qFormat w:val="0"/>
    <w:pPr>
      <w:suppressLineNumbers w:val="1"/>
      <w:suppressAutoHyphens w:val="0"/>
      <w:spacing w:after="16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60" w:line="100" w:lineRule="atLeast"/>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ar-SA" w:eastAsia="ar-SA" w:val="es-EC"/>
    </w:rPr>
  </w:style>
  <w:style w:type="character" w:styleId="Cuadrículaclara-Énfasis3Car">
    <w:name w:val="Cuadrícula clara - Énfasis 3 Car"/>
    <w:next w:val="Cuadrículaclara-Énfasis3Car"/>
    <w:autoRedefine w:val="0"/>
    <w:hidden w:val="0"/>
    <w:qFormat w:val="0"/>
    <w:rPr>
      <w:w w:val="100"/>
      <w:kern w:val="1"/>
      <w:position w:val="-1"/>
      <w:sz w:val="24"/>
      <w:szCs w:val="24"/>
      <w:effect w:val="none"/>
      <w:vertAlign w:val="baseline"/>
      <w:cs w:val="0"/>
      <w:em w:val="none"/>
      <w:lang w:eastAsia="ar-SA"/>
    </w:rPr>
  </w:style>
  <w:style w:type="paragraph" w:styleId="Style22">
    <w:name w:val="Style 22"/>
    <w:next w:val="Style22"/>
    <w:autoRedefine w:val="0"/>
    <w:hidden w:val="0"/>
    <w:qFormat w:val="0"/>
    <w:pPr>
      <w:widowControl w:val="0"/>
      <w:suppressAutoHyphens w:val="1"/>
      <w:autoSpaceDE w:val="0"/>
      <w:autoSpaceDN w:val="0"/>
      <w:adjustRightInd w:val="0"/>
      <w:spacing w:after="160" w:line="259" w:lineRule="auto"/>
      <w:ind w:leftChars="-1" w:rightChars="0" w:firstLineChars="-1"/>
      <w:textDirection w:val="btLr"/>
      <w:textAlignment w:val="top"/>
      <w:outlineLvl w:val="0"/>
    </w:pPr>
    <w:rPr>
      <w:w w:val="100"/>
      <w:position w:val="-1"/>
      <w:sz w:val="24"/>
      <w:szCs w:val="24"/>
      <w:effect w:val="none"/>
      <w:vertAlign w:val="baseline"/>
      <w:cs w:val="0"/>
      <w:em w:val="none"/>
      <w:lang w:bidi="ar-SA" w:eastAsia="es-ES" w:val="en-US"/>
    </w:rPr>
  </w:style>
  <w:style w:type="table" w:styleId="Tablaconcuadrícula1">
    <w:name w:val="Tabla con cuadrícula1"/>
    <w:basedOn w:val="Tablanormal"/>
    <w:next w:val="Tablaconcuadrícula1"/>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eastAsia="en-US"/>
    </w:rPr>
    <w:tblPr>
      <w:tblStyle w:val="Tablaconcuadrícula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avistosa-Énfasis11">
    <w:name w:val="Lista vistosa - Énfasis 11"/>
    <w:basedOn w:val="Normal"/>
    <w:next w:val="Listavistosa-Énfasis11"/>
    <w:autoRedefine w:val="0"/>
    <w:hidden w:val="0"/>
    <w:qFormat w:val="0"/>
    <w:pPr>
      <w:suppressAutoHyphens w:val="0"/>
      <w:spacing w:after="160" w:line="100" w:lineRule="atLeast"/>
      <w:ind w:left="708"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Sinespaciado1">
    <w:name w:val="Sin espaciado1"/>
    <w:next w:val="Sinespaciado1"/>
    <w:autoRedefine w:val="0"/>
    <w:hidden w:val="0"/>
    <w:qFormat w:val="0"/>
    <w:pPr>
      <w:suppressAutoHyphens w:val="0"/>
      <w:spacing w:after="160" w:line="259"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character" w:styleId="TextocomentarioCar1">
    <w:name w:val="Texto comentario Car1"/>
    <w:next w:val="TextocomentarioCar1"/>
    <w:autoRedefine w:val="0"/>
    <w:hidden w:val="0"/>
    <w:qFormat w:val="0"/>
    <w:rPr>
      <w:w w:val="100"/>
      <w:kern w:val="1"/>
      <w:position w:val="-1"/>
      <w:effect w:val="none"/>
      <w:vertAlign w:val="baseline"/>
      <w:cs w:val="0"/>
      <w:em w:val="none"/>
      <w:lang w:eastAsia="ar-SA"/>
    </w:rPr>
  </w:style>
  <w:style w:type="character" w:styleId="AsuntodelcomentarioCar">
    <w:name w:val="Asunto del comentario Car"/>
    <w:next w:val="AsuntodelcomentarioCar"/>
    <w:autoRedefine w:val="0"/>
    <w:hidden w:val="0"/>
    <w:qFormat w:val="0"/>
    <w:rPr>
      <w:b w:val="1"/>
      <w:bCs w:val="1"/>
      <w:w w:val="100"/>
      <w:kern w:val="1"/>
      <w:position w:val="-1"/>
      <w:effect w:val="none"/>
      <w:vertAlign w:val="baseline"/>
      <w:cs w:val="0"/>
      <w:em w:val="none"/>
      <w:lang w:eastAsia="ar-SA"/>
    </w:rPr>
  </w:style>
  <w:style w:type="paragraph" w:styleId="Párrafodelista2">
    <w:name w:val="Párrafo de lista2"/>
    <w:basedOn w:val="Normal"/>
    <w:next w:val="Párrafodelista2"/>
    <w:autoRedefine w:val="0"/>
    <w:hidden w:val="0"/>
    <w:qFormat w:val="0"/>
    <w:pPr>
      <w:suppressAutoHyphens w:val="1"/>
      <w:spacing w:after="200" w:line="276" w:lineRule="auto"/>
      <w:ind w:left="720" w:leftChars="-1" w:rightChars="0" w:firstLineChars="-1"/>
      <w:contextualSpacing w:val="1"/>
      <w:jc w:val="both"/>
      <w:textDirection w:val="btLr"/>
      <w:textAlignment w:val="top"/>
      <w:outlineLvl w:val="0"/>
    </w:pPr>
    <w:rPr>
      <w:rFonts w:ascii="Calibri" w:eastAsia="Calibri" w:hAnsi="Calibri"/>
      <w:w w:val="100"/>
      <w:kern w:val="0"/>
      <w:position w:val="-1"/>
      <w:sz w:val="22"/>
      <w:szCs w:val="22"/>
      <w:effect w:val="none"/>
      <w:vertAlign w:val="baseline"/>
      <w:cs w:val="0"/>
      <w:em w:val="none"/>
      <w:lang w:bidi="ar-SA" w:eastAsia="en-US" w:val="es-MX"/>
    </w:rPr>
  </w:style>
  <w:style w:type="character" w:styleId="PárrafodelistaCar,TIT2INDCar">
    <w:name w:val="Párrafo de lista Car,TIT 2 IND Car"/>
    <w:next w:val="PárrafodelistaCar,TIT2INDCar"/>
    <w:autoRedefine w:val="0"/>
    <w:hidden w:val="0"/>
    <w:qFormat w:val="0"/>
    <w:rPr>
      <w:rFonts w:ascii="Calibri" w:cs="Times New Roman" w:eastAsia="Calibri" w:hAnsi="Calibri"/>
      <w:w w:val="100"/>
      <w:position w:val="-1"/>
      <w:sz w:val="22"/>
      <w:szCs w:val="22"/>
      <w:effect w:val="none"/>
      <w:vertAlign w:val="baseline"/>
      <w:cs w:val="0"/>
      <w:em w:val="none"/>
      <w:lang w:eastAsia="en-US" w:val="es-MX"/>
    </w:rPr>
  </w:style>
  <w:style w:type="table" w:styleId="Tablaconcuadrícula2">
    <w:name w:val="Tabla con cuadrícula2"/>
    <w:basedOn w:val="Tablanormal"/>
    <w:next w:val="Tablaconcuadrícula2"/>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eastAsia="en-US"/>
    </w:rPr>
    <w:tblPr>
      <w:tblStyle w:val="Tablaconcuadrícula2"/>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Revisión1">
    <w:name w:val="Revisión1"/>
    <w:next w:val="Revisión1"/>
    <w:autoRedefine w:val="0"/>
    <w:hidden w:val="0"/>
    <w:qFormat w:val="0"/>
    <w:pPr>
      <w:suppressAutoHyphens w:val="1"/>
      <w:spacing w:after="160" w:line="259"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character" w:styleId="PuestoCar">
    <w:name w:val="Puesto Car"/>
    <w:next w:val="PuestoCar"/>
    <w:autoRedefine w:val="0"/>
    <w:hidden w:val="0"/>
    <w:qFormat w:val="0"/>
    <w:rPr>
      <w:rFonts w:ascii="Arial" w:cs="Arial" w:eastAsia="Arial Unicode MS" w:hAnsi="Arial"/>
      <w:b w:val="1"/>
      <w:w w:val="100"/>
      <w:kern w:val="1"/>
      <w:position w:val="-1"/>
      <w:sz w:val="22"/>
      <w:szCs w:val="22"/>
      <w:effect w:val="none"/>
      <w:vertAlign w:val="baseline"/>
      <w:cs w:val="0"/>
      <w:em w:val="none"/>
      <w:lang w:eastAsia="ar-SA"/>
    </w:rPr>
  </w:style>
  <w:style w:type="character" w:styleId="SubtítuloCar">
    <w:name w:val="Subtítulo Car"/>
    <w:next w:val="SubtítuloCar"/>
    <w:autoRedefine w:val="0"/>
    <w:hidden w:val="0"/>
    <w:qFormat w:val="0"/>
    <w:rPr>
      <w:rFonts w:ascii="Arial" w:cs="Arial" w:hAnsi="Arial"/>
      <w:b w:val="1"/>
      <w:w w:val="100"/>
      <w:position w:val="-1"/>
      <w:sz w:val="22"/>
      <w:szCs w:val="22"/>
      <w:effect w:val="none"/>
      <w:vertAlign w:val="baseline"/>
      <w:cs w:val="0"/>
      <w:em w:val="none"/>
      <w:lang w:eastAsia="es-ES"/>
    </w:rPr>
  </w:style>
  <w:style w:type="character" w:styleId="Título1Car">
    <w:name w:val="Título 1 Car"/>
    <w:next w:val="Título1Car"/>
    <w:autoRedefine w:val="0"/>
    <w:hidden w:val="0"/>
    <w:qFormat w:val="0"/>
    <w:rPr>
      <w:rFonts w:ascii="Arial" w:cs="Arial" w:eastAsia="Arial Unicode MS" w:hAnsi="Arial"/>
      <w:b w:val="1"/>
      <w:w w:val="100"/>
      <w:kern w:val="1"/>
      <w:position w:val="-1"/>
      <w:sz w:val="22"/>
      <w:szCs w:val="22"/>
      <w:effect w:val="none"/>
      <w:vertAlign w:val="baseline"/>
      <w:cs w:val="0"/>
      <w:em w:val="none"/>
      <w:lang w:eastAsia="ar-SA"/>
    </w:rPr>
  </w:style>
  <w:style w:type="paragraph" w:styleId="TítulodeTDC1">
    <w:name w:val="Título de TDC1"/>
    <w:basedOn w:val="Título1"/>
    <w:next w:val="Normal"/>
    <w:autoRedefine w:val="0"/>
    <w:hidden w:val="0"/>
    <w:qFormat w:val="1"/>
    <w:pPr>
      <w:suppressAutoHyphens w:val="1"/>
      <w:spacing w:after="160" w:line="259" w:lineRule="auto"/>
      <w:ind w:left="0" w:leftChars="-1" w:rightChars="0" w:firstLine="0" w:firstLineChars="-1"/>
      <w:jc w:val="both"/>
      <w:textDirection w:val="btLr"/>
      <w:textAlignment w:val="top"/>
      <w:outlineLvl w:val="9"/>
    </w:pPr>
    <w:rPr>
      <w:rFonts w:ascii="Arial" w:cs="Arial" w:eastAsia="Arial Unicode MS" w:hAnsi="Arial"/>
      <w:b w:val="1"/>
      <w:w w:val="100"/>
      <w:kern w:val="0"/>
      <w:position w:val="-1"/>
      <w:sz w:val="22"/>
      <w:szCs w:val="22"/>
      <w:effect w:val="none"/>
      <w:vertAlign w:val="baseline"/>
      <w:cs w:val="0"/>
      <w:em w:val="none"/>
      <w:lang w:bidi="ar-SA" w:eastAsia="es-AR" w:val="es-AR"/>
    </w:rPr>
  </w:style>
  <w:style w:type="character" w:styleId="Título2Car">
    <w:name w:val="Título 2 Car"/>
    <w:next w:val="Título2Car"/>
    <w:autoRedefine w:val="0"/>
    <w:hidden w:val="0"/>
    <w:qFormat w:val="0"/>
    <w:rPr>
      <w:rFonts w:ascii="Arial" w:cs="Arial" w:hAnsi="Arial"/>
      <w:b w:val="1"/>
      <w:w w:val="100"/>
      <w:position w:val="-1"/>
      <w:sz w:val="22"/>
      <w:szCs w:val="22"/>
      <w:effect w:val="none"/>
      <w:vertAlign w:val="baseline"/>
      <w:cs w:val="0"/>
      <w:em w:val="none"/>
      <w:lang w:eastAsia="es-ES" w:val="es-ES"/>
    </w:rPr>
  </w:style>
  <w:style w:type="character" w:styleId="EncabezadoCar">
    <w:name w:val="Encabezado Car"/>
    <w:next w:val="EncabezadoCar"/>
    <w:autoRedefine w:val="0"/>
    <w:hidden w:val="0"/>
    <w:qFormat w:val="0"/>
    <w:rPr>
      <w:w w:val="100"/>
      <w:kern w:val="1"/>
      <w:position w:val="-1"/>
      <w:sz w:val="24"/>
      <w:szCs w:val="24"/>
      <w:effect w:val="none"/>
      <w:vertAlign w:val="baseline"/>
      <w:cs w:val="0"/>
      <w:em w:val="none"/>
      <w:lang w:eastAsia="ar-SA"/>
    </w:rPr>
  </w:style>
  <w:style w:type="character" w:styleId="PiedepáginaCar">
    <w:name w:val="Pie de página Car"/>
    <w:next w:val="PiedepáginaCar"/>
    <w:autoRedefine w:val="0"/>
    <w:hidden w:val="0"/>
    <w:qFormat w:val="0"/>
    <w:rPr>
      <w:w w:val="100"/>
      <w:kern w:val="1"/>
      <w:position w:val="-1"/>
      <w:sz w:val="24"/>
      <w:szCs w:val="24"/>
      <w:effect w:val="none"/>
      <w:vertAlign w:val="baseline"/>
      <w:cs w:val="0"/>
      <w:em w:val="none"/>
      <w:lang w:eastAsia="ar-SA"/>
    </w:rPr>
  </w:style>
  <w:style w:type="paragraph" w:styleId="Cuadrículamedia1-Énfasis2,TIT2IND">
    <w:name w:val="Cuadrícula media 1 - Énfasis 2,TIT 2 IND"/>
    <w:basedOn w:val="Normal"/>
    <w:next w:val="Cuadrículamedia1-Énfasis2,TIT2IND"/>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Calibri" w:eastAsia="SimSun" w:hAnsi="Calibri"/>
      <w:w w:val="100"/>
      <w:kern w:val="0"/>
      <w:position w:val="-1"/>
      <w:sz w:val="24"/>
      <w:szCs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1"/>
    <w:pPr>
      <w:suppressAutoHyphens w:val="0"/>
      <w:spacing w:after="0" w:line="240" w:lineRule="auto"/>
      <w:ind w:leftChars="-1" w:rightChars="0" w:firstLineChars="-1"/>
      <w:textDirection w:val="btLr"/>
      <w:textAlignment w:val="top"/>
      <w:outlineLvl w:val="0"/>
    </w:pPr>
    <w:rPr>
      <w:w w:val="100"/>
      <w:kern w:val="1"/>
      <w:position w:val="-1"/>
      <w:sz w:val="20"/>
      <w:szCs w:val="20"/>
      <w:effect w:val="none"/>
      <w:vertAlign w:val="baseline"/>
      <w:cs w:val="0"/>
      <w:em w:val="none"/>
      <w:lang w:bidi="ar-SA" w:eastAsia="ar-SA" w:val="es-EC"/>
    </w:rPr>
  </w:style>
  <w:style w:type="character" w:styleId="TextonotapieCar">
    <w:name w:val="Texto nota pie Car"/>
    <w:next w:val="TextonotapieCar"/>
    <w:autoRedefine w:val="0"/>
    <w:hidden w:val="0"/>
    <w:qFormat w:val="0"/>
    <w:rPr>
      <w:w w:val="100"/>
      <w:kern w:val="1"/>
      <w:position w:val="-1"/>
      <w:effect w:val="none"/>
      <w:vertAlign w:val="baseline"/>
      <w:cs w:val="0"/>
      <w:em w:val="none"/>
      <w:lang w:eastAsia="ar-SA"/>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Párrafodelista3">
    <w:name w:val="Párrafo de lista3"/>
    <w:basedOn w:val="Normal"/>
    <w:next w:val="Párrafodelista3"/>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Calibri" w:eastAsia="SimSun" w:hAnsi="Calibri"/>
      <w:w w:val="100"/>
      <w:kern w:val="0"/>
      <w:position w:val="-1"/>
      <w:sz w:val="24"/>
      <w:szCs w:val="24"/>
      <w:effect w:val="none"/>
      <w:vertAlign w:val="baseline"/>
      <w:cs w:val="0"/>
      <w:em w:val="none"/>
      <w:lang w:bidi="ar-SA" w:eastAsia="es-ES" w:val="es-EC"/>
    </w:rPr>
  </w:style>
  <w:style w:type="paragraph" w:styleId="Listamedia2-Énfasis2">
    <w:name w:val="Lista media 2 - Énfasis 2"/>
    <w:next w:val="Listamedia2-Énfasis2"/>
    <w:autoRedefine w:val="0"/>
    <w:hidden w:val="0"/>
    <w:qFormat w:val="0"/>
    <w:pPr>
      <w:suppressAutoHyphens w:val="1"/>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paragraph" w:styleId="Listavistosa-Énfasis1">
    <w:name w:val="Lista vistosa - Énfasis 1"/>
    <w:basedOn w:val="Normal"/>
    <w:next w:val="Listavistosa-Énfasis1"/>
    <w:autoRedefine w:val="0"/>
    <w:hidden w:val="0"/>
    <w:qFormat w:val="0"/>
    <w:pPr>
      <w:suppressAutoHyphens w:val="0"/>
      <w:spacing w:after="160" w:line="100" w:lineRule="atLeast"/>
      <w:ind w:left="720"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C"/>
    </w:rPr>
  </w:style>
  <w:style w:type="character" w:styleId="Textoennegrita">
    <w:name w:val="Texto en negrita"/>
    <w:next w:val="Textoennegrita"/>
    <w:autoRedefine w:val="0"/>
    <w:hidden w:val="0"/>
    <w:qFormat w:val="0"/>
    <w:rPr>
      <w:rFonts w:ascii="Times New Roman" w:hAnsi="Times New Roman"/>
      <w:b w:val="1"/>
      <w:bCs w:val="1"/>
      <w:w w:val="100"/>
      <w:position w:val="-1"/>
      <w:sz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1.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9.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F8KHwq1rSNsjAddpTNqvOLUDMg==">AMUW2mVn1XSZxpRv5vcUsDuqPDQGHhVo5Phg4bomGyWmveLbAKY6P2bQQix93/njbtMADda4kCmee9/vdtP0qj1DKQnoyx265uDEQLpKb9xGliLGRrnwMNpy4L/xsB/6oXuqBqX4ZjdHmNrj1n4gp1YPKllCDr8HhuqGY1tkNbFwIuDrIawdWmEvmUS0rOmvx6Yyd44QoSQtprKM2ropNCZZr77HQbJNETdiVGmd6BbGx70bpeaxJ0GG2bCArhecJUIEVxyVaSabD5/uXtKix4V6iurag5zpJfiqsHwsfUS3ZPbSCoq+Qyf7lGei4FCQTWR9TapDRK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2022-09-06T18:57:00Z</dcterms:created>
  <dc:creator>Juan Carlos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3082-10.2.0.5965</vt:lpstr>
  </property>
</Properties>
</file>