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EE6601"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7354E9">
        <w:rPr>
          <w:rFonts w:ascii="Times New Roman" w:hAnsi="Times New Roman" w:cs="Times New Roman"/>
          <w:b w:val="0"/>
          <w:bCs w:val="0"/>
        </w:rPr>
        <w:t>“Tajamar de San Juan”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7354E9">
        <w:rPr>
          <w:rFonts w:ascii="Times New Roman" w:hAnsi="Times New Roman" w:cs="Times New Roman"/>
          <w:b w:val="0"/>
          <w:bCs w:val="0"/>
        </w:rPr>
        <w:t>65</w:t>
      </w:r>
      <w:r w:rsidR="00C82F6B">
        <w:rPr>
          <w:rFonts w:ascii="Times New Roman" w:hAnsi="Times New Roman" w:cs="Times New Roman"/>
          <w:b w:val="0"/>
          <w:bCs w:val="0"/>
        </w:rPr>
        <w:t>,</w:t>
      </w:r>
      <w:r w:rsidR="008F1DD4">
        <w:rPr>
          <w:rFonts w:ascii="Times New Roman" w:hAnsi="Times New Roman" w:cs="Times New Roman"/>
          <w:b w:val="0"/>
          <w:bCs w:val="0"/>
        </w:rPr>
        <w:t>3</w:t>
      </w:r>
      <w:r w:rsidR="007354E9">
        <w:rPr>
          <w:rFonts w:ascii="Times New Roman" w:hAnsi="Times New Roman" w:cs="Times New Roman"/>
          <w:b w:val="0"/>
          <w:bCs w:val="0"/>
        </w:rPr>
        <w:t>8</w:t>
      </w:r>
      <w:r w:rsidRPr="00FB0932">
        <w:rPr>
          <w:rFonts w:ascii="Times New Roman" w:hAnsi="Times New Roman" w:cs="Times New Roman"/>
          <w:b w:val="0"/>
          <w:bCs w:val="0"/>
        </w:rPr>
        <w:t xml:space="preserve">%, al inicio del proceso de regularización contaba con </w:t>
      </w:r>
      <w:r w:rsidR="007354E9">
        <w:rPr>
          <w:rFonts w:ascii="Times New Roman" w:hAnsi="Times New Roman" w:cs="Times New Roman"/>
          <w:b w:val="0"/>
          <w:bCs w:val="0"/>
        </w:rPr>
        <w:t>10</w:t>
      </w:r>
      <w:r w:rsidRPr="00FB0932">
        <w:rPr>
          <w:rFonts w:ascii="Times New Roman" w:hAnsi="Times New Roman" w:cs="Times New Roman"/>
          <w:b w:val="0"/>
          <w:bCs w:val="0"/>
        </w:rPr>
        <w:t xml:space="preserve"> años de existencia; sin embargo, al momento de la sanción de la presente Ordenanza cuenta con </w:t>
      </w:r>
      <w:r w:rsidR="007354E9">
        <w:rPr>
          <w:rFonts w:ascii="Times New Roman" w:hAnsi="Times New Roman" w:cs="Times New Roman"/>
          <w:b w:val="0"/>
          <w:bCs w:val="0"/>
        </w:rPr>
        <w:t>11</w:t>
      </w:r>
      <w:r w:rsidRPr="00FB0932">
        <w:rPr>
          <w:rFonts w:ascii="Times New Roman" w:hAnsi="Times New Roman" w:cs="Times New Roman"/>
          <w:b w:val="0"/>
          <w:bCs w:val="0"/>
        </w:rPr>
        <w:t xml:space="preserve"> años de asentamiento, </w:t>
      </w:r>
      <w:r w:rsidR="007354E9">
        <w:rPr>
          <w:rFonts w:ascii="Times New Roman" w:hAnsi="Times New Roman" w:cs="Times New Roman"/>
          <w:b w:val="0"/>
          <w:bCs w:val="0"/>
        </w:rPr>
        <w:t>26</w:t>
      </w:r>
      <w:r w:rsidRPr="00FB0932">
        <w:rPr>
          <w:rFonts w:ascii="Times New Roman" w:hAnsi="Times New Roman" w:cs="Times New Roman"/>
          <w:b w:val="0"/>
          <w:bCs w:val="0"/>
        </w:rPr>
        <w:t xml:space="preserve"> número de lotes a fraccionar y </w:t>
      </w:r>
      <w:r w:rsidR="007354E9">
        <w:rPr>
          <w:rFonts w:ascii="Times New Roman" w:hAnsi="Times New Roman" w:cs="Times New Roman"/>
          <w:b w:val="0"/>
          <w:bCs w:val="0"/>
        </w:rPr>
        <w:t>105</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700F530D"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7354E9">
        <w:rPr>
          <w:rFonts w:ascii="Times New Roman" w:hAnsi="Times New Roman" w:cs="Times New Roman"/>
          <w:b w:val="0"/>
          <w:bCs w:val="0"/>
        </w:rPr>
        <w:t>“Tajamar de San Juan”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Default="00665C1C" w:rsidP="00FB0932">
      <w:pPr>
        <w:spacing w:after="240" w:line="276" w:lineRule="auto"/>
        <w:ind w:firstLine="708"/>
        <w:jc w:val="both"/>
        <w:rPr>
          <w:sz w:val="24"/>
          <w:szCs w:val="24"/>
        </w:rPr>
      </w:pPr>
    </w:p>
    <w:p w14:paraId="718EF217" w14:textId="77777777" w:rsidR="009528DA" w:rsidRPr="00FB0932" w:rsidRDefault="009528D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72971CEA" w14:textId="77777777" w:rsidR="00D23A6B" w:rsidRDefault="00D23A6B" w:rsidP="00D23A6B">
      <w:pPr>
        <w:spacing w:after="240" w:line="276" w:lineRule="auto"/>
        <w:ind w:left="705" w:hanging="705"/>
        <w:jc w:val="both"/>
        <w:rPr>
          <w:rFonts w:ascii="Times-Italic" w:hAnsi="Times-Italic"/>
          <w:i/>
          <w:iCs/>
          <w:color w:val="000000"/>
          <w:sz w:val="22"/>
          <w:szCs w:val="22"/>
        </w:rPr>
      </w:pPr>
      <w:r w:rsidRPr="005142D9">
        <w:rPr>
          <w:b/>
          <w:bCs/>
          <w:sz w:val="24"/>
          <w:szCs w:val="24"/>
        </w:rPr>
        <w:t xml:space="preserve">Que, </w:t>
      </w:r>
      <w:r w:rsidRPr="005142D9">
        <w:rPr>
          <w:b/>
          <w:bCs/>
          <w:sz w:val="24"/>
          <w:szCs w:val="24"/>
        </w:rPr>
        <w:tab/>
      </w:r>
      <w:r w:rsidRPr="005142D9">
        <w:rPr>
          <w:bCs/>
          <w:sz w:val="24"/>
          <w:szCs w:val="24"/>
        </w:rPr>
        <w:t xml:space="preserve">mediante </w:t>
      </w:r>
      <w:r>
        <w:rPr>
          <w:sz w:val="24"/>
          <w:szCs w:val="24"/>
        </w:rPr>
        <w:t>memorando Nro. GADDMQ-AZCA-2021</w:t>
      </w:r>
      <w:r w:rsidRPr="005142D9">
        <w:rPr>
          <w:sz w:val="24"/>
          <w:szCs w:val="24"/>
        </w:rPr>
        <w:t>-</w:t>
      </w:r>
      <w:r>
        <w:rPr>
          <w:sz w:val="24"/>
          <w:szCs w:val="24"/>
        </w:rPr>
        <w:t>0088-M., de 22</w:t>
      </w:r>
      <w:r w:rsidRPr="005142D9">
        <w:rPr>
          <w:sz w:val="24"/>
          <w:szCs w:val="24"/>
        </w:rPr>
        <w:t xml:space="preserve"> de </w:t>
      </w:r>
      <w:r>
        <w:rPr>
          <w:sz w:val="24"/>
          <w:szCs w:val="24"/>
        </w:rPr>
        <w:t xml:space="preserve">enero </w:t>
      </w:r>
      <w:r w:rsidRPr="005142D9">
        <w:rPr>
          <w:sz w:val="24"/>
          <w:szCs w:val="24"/>
        </w:rPr>
        <w:t>de</w:t>
      </w:r>
      <w:r>
        <w:rPr>
          <w:sz w:val="24"/>
          <w:szCs w:val="24"/>
        </w:rPr>
        <w:t xml:space="preserve"> </w:t>
      </w:r>
      <w:r w:rsidRPr="005142D9">
        <w:rPr>
          <w:sz w:val="24"/>
          <w:szCs w:val="24"/>
        </w:rPr>
        <w:t>202</w:t>
      </w:r>
      <w:r>
        <w:rPr>
          <w:sz w:val="24"/>
          <w:szCs w:val="24"/>
        </w:rPr>
        <w:t>1</w:t>
      </w:r>
      <w:r w:rsidRPr="005142D9">
        <w:rPr>
          <w:bCs/>
          <w:sz w:val="24"/>
          <w:szCs w:val="24"/>
        </w:rPr>
        <w:t xml:space="preserve">, la </w:t>
      </w:r>
      <w:r>
        <w:rPr>
          <w:bCs/>
          <w:sz w:val="24"/>
          <w:szCs w:val="24"/>
        </w:rPr>
        <w:t xml:space="preserve">Soc. Dayana </w:t>
      </w:r>
      <w:proofErr w:type="spellStart"/>
      <w:r>
        <w:rPr>
          <w:bCs/>
          <w:sz w:val="24"/>
          <w:szCs w:val="24"/>
        </w:rPr>
        <w:t>Jassmin</w:t>
      </w:r>
      <w:proofErr w:type="spellEnd"/>
      <w:r>
        <w:rPr>
          <w:bCs/>
          <w:sz w:val="24"/>
          <w:szCs w:val="24"/>
        </w:rPr>
        <w:t xml:space="preserve"> Vargas Borja</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“Regula Tu Barrio” informa:</w:t>
      </w:r>
      <w:r>
        <w:rPr>
          <w:bCs/>
          <w:sz w:val="24"/>
          <w:szCs w:val="24"/>
        </w:rPr>
        <w:t xml:space="preserve"> </w:t>
      </w:r>
      <w:r w:rsidRPr="00183D58">
        <w:rPr>
          <w:bCs/>
          <w:sz w:val="24"/>
          <w:szCs w:val="24"/>
        </w:rPr>
        <w:t>“</w:t>
      </w:r>
      <w:r w:rsidRPr="003475EC">
        <w:rPr>
          <w:rFonts w:ascii="Times-Roman" w:hAnsi="Times-Roman"/>
          <w:i/>
          <w:color w:val="000000"/>
          <w:sz w:val="22"/>
          <w:szCs w:val="22"/>
        </w:rPr>
        <w:t xml:space="preserve">En atención al Documento No. </w:t>
      </w:r>
      <w:r w:rsidRPr="003475EC">
        <w:rPr>
          <w:rFonts w:ascii="Times-Bold" w:hAnsi="Times-Bold"/>
          <w:b/>
          <w:bCs/>
          <w:i/>
          <w:color w:val="000000"/>
          <w:sz w:val="22"/>
          <w:szCs w:val="22"/>
        </w:rPr>
        <w:t>GADDMQ-SGCTYPC-UERB-2021-0040-M</w:t>
      </w:r>
      <w:r w:rsidRPr="003475EC">
        <w:rPr>
          <w:rFonts w:ascii="Times-Roman" w:hAnsi="Times-Roman"/>
          <w:i/>
          <w:color w:val="000000"/>
          <w:sz w:val="22"/>
          <w:szCs w:val="22"/>
        </w:rPr>
        <w:t>, en el que</w:t>
      </w:r>
      <w:r>
        <w:rPr>
          <w:rFonts w:ascii="Times-Roman" w:hAnsi="Times-Roman"/>
          <w:i/>
          <w:color w:val="000000"/>
          <w:sz w:val="22"/>
          <w:szCs w:val="22"/>
        </w:rPr>
        <w:t xml:space="preserve"> </w:t>
      </w:r>
      <w:r w:rsidRPr="003475EC">
        <w:rPr>
          <w:rFonts w:ascii="Times-Roman" w:hAnsi="Times-Roman"/>
          <w:i/>
          <w:color w:val="000000"/>
          <w:sz w:val="22"/>
          <w:szCs w:val="22"/>
        </w:rPr>
        <w:t xml:space="preserve">dice: </w:t>
      </w:r>
      <w:r w:rsidRPr="003475EC">
        <w:rPr>
          <w:rFonts w:ascii="Times-Italic" w:hAnsi="Times-Italic"/>
          <w:i/>
          <w:iCs/>
          <w:color w:val="000000"/>
          <w:sz w:val="22"/>
          <w:szCs w:val="22"/>
        </w:rPr>
        <w:t>"(...) la Unidad Especial ¨Regula tu Barrio¨ efectúa solicitudes de informes a las</w:t>
      </w:r>
      <w:r w:rsidRPr="003475EC">
        <w:rPr>
          <w:rFonts w:ascii="Times-Italic" w:hAnsi="Times-Italic"/>
          <w:i/>
          <w:iCs/>
          <w:color w:val="000000"/>
          <w:sz w:val="22"/>
          <w:szCs w:val="22"/>
        </w:rPr>
        <w:br/>
        <w:t>diferentes Dependencias Municipales del Distrito Metropolitano de Quito, en</w:t>
      </w:r>
      <w:r>
        <w:rPr>
          <w:rFonts w:ascii="Times-Italic" w:hAnsi="Times-Italic"/>
          <w:i/>
          <w:iCs/>
          <w:color w:val="000000"/>
          <w:sz w:val="22"/>
          <w:szCs w:val="22"/>
        </w:rPr>
        <w:t xml:space="preserve"> </w:t>
      </w:r>
      <w:r w:rsidRPr="003475EC">
        <w:rPr>
          <w:rFonts w:ascii="Times-Italic" w:hAnsi="Times-Italic"/>
          <w:i/>
          <w:iCs/>
          <w:color w:val="000000"/>
          <w:sz w:val="22"/>
          <w:szCs w:val="22"/>
        </w:rPr>
        <w:t>cumplimiento</w:t>
      </w:r>
      <w:r>
        <w:rPr>
          <w:rFonts w:ascii="Times-Italic" w:hAnsi="Times-Italic"/>
          <w:i/>
          <w:iCs/>
          <w:color w:val="000000"/>
          <w:sz w:val="22"/>
          <w:szCs w:val="22"/>
        </w:rPr>
        <w:t xml:space="preserve"> </w:t>
      </w:r>
      <w:r w:rsidRPr="003475EC">
        <w:rPr>
          <w:rFonts w:ascii="Times-Italic" w:hAnsi="Times-Italic"/>
          <w:i/>
          <w:iCs/>
          <w:color w:val="000000"/>
          <w:sz w:val="22"/>
          <w:szCs w:val="22"/>
        </w:rPr>
        <w:t>de los procesos de expropiación especial de los Asentamientos Humanos de</w:t>
      </w:r>
      <w:r>
        <w:rPr>
          <w:rFonts w:ascii="Times-Italic" w:hAnsi="Times-Italic"/>
          <w:i/>
          <w:iCs/>
          <w:color w:val="000000"/>
          <w:sz w:val="22"/>
          <w:szCs w:val="22"/>
        </w:rPr>
        <w:t xml:space="preserve"> </w:t>
      </w:r>
      <w:r w:rsidRPr="003475EC">
        <w:rPr>
          <w:rFonts w:ascii="Times-Italic" w:hAnsi="Times-Italic"/>
          <w:i/>
          <w:iCs/>
          <w:color w:val="000000"/>
          <w:sz w:val="22"/>
          <w:szCs w:val="22"/>
        </w:rPr>
        <w:t>Hecho y</w:t>
      </w:r>
      <w:r>
        <w:rPr>
          <w:rFonts w:ascii="Times-Italic" w:hAnsi="Times-Italic"/>
          <w:i/>
          <w:iCs/>
          <w:color w:val="000000"/>
          <w:sz w:val="22"/>
          <w:szCs w:val="22"/>
        </w:rPr>
        <w:t xml:space="preserve"> </w:t>
      </w:r>
      <w:r w:rsidRPr="003475EC">
        <w:rPr>
          <w:rFonts w:ascii="Times-Italic" w:hAnsi="Times-Italic"/>
          <w:i/>
          <w:iCs/>
          <w:color w:val="000000"/>
          <w:sz w:val="22"/>
          <w:szCs w:val="22"/>
        </w:rPr>
        <w:t>Consolidado que esta unidad tiene a su cargo, en tal virtud, por lo tanto solicito</w:t>
      </w:r>
      <w:r>
        <w:rPr>
          <w:rFonts w:ascii="Times-Italic" w:hAnsi="Times-Italic"/>
          <w:i/>
          <w:iCs/>
          <w:color w:val="000000"/>
          <w:sz w:val="22"/>
          <w:szCs w:val="22"/>
        </w:rPr>
        <w:t xml:space="preserve"> </w:t>
      </w:r>
      <w:r w:rsidRPr="003475EC">
        <w:rPr>
          <w:rFonts w:ascii="Times-Italic" w:hAnsi="Times-Italic"/>
          <w:i/>
          <w:iCs/>
          <w:color w:val="000000"/>
          <w:sz w:val="22"/>
          <w:szCs w:val="22"/>
        </w:rPr>
        <w:t>de la manera más cordial se disponga a quien corresponda emita el INFORME</w:t>
      </w:r>
      <w:r>
        <w:rPr>
          <w:rFonts w:ascii="Times-Italic" w:hAnsi="Times-Italic"/>
          <w:i/>
          <w:iCs/>
          <w:color w:val="000000"/>
          <w:sz w:val="22"/>
          <w:szCs w:val="22"/>
        </w:rPr>
        <w:t xml:space="preserve"> </w:t>
      </w:r>
      <w:r w:rsidRPr="003475EC">
        <w:rPr>
          <w:rFonts w:ascii="Times-Italic" w:hAnsi="Times-Italic"/>
          <w:i/>
          <w:iCs/>
          <w:color w:val="000000"/>
          <w:sz w:val="22"/>
          <w:szCs w:val="22"/>
        </w:rPr>
        <w:t xml:space="preserve">TÉCNICO ACTUALIZADO DE REPLANTEO VIAL del predio No. </w:t>
      </w:r>
      <w:r w:rsidRPr="003475EC">
        <w:rPr>
          <w:rFonts w:ascii="Times-BoldItalic" w:hAnsi="Times-BoldItalic"/>
          <w:b/>
          <w:bCs/>
          <w:i/>
          <w:iCs/>
          <w:color w:val="000000"/>
          <w:sz w:val="22"/>
          <w:szCs w:val="22"/>
        </w:rPr>
        <w:t xml:space="preserve">5033993 </w:t>
      </w:r>
      <w:r w:rsidRPr="003475EC">
        <w:rPr>
          <w:rFonts w:ascii="Times-Italic" w:hAnsi="Times-Italic"/>
          <w:i/>
          <w:iCs/>
          <w:color w:val="000000"/>
          <w:sz w:val="22"/>
          <w:szCs w:val="22"/>
        </w:rPr>
        <w:t>y clave</w:t>
      </w:r>
      <w:r>
        <w:rPr>
          <w:rFonts w:ascii="Times-Italic" w:hAnsi="Times-Italic"/>
          <w:i/>
          <w:iCs/>
          <w:color w:val="000000"/>
          <w:sz w:val="22"/>
          <w:szCs w:val="22"/>
        </w:rPr>
        <w:t xml:space="preserve"> </w:t>
      </w:r>
      <w:r w:rsidRPr="003475EC">
        <w:rPr>
          <w:rFonts w:ascii="Times-Italic" w:hAnsi="Times-Italic"/>
          <w:i/>
          <w:iCs/>
          <w:color w:val="000000"/>
          <w:sz w:val="22"/>
          <w:szCs w:val="22"/>
        </w:rPr>
        <w:t>catastral No.</w:t>
      </w:r>
      <w:r>
        <w:rPr>
          <w:rFonts w:ascii="Times-Italic" w:hAnsi="Times-Italic"/>
          <w:i/>
          <w:iCs/>
          <w:color w:val="000000"/>
          <w:sz w:val="22"/>
          <w:szCs w:val="22"/>
        </w:rPr>
        <w:t xml:space="preserve"> </w:t>
      </w:r>
      <w:r w:rsidRPr="003475EC">
        <w:rPr>
          <w:rFonts w:ascii="Times-BoldItalic" w:hAnsi="Times-BoldItalic"/>
          <w:b/>
          <w:bCs/>
          <w:i/>
          <w:iCs/>
          <w:color w:val="000000"/>
          <w:sz w:val="22"/>
          <w:szCs w:val="22"/>
        </w:rPr>
        <w:t>14514-01-003</w:t>
      </w:r>
      <w:r w:rsidRPr="003475EC">
        <w:rPr>
          <w:rFonts w:ascii="Times-Italic" w:hAnsi="Times-Italic"/>
          <w:i/>
          <w:iCs/>
          <w:color w:val="000000"/>
          <w:sz w:val="22"/>
          <w:szCs w:val="22"/>
        </w:rPr>
        <w:t>, correspondiente al Asentamiento Humano de Hecho y</w:t>
      </w:r>
      <w:r>
        <w:rPr>
          <w:rFonts w:ascii="Times-Italic" w:hAnsi="Times-Italic"/>
          <w:i/>
          <w:iCs/>
          <w:color w:val="000000"/>
          <w:sz w:val="22"/>
          <w:szCs w:val="22"/>
        </w:rPr>
        <w:t xml:space="preserve"> </w:t>
      </w:r>
      <w:r w:rsidRPr="003475EC">
        <w:rPr>
          <w:rFonts w:ascii="Times-Italic" w:hAnsi="Times-Italic"/>
          <w:i/>
          <w:iCs/>
          <w:color w:val="000000"/>
          <w:sz w:val="22"/>
          <w:szCs w:val="22"/>
        </w:rPr>
        <w:t>Consolidado de Interés Social denominado: Barrio ¨</w:t>
      </w:r>
      <w:r w:rsidRPr="003475EC">
        <w:rPr>
          <w:rFonts w:ascii="Times-BoldItalic" w:hAnsi="Times-BoldItalic"/>
          <w:b/>
          <w:bCs/>
          <w:i/>
          <w:iCs/>
          <w:color w:val="000000"/>
          <w:sz w:val="22"/>
          <w:szCs w:val="22"/>
        </w:rPr>
        <w:t>EL TAJAMAR DE SAN JUAN DE</w:t>
      </w:r>
      <w:r>
        <w:rPr>
          <w:rFonts w:ascii="Times-BoldItalic" w:hAnsi="Times-BoldItalic"/>
          <w:b/>
          <w:bCs/>
          <w:i/>
          <w:iCs/>
          <w:color w:val="000000"/>
          <w:sz w:val="22"/>
          <w:szCs w:val="22"/>
        </w:rPr>
        <w:t xml:space="preserve"> </w:t>
      </w:r>
      <w:r w:rsidRPr="003475EC">
        <w:rPr>
          <w:rFonts w:ascii="Times-BoldItalic" w:hAnsi="Times-BoldItalic"/>
          <w:b/>
          <w:bCs/>
          <w:i/>
          <w:iCs/>
          <w:color w:val="000000"/>
          <w:sz w:val="22"/>
          <w:szCs w:val="22"/>
        </w:rPr>
        <w:t>CALDERÓN</w:t>
      </w:r>
      <w:r w:rsidRPr="003475EC">
        <w:rPr>
          <w:rFonts w:ascii="Times-Italic" w:hAnsi="Times-Italic"/>
          <w:i/>
          <w:iCs/>
          <w:color w:val="000000"/>
          <w:sz w:val="22"/>
          <w:szCs w:val="22"/>
        </w:rPr>
        <w:t>¨, ubicado en la parroquia de Calderón.</w:t>
      </w:r>
    </w:p>
    <w:p w14:paraId="2A3D34AC" w14:textId="77777777" w:rsidR="00D23A6B" w:rsidRDefault="00D23A6B" w:rsidP="00D23A6B">
      <w:pPr>
        <w:pStyle w:val="Prrafodelista"/>
        <w:spacing w:after="240" w:line="276" w:lineRule="auto"/>
        <w:ind w:left="720"/>
        <w:jc w:val="both"/>
        <w:rPr>
          <w:rFonts w:ascii="Times-Roman" w:hAnsi="Times-Roman"/>
          <w:i/>
          <w:color w:val="000000"/>
          <w:sz w:val="22"/>
          <w:szCs w:val="22"/>
        </w:rPr>
      </w:pPr>
      <w:r w:rsidRPr="003475EC">
        <w:rPr>
          <w:rFonts w:ascii="Times-Italic" w:hAnsi="Times-Italic"/>
          <w:i/>
          <w:iCs/>
          <w:color w:val="000000"/>
          <w:sz w:val="22"/>
          <w:szCs w:val="22"/>
        </w:rPr>
        <w:t>Por lo anteriormente expuesto, y en consideración de que el barrio, se encuentra inmerso</w:t>
      </w:r>
      <w:r w:rsidRPr="003475EC">
        <w:rPr>
          <w:rFonts w:ascii="Times-Italic" w:hAnsi="Times-Italic"/>
          <w:i/>
          <w:iCs/>
          <w:color w:val="000000"/>
          <w:sz w:val="22"/>
          <w:szCs w:val="22"/>
        </w:rPr>
        <w:br/>
        <w:t>dentro del proceso de regularización, en el grupo de programación 2020, solicito muy</w:t>
      </w:r>
      <w:r w:rsidRPr="003475EC">
        <w:rPr>
          <w:rFonts w:ascii="Times-Italic" w:hAnsi="Times-Italic"/>
          <w:i/>
          <w:iCs/>
          <w:color w:val="000000"/>
          <w:sz w:val="22"/>
          <w:szCs w:val="22"/>
        </w:rPr>
        <w:br/>
        <w:t>gentilmente se remita de la manera más pronta posible la información mencionada, a fin</w:t>
      </w:r>
      <w:r w:rsidRPr="003475EC">
        <w:rPr>
          <w:rFonts w:ascii="Times-Italic" w:hAnsi="Times-Italic"/>
          <w:i/>
          <w:iCs/>
          <w:color w:val="000000"/>
          <w:sz w:val="22"/>
          <w:szCs w:val="22"/>
        </w:rPr>
        <w:br/>
        <w:t xml:space="preserve">de continuar con lo pertinente al proceso de regularización"; </w:t>
      </w:r>
      <w:r w:rsidRPr="003475EC">
        <w:rPr>
          <w:rFonts w:ascii="Times-Roman" w:hAnsi="Times-Roman"/>
          <w:i/>
          <w:color w:val="000000"/>
          <w:sz w:val="22"/>
          <w:szCs w:val="22"/>
        </w:rPr>
        <w:t>al respecto se informa lo</w:t>
      </w:r>
      <w:r w:rsidRPr="003475EC">
        <w:rPr>
          <w:rFonts w:ascii="Times-Roman" w:hAnsi="Times-Roman"/>
          <w:i/>
          <w:color w:val="000000"/>
          <w:sz w:val="22"/>
          <w:szCs w:val="22"/>
        </w:rPr>
        <w:br/>
        <w:t xml:space="preserve">siguiente: </w:t>
      </w:r>
    </w:p>
    <w:p w14:paraId="091A611C" w14:textId="77777777" w:rsidR="00D23A6B" w:rsidRDefault="00D23A6B" w:rsidP="00D23A6B">
      <w:pPr>
        <w:pStyle w:val="Prrafodelista"/>
        <w:spacing w:after="240" w:line="276" w:lineRule="auto"/>
        <w:ind w:left="720"/>
        <w:jc w:val="both"/>
        <w:rPr>
          <w:sz w:val="24"/>
          <w:szCs w:val="24"/>
        </w:rPr>
      </w:pPr>
      <w:r w:rsidRPr="003475EC">
        <w:rPr>
          <w:rFonts w:ascii="Times-Roman" w:hAnsi="Times-Roman"/>
          <w:i/>
          <w:color w:val="000000"/>
          <w:sz w:val="22"/>
          <w:szCs w:val="22"/>
        </w:rPr>
        <w:t>La Unidad de Territorio y Vivienda, procedió a realizar la verificación del eje vial de las</w:t>
      </w:r>
      <w:r w:rsidRPr="003475EC">
        <w:rPr>
          <w:rFonts w:ascii="Times-Roman" w:hAnsi="Times-Roman"/>
          <w:i/>
          <w:color w:val="000000"/>
          <w:sz w:val="22"/>
          <w:szCs w:val="22"/>
        </w:rPr>
        <w:br/>
        <w:t xml:space="preserve">vías periféricas del predio No. </w:t>
      </w:r>
      <w:r w:rsidRPr="003475EC">
        <w:rPr>
          <w:rFonts w:ascii="Times-Bold" w:hAnsi="Times-Bold"/>
          <w:b/>
          <w:bCs/>
          <w:i/>
          <w:color w:val="000000"/>
          <w:sz w:val="22"/>
          <w:szCs w:val="22"/>
        </w:rPr>
        <w:t>5033993</w:t>
      </w:r>
      <w:r w:rsidRPr="003475EC">
        <w:rPr>
          <w:rFonts w:ascii="Times-Roman" w:hAnsi="Times-Roman"/>
          <w:i/>
          <w:color w:val="000000"/>
          <w:sz w:val="22"/>
          <w:szCs w:val="22"/>
        </w:rPr>
        <w:t>, con clave catastral No.</w:t>
      </w:r>
      <w:r>
        <w:rPr>
          <w:rFonts w:ascii="Times-Roman" w:hAnsi="Times-Roman"/>
          <w:i/>
          <w:color w:val="000000"/>
          <w:sz w:val="22"/>
          <w:szCs w:val="22"/>
        </w:rPr>
        <w:t xml:space="preserve"> </w:t>
      </w:r>
      <w:r w:rsidRPr="003475EC">
        <w:rPr>
          <w:rFonts w:ascii="Times-Bold" w:hAnsi="Times-Bold"/>
          <w:b/>
          <w:bCs/>
          <w:i/>
          <w:color w:val="000000"/>
          <w:sz w:val="22"/>
          <w:szCs w:val="22"/>
        </w:rPr>
        <w:t xml:space="preserve">14514-01-003 </w:t>
      </w:r>
      <w:r w:rsidRPr="003475EC">
        <w:rPr>
          <w:rFonts w:ascii="Times-Roman" w:hAnsi="Times-Roman"/>
          <w:i/>
          <w:color w:val="000000"/>
          <w:sz w:val="22"/>
          <w:szCs w:val="22"/>
        </w:rPr>
        <w:t>correspondiente al Asentamiento Humano de Hecho y Consolidado de</w:t>
      </w:r>
      <w:r>
        <w:rPr>
          <w:rFonts w:ascii="Times-Roman" w:hAnsi="Times-Roman"/>
          <w:i/>
          <w:color w:val="000000"/>
          <w:sz w:val="22"/>
          <w:szCs w:val="22"/>
        </w:rPr>
        <w:t xml:space="preserve"> </w:t>
      </w:r>
      <w:r w:rsidRPr="003475EC">
        <w:rPr>
          <w:rFonts w:ascii="Times-Roman" w:hAnsi="Times-Roman"/>
          <w:i/>
          <w:color w:val="000000"/>
          <w:sz w:val="22"/>
          <w:szCs w:val="22"/>
        </w:rPr>
        <w:t>Interés Social denominado: Barrio ¨</w:t>
      </w:r>
      <w:r w:rsidRPr="003475EC">
        <w:rPr>
          <w:rFonts w:ascii="Times-Bold" w:hAnsi="Times-Bold"/>
          <w:b/>
          <w:bCs/>
          <w:i/>
          <w:color w:val="000000"/>
          <w:sz w:val="22"/>
          <w:szCs w:val="22"/>
        </w:rPr>
        <w:t>EL TAJAMAR DE SAN JUAN DE CALDERÓN</w:t>
      </w:r>
      <w:r w:rsidRPr="003475EC">
        <w:rPr>
          <w:rFonts w:ascii="Times-Roman" w:hAnsi="Times-Roman"/>
          <w:i/>
          <w:color w:val="000000"/>
          <w:sz w:val="22"/>
          <w:szCs w:val="22"/>
        </w:rPr>
        <w:t>¨,</w:t>
      </w:r>
      <w:r>
        <w:rPr>
          <w:rFonts w:ascii="Times-Roman" w:hAnsi="Times-Roman"/>
          <w:i/>
          <w:color w:val="000000"/>
          <w:sz w:val="22"/>
          <w:szCs w:val="22"/>
        </w:rPr>
        <w:t xml:space="preserve"> </w:t>
      </w:r>
      <w:r w:rsidRPr="003475EC">
        <w:rPr>
          <w:rFonts w:ascii="Times-Roman" w:hAnsi="Times-Roman"/>
          <w:i/>
          <w:color w:val="000000"/>
          <w:sz w:val="22"/>
          <w:szCs w:val="22"/>
        </w:rPr>
        <w:t xml:space="preserve">emitiendo el informe de Replanteo Vial No. </w:t>
      </w:r>
      <w:r w:rsidRPr="003475EC">
        <w:rPr>
          <w:rFonts w:ascii="Times-Bold" w:hAnsi="Times-Bold"/>
          <w:b/>
          <w:bCs/>
          <w:i/>
          <w:color w:val="000000"/>
          <w:sz w:val="22"/>
          <w:szCs w:val="22"/>
        </w:rPr>
        <w:t xml:space="preserve">AZC-DGT-UTV-IRV-2021-013 </w:t>
      </w:r>
      <w:r w:rsidRPr="003475EC">
        <w:rPr>
          <w:rFonts w:ascii="Times-Roman" w:hAnsi="Times-Roman"/>
          <w:i/>
          <w:color w:val="000000"/>
          <w:sz w:val="22"/>
          <w:szCs w:val="22"/>
        </w:rPr>
        <w:t>de fecha 19</w:t>
      </w:r>
      <w:r>
        <w:rPr>
          <w:rFonts w:ascii="Times-Roman" w:hAnsi="Times-Roman"/>
          <w:i/>
          <w:color w:val="000000"/>
          <w:sz w:val="22"/>
          <w:szCs w:val="22"/>
        </w:rPr>
        <w:t xml:space="preserve"> </w:t>
      </w:r>
      <w:r w:rsidRPr="003475EC">
        <w:rPr>
          <w:rFonts w:ascii="Times-Roman" w:hAnsi="Times-Roman"/>
          <w:i/>
          <w:color w:val="000000"/>
          <w:sz w:val="22"/>
          <w:szCs w:val="22"/>
        </w:rPr>
        <w:t>de enero de 2021</w:t>
      </w:r>
      <w:r w:rsidRPr="003475EC">
        <w:rPr>
          <w:rFonts w:ascii="Times-Roman" w:hAnsi="Times-Roman"/>
          <w:color w:val="000000"/>
          <w:sz w:val="22"/>
          <w:szCs w:val="22"/>
        </w:rPr>
        <w:t>.</w:t>
      </w:r>
      <w:r w:rsidRPr="006501C3">
        <w:rPr>
          <w:sz w:val="24"/>
          <w:szCs w:val="24"/>
        </w:rPr>
        <w:t>”;</w:t>
      </w:r>
    </w:p>
    <w:p w14:paraId="2543DE8E" w14:textId="77777777" w:rsidR="009528DA" w:rsidRPr="009528DA" w:rsidRDefault="00460577" w:rsidP="009528DA">
      <w:pPr>
        <w:spacing w:after="240" w:line="276" w:lineRule="auto"/>
        <w:ind w:left="705" w:hanging="705"/>
        <w:jc w:val="both"/>
        <w:rPr>
          <w:rFonts w:ascii="Times-Roman" w:hAnsi="Times-Roman"/>
          <w:i/>
          <w:color w:val="000000"/>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STHV-DMPPS-2021-033</w:t>
      </w:r>
      <w:r w:rsidR="009528DA">
        <w:rPr>
          <w:bCs/>
          <w:sz w:val="24"/>
          <w:szCs w:val="24"/>
        </w:rPr>
        <w:t>6</w:t>
      </w:r>
      <w:r w:rsidRPr="006950CF">
        <w:rPr>
          <w:bCs/>
          <w:sz w:val="24"/>
          <w:szCs w:val="24"/>
        </w:rPr>
        <w:t>-O, de 22 de septiembre de 2021, el Director Metropolitano de Políticas y Planeamiento del Suelo, de la Secretaría de Territorio, Hábitat y Vivienda informa e indica que: “</w:t>
      </w:r>
      <w:r w:rsidR="009528DA" w:rsidRPr="009528DA">
        <w:rPr>
          <w:rFonts w:ascii="Times-Roman" w:hAnsi="Times-Roman"/>
          <w:i/>
          <w:color w:val="000000"/>
          <w:sz w:val="24"/>
          <w:szCs w:val="24"/>
        </w:rPr>
        <w:t xml:space="preserve">Mediante Oficio No. GADDMQ-SGCTYPC-UERB-2021-1095-O de fecha 06 de agosto de 2021, el Director de la Unidad Especial Regula tu Barrio, manifiesta que en cumplimiento de los acuerdos de la mesa de trabajo entre ambas entidades remite </w:t>
      </w:r>
      <w:proofErr w:type="spellStart"/>
      <w:r w:rsidR="009528DA" w:rsidRPr="009528DA">
        <w:rPr>
          <w:rFonts w:ascii="Times-Roman" w:hAnsi="Times-Roman"/>
          <w:i/>
          <w:color w:val="000000"/>
          <w:sz w:val="24"/>
          <w:szCs w:val="24"/>
        </w:rPr>
        <w:t>infromación</w:t>
      </w:r>
      <w:proofErr w:type="spellEnd"/>
      <w:r w:rsidR="009528DA" w:rsidRPr="009528DA">
        <w:rPr>
          <w:rFonts w:ascii="Times-Roman" w:hAnsi="Times-Roman"/>
          <w:i/>
          <w:color w:val="000000"/>
          <w:sz w:val="24"/>
          <w:szCs w:val="24"/>
        </w:rPr>
        <w:t xml:space="preserve"> (sic) para su análisis en referencia al Asentamiento Humano de Hecho y Consolidado denominado "TAJAMAR DE SAN JUAN", y solicita emitir el criterio de cambio de zonificación para el AHHYC en mención conforme lo dispuesto en el artículo 6 de la Resolución C 039-2021 de 02 de junio de 2021.</w:t>
      </w:r>
    </w:p>
    <w:p w14:paraId="44794987" w14:textId="629EBFE0" w:rsidR="00460577" w:rsidRPr="009528DA" w:rsidRDefault="009528DA" w:rsidP="009528DA">
      <w:pPr>
        <w:spacing w:after="240" w:line="276" w:lineRule="auto"/>
        <w:ind w:left="705" w:hanging="705"/>
        <w:jc w:val="both"/>
        <w:rPr>
          <w:rFonts w:ascii="Times-Roman" w:hAnsi="Times-Roman"/>
          <w:color w:val="000000"/>
          <w:sz w:val="22"/>
          <w:szCs w:val="22"/>
        </w:rPr>
      </w:pPr>
      <w:r w:rsidRPr="009528DA">
        <w:rPr>
          <w:bCs/>
          <w:i/>
          <w:sz w:val="24"/>
          <w:szCs w:val="24"/>
        </w:rPr>
        <w:t xml:space="preserve">           </w:t>
      </w:r>
      <w:r w:rsidRPr="009528DA">
        <w:rPr>
          <w:rFonts w:ascii="Times-Roman" w:hAnsi="Times-Roman"/>
          <w:i/>
          <w:color w:val="000000"/>
          <w:sz w:val="24"/>
          <w:szCs w:val="24"/>
        </w:rPr>
        <w:t>Con lo expuesto, la Secretaria de Territorio, Hábitat y Vivienda, por medio de la</w:t>
      </w:r>
      <w:r>
        <w:rPr>
          <w:rFonts w:ascii="Times-Roman" w:hAnsi="Times-Roman"/>
          <w:i/>
          <w:color w:val="000000"/>
          <w:sz w:val="24"/>
          <w:szCs w:val="24"/>
        </w:rPr>
        <w:t xml:space="preserve"> </w:t>
      </w:r>
      <w:r w:rsidRPr="009528DA">
        <w:rPr>
          <w:rFonts w:ascii="Times-Roman" w:hAnsi="Times-Roman"/>
          <w:i/>
          <w:color w:val="000000"/>
          <w:sz w:val="24"/>
          <w:szCs w:val="24"/>
        </w:rPr>
        <w:t>Dirección Metropolitana de Políticas y Planeamiento de Suelo, revisada la</w:t>
      </w:r>
      <w:r>
        <w:rPr>
          <w:rFonts w:ascii="Times-Roman" w:hAnsi="Times-Roman"/>
          <w:i/>
          <w:color w:val="000000"/>
          <w:sz w:val="24"/>
          <w:szCs w:val="24"/>
        </w:rPr>
        <w:t xml:space="preserve"> </w:t>
      </w:r>
      <w:r w:rsidRPr="009528DA">
        <w:rPr>
          <w:rFonts w:ascii="Times-Roman" w:hAnsi="Times-Roman"/>
          <w:i/>
          <w:color w:val="000000"/>
          <w:sz w:val="24"/>
          <w:szCs w:val="24"/>
        </w:rPr>
        <w:t>documentación</w:t>
      </w:r>
      <w:r>
        <w:rPr>
          <w:rFonts w:ascii="Times-Roman" w:hAnsi="Times-Roman"/>
          <w:i/>
          <w:color w:val="000000"/>
          <w:sz w:val="24"/>
          <w:szCs w:val="24"/>
        </w:rPr>
        <w:t xml:space="preserve"> </w:t>
      </w:r>
      <w:r w:rsidRPr="009528DA">
        <w:rPr>
          <w:rFonts w:ascii="Times-Roman" w:hAnsi="Times-Roman"/>
          <w:i/>
          <w:color w:val="000000"/>
          <w:sz w:val="24"/>
          <w:szCs w:val="24"/>
        </w:rPr>
        <w:t>anexa al oficio y en el ámbito de sus competencias, adjunta el Informe Técnico</w:t>
      </w:r>
      <w:r>
        <w:rPr>
          <w:rFonts w:ascii="Times-Roman" w:hAnsi="Times-Roman"/>
          <w:i/>
          <w:color w:val="000000"/>
          <w:sz w:val="24"/>
          <w:szCs w:val="24"/>
        </w:rPr>
        <w:t xml:space="preserve"> </w:t>
      </w:r>
      <w:r w:rsidRPr="009528DA">
        <w:rPr>
          <w:rFonts w:ascii="Times-Roman" w:hAnsi="Times-Roman"/>
          <w:i/>
          <w:color w:val="000000"/>
          <w:sz w:val="24"/>
          <w:szCs w:val="24"/>
        </w:rPr>
        <w:t xml:space="preserve">correspondiente </w:t>
      </w:r>
      <w:proofErr w:type="spellStart"/>
      <w:r w:rsidRPr="009528DA">
        <w:rPr>
          <w:rFonts w:ascii="Times-Roman" w:hAnsi="Times-Roman"/>
          <w:i/>
          <w:color w:val="000000"/>
          <w:sz w:val="24"/>
          <w:szCs w:val="24"/>
        </w:rPr>
        <w:t>correspondiente</w:t>
      </w:r>
      <w:proofErr w:type="spellEnd"/>
      <w:r w:rsidRPr="009528DA">
        <w:rPr>
          <w:rFonts w:ascii="Times-Roman" w:hAnsi="Times-Roman"/>
          <w:i/>
          <w:color w:val="000000"/>
          <w:sz w:val="24"/>
          <w:szCs w:val="24"/>
        </w:rPr>
        <w:t xml:space="preserve"> </w:t>
      </w:r>
      <w:r>
        <w:rPr>
          <w:rFonts w:ascii="Times-Roman" w:hAnsi="Times-Roman"/>
          <w:i/>
          <w:color w:val="000000"/>
          <w:sz w:val="24"/>
          <w:szCs w:val="24"/>
        </w:rPr>
        <w:t xml:space="preserve">(sic) </w:t>
      </w:r>
      <w:r w:rsidRPr="009528DA">
        <w:rPr>
          <w:rFonts w:ascii="Times-Roman" w:hAnsi="Times-Roman"/>
          <w:i/>
          <w:color w:val="000000"/>
          <w:sz w:val="24"/>
          <w:szCs w:val="24"/>
        </w:rPr>
        <w:t>al análisis de factibilidad de</w:t>
      </w:r>
      <w:r>
        <w:rPr>
          <w:rFonts w:ascii="Times-Roman" w:hAnsi="Times-Roman"/>
          <w:i/>
          <w:color w:val="000000"/>
          <w:sz w:val="24"/>
          <w:szCs w:val="24"/>
        </w:rPr>
        <w:t xml:space="preserve"> </w:t>
      </w:r>
      <w:r w:rsidRPr="009528DA">
        <w:rPr>
          <w:rFonts w:ascii="Times-Roman" w:hAnsi="Times-Roman"/>
          <w:i/>
          <w:color w:val="000000"/>
          <w:sz w:val="24"/>
          <w:szCs w:val="24"/>
        </w:rPr>
        <w:t>cambio de zonificación del</w:t>
      </w:r>
      <w:r>
        <w:rPr>
          <w:rFonts w:ascii="Times-Roman" w:hAnsi="Times-Roman"/>
          <w:i/>
          <w:color w:val="000000"/>
          <w:sz w:val="24"/>
          <w:szCs w:val="24"/>
        </w:rPr>
        <w:t xml:space="preserve"> </w:t>
      </w:r>
      <w:r w:rsidRPr="009528DA">
        <w:rPr>
          <w:rFonts w:ascii="Times-Roman" w:hAnsi="Times-Roman"/>
          <w:i/>
          <w:color w:val="000000"/>
          <w:sz w:val="24"/>
          <w:szCs w:val="24"/>
        </w:rPr>
        <w:t>Asentamiento Humano de Hecho y Consolidado de</w:t>
      </w:r>
      <w:r>
        <w:rPr>
          <w:rFonts w:ascii="Times-Roman" w:hAnsi="Times-Roman"/>
          <w:i/>
          <w:color w:val="000000"/>
          <w:sz w:val="24"/>
          <w:szCs w:val="24"/>
        </w:rPr>
        <w:t xml:space="preserve"> </w:t>
      </w:r>
      <w:r w:rsidRPr="009528DA">
        <w:rPr>
          <w:rFonts w:ascii="Times-Roman" w:hAnsi="Times-Roman"/>
          <w:i/>
          <w:color w:val="000000"/>
          <w:sz w:val="24"/>
          <w:szCs w:val="24"/>
        </w:rPr>
        <w:t>Interés Social denominado</w:t>
      </w:r>
      <w:r>
        <w:rPr>
          <w:rFonts w:ascii="Times-Roman" w:hAnsi="Times-Roman"/>
          <w:i/>
          <w:color w:val="000000"/>
          <w:sz w:val="24"/>
          <w:szCs w:val="24"/>
        </w:rPr>
        <w:t xml:space="preserve"> </w:t>
      </w:r>
      <w:r w:rsidRPr="009528DA">
        <w:rPr>
          <w:rFonts w:ascii="Times-Roman" w:hAnsi="Times-Roman"/>
          <w:i/>
          <w:color w:val="000000"/>
          <w:sz w:val="24"/>
          <w:szCs w:val="24"/>
        </w:rPr>
        <w:t>"TAJAMAR DE SAN JUAN", el cual concluye que,</w:t>
      </w:r>
      <w:r>
        <w:rPr>
          <w:rFonts w:ascii="Times-Roman" w:hAnsi="Times-Roman"/>
          <w:i/>
          <w:color w:val="000000"/>
          <w:sz w:val="24"/>
          <w:szCs w:val="24"/>
        </w:rPr>
        <w:t xml:space="preserve"> </w:t>
      </w:r>
      <w:r w:rsidRPr="009528DA">
        <w:rPr>
          <w:rFonts w:ascii="Times-Roman" w:hAnsi="Times-Roman"/>
          <w:i/>
          <w:color w:val="000000"/>
          <w:sz w:val="24"/>
          <w:szCs w:val="24"/>
        </w:rPr>
        <w:t>solventando las recomendaciones</w:t>
      </w:r>
      <w:r>
        <w:rPr>
          <w:rFonts w:ascii="Times-Roman" w:hAnsi="Times-Roman"/>
          <w:i/>
          <w:color w:val="000000"/>
          <w:sz w:val="24"/>
          <w:szCs w:val="24"/>
        </w:rPr>
        <w:t xml:space="preserve"> </w:t>
      </w:r>
      <w:r w:rsidRPr="009528DA">
        <w:rPr>
          <w:rFonts w:ascii="Times-Roman" w:hAnsi="Times-Roman"/>
          <w:i/>
          <w:color w:val="000000"/>
          <w:sz w:val="24"/>
          <w:szCs w:val="24"/>
        </w:rPr>
        <w:t>indicadas, considera factible el cambio en la</w:t>
      </w:r>
      <w:r>
        <w:rPr>
          <w:rFonts w:ascii="Times-Roman" w:hAnsi="Times-Roman"/>
          <w:i/>
          <w:color w:val="000000"/>
          <w:sz w:val="24"/>
          <w:szCs w:val="24"/>
        </w:rPr>
        <w:t xml:space="preserve"> </w:t>
      </w:r>
      <w:r w:rsidRPr="009528DA">
        <w:rPr>
          <w:rFonts w:ascii="Times-Roman" w:hAnsi="Times-Roman"/>
          <w:i/>
          <w:color w:val="000000"/>
          <w:sz w:val="24"/>
          <w:szCs w:val="24"/>
        </w:rPr>
        <w:t>ocupación y edificabilidad (zonificación)</w:t>
      </w:r>
      <w:r>
        <w:rPr>
          <w:rFonts w:ascii="Times-Roman" w:hAnsi="Times-Roman"/>
          <w:i/>
          <w:color w:val="000000"/>
          <w:sz w:val="24"/>
          <w:szCs w:val="24"/>
        </w:rPr>
        <w:t xml:space="preserve"> </w:t>
      </w:r>
      <w:r w:rsidRPr="009528DA">
        <w:rPr>
          <w:rFonts w:ascii="Times-Roman" w:hAnsi="Times-Roman"/>
          <w:i/>
          <w:color w:val="000000"/>
          <w:sz w:val="24"/>
          <w:szCs w:val="24"/>
        </w:rPr>
        <w:t>considerando los términos que se señalan</w:t>
      </w:r>
      <w:r>
        <w:rPr>
          <w:rFonts w:ascii="Times-Roman" w:hAnsi="Times-Roman"/>
          <w:i/>
          <w:color w:val="000000"/>
          <w:sz w:val="24"/>
          <w:szCs w:val="24"/>
        </w:rPr>
        <w:t xml:space="preserve"> </w:t>
      </w:r>
      <w:r w:rsidRPr="009528DA">
        <w:rPr>
          <w:rFonts w:ascii="Times-Roman" w:hAnsi="Times-Roman"/>
          <w:i/>
          <w:color w:val="000000"/>
          <w:sz w:val="24"/>
          <w:szCs w:val="24"/>
        </w:rPr>
        <w:t>en el Cuadro No 2 del documento anexo, que</w:t>
      </w:r>
      <w:r>
        <w:rPr>
          <w:rFonts w:ascii="Times-Roman" w:hAnsi="Times-Roman"/>
          <w:i/>
          <w:color w:val="000000"/>
          <w:sz w:val="24"/>
          <w:szCs w:val="24"/>
        </w:rPr>
        <w:t xml:space="preserve"> </w:t>
      </w:r>
      <w:r w:rsidRPr="009528DA">
        <w:rPr>
          <w:rFonts w:ascii="Times-Roman" w:hAnsi="Times-Roman"/>
          <w:i/>
          <w:color w:val="000000"/>
          <w:sz w:val="24"/>
          <w:szCs w:val="24"/>
        </w:rPr>
        <w:t>establecen clasificación de suelo rural;</w:t>
      </w:r>
      <w:r>
        <w:rPr>
          <w:rFonts w:ascii="Times-Roman" w:hAnsi="Times-Roman"/>
          <w:i/>
          <w:color w:val="000000"/>
          <w:sz w:val="24"/>
          <w:szCs w:val="24"/>
        </w:rPr>
        <w:t xml:space="preserve"> </w:t>
      </w:r>
      <w:r w:rsidRPr="009528DA">
        <w:rPr>
          <w:rFonts w:ascii="Times-Roman" w:hAnsi="Times-Roman"/>
          <w:i/>
          <w:color w:val="000000"/>
          <w:sz w:val="24"/>
          <w:szCs w:val="24"/>
        </w:rPr>
        <w:t>uso de suelo (RR2) Residencial Rural 2;</w:t>
      </w:r>
      <w:r>
        <w:rPr>
          <w:rFonts w:ascii="Times-Roman" w:hAnsi="Times-Roman"/>
          <w:i/>
          <w:color w:val="000000"/>
          <w:sz w:val="24"/>
          <w:szCs w:val="24"/>
        </w:rPr>
        <w:t xml:space="preserve"> </w:t>
      </w:r>
      <w:r w:rsidRPr="009528DA">
        <w:rPr>
          <w:rFonts w:ascii="Times-Roman" w:hAnsi="Times-Roman"/>
          <w:i/>
          <w:color w:val="000000"/>
          <w:sz w:val="24"/>
          <w:szCs w:val="24"/>
        </w:rPr>
        <w:t>zonificación D1(202-80), a fin de continuar</w:t>
      </w:r>
      <w:r>
        <w:rPr>
          <w:rFonts w:ascii="Times-Roman" w:hAnsi="Times-Roman"/>
          <w:i/>
          <w:color w:val="000000"/>
          <w:sz w:val="24"/>
          <w:szCs w:val="24"/>
        </w:rPr>
        <w:t xml:space="preserve"> </w:t>
      </w:r>
      <w:r w:rsidRPr="009528DA">
        <w:rPr>
          <w:rFonts w:ascii="Times-Roman" w:hAnsi="Times-Roman"/>
          <w:i/>
          <w:color w:val="000000"/>
          <w:sz w:val="24"/>
          <w:szCs w:val="24"/>
        </w:rPr>
        <w:t>con el proceso integral de regularización</w:t>
      </w:r>
      <w:r>
        <w:rPr>
          <w:rFonts w:ascii="Times-Roman" w:hAnsi="Times-Roman"/>
          <w:i/>
          <w:color w:val="000000"/>
          <w:sz w:val="24"/>
          <w:szCs w:val="24"/>
        </w:rPr>
        <w:t xml:space="preserve"> </w:t>
      </w:r>
      <w:r w:rsidRPr="009528DA">
        <w:rPr>
          <w:rFonts w:ascii="Times-Roman" w:hAnsi="Times-Roman"/>
          <w:i/>
          <w:color w:val="000000"/>
          <w:sz w:val="24"/>
          <w:szCs w:val="24"/>
        </w:rPr>
        <w:t>correspondiente</w:t>
      </w:r>
      <w:r w:rsidR="00460577" w:rsidRPr="00460577">
        <w:rPr>
          <w:i/>
          <w:color w:val="000000"/>
          <w:sz w:val="24"/>
          <w:szCs w:val="24"/>
        </w:rPr>
        <w:t>.</w:t>
      </w:r>
      <w:r w:rsidR="00460577" w:rsidRPr="00460577">
        <w:rPr>
          <w:rFonts w:ascii="Times-Roman" w:hAnsi="Times-Roman"/>
          <w:color w:val="000000"/>
          <w:sz w:val="24"/>
          <w:szCs w:val="24"/>
        </w:rPr>
        <w:t xml:space="preserve">”; </w:t>
      </w:r>
    </w:p>
    <w:p w14:paraId="06ADFFE6" w14:textId="77777777" w:rsidR="00D23A6B" w:rsidRPr="00AA65F3" w:rsidRDefault="00D23A6B" w:rsidP="00D23A6B">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w:t>
      </w:r>
      <w:r>
        <w:rPr>
          <w:rFonts w:eastAsiaTheme="minorHAnsi"/>
          <w:bCs/>
          <w:sz w:val="22"/>
          <w:szCs w:val="22"/>
          <w:lang w:val="es-EC" w:eastAsia="en-US"/>
        </w:rPr>
        <w:t>8559</w:t>
      </w:r>
      <w:r w:rsidRPr="00AA65F3">
        <w:rPr>
          <w:rFonts w:eastAsiaTheme="minorHAnsi"/>
          <w:bCs/>
          <w:sz w:val="22"/>
          <w:szCs w:val="22"/>
          <w:lang w:val="es-EC" w:eastAsia="en-US"/>
        </w:rPr>
        <w:t>-OF</w:t>
      </w:r>
      <w:r w:rsidRPr="00AA65F3">
        <w:rPr>
          <w:bCs/>
          <w:sz w:val="24"/>
          <w:szCs w:val="24"/>
        </w:rPr>
        <w:t xml:space="preserve">, de </w:t>
      </w:r>
      <w:r>
        <w:rPr>
          <w:bCs/>
          <w:sz w:val="24"/>
          <w:szCs w:val="24"/>
        </w:rPr>
        <w:t>24</w:t>
      </w:r>
      <w:r w:rsidRPr="00AA65F3">
        <w:rPr>
          <w:bCs/>
          <w:sz w:val="24"/>
          <w:szCs w:val="24"/>
        </w:rPr>
        <w:t xml:space="preserve"> de </w:t>
      </w:r>
      <w:r>
        <w:rPr>
          <w:bCs/>
          <w:sz w:val="24"/>
          <w:szCs w:val="24"/>
        </w:rPr>
        <w:t>noviembre</w:t>
      </w:r>
      <w:r w:rsidRPr="00AA65F3">
        <w:rPr>
          <w:bCs/>
          <w:sz w:val="24"/>
          <w:szCs w:val="24"/>
        </w:rPr>
        <w:t xml:space="preserve"> de 2021, emitido por el </w:t>
      </w:r>
      <w:r>
        <w:rPr>
          <w:bCs/>
          <w:sz w:val="24"/>
          <w:szCs w:val="24"/>
        </w:rPr>
        <w:t xml:space="preserve">Directora Metropolitana (E) de la </w:t>
      </w:r>
      <w:r w:rsidRPr="00AA65F3">
        <w:rPr>
          <w:bCs/>
          <w:sz w:val="24"/>
          <w:szCs w:val="24"/>
        </w:rPr>
        <w:t>Secretar</w:t>
      </w:r>
      <w:r>
        <w:rPr>
          <w:bCs/>
          <w:sz w:val="24"/>
          <w:szCs w:val="24"/>
        </w:rPr>
        <w:t>ía</w:t>
      </w:r>
      <w:r w:rsidRPr="00AA65F3">
        <w:rPr>
          <w:bCs/>
          <w:sz w:val="24"/>
          <w:szCs w:val="24"/>
        </w:rPr>
        <w:t xml:space="preserve">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w:t>
      </w:r>
      <w:r>
        <w:rPr>
          <w:color w:val="000000"/>
          <w:sz w:val="24"/>
          <w:szCs w:val="24"/>
          <w:shd w:val="clear" w:color="auto" w:fill="FFFFFF"/>
        </w:rPr>
        <w:t>36</w:t>
      </w:r>
      <w:r w:rsidRPr="00AA65F3">
        <w:rPr>
          <w:color w:val="000000"/>
          <w:sz w:val="24"/>
          <w:szCs w:val="24"/>
          <w:shd w:val="clear" w:color="auto" w:fill="FFFFFF"/>
        </w:rPr>
        <w:t>-EAH-AT</w:t>
      </w:r>
      <w:r w:rsidRPr="00AA65F3">
        <w:rPr>
          <w:sz w:val="24"/>
          <w:szCs w:val="24"/>
        </w:rPr>
        <w:t xml:space="preserve">-DMGR-2021, de </w:t>
      </w:r>
      <w:r>
        <w:rPr>
          <w:sz w:val="24"/>
          <w:szCs w:val="24"/>
        </w:rPr>
        <w:t>10</w:t>
      </w:r>
      <w:r w:rsidRPr="00AA65F3">
        <w:rPr>
          <w:sz w:val="24"/>
          <w:szCs w:val="24"/>
        </w:rPr>
        <w:t xml:space="preserve"> de </w:t>
      </w:r>
      <w:r>
        <w:rPr>
          <w:sz w:val="24"/>
          <w:szCs w:val="24"/>
        </w:rPr>
        <w:t>noviembre</w:t>
      </w:r>
      <w:r w:rsidRPr="00AA65F3">
        <w:rPr>
          <w:sz w:val="24"/>
          <w:szCs w:val="24"/>
        </w:rPr>
        <w:t xml:space="preserve"> de 2021, en el cual, califica en el numeral </w:t>
      </w:r>
      <w:r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3303B05" w14:textId="540C329B" w:rsidR="00D23A6B" w:rsidRDefault="00D23A6B" w:rsidP="00D23A6B">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“Tajamar de San Juan”</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y,</w:t>
      </w:r>
    </w:p>
    <w:p w14:paraId="4CA09775" w14:textId="23591B8B"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3475EC">
        <w:rPr>
          <w:sz w:val="24"/>
          <w:szCs w:val="24"/>
        </w:rPr>
        <w:t>03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892F43">
        <w:rPr>
          <w:bCs/>
          <w:sz w:val="24"/>
          <w:szCs w:val="24"/>
        </w:rPr>
        <w:t xml:space="preserve">Arq. Katherine Pamela Dueñas </w:t>
      </w:r>
      <w:proofErr w:type="spellStart"/>
      <w:r w:rsidR="006950CF" w:rsidRPr="00892F43">
        <w:rPr>
          <w:bCs/>
          <w:sz w:val="24"/>
          <w:szCs w:val="24"/>
        </w:rPr>
        <w:t>Cuamacaz</w:t>
      </w:r>
      <w:proofErr w:type="spellEnd"/>
      <w:r w:rsidR="006950CF" w:rsidRPr="00892F43">
        <w:rPr>
          <w:bCs/>
          <w:sz w:val="24"/>
          <w:szCs w:val="24"/>
        </w:rPr>
        <w:t xml:space="preserve">, Delegada de la Administradora Zonal Calderón; </w:t>
      </w:r>
      <w:r w:rsidR="00682A33" w:rsidRPr="00892F43">
        <w:rPr>
          <w:bCs/>
          <w:sz w:val="24"/>
          <w:szCs w:val="24"/>
        </w:rPr>
        <w:t>Abg. Lorena Elizabeth Donoso Rivera,</w:t>
      </w:r>
      <w:r w:rsidR="00682A33" w:rsidRPr="00892F43">
        <w:rPr>
          <w:b/>
          <w:bCs/>
          <w:sz w:val="24"/>
          <w:szCs w:val="24"/>
        </w:rPr>
        <w:t xml:space="preserve"> </w:t>
      </w:r>
      <w:r w:rsidR="00682A33" w:rsidRPr="00892F43">
        <w:rPr>
          <w:bCs/>
          <w:sz w:val="24"/>
          <w:szCs w:val="24"/>
        </w:rPr>
        <w:t>Directora Jurídica de la Administración Zonal Calderón</w:t>
      </w:r>
      <w:r w:rsidR="006950CF" w:rsidRPr="00892F43">
        <w:rPr>
          <w:bCs/>
          <w:sz w:val="24"/>
          <w:szCs w:val="24"/>
        </w:rPr>
        <w:t xml:space="preserve">; </w:t>
      </w:r>
      <w:r w:rsidR="006950CF" w:rsidRPr="00892F43">
        <w:rPr>
          <w:sz w:val="24"/>
          <w:szCs w:val="24"/>
        </w:rPr>
        <w:t xml:space="preserve">Arq. Cristina </w:t>
      </w:r>
      <w:proofErr w:type="spellStart"/>
      <w:r w:rsidR="006950CF" w:rsidRPr="00892F43">
        <w:rPr>
          <w:sz w:val="24"/>
          <w:szCs w:val="24"/>
        </w:rPr>
        <w:t>Jeanneth</w:t>
      </w:r>
      <w:proofErr w:type="spellEnd"/>
      <w:r w:rsidR="006950CF" w:rsidRPr="00892F43">
        <w:rPr>
          <w:sz w:val="24"/>
          <w:szCs w:val="24"/>
        </w:rPr>
        <w:t xml:space="preserve"> Paredes Armijos,</w:t>
      </w:r>
      <w:r w:rsidR="006950CF" w:rsidRPr="00892F43">
        <w:rPr>
          <w:bCs/>
          <w:sz w:val="24"/>
          <w:szCs w:val="24"/>
        </w:rPr>
        <w:t xml:space="preserve"> Delegada de la Dirección Metropolitana de Políticas y Planeamiento de Suelo de la Secretaria de Territorio, Hábitat y Vivienda;</w:t>
      </w:r>
      <w:r w:rsidR="006950CF" w:rsidRPr="00892F43">
        <w:rPr>
          <w:sz w:val="24"/>
          <w:szCs w:val="24"/>
        </w:rPr>
        <w:t xml:space="preserve"> </w:t>
      </w:r>
      <w:r w:rsidR="00682A33" w:rsidRPr="00892F43">
        <w:rPr>
          <w:sz w:val="24"/>
          <w:szCs w:val="24"/>
        </w:rPr>
        <w:t>Arq. Luis Alberto Hidalgo González</w:t>
      </w:r>
      <w:r w:rsidR="006950CF" w:rsidRPr="00892F43">
        <w:rPr>
          <w:sz w:val="24"/>
          <w:szCs w:val="24"/>
        </w:rPr>
        <w:t xml:space="preserve">, </w:t>
      </w:r>
      <w:r w:rsidR="006950CF" w:rsidRPr="00892F43">
        <w:rPr>
          <w:bCs/>
          <w:sz w:val="24"/>
          <w:szCs w:val="24"/>
        </w:rPr>
        <w:t xml:space="preserve">Delegado </w:t>
      </w:r>
      <w:r w:rsidR="006950CF" w:rsidRPr="00892F43">
        <w:rPr>
          <w:sz w:val="24"/>
          <w:szCs w:val="24"/>
        </w:rPr>
        <w:t xml:space="preserve">de la Dirección Metropolitana de Catastros </w:t>
      </w:r>
      <w:r w:rsidR="006950CF" w:rsidRPr="00892F4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92F43">
        <w:rPr>
          <w:sz w:val="24"/>
          <w:szCs w:val="24"/>
        </w:rPr>
        <w:t xml:space="preserve">, aprobaron </w:t>
      </w:r>
      <w:r w:rsidR="00C65027" w:rsidRPr="00892F43">
        <w:rPr>
          <w:sz w:val="24"/>
          <w:szCs w:val="24"/>
        </w:rPr>
        <w:t xml:space="preserve">el Informe Socio Organizativo Legal y Técnico Nro. </w:t>
      </w:r>
      <w:r w:rsidR="00D23A6B" w:rsidRPr="00892F43">
        <w:rPr>
          <w:sz w:val="24"/>
          <w:szCs w:val="24"/>
        </w:rPr>
        <w:t>012</w:t>
      </w:r>
      <w:r w:rsidR="00C65027" w:rsidRPr="00892F43">
        <w:rPr>
          <w:sz w:val="24"/>
          <w:szCs w:val="24"/>
        </w:rPr>
        <w:t>-UERB-</w:t>
      </w:r>
      <w:r w:rsidR="00C65027" w:rsidRPr="00682A33">
        <w:rPr>
          <w:sz w:val="24"/>
          <w:szCs w:val="24"/>
        </w:rPr>
        <w:t xml:space="preserve">AZCA-SOLT-2021, de </w:t>
      </w:r>
      <w:r w:rsidR="00D23A6B">
        <w:rPr>
          <w:sz w:val="24"/>
          <w:szCs w:val="24"/>
        </w:rPr>
        <w:t>29</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7354E9" w:rsidRPr="007354E9">
        <w:rPr>
          <w:bCs/>
          <w:sz w:val="24"/>
          <w:szCs w:val="24"/>
        </w:rPr>
        <w:t>“Tajamar de San Juan”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1627EDF8"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7354E9" w:rsidRPr="007354E9">
        <w:rPr>
          <w:rFonts w:ascii="Times New Roman" w:hAnsi="Times New Roman"/>
          <w:b/>
          <w:bCs/>
        </w:rPr>
        <w:t>“TAJAMAR DE SAN JUAN”,</w:t>
      </w:r>
      <w:r w:rsidR="007354E9"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651D35E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D23A6B" w:rsidRPr="00D23A6B">
        <w:rPr>
          <w:color w:val="000000"/>
          <w:sz w:val="24"/>
          <w:szCs w:val="24"/>
          <w:lang w:val="es-EC" w:eastAsia="es-EC"/>
        </w:rPr>
        <w:t>5033993</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7354E9" w:rsidRPr="007354E9">
        <w:rPr>
          <w:bCs/>
          <w:sz w:val="24"/>
          <w:szCs w:val="24"/>
        </w:rPr>
        <w:t>“Tajamar de San Juan”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7B89222E"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7354E9" w:rsidRPr="007354E9">
        <w:rPr>
          <w:bCs/>
        </w:rPr>
        <w:t>“Tajamar de San Juan”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01CAB461"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7354E9" w:rsidRPr="007354E9">
        <w:rPr>
          <w:bCs/>
          <w:sz w:val="24"/>
          <w:szCs w:val="24"/>
        </w:rPr>
        <w:t>“Tajamar de San Juan”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3C5FD1E2" w:rsidR="00F27D35" w:rsidRPr="00F146C4" w:rsidRDefault="00D23A6B" w:rsidP="00455512">
            <w:pPr>
              <w:contextualSpacing/>
              <w:rPr>
                <w:sz w:val="24"/>
                <w:szCs w:val="24"/>
              </w:rPr>
            </w:pPr>
            <w:r w:rsidRPr="00D23A6B">
              <w:rPr>
                <w:color w:val="000000"/>
                <w:sz w:val="24"/>
                <w:szCs w:val="24"/>
                <w:lang w:val="es-EC" w:eastAsia="es-EC"/>
              </w:rPr>
              <w:t>5033993</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14FFC14A" w:rsidR="00643E8C" w:rsidRPr="00F146C4" w:rsidRDefault="00D23A6B" w:rsidP="00643E8C">
            <w:pPr>
              <w:contextualSpacing/>
              <w:rPr>
                <w:rFonts w:eastAsia="Calibri"/>
                <w:sz w:val="24"/>
                <w:szCs w:val="24"/>
              </w:rPr>
            </w:pPr>
            <w:r>
              <w:rPr>
                <w:rFonts w:eastAsia="Calibri"/>
                <w:sz w:val="24"/>
                <w:szCs w:val="24"/>
              </w:rPr>
              <w:t>26</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5AF4FF2" w:rsidR="00643E8C" w:rsidRPr="00D23A6B" w:rsidRDefault="00D23A6B" w:rsidP="00D23A6B">
            <w:pPr>
              <w:rPr>
                <w:b/>
                <w:sz w:val="24"/>
                <w:szCs w:val="24"/>
                <w:lang w:val="es-EC" w:eastAsia="es-EC"/>
              </w:rPr>
            </w:pPr>
            <w:r w:rsidRPr="00D23A6B">
              <w:rPr>
                <w:rStyle w:val="fontstyle01"/>
                <w:b w:val="0"/>
                <w:sz w:val="24"/>
                <w:szCs w:val="24"/>
              </w:rPr>
              <w:t xml:space="preserve">5.300,31 </w:t>
            </w:r>
            <w:r w:rsidR="00643E8C" w:rsidRPr="00D23A6B">
              <w:rPr>
                <w:sz w:val="24"/>
                <w:szCs w:val="24"/>
              </w:rPr>
              <w:t>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6D95DFC" w:rsidR="00643E8C" w:rsidRPr="00D23A6B" w:rsidRDefault="00D23A6B" w:rsidP="00D23A6B">
            <w:pPr>
              <w:rPr>
                <w:b/>
                <w:sz w:val="24"/>
                <w:szCs w:val="24"/>
                <w:lang w:val="es-EC" w:eastAsia="es-EC"/>
              </w:rPr>
            </w:pPr>
            <w:r w:rsidRPr="00D23A6B">
              <w:rPr>
                <w:rStyle w:val="fontstyle01"/>
                <w:b w:val="0"/>
                <w:sz w:val="24"/>
                <w:szCs w:val="24"/>
              </w:rPr>
              <w:t xml:space="preserve">693,15 </w:t>
            </w:r>
            <w:r w:rsidR="00374462" w:rsidRPr="00D23A6B">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453826BD" w:rsidR="00643E8C" w:rsidRPr="00D23A6B" w:rsidRDefault="00D23A6B" w:rsidP="00D23A6B">
            <w:pPr>
              <w:rPr>
                <w:b/>
                <w:sz w:val="24"/>
                <w:szCs w:val="24"/>
                <w:lang w:val="es-EC" w:eastAsia="es-EC"/>
              </w:rPr>
            </w:pPr>
            <w:r w:rsidRPr="00D23A6B">
              <w:rPr>
                <w:rStyle w:val="fontstyle01"/>
                <w:b w:val="0"/>
                <w:sz w:val="24"/>
                <w:szCs w:val="24"/>
              </w:rPr>
              <w:t>1.137,67</w:t>
            </w:r>
            <w:r w:rsidRPr="00D23A6B">
              <w:rPr>
                <w:rStyle w:val="fontstyle01"/>
                <w:sz w:val="24"/>
                <w:szCs w:val="24"/>
              </w:rPr>
              <w:t xml:space="preserve"> </w:t>
            </w:r>
            <w:r w:rsidR="00374462" w:rsidRPr="00D23A6B">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2703F45E" w:rsidR="00374462" w:rsidRPr="00F146C4" w:rsidRDefault="00D23A6B" w:rsidP="00D23A6B">
            <w:pPr>
              <w:rPr>
                <w:b/>
                <w:sz w:val="24"/>
                <w:szCs w:val="24"/>
                <w:lang w:val="es-EC" w:eastAsia="es-EC"/>
              </w:rPr>
            </w:pPr>
            <w:r w:rsidRPr="00D23A6B">
              <w:rPr>
                <w:rStyle w:val="fontstyle01"/>
                <w:b w:val="0"/>
                <w:sz w:val="24"/>
                <w:szCs w:val="24"/>
              </w:rPr>
              <w:t>7.131,13</w:t>
            </w:r>
            <w:r>
              <w:rPr>
                <w:rStyle w:val="fontstyle01"/>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1704A8D"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D23A6B">
        <w:rPr>
          <w:sz w:val="24"/>
          <w:szCs w:val="24"/>
        </w:rPr>
        <w:t>26</w:t>
      </w:r>
      <w:r w:rsidRPr="00FB0932">
        <w:rPr>
          <w:sz w:val="24"/>
          <w:szCs w:val="24"/>
        </w:rPr>
        <w:t xml:space="preserve"> signados del uno (1) al </w:t>
      </w:r>
      <w:r w:rsidR="00D23A6B">
        <w:rPr>
          <w:sz w:val="24"/>
          <w:szCs w:val="24"/>
        </w:rPr>
        <w:t>veinte y seis</w:t>
      </w:r>
      <w:r w:rsidRPr="00FB0932">
        <w:rPr>
          <w:sz w:val="24"/>
          <w:szCs w:val="24"/>
        </w:rPr>
        <w:t xml:space="preserve"> (</w:t>
      </w:r>
      <w:r w:rsidR="00D23A6B">
        <w:rPr>
          <w:sz w:val="24"/>
          <w:szCs w:val="24"/>
        </w:rPr>
        <w:t>26</w:t>
      </w:r>
      <w:r w:rsidRPr="00FB0932">
        <w:rPr>
          <w:sz w:val="24"/>
          <w:szCs w:val="24"/>
        </w:rPr>
        <w:t>), cuyo detalle es el que consta en los planos aprobatorios que forman parte de la presente Ordenanza.</w:t>
      </w:r>
    </w:p>
    <w:p w14:paraId="58C64AAF" w14:textId="68489C67"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D23A6B" w:rsidRPr="00D23A6B">
        <w:rPr>
          <w:color w:val="000000"/>
          <w:sz w:val="24"/>
          <w:szCs w:val="24"/>
          <w:lang w:val="es-EC" w:eastAsia="es-EC"/>
        </w:rPr>
        <w:t>5033993</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D23A6B">
        <w:rPr>
          <w:rFonts w:eastAsiaTheme="minorHAnsi"/>
          <w:sz w:val="24"/>
          <w:szCs w:val="24"/>
          <w:lang w:val="es-EC" w:eastAsia="en-US"/>
        </w:rPr>
        <w:t>14696</w:t>
      </w:r>
      <w:r w:rsidRPr="00DB2F63">
        <w:rPr>
          <w:sz w:val="24"/>
          <w:szCs w:val="24"/>
        </w:rPr>
        <w:t xml:space="preserve"> emitida por la Dirección Metropolitana de Catastro, el </w:t>
      </w:r>
      <w:r w:rsidR="00D23A6B">
        <w:rPr>
          <w:sz w:val="24"/>
          <w:szCs w:val="24"/>
        </w:rPr>
        <w:t>25</w:t>
      </w:r>
      <w:r w:rsidRPr="00DB2F63">
        <w:rPr>
          <w:sz w:val="24"/>
          <w:szCs w:val="24"/>
        </w:rPr>
        <w:t xml:space="preserve"> de </w:t>
      </w:r>
      <w:r w:rsidR="00D23A6B">
        <w:rPr>
          <w:sz w:val="24"/>
          <w:szCs w:val="24"/>
        </w:rPr>
        <w:t>noviembre</w:t>
      </w:r>
      <w:r w:rsidRPr="00DB2F63">
        <w:rPr>
          <w:sz w:val="24"/>
          <w:szCs w:val="24"/>
        </w:rPr>
        <w:t xml:space="preserve"> de 20</w:t>
      </w:r>
      <w:r w:rsidR="00D23A6B">
        <w:rPr>
          <w:sz w:val="24"/>
          <w:szCs w:val="24"/>
        </w:rPr>
        <w:t>2</w:t>
      </w:r>
      <w:r w:rsidRPr="00DB2F63">
        <w:rPr>
          <w:sz w:val="24"/>
          <w:szCs w:val="24"/>
        </w:rPr>
        <w:t xml:space="preserve">1, </w:t>
      </w:r>
      <w:r w:rsidR="007E2AD7">
        <w:rPr>
          <w:sz w:val="24"/>
          <w:szCs w:val="24"/>
        </w:rPr>
        <w:t xml:space="preserve">legalmente inscrita en el Registro de la Propiedad el </w:t>
      </w:r>
      <w:r w:rsidR="00A70B0D" w:rsidRPr="00A70B0D">
        <w:rPr>
          <w:sz w:val="24"/>
          <w:szCs w:val="24"/>
        </w:rPr>
        <w:t>09 de diciembre</w:t>
      </w:r>
      <w:r w:rsidR="007E2AD7" w:rsidRPr="00A70B0D">
        <w:rPr>
          <w:sz w:val="24"/>
          <w:szCs w:val="24"/>
        </w:rPr>
        <w:t xml:space="preserve"> de 202</w:t>
      </w:r>
      <w:r w:rsidR="00D23A6B" w:rsidRPr="00A70B0D">
        <w:rPr>
          <w:sz w:val="24"/>
          <w:szCs w:val="24"/>
        </w:rPr>
        <w:t>1</w:t>
      </w:r>
      <w:r w:rsidR="007E2AD7" w:rsidRPr="00A70B0D">
        <w:rPr>
          <w:sz w:val="24"/>
          <w:szCs w:val="24"/>
        </w:rPr>
        <w:t xml:space="preserve"> por</w:t>
      </w:r>
      <w:r w:rsidR="007E2AD7">
        <w:rPr>
          <w:sz w:val="24"/>
          <w:szCs w:val="24"/>
        </w:rPr>
        <w:t xml:space="preserve">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bookmarkStart w:id="0" w:name="_GoBack"/>
      <w:bookmarkEnd w:id="0"/>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3F06DA3B"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7354E9" w:rsidRPr="007354E9">
        <w:rPr>
          <w:bCs/>
          <w:sz w:val="24"/>
          <w:szCs w:val="24"/>
        </w:rPr>
        <w:t>“Tajamar de San Juan”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7C2411">
        <w:rPr>
          <w:sz w:val="24"/>
          <w:szCs w:val="24"/>
        </w:rPr>
        <w:t>693,15</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51"/>
        <w:gridCol w:w="1016"/>
        <w:gridCol w:w="1807"/>
        <w:gridCol w:w="2017"/>
        <w:gridCol w:w="1251"/>
        <w:gridCol w:w="1670"/>
      </w:tblGrid>
      <w:tr w:rsidR="007C2411" w:rsidRPr="007C2411" w14:paraId="299BDE08" w14:textId="77777777" w:rsidTr="007C2411">
        <w:trPr>
          <w:trHeight w:val="546"/>
        </w:trPr>
        <w:tc>
          <w:tcPr>
            <w:tcW w:w="9012" w:type="dxa"/>
            <w:gridSpan w:val="6"/>
            <w:shd w:val="clear" w:color="auto" w:fill="auto"/>
            <w:hideMark/>
          </w:tcPr>
          <w:p w14:paraId="53095F5A" w14:textId="6613AFE9" w:rsidR="007C2411" w:rsidRPr="007C2411" w:rsidRDefault="007C2411" w:rsidP="001F2B71">
            <w:pPr>
              <w:contextualSpacing/>
              <w:jc w:val="center"/>
              <w:rPr>
                <w:b/>
                <w:bCs/>
                <w:sz w:val="24"/>
                <w:szCs w:val="24"/>
                <w:lang w:val="es-EC"/>
              </w:rPr>
            </w:pPr>
            <w:r>
              <w:rPr>
                <w:b/>
                <w:bCs/>
                <w:sz w:val="24"/>
                <w:szCs w:val="24"/>
              </w:rPr>
              <w:t>Á</w:t>
            </w:r>
            <w:r w:rsidRPr="007C2411">
              <w:rPr>
                <w:b/>
                <w:bCs/>
                <w:sz w:val="24"/>
                <w:szCs w:val="24"/>
              </w:rPr>
              <w:t xml:space="preserve">REA VERDE </w:t>
            </w:r>
          </w:p>
          <w:p w14:paraId="6F120FFC" w14:textId="22FC24FE" w:rsidR="007C2411" w:rsidRPr="007C2411" w:rsidRDefault="007C2411" w:rsidP="007C2411">
            <w:pPr>
              <w:tabs>
                <w:tab w:val="left" w:pos="927"/>
              </w:tabs>
              <w:rPr>
                <w:sz w:val="24"/>
                <w:szCs w:val="24"/>
                <w:lang w:val="es-EC"/>
              </w:rPr>
            </w:pPr>
            <w:r w:rsidRPr="007C2411">
              <w:rPr>
                <w:sz w:val="24"/>
                <w:szCs w:val="24"/>
                <w:lang w:val="es-EC"/>
              </w:rPr>
              <w:tab/>
            </w:r>
          </w:p>
        </w:tc>
      </w:tr>
      <w:tr w:rsidR="007C2411" w:rsidRPr="007C2411" w14:paraId="2906D41B" w14:textId="77777777" w:rsidTr="007C2411">
        <w:trPr>
          <w:trHeight w:val="496"/>
        </w:trPr>
        <w:tc>
          <w:tcPr>
            <w:tcW w:w="1251" w:type="dxa"/>
            <w:vMerge w:val="restart"/>
            <w:shd w:val="clear" w:color="auto" w:fill="auto"/>
            <w:noWrap/>
            <w:hideMark/>
          </w:tcPr>
          <w:p w14:paraId="5BA1A6AE" w14:textId="566EC5B6" w:rsidR="007C2411" w:rsidRPr="007C2411" w:rsidRDefault="007C2411" w:rsidP="001F2B71">
            <w:pPr>
              <w:contextualSpacing/>
              <w:rPr>
                <w:b/>
                <w:bCs/>
                <w:sz w:val="24"/>
                <w:szCs w:val="24"/>
              </w:rPr>
            </w:pPr>
            <w:r>
              <w:rPr>
                <w:b/>
                <w:bCs/>
                <w:sz w:val="24"/>
                <w:szCs w:val="24"/>
              </w:rPr>
              <w:t>Á</w:t>
            </w:r>
            <w:r w:rsidRPr="007C2411">
              <w:rPr>
                <w:b/>
                <w:bCs/>
                <w:sz w:val="24"/>
                <w:szCs w:val="24"/>
              </w:rPr>
              <w:t xml:space="preserve">REA VERDE </w:t>
            </w:r>
          </w:p>
        </w:tc>
        <w:tc>
          <w:tcPr>
            <w:tcW w:w="1016" w:type="dxa"/>
            <w:shd w:val="clear" w:color="auto" w:fill="auto"/>
            <w:noWrap/>
            <w:hideMark/>
          </w:tcPr>
          <w:p w14:paraId="63844FE1" w14:textId="77777777" w:rsidR="007C2411" w:rsidRPr="007C2411" w:rsidRDefault="007C2411" w:rsidP="001F2B71">
            <w:pPr>
              <w:contextualSpacing/>
              <w:rPr>
                <w:b/>
                <w:bCs/>
                <w:sz w:val="24"/>
                <w:szCs w:val="24"/>
              </w:rPr>
            </w:pPr>
            <w:r w:rsidRPr="007C2411">
              <w:rPr>
                <w:b/>
                <w:bCs/>
                <w:sz w:val="24"/>
                <w:szCs w:val="24"/>
              </w:rPr>
              <w:t> </w:t>
            </w:r>
          </w:p>
        </w:tc>
        <w:tc>
          <w:tcPr>
            <w:tcW w:w="1807" w:type="dxa"/>
            <w:shd w:val="clear" w:color="auto" w:fill="auto"/>
            <w:hideMark/>
          </w:tcPr>
          <w:p w14:paraId="65F94F71" w14:textId="77777777" w:rsidR="007C2411" w:rsidRPr="007C2411" w:rsidRDefault="007C2411" w:rsidP="001F2B71">
            <w:pPr>
              <w:contextualSpacing/>
              <w:rPr>
                <w:b/>
                <w:bCs/>
                <w:sz w:val="24"/>
                <w:szCs w:val="24"/>
              </w:rPr>
            </w:pPr>
            <w:r w:rsidRPr="007C2411">
              <w:rPr>
                <w:b/>
                <w:bCs/>
                <w:sz w:val="24"/>
                <w:szCs w:val="24"/>
              </w:rPr>
              <w:t>LINDERO</w:t>
            </w:r>
          </w:p>
        </w:tc>
        <w:tc>
          <w:tcPr>
            <w:tcW w:w="2017" w:type="dxa"/>
            <w:shd w:val="clear" w:color="auto" w:fill="auto"/>
            <w:noWrap/>
            <w:hideMark/>
          </w:tcPr>
          <w:p w14:paraId="286980B0" w14:textId="77777777" w:rsidR="007C2411" w:rsidRPr="007C2411" w:rsidRDefault="007C2411" w:rsidP="001F2B71">
            <w:pPr>
              <w:contextualSpacing/>
              <w:rPr>
                <w:b/>
                <w:bCs/>
                <w:sz w:val="24"/>
                <w:szCs w:val="24"/>
              </w:rPr>
            </w:pPr>
            <w:r w:rsidRPr="007C2411">
              <w:rPr>
                <w:b/>
                <w:bCs/>
                <w:sz w:val="24"/>
                <w:szCs w:val="24"/>
              </w:rPr>
              <w:t>EN PARTE</w:t>
            </w:r>
          </w:p>
        </w:tc>
        <w:tc>
          <w:tcPr>
            <w:tcW w:w="1251" w:type="dxa"/>
            <w:shd w:val="clear" w:color="auto" w:fill="auto"/>
            <w:hideMark/>
          </w:tcPr>
          <w:p w14:paraId="727AA338" w14:textId="77777777" w:rsidR="007C2411" w:rsidRPr="007C2411" w:rsidRDefault="007C2411" w:rsidP="001F2B71">
            <w:pPr>
              <w:contextualSpacing/>
              <w:rPr>
                <w:b/>
                <w:bCs/>
                <w:sz w:val="24"/>
                <w:szCs w:val="24"/>
              </w:rPr>
            </w:pPr>
            <w:r w:rsidRPr="007C2411">
              <w:rPr>
                <w:b/>
                <w:bCs/>
                <w:sz w:val="24"/>
                <w:szCs w:val="24"/>
              </w:rPr>
              <w:t>TOTAL</w:t>
            </w:r>
          </w:p>
        </w:tc>
        <w:tc>
          <w:tcPr>
            <w:tcW w:w="1670" w:type="dxa"/>
            <w:shd w:val="clear" w:color="auto" w:fill="auto"/>
            <w:noWrap/>
            <w:hideMark/>
          </w:tcPr>
          <w:p w14:paraId="65D49FE4" w14:textId="77777777" w:rsidR="007C2411" w:rsidRPr="007C2411" w:rsidRDefault="007C2411" w:rsidP="001F2B71">
            <w:pPr>
              <w:contextualSpacing/>
              <w:rPr>
                <w:b/>
                <w:bCs/>
                <w:sz w:val="24"/>
                <w:szCs w:val="24"/>
              </w:rPr>
            </w:pPr>
            <w:r w:rsidRPr="007C2411">
              <w:rPr>
                <w:b/>
                <w:bCs/>
                <w:sz w:val="24"/>
                <w:szCs w:val="24"/>
              </w:rPr>
              <w:t>SUPERFICIE (m2)</w:t>
            </w:r>
          </w:p>
        </w:tc>
      </w:tr>
      <w:tr w:rsidR="007C2411" w:rsidRPr="007C2411" w14:paraId="52DCC26E" w14:textId="77777777" w:rsidTr="007C2411">
        <w:trPr>
          <w:trHeight w:val="496"/>
        </w:trPr>
        <w:tc>
          <w:tcPr>
            <w:tcW w:w="1251" w:type="dxa"/>
            <w:vMerge/>
            <w:shd w:val="clear" w:color="auto" w:fill="auto"/>
            <w:hideMark/>
          </w:tcPr>
          <w:p w14:paraId="0603E754" w14:textId="77777777" w:rsidR="007C2411" w:rsidRPr="007C2411" w:rsidRDefault="007C2411" w:rsidP="001F2B71">
            <w:pPr>
              <w:contextualSpacing/>
              <w:rPr>
                <w:b/>
                <w:bCs/>
                <w:sz w:val="24"/>
                <w:szCs w:val="24"/>
              </w:rPr>
            </w:pPr>
          </w:p>
        </w:tc>
        <w:tc>
          <w:tcPr>
            <w:tcW w:w="1016" w:type="dxa"/>
            <w:shd w:val="clear" w:color="auto" w:fill="auto"/>
            <w:hideMark/>
          </w:tcPr>
          <w:p w14:paraId="5ECE3AFC" w14:textId="77777777" w:rsidR="007C2411" w:rsidRPr="007C2411" w:rsidRDefault="007C2411" w:rsidP="001F2B71">
            <w:pPr>
              <w:contextualSpacing/>
              <w:rPr>
                <w:sz w:val="24"/>
                <w:szCs w:val="24"/>
              </w:rPr>
            </w:pPr>
            <w:r w:rsidRPr="007C2411">
              <w:rPr>
                <w:sz w:val="24"/>
                <w:szCs w:val="24"/>
              </w:rPr>
              <w:t>NORTE</w:t>
            </w:r>
          </w:p>
        </w:tc>
        <w:tc>
          <w:tcPr>
            <w:tcW w:w="1807" w:type="dxa"/>
            <w:shd w:val="clear" w:color="auto" w:fill="auto"/>
            <w:hideMark/>
          </w:tcPr>
          <w:p w14:paraId="28B9BB9A" w14:textId="77777777" w:rsidR="007C2411" w:rsidRPr="007C2411" w:rsidRDefault="007C2411" w:rsidP="001F2B71">
            <w:pPr>
              <w:contextualSpacing/>
              <w:rPr>
                <w:sz w:val="24"/>
                <w:szCs w:val="24"/>
              </w:rPr>
            </w:pPr>
            <w:r w:rsidRPr="007C2411">
              <w:rPr>
                <w:sz w:val="24"/>
                <w:szCs w:val="24"/>
              </w:rPr>
              <w:t>Lote 24</w:t>
            </w:r>
          </w:p>
          <w:p w14:paraId="785EC58E" w14:textId="77777777" w:rsidR="007C2411" w:rsidRPr="007C2411" w:rsidRDefault="007C2411" w:rsidP="001F2B71">
            <w:pPr>
              <w:contextualSpacing/>
              <w:rPr>
                <w:sz w:val="24"/>
                <w:szCs w:val="24"/>
              </w:rPr>
            </w:pPr>
            <w:r w:rsidRPr="007C2411">
              <w:rPr>
                <w:sz w:val="24"/>
                <w:szCs w:val="24"/>
              </w:rPr>
              <w:t>Lote 25</w:t>
            </w:r>
          </w:p>
          <w:p w14:paraId="66CDC4C8" w14:textId="77777777" w:rsidR="007C2411" w:rsidRPr="007C2411" w:rsidRDefault="007C2411" w:rsidP="001F2B71">
            <w:pPr>
              <w:contextualSpacing/>
              <w:rPr>
                <w:sz w:val="24"/>
                <w:szCs w:val="24"/>
              </w:rPr>
            </w:pPr>
            <w:r w:rsidRPr="007C2411">
              <w:rPr>
                <w:sz w:val="24"/>
                <w:szCs w:val="24"/>
              </w:rPr>
              <w:t>Lote 26</w:t>
            </w:r>
          </w:p>
        </w:tc>
        <w:tc>
          <w:tcPr>
            <w:tcW w:w="2017" w:type="dxa"/>
            <w:shd w:val="clear" w:color="auto" w:fill="auto"/>
            <w:noWrap/>
            <w:hideMark/>
          </w:tcPr>
          <w:p w14:paraId="7F031195" w14:textId="77777777" w:rsidR="007C2411" w:rsidRPr="007C2411" w:rsidRDefault="007C2411" w:rsidP="001F2B71">
            <w:pPr>
              <w:contextualSpacing/>
              <w:rPr>
                <w:sz w:val="24"/>
                <w:szCs w:val="24"/>
              </w:rPr>
            </w:pPr>
            <w:r w:rsidRPr="007C2411">
              <w:rPr>
                <w:sz w:val="24"/>
                <w:szCs w:val="24"/>
              </w:rPr>
              <w:t>13.58 m</w:t>
            </w:r>
          </w:p>
          <w:p w14:paraId="33C674AB" w14:textId="77777777" w:rsidR="007C2411" w:rsidRPr="007C2411" w:rsidRDefault="007C2411" w:rsidP="001F2B71">
            <w:pPr>
              <w:contextualSpacing/>
              <w:rPr>
                <w:sz w:val="24"/>
                <w:szCs w:val="24"/>
              </w:rPr>
            </w:pPr>
            <w:r w:rsidRPr="007C2411">
              <w:rPr>
                <w:sz w:val="24"/>
                <w:szCs w:val="24"/>
              </w:rPr>
              <w:t>12.50 m</w:t>
            </w:r>
          </w:p>
          <w:p w14:paraId="5F76A18E" w14:textId="77777777" w:rsidR="007C2411" w:rsidRPr="007C2411" w:rsidRDefault="007C2411" w:rsidP="001F2B71">
            <w:pPr>
              <w:contextualSpacing/>
              <w:rPr>
                <w:sz w:val="24"/>
                <w:szCs w:val="24"/>
              </w:rPr>
            </w:pPr>
            <w:r w:rsidRPr="007C2411">
              <w:rPr>
                <w:sz w:val="24"/>
                <w:szCs w:val="24"/>
              </w:rPr>
              <w:t>12.32 m</w:t>
            </w:r>
          </w:p>
        </w:tc>
        <w:tc>
          <w:tcPr>
            <w:tcW w:w="1251" w:type="dxa"/>
            <w:shd w:val="clear" w:color="auto" w:fill="auto"/>
            <w:noWrap/>
            <w:hideMark/>
          </w:tcPr>
          <w:p w14:paraId="6520B1D4" w14:textId="77777777" w:rsidR="007C2411" w:rsidRPr="007C2411" w:rsidRDefault="007C2411" w:rsidP="001F2B71">
            <w:pPr>
              <w:contextualSpacing/>
              <w:rPr>
                <w:sz w:val="24"/>
                <w:szCs w:val="24"/>
              </w:rPr>
            </w:pPr>
            <w:r w:rsidRPr="007C2411">
              <w:rPr>
                <w:sz w:val="24"/>
                <w:szCs w:val="24"/>
              </w:rPr>
              <w:t>38,40 m</w:t>
            </w:r>
          </w:p>
        </w:tc>
        <w:tc>
          <w:tcPr>
            <w:tcW w:w="1670" w:type="dxa"/>
            <w:vMerge w:val="restart"/>
            <w:shd w:val="clear" w:color="auto" w:fill="auto"/>
            <w:hideMark/>
          </w:tcPr>
          <w:p w14:paraId="32530BC6" w14:textId="77777777" w:rsidR="007C2411" w:rsidRPr="007C2411" w:rsidRDefault="007C2411" w:rsidP="001F2B71">
            <w:pPr>
              <w:contextualSpacing/>
              <w:jc w:val="center"/>
              <w:rPr>
                <w:sz w:val="24"/>
                <w:szCs w:val="24"/>
              </w:rPr>
            </w:pPr>
          </w:p>
          <w:p w14:paraId="36F78B23" w14:textId="77777777" w:rsidR="007C2411" w:rsidRPr="007C2411" w:rsidRDefault="007C2411" w:rsidP="001F2B71">
            <w:pPr>
              <w:contextualSpacing/>
              <w:jc w:val="center"/>
              <w:rPr>
                <w:sz w:val="24"/>
                <w:szCs w:val="24"/>
              </w:rPr>
            </w:pPr>
          </w:p>
          <w:p w14:paraId="51A1A03F" w14:textId="77777777" w:rsidR="007C2411" w:rsidRPr="007C2411" w:rsidRDefault="007C2411" w:rsidP="001F2B71">
            <w:pPr>
              <w:contextualSpacing/>
              <w:jc w:val="center"/>
              <w:rPr>
                <w:sz w:val="24"/>
                <w:szCs w:val="24"/>
              </w:rPr>
            </w:pPr>
          </w:p>
          <w:p w14:paraId="408D6542" w14:textId="77777777" w:rsidR="007C2411" w:rsidRPr="007C2411" w:rsidRDefault="007C2411" w:rsidP="001F2B71">
            <w:pPr>
              <w:contextualSpacing/>
              <w:jc w:val="center"/>
              <w:rPr>
                <w:sz w:val="24"/>
                <w:szCs w:val="24"/>
              </w:rPr>
            </w:pPr>
          </w:p>
          <w:p w14:paraId="0B725CB0" w14:textId="77777777" w:rsidR="007C2411" w:rsidRPr="007C2411" w:rsidRDefault="007C2411" w:rsidP="001F2B71">
            <w:pPr>
              <w:contextualSpacing/>
              <w:jc w:val="center"/>
              <w:rPr>
                <w:sz w:val="24"/>
                <w:szCs w:val="24"/>
              </w:rPr>
            </w:pPr>
          </w:p>
          <w:p w14:paraId="3D5A78E5" w14:textId="77777777" w:rsidR="007C2411" w:rsidRPr="007C2411" w:rsidRDefault="007C2411" w:rsidP="001F2B71">
            <w:pPr>
              <w:contextualSpacing/>
              <w:jc w:val="center"/>
              <w:rPr>
                <w:sz w:val="24"/>
                <w:szCs w:val="24"/>
                <w:vertAlign w:val="superscript"/>
              </w:rPr>
            </w:pPr>
            <w:r w:rsidRPr="007C2411">
              <w:rPr>
                <w:sz w:val="24"/>
                <w:szCs w:val="24"/>
              </w:rPr>
              <w:t>693,15 m</w:t>
            </w:r>
            <w:r w:rsidRPr="007C2411">
              <w:rPr>
                <w:sz w:val="24"/>
                <w:szCs w:val="24"/>
                <w:vertAlign w:val="superscript"/>
              </w:rPr>
              <w:t>2</w:t>
            </w:r>
          </w:p>
        </w:tc>
      </w:tr>
      <w:tr w:rsidR="007C2411" w:rsidRPr="007C2411" w14:paraId="5FD45F95" w14:textId="77777777" w:rsidTr="007C2411">
        <w:trPr>
          <w:trHeight w:val="496"/>
        </w:trPr>
        <w:tc>
          <w:tcPr>
            <w:tcW w:w="1251" w:type="dxa"/>
            <w:vMerge/>
            <w:shd w:val="clear" w:color="auto" w:fill="auto"/>
            <w:hideMark/>
          </w:tcPr>
          <w:p w14:paraId="7A1BDC9C" w14:textId="77777777" w:rsidR="007C2411" w:rsidRPr="007C2411" w:rsidRDefault="007C2411" w:rsidP="001F2B71">
            <w:pPr>
              <w:contextualSpacing/>
              <w:rPr>
                <w:b/>
                <w:bCs/>
                <w:sz w:val="24"/>
                <w:szCs w:val="24"/>
              </w:rPr>
            </w:pPr>
          </w:p>
        </w:tc>
        <w:tc>
          <w:tcPr>
            <w:tcW w:w="1016" w:type="dxa"/>
            <w:shd w:val="clear" w:color="auto" w:fill="auto"/>
            <w:noWrap/>
            <w:hideMark/>
          </w:tcPr>
          <w:p w14:paraId="19EB4708" w14:textId="77777777" w:rsidR="007C2411" w:rsidRPr="007C2411" w:rsidRDefault="007C2411" w:rsidP="001F2B71">
            <w:pPr>
              <w:contextualSpacing/>
              <w:rPr>
                <w:sz w:val="24"/>
                <w:szCs w:val="24"/>
              </w:rPr>
            </w:pPr>
            <w:r w:rsidRPr="007C2411">
              <w:rPr>
                <w:sz w:val="24"/>
                <w:szCs w:val="24"/>
              </w:rPr>
              <w:t>ESTE</w:t>
            </w:r>
          </w:p>
        </w:tc>
        <w:tc>
          <w:tcPr>
            <w:tcW w:w="1807" w:type="dxa"/>
            <w:shd w:val="clear" w:color="auto" w:fill="auto"/>
            <w:noWrap/>
            <w:hideMark/>
          </w:tcPr>
          <w:p w14:paraId="7210C935" w14:textId="77777777" w:rsidR="007C2411" w:rsidRPr="007C2411" w:rsidRDefault="007C2411" w:rsidP="001F2B71">
            <w:pPr>
              <w:contextualSpacing/>
              <w:rPr>
                <w:sz w:val="24"/>
                <w:szCs w:val="24"/>
              </w:rPr>
            </w:pPr>
            <w:r w:rsidRPr="007C2411">
              <w:rPr>
                <w:sz w:val="24"/>
                <w:szCs w:val="24"/>
              </w:rPr>
              <w:t>Lote 22</w:t>
            </w:r>
          </w:p>
          <w:p w14:paraId="0903E527" w14:textId="77777777" w:rsidR="007C2411" w:rsidRPr="007C2411" w:rsidRDefault="007C2411" w:rsidP="001F2B71">
            <w:pPr>
              <w:contextualSpacing/>
              <w:rPr>
                <w:sz w:val="24"/>
                <w:szCs w:val="24"/>
              </w:rPr>
            </w:pPr>
            <w:r w:rsidRPr="007C2411">
              <w:rPr>
                <w:sz w:val="24"/>
                <w:szCs w:val="24"/>
              </w:rPr>
              <w:t>Lote 23</w:t>
            </w:r>
          </w:p>
        </w:tc>
        <w:tc>
          <w:tcPr>
            <w:tcW w:w="2017" w:type="dxa"/>
            <w:shd w:val="clear" w:color="auto" w:fill="auto"/>
            <w:noWrap/>
            <w:hideMark/>
          </w:tcPr>
          <w:p w14:paraId="757AB60C" w14:textId="77777777" w:rsidR="007C2411" w:rsidRPr="007C2411" w:rsidRDefault="007C2411" w:rsidP="001F2B71">
            <w:pPr>
              <w:contextualSpacing/>
              <w:rPr>
                <w:sz w:val="24"/>
                <w:szCs w:val="24"/>
              </w:rPr>
            </w:pPr>
            <w:r w:rsidRPr="007C2411">
              <w:rPr>
                <w:sz w:val="24"/>
                <w:szCs w:val="24"/>
              </w:rPr>
              <w:t>11.03 m</w:t>
            </w:r>
          </w:p>
          <w:p w14:paraId="7FA6E2FE" w14:textId="77777777" w:rsidR="007C2411" w:rsidRPr="007C2411" w:rsidRDefault="007C2411" w:rsidP="001F2B71">
            <w:pPr>
              <w:contextualSpacing/>
              <w:rPr>
                <w:sz w:val="24"/>
                <w:szCs w:val="24"/>
              </w:rPr>
            </w:pPr>
            <w:r w:rsidRPr="007C2411">
              <w:rPr>
                <w:sz w:val="24"/>
                <w:szCs w:val="24"/>
              </w:rPr>
              <w:t>7.05 m</w:t>
            </w:r>
          </w:p>
        </w:tc>
        <w:tc>
          <w:tcPr>
            <w:tcW w:w="1251" w:type="dxa"/>
            <w:shd w:val="clear" w:color="auto" w:fill="auto"/>
            <w:noWrap/>
            <w:hideMark/>
          </w:tcPr>
          <w:p w14:paraId="405F1532" w14:textId="77777777" w:rsidR="007C2411" w:rsidRPr="007C2411" w:rsidRDefault="007C2411" w:rsidP="001F2B71">
            <w:pPr>
              <w:contextualSpacing/>
              <w:rPr>
                <w:sz w:val="24"/>
                <w:szCs w:val="24"/>
              </w:rPr>
            </w:pPr>
            <w:r w:rsidRPr="007C2411">
              <w:rPr>
                <w:sz w:val="24"/>
                <w:szCs w:val="24"/>
              </w:rPr>
              <w:t>18,08 m</w:t>
            </w:r>
          </w:p>
        </w:tc>
        <w:tc>
          <w:tcPr>
            <w:tcW w:w="1670" w:type="dxa"/>
            <w:vMerge/>
            <w:shd w:val="clear" w:color="auto" w:fill="auto"/>
            <w:hideMark/>
          </w:tcPr>
          <w:p w14:paraId="1ABD00CC" w14:textId="77777777" w:rsidR="007C2411" w:rsidRPr="007C2411" w:rsidRDefault="007C2411" w:rsidP="001F2B71">
            <w:pPr>
              <w:contextualSpacing/>
              <w:rPr>
                <w:sz w:val="24"/>
                <w:szCs w:val="24"/>
              </w:rPr>
            </w:pPr>
          </w:p>
        </w:tc>
      </w:tr>
      <w:tr w:rsidR="007C2411" w:rsidRPr="007C2411" w14:paraId="4BD92773" w14:textId="77777777" w:rsidTr="007C2411">
        <w:trPr>
          <w:trHeight w:val="496"/>
        </w:trPr>
        <w:tc>
          <w:tcPr>
            <w:tcW w:w="1251" w:type="dxa"/>
            <w:vMerge/>
            <w:shd w:val="clear" w:color="auto" w:fill="auto"/>
            <w:hideMark/>
          </w:tcPr>
          <w:p w14:paraId="7163D049" w14:textId="77777777" w:rsidR="007C2411" w:rsidRPr="007C2411" w:rsidRDefault="007C2411" w:rsidP="001F2B71">
            <w:pPr>
              <w:contextualSpacing/>
              <w:rPr>
                <w:b/>
                <w:bCs/>
                <w:sz w:val="24"/>
                <w:szCs w:val="24"/>
              </w:rPr>
            </w:pPr>
          </w:p>
        </w:tc>
        <w:tc>
          <w:tcPr>
            <w:tcW w:w="1016" w:type="dxa"/>
            <w:shd w:val="clear" w:color="auto" w:fill="auto"/>
            <w:hideMark/>
          </w:tcPr>
          <w:p w14:paraId="1D3A75B6" w14:textId="77777777" w:rsidR="007C2411" w:rsidRPr="007C2411" w:rsidRDefault="007C2411" w:rsidP="001F2B71">
            <w:pPr>
              <w:contextualSpacing/>
              <w:rPr>
                <w:sz w:val="24"/>
                <w:szCs w:val="24"/>
              </w:rPr>
            </w:pPr>
            <w:r w:rsidRPr="007C2411">
              <w:rPr>
                <w:sz w:val="24"/>
                <w:szCs w:val="24"/>
              </w:rPr>
              <w:t>SUR</w:t>
            </w:r>
          </w:p>
        </w:tc>
        <w:tc>
          <w:tcPr>
            <w:tcW w:w="1807" w:type="dxa"/>
            <w:shd w:val="clear" w:color="auto" w:fill="auto"/>
            <w:noWrap/>
            <w:hideMark/>
          </w:tcPr>
          <w:p w14:paraId="66C27DE3" w14:textId="77777777" w:rsidR="007C2411" w:rsidRPr="007C2411" w:rsidRDefault="007C2411" w:rsidP="001F2B71">
            <w:pPr>
              <w:contextualSpacing/>
              <w:rPr>
                <w:sz w:val="24"/>
                <w:szCs w:val="24"/>
              </w:rPr>
            </w:pPr>
            <w:r w:rsidRPr="007C2411">
              <w:rPr>
                <w:sz w:val="24"/>
                <w:szCs w:val="24"/>
              </w:rPr>
              <w:t>Lote 16</w:t>
            </w:r>
          </w:p>
          <w:p w14:paraId="4E646533" w14:textId="77777777" w:rsidR="007C2411" w:rsidRPr="007C2411" w:rsidRDefault="007C2411" w:rsidP="001F2B71">
            <w:pPr>
              <w:contextualSpacing/>
              <w:rPr>
                <w:sz w:val="24"/>
                <w:szCs w:val="24"/>
              </w:rPr>
            </w:pPr>
            <w:r w:rsidRPr="007C2411">
              <w:rPr>
                <w:sz w:val="24"/>
                <w:szCs w:val="24"/>
              </w:rPr>
              <w:t>Lote 17</w:t>
            </w:r>
          </w:p>
          <w:p w14:paraId="7C8B3967" w14:textId="77777777" w:rsidR="007C2411" w:rsidRPr="007C2411" w:rsidRDefault="007C2411" w:rsidP="001F2B71">
            <w:pPr>
              <w:contextualSpacing/>
              <w:rPr>
                <w:sz w:val="24"/>
                <w:szCs w:val="24"/>
              </w:rPr>
            </w:pPr>
            <w:r w:rsidRPr="007C2411">
              <w:rPr>
                <w:sz w:val="24"/>
                <w:szCs w:val="24"/>
              </w:rPr>
              <w:t>Lote 18</w:t>
            </w:r>
          </w:p>
          <w:p w14:paraId="0426297F" w14:textId="77777777" w:rsidR="007C2411" w:rsidRPr="007C2411" w:rsidRDefault="007C2411" w:rsidP="001F2B71">
            <w:pPr>
              <w:contextualSpacing/>
              <w:rPr>
                <w:sz w:val="24"/>
                <w:szCs w:val="24"/>
              </w:rPr>
            </w:pPr>
            <w:r w:rsidRPr="007C2411">
              <w:rPr>
                <w:sz w:val="24"/>
                <w:szCs w:val="24"/>
              </w:rPr>
              <w:t>Lote 19</w:t>
            </w:r>
          </w:p>
        </w:tc>
        <w:tc>
          <w:tcPr>
            <w:tcW w:w="2017" w:type="dxa"/>
            <w:shd w:val="clear" w:color="auto" w:fill="auto"/>
            <w:noWrap/>
            <w:hideMark/>
          </w:tcPr>
          <w:p w14:paraId="47129107" w14:textId="77777777" w:rsidR="007C2411" w:rsidRPr="007C2411" w:rsidRDefault="007C2411" w:rsidP="001F2B71">
            <w:pPr>
              <w:contextualSpacing/>
              <w:rPr>
                <w:sz w:val="24"/>
                <w:szCs w:val="24"/>
              </w:rPr>
            </w:pPr>
            <w:r w:rsidRPr="007C2411">
              <w:rPr>
                <w:sz w:val="24"/>
                <w:szCs w:val="24"/>
              </w:rPr>
              <w:t>10.65 m</w:t>
            </w:r>
          </w:p>
          <w:p w14:paraId="2E52939C" w14:textId="77777777" w:rsidR="007C2411" w:rsidRPr="007C2411" w:rsidRDefault="007C2411" w:rsidP="001F2B71">
            <w:pPr>
              <w:contextualSpacing/>
              <w:rPr>
                <w:sz w:val="24"/>
                <w:szCs w:val="24"/>
              </w:rPr>
            </w:pPr>
            <w:r w:rsidRPr="007C2411">
              <w:rPr>
                <w:sz w:val="24"/>
                <w:szCs w:val="24"/>
              </w:rPr>
              <w:t>10.65 m</w:t>
            </w:r>
          </w:p>
          <w:p w14:paraId="30F587E3" w14:textId="77777777" w:rsidR="007C2411" w:rsidRPr="007C2411" w:rsidRDefault="007C2411" w:rsidP="001F2B71">
            <w:pPr>
              <w:contextualSpacing/>
              <w:rPr>
                <w:sz w:val="24"/>
                <w:szCs w:val="24"/>
              </w:rPr>
            </w:pPr>
            <w:r w:rsidRPr="007C2411">
              <w:rPr>
                <w:sz w:val="24"/>
                <w:szCs w:val="24"/>
              </w:rPr>
              <w:t>10.65 m</w:t>
            </w:r>
          </w:p>
          <w:p w14:paraId="566ADC7D" w14:textId="77777777" w:rsidR="007C2411" w:rsidRPr="007C2411" w:rsidRDefault="007C2411" w:rsidP="001F2B71">
            <w:pPr>
              <w:contextualSpacing/>
              <w:rPr>
                <w:sz w:val="24"/>
                <w:szCs w:val="24"/>
              </w:rPr>
            </w:pPr>
            <w:r w:rsidRPr="007C2411">
              <w:rPr>
                <w:sz w:val="24"/>
                <w:szCs w:val="24"/>
              </w:rPr>
              <w:t>6.45 m</w:t>
            </w:r>
          </w:p>
        </w:tc>
        <w:tc>
          <w:tcPr>
            <w:tcW w:w="1251" w:type="dxa"/>
            <w:shd w:val="clear" w:color="auto" w:fill="auto"/>
            <w:noWrap/>
            <w:hideMark/>
          </w:tcPr>
          <w:p w14:paraId="5C999D1F" w14:textId="77777777" w:rsidR="007C2411" w:rsidRPr="007C2411" w:rsidRDefault="007C2411" w:rsidP="001F2B71">
            <w:pPr>
              <w:contextualSpacing/>
              <w:rPr>
                <w:sz w:val="24"/>
                <w:szCs w:val="24"/>
              </w:rPr>
            </w:pPr>
            <w:r w:rsidRPr="007C2411">
              <w:rPr>
                <w:sz w:val="24"/>
                <w:szCs w:val="24"/>
              </w:rPr>
              <w:t>38,40 m</w:t>
            </w:r>
          </w:p>
        </w:tc>
        <w:tc>
          <w:tcPr>
            <w:tcW w:w="1670" w:type="dxa"/>
            <w:vMerge/>
            <w:shd w:val="clear" w:color="auto" w:fill="auto"/>
            <w:hideMark/>
          </w:tcPr>
          <w:p w14:paraId="0C2D95D1" w14:textId="77777777" w:rsidR="007C2411" w:rsidRPr="007C2411" w:rsidRDefault="007C2411" w:rsidP="001F2B71">
            <w:pPr>
              <w:contextualSpacing/>
              <w:rPr>
                <w:sz w:val="24"/>
                <w:szCs w:val="24"/>
              </w:rPr>
            </w:pPr>
          </w:p>
        </w:tc>
      </w:tr>
      <w:tr w:rsidR="007C2411" w:rsidRPr="007C2411" w14:paraId="62F591C7" w14:textId="77777777" w:rsidTr="007C2411">
        <w:trPr>
          <w:trHeight w:val="521"/>
        </w:trPr>
        <w:tc>
          <w:tcPr>
            <w:tcW w:w="1251" w:type="dxa"/>
            <w:vMerge/>
            <w:shd w:val="clear" w:color="auto" w:fill="auto"/>
            <w:hideMark/>
          </w:tcPr>
          <w:p w14:paraId="64CB4D47" w14:textId="77777777" w:rsidR="007C2411" w:rsidRPr="007C2411" w:rsidRDefault="007C2411" w:rsidP="001F2B71">
            <w:pPr>
              <w:contextualSpacing/>
              <w:rPr>
                <w:b/>
                <w:bCs/>
                <w:sz w:val="24"/>
                <w:szCs w:val="24"/>
              </w:rPr>
            </w:pPr>
          </w:p>
        </w:tc>
        <w:tc>
          <w:tcPr>
            <w:tcW w:w="1016" w:type="dxa"/>
            <w:shd w:val="clear" w:color="auto" w:fill="auto"/>
            <w:noWrap/>
            <w:hideMark/>
          </w:tcPr>
          <w:p w14:paraId="66608936" w14:textId="77777777" w:rsidR="007C2411" w:rsidRPr="007C2411" w:rsidRDefault="007C2411" w:rsidP="001F2B71">
            <w:pPr>
              <w:contextualSpacing/>
              <w:rPr>
                <w:sz w:val="24"/>
                <w:szCs w:val="24"/>
              </w:rPr>
            </w:pPr>
            <w:r w:rsidRPr="007C2411">
              <w:rPr>
                <w:sz w:val="24"/>
                <w:szCs w:val="24"/>
              </w:rPr>
              <w:t>OESTE</w:t>
            </w:r>
          </w:p>
        </w:tc>
        <w:tc>
          <w:tcPr>
            <w:tcW w:w="1807" w:type="dxa"/>
            <w:shd w:val="clear" w:color="auto" w:fill="auto"/>
            <w:noWrap/>
            <w:hideMark/>
          </w:tcPr>
          <w:p w14:paraId="207CD674" w14:textId="77777777" w:rsidR="007C2411" w:rsidRPr="007C2411" w:rsidRDefault="007C2411" w:rsidP="001F2B71">
            <w:pPr>
              <w:contextualSpacing/>
              <w:rPr>
                <w:sz w:val="24"/>
                <w:szCs w:val="24"/>
              </w:rPr>
            </w:pPr>
            <w:r w:rsidRPr="007C2411">
              <w:rPr>
                <w:sz w:val="24"/>
                <w:szCs w:val="24"/>
              </w:rPr>
              <w:t>Calle N13E</w:t>
            </w:r>
          </w:p>
        </w:tc>
        <w:tc>
          <w:tcPr>
            <w:tcW w:w="2017" w:type="dxa"/>
            <w:shd w:val="clear" w:color="auto" w:fill="auto"/>
            <w:noWrap/>
            <w:hideMark/>
          </w:tcPr>
          <w:p w14:paraId="703BE0F3" w14:textId="77777777" w:rsidR="007C2411" w:rsidRPr="007C2411" w:rsidRDefault="007C2411" w:rsidP="001F2B71">
            <w:pPr>
              <w:contextualSpacing/>
              <w:rPr>
                <w:sz w:val="24"/>
                <w:szCs w:val="24"/>
              </w:rPr>
            </w:pPr>
            <w:r w:rsidRPr="007C2411">
              <w:rPr>
                <w:sz w:val="24"/>
                <w:szCs w:val="24"/>
              </w:rPr>
              <w:t> </w:t>
            </w:r>
          </w:p>
        </w:tc>
        <w:tc>
          <w:tcPr>
            <w:tcW w:w="1251" w:type="dxa"/>
            <w:shd w:val="clear" w:color="auto" w:fill="auto"/>
            <w:noWrap/>
            <w:hideMark/>
          </w:tcPr>
          <w:p w14:paraId="4431CF0D" w14:textId="77777777" w:rsidR="007C2411" w:rsidRPr="007C2411" w:rsidRDefault="007C2411" w:rsidP="001F2B71">
            <w:pPr>
              <w:contextualSpacing/>
              <w:rPr>
                <w:sz w:val="24"/>
                <w:szCs w:val="24"/>
              </w:rPr>
            </w:pPr>
            <w:r w:rsidRPr="007C2411">
              <w:rPr>
                <w:sz w:val="24"/>
                <w:szCs w:val="24"/>
              </w:rPr>
              <w:t>18,08  m</w:t>
            </w:r>
          </w:p>
        </w:tc>
        <w:tc>
          <w:tcPr>
            <w:tcW w:w="1670" w:type="dxa"/>
            <w:vMerge/>
            <w:shd w:val="clear" w:color="auto" w:fill="auto"/>
            <w:hideMark/>
          </w:tcPr>
          <w:p w14:paraId="45E0FA77" w14:textId="77777777" w:rsidR="007C2411" w:rsidRPr="007C2411" w:rsidRDefault="007C2411" w:rsidP="001F2B71">
            <w:pPr>
              <w:contextualSpacing/>
              <w:rPr>
                <w:sz w:val="24"/>
                <w:szCs w:val="24"/>
              </w:rPr>
            </w:pPr>
          </w:p>
        </w:tc>
      </w:tr>
    </w:tbl>
    <w:p w14:paraId="01E66460" w14:textId="77777777" w:rsidR="007C2411" w:rsidRPr="007C2411" w:rsidRDefault="007C2411" w:rsidP="007C2411">
      <w:pPr>
        <w:contextualSpacing/>
        <w:rPr>
          <w:sz w:val="24"/>
          <w:szCs w:val="24"/>
          <w:highlight w:val="yellow"/>
        </w:rPr>
      </w:pPr>
    </w:p>
    <w:p w14:paraId="7EA56B9F" w14:textId="77777777" w:rsidR="007C2411" w:rsidRPr="00BB53CD" w:rsidRDefault="007C2411" w:rsidP="007C2411">
      <w:pPr>
        <w:contextualSpacing/>
        <w:rPr>
          <w:sz w:val="12"/>
          <w:szCs w:val="12"/>
          <w:highlight w:val="yellow"/>
        </w:rPr>
      </w:pPr>
    </w:p>
    <w:p w14:paraId="63B657F8" w14:textId="77777777" w:rsidR="00C851A9" w:rsidRDefault="00C851A9" w:rsidP="00C851A9">
      <w:pPr>
        <w:contextualSpacing/>
        <w:rPr>
          <w:sz w:val="12"/>
          <w:szCs w:val="12"/>
          <w:highlight w:val="yellow"/>
        </w:rPr>
      </w:pPr>
    </w:p>
    <w:p w14:paraId="6C324D02" w14:textId="5F53338B" w:rsidR="0079398E" w:rsidRPr="007C2411"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007C2411" w:rsidRPr="007C2411">
        <w:rPr>
          <w:color w:val="000000"/>
          <w:sz w:val="24"/>
          <w:szCs w:val="24"/>
        </w:rPr>
        <w:t>2, 7, 8, 10, 14, 16, 17, 18, 19, 20 y 21</w:t>
      </w:r>
      <w:r w:rsidRPr="007C2411">
        <w:rPr>
          <w:color w:val="000000"/>
          <w:sz w:val="24"/>
          <w:szCs w:val="24"/>
        </w:rPr>
        <w:t>.</w:t>
      </w:r>
      <w:r w:rsidRPr="007C2411">
        <w:rPr>
          <w:sz w:val="24"/>
          <w:szCs w:val="24"/>
        </w:rPr>
        <w:t xml:space="preserve"> </w:t>
      </w:r>
    </w:p>
    <w:p w14:paraId="2C1E1CC5" w14:textId="1F475381" w:rsidR="007C2411" w:rsidRPr="00AA65F3" w:rsidRDefault="00A33749" w:rsidP="007C2411">
      <w:pPr>
        <w:spacing w:after="240" w:line="276" w:lineRule="auto"/>
        <w:jc w:val="both"/>
        <w:rPr>
          <w:bCs/>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7354E9" w:rsidRPr="007354E9">
        <w:rPr>
          <w:bCs/>
          <w:sz w:val="24"/>
          <w:szCs w:val="24"/>
        </w:rPr>
        <w:t>“Tajamar de San Juan”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7C2411" w:rsidRPr="00AA65F3">
        <w:rPr>
          <w:bCs/>
          <w:sz w:val="24"/>
          <w:szCs w:val="24"/>
        </w:rPr>
        <w:t xml:space="preserve">No. </w:t>
      </w:r>
      <w:r w:rsidR="007C2411" w:rsidRPr="00AA65F3">
        <w:rPr>
          <w:rFonts w:eastAsiaTheme="minorHAnsi"/>
          <w:sz w:val="24"/>
          <w:szCs w:val="24"/>
          <w:lang w:val="es-EC" w:eastAsia="en-US"/>
        </w:rPr>
        <w:t>I</w:t>
      </w:r>
      <w:r w:rsidR="007C2411" w:rsidRPr="00AA65F3">
        <w:rPr>
          <w:sz w:val="24"/>
          <w:szCs w:val="24"/>
        </w:rPr>
        <w:t>-</w:t>
      </w:r>
      <w:r w:rsidR="007C2411" w:rsidRPr="00AA65F3">
        <w:rPr>
          <w:color w:val="000000"/>
          <w:sz w:val="24"/>
          <w:szCs w:val="24"/>
          <w:shd w:val="clear" w:color="auto" w:fill="FFFFFF"/>
        </w:rPr>
        <w:t>00</w:t>
      </w:r>
      <w:r w:rsidR="007C2411">
        <w:rPr>
          <w:color w:val="000000"/>
          <w:sz w:val="24"/>
          <w:szCs w:val="24"/>
          <w:shd w:val="clear" w:color="auto" w:fill="FFFFFF"/>
        </w:rPr>
        <w:t>36</w:t>
      </w:r>
      <w:r w:rsidR="007C2411" w:rsidRPr="00AA65F3">
        <w:rPr>
          <w:color w:val="000000"/>
          <w:sz w:val="24"/>
          <w:szCs w:val="24"/>
          <w:shd w:val="clear" w:color="auto" w:fill="FFFFFF"/>
        </w:rPr>
        <w:t>-EAH-AT</w:t>
      </w:r>
      <w:r w:rsidR="007C2411" w:rsidRPr="00AA65F3">
        <w:rPr>
          <w:sz w:val="24"/>
          <w:szCs w:val="24"/>
        </w:rPr>
        <w:t xml:space="preserve">-DMGR-2021, de </w:t>
      </w:r>
      <w:r w:rsidR="007C2411">
        <w:rPr>
          <w:sz w:val="24"/>
          <w:szCs w:val="24"/>
        </w:rPr>
        <w:t>10</w:t>
      </w:r>
      <w:r w:rsidR="007C2411" w:rsidRPr="00AA65F3">
        <w:rPr>
          <w:sz w:val="24"/>
          <w:szCs w:val="24"/>
        </w:rPr>
        <w:t xml:space="preserve"> de</w:t>
      </w:r>
      <w:r w:rsidR="007C2411">
        <w:rPr>
          <w:sz w:val="24"/>
          <w:szCs w:val="24"/>
        </w:rPr>
        <w:t xml:space="preserve"> noviembre</w:t>
      </w:r>
      <w:r w:rsidR="007C2411" w:rsidRPr="00AA65F3">
        <w:rPr>
          <w:sz w:val="24"/>
          <w:szCs w:val="24"/>
        </w:rPr>
        <w:t xml:space="preserve"> de 2021, en el cual, califica en el numeral </w:t>
      </w:r>
      <w:r w:rsidR="007C2411" w:rsidRPr="00AA65F3">
        <w:rPr>
          <w:bCs/>
          <w:sz w:val="24"/>
          <w:szCs w:val="24"/>
        </w:rPr>
        <w:t xml:space="preserve">6.1 referente al nivel de riesgo para la regularización de tierras indicando: </w:t>
      </w:r>
    </w:p>
    <w:p w14:paraId="762AD577" w14:textId="77777777" w:rsidR="007C2411" w:rsidRDefault="007C2411" w:rsidP="007C2411">
      <w:pPr>
        <w:spacing w:after="240" w:line="276" w:lineRule="auto"/>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01A0D7DC" w14:textId="644C3010" w:rsidR="007C2411" w:rsidRPr="007C2411" w:rsidRDefault="007C2411" w:rsidP="007C2411">
      <w:pPr>
        <w:spacing w:after="240" w:line="276" w:lineRule="auto"/>
        <w:jc w:val="both"/>
        <w:rPr>
          <w:i/>
          <w:sz w:val="24"/>
          <w:szCs w:val="24"/>
        </w:rPr>
      </w:pPr>
      <w:r w:rsidRPr="007C2411">
        <w:rPr>
          <w:rFonts w:eastAsiaTheme="minorHAnsi"/>
          <w:b/>
          <w:bCs/>
          <w:i/>
          <w:color w:val="000000"/>
          <w:sz w:val="24"/>
          <w:szCs w:val="24"/>
          <w:lang w:val="es-EC" w:eastAsia="en-US"/>
        </w:rPr>
        <w:t xml:space="preserve">Movimientos en masa: </w:t>
      </w:r>
      <w:r w:rsidRPr="007C2411">
        <w:rPr>
          <w:rFonts w:eastAsiaTheme="minorHAnsi"/>
          <w:i/>
          <w:color w:val="000000"/>
          <w:sz w:val="24"/>
          <w:szCs w:val="24"/>
          <w:lang w:val="es-EC" w:eastAsia="en-US"/>
        </w:rPr>
        <w:t xml:space="preserve">el AHHYC </w:t>
      </w:r>
      <w:r w:rsidRPr="007C2411">
        <w:rPr>
          <w:bCs/>
          <w:i/>
          <w:sz w:val="24"/>
          <w:szCs w:val="24"/>
        </w:rPr>
        <w:t>“Tajamar de San Juan”</w:t>
      </w:r>
      <w:r w:rsidRPr="007C2411">
        <w:rPr>
          <w:rFonts w:eastAsiaTheme="minorHAnsi"/>
          <w:i/>
          <w:color w:val="000000"/>
          <w:sz w:val="24"/>
          <w:szCs w:val="24"/>
          <w:lang w:val="es-EC" w:eastAsia="en-US"/>
        </w:rPr>
        <w:t xml:space="preserve"> presenta frente a deslizamientos un </w:t>
      </w:r>
      <w:r w:rsidRPr="007C2411">
        <w:rPr>
          <w:rFonts w:eastAsiaTheme="minorHAnsi"/>
          <w:b/>
          <w:i/>
          <w:iCs/>
          <w:color w:val="000000"/>
          <w:sz w:val="24"/>
          <w:szCs w:val="24"/>
          <w:u w:val="single"/>
          <w:lang w:val="es-EC" w:eastAsia="en-US"/>
        </w:rPr>
        <w:t>Riesgo Bajo Mitigabl</w:t>
      </w:r>
      <w:r w:rsidRPr="007C2411">
        <w:rPr>
          <w:rFonts w:eastAsiaTheme="minorHAnsi"/>
          <w:b/>
          <w:i/>
          <w:iCs/>
          <w:color w:val="000000"/>
          <w:sz w:val="24"/>
          <w:szCs w:val="24"/>
          <w:lang w:val="es-EC" w:eastAsia="en-US"/>
        </w:rPr>
        <w:t>e</w:t>
      </w:r>
      <w:r w:rsidRPr="007C2411">
        <w:rPr>
          <w:rFonts w:eastAsiaTheme="minorHAnsi"/>
          <w:i/>
          <w:iCs/>
          <w:color w:val="000000"/>
          <w:sz w:val="24"/>
          <w:szCs w:val="24"/>
          <w:lang w:val="es-EC" w:eastAsia="en-US"/>
        </w:rPr>
        <w:t xml:space="preserve"> para todos lotes</w:t>
      </w:r>
      <w:r w:rsidRPr="007C2411">
        <w:rPr>
          <w:rFonts w:eastAsiaTheme="minorHAnsi"/>
          <w:i/>
          <w:color w:val="000000"/>
          <w:sz w:val="24"/>
          <w:szCs w:val="24"/>
          <w:lang w:val="es-EC" w:eastAsia="en-US"/>
        </w:rPr>
        <w:t>.”</w:t>
      </w:r>
    </w:p>
    <w:p w14:paraId="39C094ED" w14:textId="77777777" w:rsidR="007C2411" w:rsidRPr="006F63AF" w:rsidRDefault="007C2411" w:rsidP="006F63AF">
      <w:pPr>
        <w:spacing w:after="240" w:line="276" w:lineRule="auto"/>
        <w:jc w:val="both"/>
        <w:rPr>
          <w:b/>
          <w:bCs/>
          <w:sz w:val="24"/>
          <w:szCs w:val="24"/>
        </w:rPr>
      </w:pP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98F13ED"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7354E9" w:rsidRPr="007354E9">
        <w:rPr>
          <w:bCs/>
          <w:sz w:val="24"/>
          <w:szCs w:val="24"/>
        </w:rPr>
        <w:t>“Tajamar de San Juan”</w:t>
      </w:r>
      <w:r w:rsidRPr="00FB0932">
        <w:rPr>
          <w:sz w:val="24"/>
          <w:szCs w:val="24"/>
        </w:rPr>
        <w:t xml:space="preserve">, contempla un sistema vial de uso público, debido a que éste es un asentamiento humano de hecho y consolidado de interés social de </w:t>
      </w:r>
      <w:r w:rsidR="006F63AF">
        <w:rPr>
          <w:sz w:val="24"/>
          <w:szCs w:val="24"/>
        </w:rPr>
        <w:t>1</w:t>
      </w:r>
      <w:r w:rsidR="007354E9">
        <w:rPr>
          <w:sz w:val="24"/>
          <w:szCs w:val="24"/>
        </w:rPr>
        <w:t>1</w:t>
      </w:r>
      <w:r w:rsidRPr="00FB0932">
        <w:rPr>
          <w:sz w:val="24"/>
          <w:szCs w:val="24"/>
        </w:rPr>
        <w:t xml:space="preserve"> años de existencia, con </w:t>
      </w:r>
      <w:r w:rsidR="007354E9">
        <w:rPr>
          <w:bCs/>
          <w:sz w:val="24"/>
          <w:szCs w:val="24"/>
        </w:rPr>
        <w:t>65</w:t>
      </w:r>
      <w:r w:rsidR="006F63AF">
        <w:rPr>
          <w:bCs/>
          <w:sz w:val="24"/>
          <w:szCs w:val="24"/>
        </w:rPr>
        <w:t>,3</w:t>
      </w:r>
      <w:r w:rsidR="007354E9">
        <w:rPr>
          <w:bCs/>
          <w:sz w:val="24"/>
          <w:szCs w:val="24"/>
        </w:rPr>
        <w:t>8</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59158764" w:rsidR="006F63AF" w:rsidRPr="007C2411" w:rsidRDefault="007C2411" w:rsidP="006F63AF">
            <w:pPr>
              <w:rPr>
                <w:b/>
                <w:sz w:val="24"/>
                <w:szCs w:val="24"/>
                <w:lang w:val="es-EC" w:eastAsia="es-EC"/>
              </w:rPr>
            </w:pPr>
            <w:r w:rsidRPr="007C2411">
              <w:rPr>
                <w:rStyle w:val="fontstyle01"/>
                <w:rFonts w:ascii="Times New Roman" w:hAnsi="Times New Roman"/>
                <w:b w:val="0"/>
                <w:sz w:val="24"/>
                <w:szCs w:val="24"/>
              </w:rPr>
              <w:t>Calle E11M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5817F73D" w:rsidR="006F63AF" w:rsidRPr="007C2411" w:rsidRDefault="007C2411" w:rsidP="007C2411">
            <w:pPr>
              <w:rPr>
                <w:sz w:val="24"/>
                <w:szCs w:val="24"/>
              </w:rPr>
            </w:pPr>
            <w:r w:rsidRPr="007C2411">
              <w:rPr>
                <w:sz w:val="24"/>
                <w:szCs w:val="24"/>
              </w:rPr>
              <w:t>8</w:t>
            </w:r>
            <w:r w:rsidR="006F63AF" w:rsidRPr="007C2411">
              <w:rPr>
                <w:sz w:val="24"/>
                <w:szCs w:val="24"/>
              </w:rPr>
              <w:t>.00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2C8118CC" w:rsidR="00920F37" w:rsidRPr="007C2411" w:rsidRDefault="007C2411" w:rsidP="00920F37">
            <w:pPr>
              <w:rPr>
                <w:b/>
                <w:sz w:val="24"/>
                <w:szCs w:val="24"/>
                <w:lang w:val="es-EC" w:eastAsia="es-EC"/>
              </w:rPr>
            </w:pPr>
            <w:r w:rsidRPr="007C2411">
              <w:rPr>
                <w:rStyle w:val="fontstyle01"/>
                <w:rFonts w:ascii="Times New Roman" w:hAnsi="Times New Roman"/>
                <w:b w:val="0"/>
                <w:sz w:val="24"/>
                <w:szCs w:val="24"/>
              </w:rPr>
              <w:t>Calle N13E</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48752676" w:rsidR="00920F37" w:rsidRPr="007C2411" w:rsidRDefault="007C2411" w:rsidP="007C2411">
            <w:pPr>
              <w:rPr>
                <w:sz w:val="24"/>
                <w:szCs w:val="24"/>
              </w:rPr>
            </w:pPr>
            <w:r w:rsidRPr="007C2411">
              <w:rPr>
                <w:sz w:val="24"/>
                <w:szCs w:val="24"/>
              </w:rPr>
              <w:t>8</w:t>
            </w:r>
            <w:r w:rsidR="006F63AF" w:rsidRPr="007C2411">
              <w:rPr>
                <w:sz w:val="24"/>
                <w:szCs w:val="24"/>
              </w:rPr>
              <w:t>.00</w:t>
            </w:r>
            <w:r w:rsidR="00920F37" w:rsidRPr="007C2411">
              <w:rPr>
                <w:sz w:val="24"/>
                <w:szCs w:val="24"/>
              </w:rPr>
              <w:t xml:space="preserve"> m </w:t>
            </w:r>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7925AFF9" w:rsidR="006F63AF" w:rsidRDefault="007C2411" w:rsidP="007C2411">
            <w:pPr>
              <w:spacing w:line="276" w:lineRule="auto"/>
              <w:contextualSpacing/>
              <w:rPr>
                <w:bCs/>
                <w:sz w:val="24"/>
                <w:szCs w:val="24"/>
              </w:rPr>
            </w:pPr>
            <w:r>
              <w:rPr>
                <w:bCs/>
                <w:sz w:val="24"/>
                <w:szCs w:val="24"/>
              </w:rPr>
              <w:t xml:space="preserve">  2</w:t>
            </w:r>
            <w:r w:rsidR="006F63AF">
              <w:rPr>
                <w:bCs/>
                <w:sz w:val="24"/>
                <w:szCs w:val="24"/>
              </w:rPr>
              <w:t>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4AF87569" w:rsidR="00A81320" w:rsidRPr="00FB0932" w:rsidRDefault="007C2411" w:rsidP="007C2411">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38BD1FAD" w:rsidR="00592D76" w:rsidRPr="00FB0932" w:rsidRDefault="007C2411" w:rsidP="007C2411">
            <w:pPr>
              <w:spacing w:line="276" w:lineRule="auto"/>
              <w:contextualSpacing/>
              <w:rPr>
                <w:bCs/>
                <w:sz w:val="24"/>
                <w:szCs w:val="24"/>
              </w:rPr>
            </w:pPr>
            <w:r>
              <w:rPr>
                <w:bCs/>
                <w:sz w:val="24"/>
                <w:szCs w:val="24"/>
              </w:rPr>
              <w:t xml:space="preserve">  9</w:t>
            </w:r>
            <w:r w:rsidR="006F63AF">
              <w:rPr>
                <w:bCs/>
                <w:sz w:val="24"/>
                <w:szCs w:val="24"/>
              </w:rPr>
              <w:t>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050AE99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79398E">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7354E9" w:rsidRPr="007354E9">
        <w:rPr>
          <w:bCs/>
          <w:sz w:val="24"/>
          <w:szCs w:val="24"/>
        </w:rPr>
        <w:t>“Tajamar de San Juan”</w:t>
      </w:r>
      <w:r w:rsidRPr="00FB0932">
        <w:rPr>
          <w:bCs/>
          <w:sz w:val="24"/>
          <w:szCs w:val="24"/>
        </w:rPr>
        <w:t xml:space="preserve">, 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2DA1AE22"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7354E9" w:rsidRPr="007354E9">
        <w:rPr>
          <w:bCs/>
          <w:sz w:val="24"/>
          <w:szCs w:val="24"/>
        </w:rPr>
        <w:t>“Tajamar de San Juan”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1A71999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7354E9" w:rsidRPr="007354E9">
        <w:rPr>
          <w:bCs/>
          <w:sz w:val="24"/>
          <w:szCs w:val="24"/>
        </w:rPr>
        <w:t>“Tajamar de San Juan”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FDD35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4A0D74FE"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3E6A4D" w:rsidRPr="00AA65F3">
        <w:rPr>
          <w:rFonts w:eastAsiaTheme="minorHAnsi"/>
          <w:sz w:val="24"/>
          <w:szCs w:val="24"/>
          <w:lang w:val="es-EC" w:eastAsia="en-US"/>
        </w:rPr>
        <w:t>I</w:t>
      </w:r>
      <w:r w:rsidR="003E6A4D" w:rsidRPr="00AA65F3">
        <w:rPr>
          <w:sz w:val="24"/>
          <w:szCs w:val="24"/>
        </w:rPr>
        <w:t>-</w:t>
      </w:r>
      <w:r w:rsidR="003E6A4D" w:rsidRPr="00AA65F3">
        <w:rPr>
          <w:color w:val="000000"/>
          <w:sz w:val="24"/>
          <w:szCs w:val="24"/>
          <w:shd w:val="clear" w:color="auto" w:fill="FFFFFF"/>
        </w:rPr>
        <w:t>00</w:t>
      </w:r>
      <w:r w:rsidR="003E6A4D">
        <w:rPr>
          <w:color w:val="000000"/>
          <w:sz w:val="24"/>
          <w:szCs w:val="24"/>
          <w:shd w:val="clear" w:color="auto" w:fill="FFFFFF"/>
        </w:rPr>
        <w:t>36</w:t>
      </w:r>
      <w:r w:rsidR="003E6A4D" w:rsidRPr="00AA65F3">
        <w:rPr>
          <w:color w:val="000000"/>
          <w:sz w:val="24"/>
          <w:szCs w:val="24"/>
          <w:shd w:val="clear" w:color="auto" w:fill="FFFFFF"/>
        </w:rPr>
        <w:t>-EAH-AT</w:t>
      </w:r>
      <w:r w:rsidR="003E6A4D" w:rsidRPr="00AA65F3">
        <w:rPr>
          <w:sz w:val="24"/>
          <w:szCs w:val="24"/>
        </w:rPr>
        <w:t xml:space="preserve">-DMGR-2021, de </w:t>
      </w:r>
      <w:r w:rsidR="003E6A4D">
        <w:rPr>
          <w:sz w:val="24"/>
          <w:szCs w:val="24"/>
        </w:rPr>
        <w:t>10</w:t>
      </w:r>
      <w:r w:rsidR="003E6A4D" w:rsidRPr="00AA65F3">
        <w:rPr>
          <w:sz w:val="24"/>
          <w:szCs w:val="24"/>
        </w:rPr>
        <w:t xml:space="preserve"> de</w:t>
      </w:r>
      <w:r w:rsidR="003E6A4D">
        <w:rPr>
          <w:sz w:val="24"/>
          <w:szCs w:val="24"/>
        </w:rPr>
        <w:t xml:space="preserve"> noviembre</w:t>
      </w:r>
      <w:r w:rsidR="003E6A4D"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6802C863"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Pr="007354E9">
        <w:rPr>
          <w:bCs/>
          <w:sz w:val="24"/>
          <w:szCs w:val="24"/>
        </w:rPr>
        <w:t>“Tajamar de San Juan”</w:t>
      </w:r>
      <w:r w:rsidRPr="00566301">
        <w:rPr>
          <w:rFonts w:eastAsiaTheme="minorHAnsi"/>
          <w:color w:val="000000"/>
          <w:sz w:val="24"/>
          <w:szCs w:val="24"/>
          <w:lang w:val="es-EC" w:eastAsia="en-US"/>
        </w:rPr>
        <w:t xml:space="preserve">, </w:t>
      </w:r>
      <w:r>
        <w:rPr>
          <w:rFonts w:eastAsiaTheme="minorHAnsi"/>
          <w:color w:val="000000"/>
          <w:sz w:val="24"/>
          <w:szCs w:val="24"/>
          <w:lang w:val="es-EC" w:eastAsia="en-US"/>
        </w:rPr>
        <w:t>por parte del MDMQ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44293243"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7354E9" w:rsidRPr="007354E9">
        <w:rPr>
          <w:bCs/>
          <w:sz w:val="24"/>
          <w:szCs w:val="24"/>
        </w:rPr>
        <w:t>“Tajamar de San Juan”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16DA713A"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7354E9" w:rsidRPr="007354E9">
        <w:rPr>
          <w:bCs/>
        </w:rPr>
        <w:t>“Tajamar de San Juan”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27273D15"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 xml:space="preserve">humano de hecho y consolidado de interés social denominado </w:t>
      </w:r>
      <w:r w:rsidR="007354E9" w:rsidRPr="007354E9">
        <w:rPr>
          <w:bCs/>
          <w:sz w:val="24"/>
          <w:szCs w:val="24"/>
        </w:rPr>
        <w:t>“Tajamar de San Juan”</w:t>
      </w:r>
      <w:r w:rsidRPr="00815818">
        <w:rPr>
          <w:rStyle w:val="markedcontent"/>
          <w:sz w:val="24"/>
          <w:szCs w:val="24"/>
        </w:rPr>
        <w:t>, incluyendo la instalación de hidrantes, que se cumpla con lo señalado en menor tiempo posible y dentro del cronograma de obras por parte de la EPMAPS.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77777777"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Pr>
          <w:rFonts w:eastAsia="MS Mincho"/>
          <w:szCs w:val="24"/>
        </w:rPr>
        <w:t xml:space="preserve">Pablo Antonio </w:t>
      </w:r>
      <w:proofErr w:type="spellStart"/>
      <w:r>
        <w:rPr>
          <w:rFonts w:eastAsia="MS Mincho"/>
          <w:szCs w:val="24"/>
        </w:rPr>
        <w:t>Santillan</w:t>
      </w:r>
      <w:proofErr w:type="spellEnd"/>
      <w:r>
        <w:rPr>
          <w:rFonts w:eastAsia="MS Mincho"/>
          <w:szCs w:val="24"/>
        </w:rPr>
        <w:t xml:space="preserve">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77777777"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C2A3" w14:textId="77777777" w:rsidR="00AD58A3" w:rsidRDefault="00AD58A3">
      <w:r>
        <w:separator/>
      </w:r>
    </w:p>
  </w:endnote>
  <w:endnote w:type="continuationSeparator" w:id="0">
    <w:p w14:paraId="7D60C261" w14:textId="77777777" w:rsidR="00AD58A3" w:rsidRDefault="00A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70B0D">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0B0D">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70B0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0B0D">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331A" w14:textId="77777777" w:rsidR="00AD58A3" w:rsidRDefault="00AD58A3">
      <w:r>
        <w:separator/>
      </w:r>
    </w:p>
  </w:footnote>
  <w:footnote w:type="continuationSeparator" w:id="0">
    <w:p w14:paraId="6858863B" w14:textId="77777777" w:rsidR="00AD58A3" w:rsidRDefault="00AD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A70B0D">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7" o:spid="_x0000_s2053" type="#_x0000_t136" style="position:absolute;margin-left:0;margin-top:0;width:569.9pt;height:49.5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A70B0D"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8" o:spid="_x0000_s2054" type="#_x0000_t136" style="position:absolute;left:0;text-align:left;margin-left:0;margin-top:0;width:569.9pt;height:49.5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A70B0D">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6" o:spid="_x0000_s2052" type="#_x0000_t136" style="position:absolute;margin-left:0;margin-top:0;width:569.9pt;height:49.55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6A4D"/>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528C3"/>
    <w:rsid w:val="007555EE"/>
    <w:rsid w:val="007573F4"/>
    <w:rsid w:val="0076432C"/>
    <w:rsid w:val="007705E1"/>
    <w:rsid w:val="00770855"/>
    <w:rsid w:val="0077086F"/>
    <w:rsid w:val="007730B0"/>
    <w:rsid w:val="00783C8A"/>
    <w:rsid w:val="00785D5E"/>
    <w:rsid w:val="0079398E"/>
    <w:rsid w:val="007A2DE6"/>
    <w:rsid w:val="007A3851"/>
    <w:rsid w:val="007A5259"/>
    <w:rsid w:val="007C19C3"/>
    <w:rsid w:val="007C2411"/>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28DA"/>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0B0D"/>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71A81-5FE7-4E98-A0A9-4796AC29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14</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25</cp:revision>
  <cp:lastPrinted>2021-12-07T20:00:00Z</cp:lastPrinted>
  <dcterms:created xsi:type="dcterms:W3CDTF">2021-10-04T13:50:00Z</dcterms:created>
  <dcterms:modified xsi:type="dcterms:W3CDTF">2021-12-09T17:25:00Z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