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480F2" w14:textId="77777777" w:rsidR="00C02AAE" w:rsidRPr="00831A56" w:rsidRDefault="00C02AAE" w:rsidP="00C02AAE">
      <w:pPr>
        <w:pStyle w:val="1"/>
        <w:tabs>
          <w:tab w:val="left" w:pos="7513"/>
        </w:tabs>
        <w:spacing w:after="240" w:line="276" w:lineRule="auto"/>
        <w:rPr>
          <w:rFonts w:ascii="Times New Roman" w:hAnsi="Times New Roman"/>
        </w:rPr>
      </w:pPr>
      <w:r w:rsidRPr="00831A56">
        <w:rPr>
          <w:rFonts w:ascii="Times New Roman" w:hAnsi="Times New Roman"/>
        </w:rPr>
        <w:t>EXPOSICIÓN DE MOTIVOS</w:t>
      </w:r>
    </w:p>
    <w:p w14:paraId="5033B67B" w14:textId="77777777" w:rsidR="00C02AAE" w:rsidRPr="00831A56" w:rsidRDefault="00C02AAE" w:rsidP="00C02AAE">
      <w:pPr>
        <w:pStyle w:val="1"/>
        <w:spacing w:after="240" w:line="276" w:lineRule="auto"/>
        <w:jc w:val="both"/>
        <w:rPr>
          <w:rFonts w:ascii="Times New Roman" w:hAnsi="Times New Roman"/>
          <w:b w:val="0"/>
        </w:rPr>
      </w:pPr>
    </w:p>
    <w:p w14:paraId="6AEC5C1B" w14:textId="77777777" w:rsidR="00C02AAE" w:rsidRPr="00831A56" w:rsidRDefault="00C02AAE" w:rsidP="00C02AAE">
      <w:pPr>
        <w:pStyle w:val="1"/>
        <w:spacing w:after="240" w:line="276" w:lineRule="auto"/>
        <w:jc w:val="both"/>
        <w:rPr>
          <w:rFonts w:ascii="Times New Roman" w:hAnsi="Times New Roman"/>
          <w:b w:val="0"/>
        </w:rPr>
      </w:pPr>
      <w:r w:rsidRPr="00831A56">
        <w:rPr>
          <w:rFonts w:ascii="Times New Roman" w:hAnsi="Times New Roman"/>
          <w:b w:val="0"/>
        </w:rPr>
        <w:t>La Constitución de la República del Ecuador, en su artículo 30, garantiza a las personas el “</w:t>
      </w:r>
      <w:r w:rsidRPr="00831A56">
        <w:rPr>
          <w:rFonts w:ascii="Times New Roman" w:hAnsi="Times New Roman"/>
          <w:b w:val="0"/>
          <w:i/>
        </w:rPr>
        <w:t>derecho a un hábitat seguro y saludable, y a una vivienda adecuada y digna, con independencia de su situación social y económica</w:t>
      </w:r>
      <w:r w:rsidRPr="00831A56">
        <w:rPr>
          <w:rFonts w:ascii="Times New Roman" w:hAnsi="Times New Roman"/>
          <w:b w:val="0"/>
        </w:rPr>
        <w:t>”.</w:t>
      </w:r>
    </w:p>
    <w:p w14:paraId="08966655" w14:textId="77777777" w:rsidR="00C02AAE" w:rsidRPr="00831A56" w:rsidRDefault="00C02AAE" w:rsidP="00C02AAE">
      <w:pPr>
        <w:pStyle w:val="1"/>
        <w:spacing w:after="240" w:line="276" w:lineRule="auto"/>
        <w:jc w:val="both"/>
        <w:rPr>
          <w:rFonts w:ascii="Times New Roman" w:hAnsi="Times New Roman"/>
          <w:b w:val="0"/>
        </w:rPr>
      </w:pPr>
      <w:r w:rsidRPr="00831A56">
        <w:rPr>
          <w:rFonts w:ascii="Times New Roman" w:hAnsi="Times New Roman"/>
          <w:b w:val="0"/>
        </w:rPr>
        <w:t xml:space="preserve">El Concejo Metropolitano y la Administración Municipal, a través de la Unidad Especial “Regula tu Barrio”, y de la Comisión de Ordenamiento Territorial, gestionan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0CE07B5C" w14:textId="77777777" w:rsidR="00C02AAE" w:rsidRPr="00831A56" w:rsidRDefault="00C02AAE" w:rsidP="00C02AAE">
      <w:pPr>
        <w:pStyle w:val="1"/>
        <w:spacing w:after="240" w:line="276" w:lineRule="auto"/>
        <w:jc w:val="both"/>
        <w:rPr>
          <w:rFonts w:ascii="Times New Roman" w:hAnsi="Times New Roman"/>
          <w:b w:val="0"/>
        </w:rPr>
      </w:pPr>
      <w:r w:rsidRPr="00831A56">
        <w:rPr>
          <w:rFonts w:ascii="Times New Roman" w:hAnsi="Times New Roman"/>
          <w:b w:val="0"/>
        </w:rPr>
        <w:t>El asentamiento humano de hecho y consolidado de interés social denominado Barrio “José Gabriel Alarcón”,</w:t>
      </w:r>
      <w:r w:rsidRPr="00831A56" w:rsidDel="00403EE1">
        <w:rPr>
          <w:rFonts w:ascii="Times New Roman" w:hAnsi="Times New Roman"/>
          <w:b w:val="0"/>
        </w:rPr>
        <w:t xml:space="preserve"> </w:t>
      </w:r>
      <w:r w:rsidRPr="00831A56">
        <w:rPr>
          <w:rFonts w:ascii="Times New Roman" w:hAnsi="Times New Roman"/>
          <w:b w:val="0"/>
        </w:rPr>
        <w:t xml:space="preserve">ubicado en la parroquia Kennedy, tiene una consolidación </w:t>
      </w:r>
      <w:r w:rsidRPr="00831A56">
        <w:rPr>
          <w:rFonts w:ascii="Times New Roman" w:hAnsi="Times New Roman"/>
          <w:b w:val="0"/>
          <w:color w:val="000000"/>
        </w:rPr>
        <w:t>del 100</w:t>
      </w:r>
      <w:r w:rsidRPr="00831A56">
        <w:rPr>
          <w:rFonts w:ascii="Times New Roman" w:hAnsi="Times New Roman"/>
          <w:b w:val="0"/>
        </w:rPr>
        <w:t xml:space="preserve">%, </w:t>
      </w:r>
      <w:r w:rsidRPr="00831A56">
        <w:rPr>
          <w:rFonts w:ascii="Times New Roman" w:hAnsi="Times New Roman"/>
          <w:b w:val="0"/>
          <w:color w:val="000000"/>
        </w:rPr>
        <w:t>al inicio del proceso de regularización contaba con 51 años de existencia, sin embargo, al momento de la sanción de la presente Ordenanza cuenta con 52 años de asentamiento, 11 número de lotes a fraccionar y 44 beneficiarios.</w:t>
      </w:r>
      <w:r w:rsidRPr="00831A56">
        <w:rPr>
          <w:rFonts w:ascii="Times New Roman" w:hAnsi="Times New Roman"/>
          <w:b w:val="0"/>
        </w:rPr>
        <w:t xml:space="preserve"> </w:t>
      </w:r>
    </w:p>
    <w:p w14:paraId="1AE93FE8" w14:textId="77777777" w:rsidR="00C02AAE" w:rsidRPr="00831A56" w:rsidRDefault="00C02AAE" w:rsidP="00C02AAE">
      <w:pPr>
        <w:spacing w:after="240" w:line="276" w:lineRule="auto"/>
        <w:jc w:val="both"/>
        <w:rPr>
          <w:sz w:val="24"/>
          <w:szCs w:val="24"/>
        </w:rPr>
      </w:pPr>
      <w:r w:rsidRPr="00831A56">
        <w:rPr>
          <w:sz w:val="24"/>
          <w:szCs w:val="24"/>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014565B3" w14:textId="77777777" w:rsidR="00C02AAE" w:rsidRPr="00831A56" w:rsidRDefault="00C02AAE" w:rsidP="00C02AAE">
      <w:pPr>
        <w:spacing w:after="240" w:line="276" w:lineRule="auto"/>
        <w:jc w:val="both"/>
        <w:rPr>
          <w:rFonts w:eastAsia="Calibri"/>
          <w:bCs/>
          <w:sz w:val="24"/>
          <w:szCs w:val="24"/>
        </w:rPr>
      </w:pPr>
      <w:r w:rsidRPr="00831A56">
        <w:rPr>
          <w:rFonts w:eastAsia="Calibri"/>
          <w:bCs/>
          <w:sz w:val="24"/>
          <w:szCs w:val="24"/>
        </w:rPr>
        <w:t>En este sentido, la presente ordenanza contiene la normativa tendiente al fraccionamiento del predio sobre el que se encuentra el asentamiento humano de hecho y consolidado de interés social denominado Barrio “José Gabriel Alarcón”,</w:t>
      </w:r>
      <w:r w:rsidRPr="00831A56" w:rsidDel="00403EE1">
        <w:rPr>
          <w:rFonts w:eastAsia="Calibri"/>
          <w:bCs/>
          <w:sz w:val="24"/>
          <w:szCs w:val="24"/>
        </w:rPr>
        <w:t xml:space="preserve"> </w:t>
      </w:r>
      <w:r w:rsidRPr="00831A56">
        <w:rPr>
          <w:rFonts w:eastAsia="Calibri"/>
          <w:bCs/>
          <w:sz w:val="24"/>
          <w:szCs w:val="24"/>
        </w:rPr>
        <w:t>a fin de garantizar a los beneficiarios el ejercicio de su derecho a la vivienda y el acceso a servicios básicos de calidad.</w:t>
      </w:r>
    </w:p>
    <w:p w14:paraId="5E5B4344" w14:textId="77777777" w:rsidR="00C02AAE" w:rsidRPr="00831A56" w:rsidRDefault="00C02AAE" w:rsidP="00C02AAE">
      <w:pPr>
        <w:pStyle w:val="1"/>
        <w:spacing w:after="240" w:line="276" w:lineRule="auto"/>
        <w:ind w:firstLine="708"/>
        <w:jc w:val="both"/>
        <w:rPr>
          <w:rFonts w:ascii="Times New Roman" w:hAnsi="Times New Roman"/>
          <w:b w:val="0"/>
        </w:rPr>
      </w:pPr>
    </w:p>
    <w:p w14:paraId="6E306D3B" w14:textId="77777777" w:rsidR="00C02AAE" w:rsidRPr="00831A56" w:rsidRDefault="00C02AAE" w:rsidP="00C02AAE">
      <w:pPr>
        <w:pStyle w:val="1"/>
        <w:spacing w:after="240" w:line="276" w:lineRule="auto"/>
        <w:rPr>
          <w:rFonts w:ascii="Times New Roman" w:hAnsi="Times New Roman"/>
          <w:b w:val="0"/>
        </w:rPr>
      </w:pPr>
    </w:p>
    <w:p w14:paraId="52DB5A75" w14:textId="77777777" w:rsidR="00C02AAE" w:rsidRPr="00831A56" w:rsidRDefault="00C02AAE" w:rsidP="00C02AAE">
      <w:pPr>
        <w:pStyle w:val="1"/>
        <w:spacing w:after="240" w:line="276" w:lineRule="auto"/>
        <w:rPr>
          <w:rFonts w:ascii="Times New Roman" w:hAnsi="Times New Roman"/>
        </w:rPr>
        <w:sectPr w:rsidR="00C02AAE" w:rsidRPr="00831A56" w:rsidSect="00A76FEB">
          <w:headerReference w:type="even" r:id="rId7"/>
          <w:headerReference w:type="default" r:id="rId8"/>
          <w:footerReference w:type="even" r:id="rId9"/>
          <w:footerReference w:type="default" r:id="rId10"/>
          <w:headerReference w:type="first" r:id="rId11"/>
          <w:footerReference w:type="first" r:id="rId12"/>
          <w:pgSz w:w="11906" w:h="16838"/>
          <w:pgMar w:top="3402" w:right="1418" w:bottom="567" w:left="1701" w:header="709" w:footer="68" w:gutter="0"/>
          <w:cols w:space="708"/>
          <w:docGrid w:linePitch="360"/>
        </w:sectPr>
      </w:pPr>
    </w:p>
    <w:p w14:paraId="442A153E" w14:textId="77777777" w:rsidR="00C02AAE" w:rsidRPr="00831A56" w:rsidRDefault="00C02AAE" w:rsidP="00C02AAE">
      <w:pPr>
        <w:pStyle w:val="1"/>
        <w:spacing w:after="240" w:line="276" w:lineRule="auto"/>
        <w:rPr>
          <w:rFonts w:ascii="Times New Roman" w:hAnsi="Times New Roman"/>
        </w:rPr>
      </w:pPr>
      <w:r w:rsidRPr="00831A56">
        <w:rPr>
          <w:rFonts w:ascii="Times New Roman" w:hAnsi="Times New Roman"/>
        </w:rPr>
        <w:lastRenderedPageBreak/>
        <w:t>EL CONCEJO METROPOLITANO DE QUITO</w:t>
      </w:r>
    </w:p>
    <w:p w14:paraId="1D7DC417" w14:textId="77777777" w:rsidR="00C02AAE" w:rsidRPr="00831A56" w:rsidRDefault="00C02AAE" w:rsidP="00C02AAE">
      <w:pPr>
        <w:spacing w:line="276" w:lineRule="auto"/>
        <w:jc w:val="both"/>
        <w:rPr>
          <w:sz w:val="24"/>
          <w:szCs w:val="24"/>
        </w:rPr>
      </w:pPr>
      <w:r w:rsidRPr="00831A56">
        <w:rPr>
          <w:sz w:val="24"/>
          <w:szCs w:val="24"/>
        </w:rPr>
        <w:t xml:space="preserve">Visto el Informe No. </w:t>
      </w:r>
      <w:proofErr w:type="gramStart"/>
      <w:r w:rsidRPr="00831A56">
        <w:rPr>
          <w:sz w:val="24"/>
          <w:szCs w:val="24"/>
        </w:rPr>
        <w:t>XXXXXXXXXXX  de</w:t>
      </w:r>
      <w:proofErr w:type="gramEnd"/>
      <w:r w:rsidRPr="00831A56">
        <w:rPr>
          <w:sz w:val="24"/>
          <w:szCs w:val="24"/>
        </w:rPr>
        <w:t xml:space="preserve"> fecha XX de XXXXXXXX de XXXX de la Comisión de Ordenamiento Territorial;</w:t>
      </w:r>
    </w:p>
    <w:p w14:paraId="7CD874A7" w14:textId="77777777" w:rsidR="00C02AAE" w:rsidRPr="00831A56" w:rsidRDefault="00C02AAE" w:rsidP="00C02AAE">
      <w:pPr>
        <w:spacing w:line="276" w:lineRule="auto"/>
        <w:jc w:val="both"/>
        <w:rPr>
          <w:sz w:val="24"/>
          <w:szCs w:val="24"/>
        </w:rPr>
      </w:pPr>
    </w:p>
    <w:p w14:paraId="170023C1" w14:textId="77777777" w:rsidR="00C02AAE" w:rsidRPr="00831A56" w:rsidRDefault="00C02AAE" w:rsidP="00C02AAE">
      <w:pPr>
        <w:jc w:val="both"/>
        <w:rPr>
          <w:sz w:val="24"/>
          <w:szCs w:val="24"/>
        </w:rPr>
      </w:pPr>
    </w:p>
    <w:p w14:paraId="7B686AF7" w14:textId="77777777" w:rsidR="00C02AAE" w:rsidRPr="00831A56" w:rsidRDefault="00C02AAE" w:rsidP="00C02AAE">
      <w:pPr>
        <w:spacing w:after="240" w:line="276" w:lineRule="auto"/>
        <w:jc w:val="center"/>
        <w:rPr>
          <w:b/>
          <w:sz w:val="24"/>
          <w:szCs w:val="24"/>
        </w:rPr>
      </w:pPr>
      <w:r w:rsidRPr="00831A56">
        <w:rPr>
          <w:b/>
          <w:sz w:val="24"/>
          <w:szCs w:val="24"/>
        </w:rPr>
        <w:t>CONSIDERANDO:</w:t>
      </w:r>
    </w:p>
    <w:p w14:paraId="6FDC8D59" w14:textId="77777777" w:rsidR="00C02AAE" w:rsidRPr="00831A56" w:rsidRDefault="00C02AAE" w:rsidP="00C02AAE">
      <w:pPr>
        <w:pStyle w:val="Sinespaciado"/>
        <w:spacing w:after="240" w:line="276" w:lineRule="auto"/>
        <w:ind w:left="709" w:hanging="709"/>
        <w:jc w:val="both"/>
        <w:rPr>
          <w:rFonts w:ascii="Times New Roman" w:hAnsi="Times New Roman"/>
          <w:sz w:val="24"/>
          <w:szCs w:val="24"/>
        </w:rPr>
      </w:pPr>
      <w:r w:rsidRPr="00831A56">
        <w:rPr>
          <w:rFonts w:ascii="Times New Roman" w:hAnsi="Times New Roman"/>
          <w:b/>
          <w:sz w:val="24"/>
          <w:szCs w:val="24"/>
        </w:rPr>
        <w:t xml:space="preserve">Que, </w:t>
      </w:r>
      <w:r w:rsidRPr="00831A56">
        <w:rPr>
          <w:rFonts w:ascii="Times New Roman" w:hAnsi="Times New Roman"/>
          <w:b/>
          <w:sz w:val="24"/>
          <w:szCs w:val="24"/>
        </w:rPr>
        <w:tab/>
      </w:r>
      <w:r w:rsidRPr="00831A56">
        <w:rPr>
          <w:rFonts w:ascii="Times New Roman" w:hAnsi="Times New Roman"/>
          <w:sz w:val="24"/>
          <w:szCs w:val="24"/>
        </w:rPr>
        <w:t>el artículo 30 de la Constitución de la República del Ecuador (en adelante “Constitución”) establece que: “</w:t>
      </w:r>
      <w:r w:rsidRPr="00831A56">
        <w:rPr>
          <w:rFonts w:ascii="Times New Roman" w:hAnsi="Times New Roman"/>
          <w:i/>
          <w:sz w:val="24"/>
          <w:szCs w:val="24"/>
        </w:rPr>
        <w:t>Las personas tienen derecho a un hábitat seguro y saludable, y a una vivienda adecuada y digna, con independencia de su situación social y económica.</w:t>
      </w:r>
      <w:r w:rsidRPr="00831A56">
        <w:rPr>
          <w:rFonts w:ascii="Times New Roman" w:hAnsi="Times New Roman"/>
          <w:sz w:val="24"/>
          <w:szCs w:val="24"/>
        </w:rPr>
        <w:t>”;</w:t>
      </w:r>
    </w:p>
    <w:p w14:paraId="7B2786D7" w14:textId="77777777" w:rsidR="00C02AAE" w:rsidRPr="00831A56" w:rsidRDefault="00C02AAE" w:rsidP="00C02AAE">
      <w:pPr>
        <w:pStyle w:val="Sinespaciado"/>
        <w:spacing w:after="240" w:line="276" w:lineRule="auto"/>
        <w:ind w:left="709" w:hanging="709"/>
        <w:jc w:val="both"/>
        <w:rPr>
          <w:rFonts w:ascii="Times New Roman" w:hAnsi="Times New Roman"/>
          <w:bCs/>
          <w:sz w:val="24"/>
          <w:szCs w:val="24"/>
        </w:rPr>
      </w:pPr>
      <w:r w:rsidRPr="00831A56">
        <w:rPr>
          <w:rFonts w:ascii="Times New Roman" w:hAnsi="Times New Roman"/>
          <w:b/>
          <w:bCs/>
          <w:sz w:val="24"/>
          <w:szCs w:val="24"/>
        </w:rPr>
        <w:t>Que,</w:t>
      </w:r>
      <w:r w:rsidRPr="00831A56">
        <w:rPr>
          <w:rFonts w:ascii="Times New Roman" w:hAnsi="Times New Roman"/>
          <w:b/>
          <w:bCs/>
          <w:sz w:val="24"/>
          <w:szCs w:val="24"/>
        </w:rPr>
        <w:tab/>
      </w:r>
      <w:r w:rsidRPr="00831A56">
        <w:rPr>
          <w:rFonts w:ascii="Times New Roman" w:hAnsi="Times New Roman"/>
          <w:bCs/>
          <w:sz w:val="24"/>
          <w:szCs w:val="24"/>
        </w:rPr>
        <w:t>el artículo 31 de la Constitución expresa que: “</w:t>
      </w:r>
      <w:r w:rsidRPr="00831A56">
        <w:rPr>
          <w:rFonts w:ascii="Times New Roman" w:hAnsi="Times New Roman"/>
          <w:bCs/>
          <w:i/>
          <w:sz w:val="24"/>
          <w:szCs w:val="24"/>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831A56">
        <w:rPr>
          <w:rFonts w:ascii="Times New Roman" w:hAnsi="Times New Roman"/>
          <w:bCs/>
          <w:sz w:val="24"/>
          <w:szCs w:val="24"/>
        </w:rPr>
        <w:t xml:space="preserve">”; </w:t>
      </w:r>
    </w:p>
    <w:p w14:paraId="366CDB85" w14:textId="77777777" w:rsidR="00C02AAE" w:rsidRPr="00831A56" w:rsidRDefault="00C02AAE" w:rsidP="00C02AAE">
      <w:pPr>
        <w:pStyle w:val="Sinespaciado"/>
        <w:spacing w:after="240" w:line="276" w:lineRule="auto"/>
        <w:ind w:left="709" w:hanging="709"/>
        <w:jc w:val="both"/>
        <w:rPr>
          <w:rFonts w:ascii="Times New Roman" w:hAnsi="Times New Roman"/>
          <w:sz w:val="24"/>
          <w:szCs w:val="24"/>
        </w:rPr>
      </w:pPr>
      <w:r w:rsidRPr="00831A56">
        <w:rPr>
          <w:rFonts w:ascii="Times New Roman" w:hAnsi="Times New Roman"/>
          <w:b/>
          <w:bCs/>
          <w:sz w:val="24"/>
          <w:szCs w:val="24"/>
        </w:rPr>
        <w:t>Que,</w:t>
      </w:r>
      <w:r w:rsidRPr="00831A56">
        <w:rPr>
          <w:rFonts w:ascii="Times New Roman" w:hAnsi="Times New Roman"/>
          <w:b/>
          <w:bCs/>
          <w:sz w:val="24"/>
          <w:szCs w:val="24"/>
        </w:rPr>
        <w:tab/>
      </w:r>
      <w:r w:rsidRPr="00831A56">
        <w:rPr>
          <w:rFonts w:ascii="Times New Roman" w:hAnsi="Times New Roman"/>
          <w:bCs/>
          <w:sz w:val="24"/>
          <w:szCs w:val="24"/>
        </w:rPr>
        <w:t>el artículo 36</w:t>
      </w:r>
      <w:r w:rsidRPr="00831A56">
        <w:rPr>
          <w:rFonts w:ascii="Times New Roman" w:hAnsi="Times New Roman"/>
          <w:b/>
          <w:bCs/>
          <w:sz w:val="24"/>
          <w:szCs w:val="24"/>
        </w:rPr>
        <w:t xml:space="preserve"> </w:t>
      </w:r>
      <w:r w:rsidRPr="00831A56">
        <w:rPr>
          <w:rFonts w:ascii="Times New Roman" w:hAnsi="Times New Roman"/>
          <w:bCs/>
          <w:sz w:val="24"/>
          <w:szCs w:val="24"/>
        </w:rPr>
        <w:t xml:space="preserve">de la Constitución señala que </w:t>
      </w:r>
      <w:r w:rsidRPr="00831A56">
        <w:rPr>
          <w:rFonts w:ascii="Times New Roman" w:hAnsi="Times New Roman"/>
          <w:i/>
          <w:sz w:val="24"/>
          <w:szCs w:val="24"/>
        </w:rPr>
        <w:t xml:space="preserve">“Las personas adultas mayores recibirán atención prioritaria y especializada en los ámbitos público y privado, en especial en los campos de inclusión social y económica, y protección contra la violencia. Se considerarán personas adultas mayores aquellas personas que hayan cumplido los sesenta y cinco años de edad”; </w:t>
      </w:r>
      <w:r w:rsidRPr="00831A56">
        <w:rPr>
          <w:rFonts w:ascii="Times New Roman" w:hAnsi="Times New Roman"/>
          <w:sz w:val="24"/>
          <w:szCs w:val="24"/>
        </w:rPr>
        <w:t xml:space="preserve">reconociéndose de esta manera, entre otros, el derecho al acceso a una vivienda, que les asiste a este grupo de atención prioritaria y especial, que, entre otros, repercute en su derecho constitucional a una vida digna. </w:t>
      </w:r>
    </w:p>
    <w:p w14:paraId="092E4913" w14:textId="77777777" w:rsidR="00C02AAE" w:rsidRPr="00831A56" w:rsidRDefault="00C02AAE" w:rsidP="00C02AAE">
      <w:pPr>
        <w:pStyle w:val="Sinespaciado"/>
        <w:spacing w:after="240" w:line="276" w:lineRule="auto"/>
        <w:ind w:left="709" w:hanging="709"/>
        <w:jc w:val="both"/>
        <w:rPr>
          <w:rFonts w:ascii="Times New Roman" w:hAnsi="Times New Roman"/>
          <w:sz w:val="24"/>
          <w:szCs w:val="24"/>
        </w:rPr>
      </w:pPr>
      <w:r w:rsidRPr="00831A56">
        <w:rPr>
          <w:rFonts w:ascii="Times New Roman" w:hAnsi="Times New Roman"/>
          <w:b/>
          <w:bCs/>
          <w:sz w:val="24"/>
          <w:szCs w:val="24"/>
        </w:rPr>
        <w:t>Que,</w:t>
      </w:r>
      <w:r w:rsidRPr="00831A56">
        <w:rPr>
          <w:rFonts w:ascii="Times New Roman" w:hAnsi="Times New Roman"/>
          <w:b/>
          <w:bCs/>
          <w:sz w:val="24"/>
          <w:szCs w:val="24"/>
        </w:rPr>
        <w:tab/>
      </w:r>
      <w:r w:rsidRPr="00831A56">
        <w:rPr>
          <w:rFonts w:ascii="Times New Roman" w:hAnsi="Times New Roman"/>
          <w:sz w:val="24"/>
          <w:szCs w:val="24"/>
        </w:rPr>
        <w:t>el artículo 240 de la Constitución establece que: “</w:t>
      </w:r>
      <w:r w:rsidRPr="00831A56">
        <w:rPr>
          <w:rFonts w:ascii="Times New Roman" w:hAnsi="Times New Roman"/>
          <w:i/>
          <w:sz w:val="24"/>
          <w:szCs w:val="24"/>
        </w:rPr>
        <w:t>Los gobiernos autónomos descentralizados de las regiones, distritos metropolitanos, provincias y cantones tendrán facultades legislativas en el ámbito de sus competencias y jurisdicciones territoriales (…)</w:t>
      </w:r>
      <w:r w:rsidRPr="00831A56">
        <w:rPr>
          <w:rFonts w:ascii="Times New Roman" w:hAnsi="Times New Roman"/>
          <w:sz w:val="24"/>
          <w:szCs w:val="24"/>
        </w:rPr>
        <w:t>”;</w:t>
      </w:r>
    </w:p>
    <w:p w14:paraId="4FB60384" w14:textId="77777777" w:rsidR="00C02AAE" w:rsidRPr="00831A56" w:rsidRDefault="00C02AAE" w:rsidP="00C02AAE">
      <w:pPr>
        <w:pStyle w:val="Sinespaciado"/>
        <w:spacing w:after="240" w:line="276" w:lineRule="auto"/>
        <w:ind w:left="709" w:hanging="709"/>
        <w:jc w:val="both"/>
        <w:rPr>
          <w:rFonts w:ascii="Times New Roman" w:hAnsi="Times New Roman"/>
          <w:i/>
          <w:sz w:val="24"/>
          <w:szCs w:val="24"/>
        </w:rPr>
      </w:pPr>
      <w:r w:rsidRPr="00831A56">
        <w:rPr>
          <w:rFonts w:ascii="Times New Roman" w:hAnsi="Times New Roman"/>
          <w:b/>
          <w:bCs/>
          <w:sz w:val="24"/>
          <w:szCs w:val="24"/>
        </w:rPr>
        <w:t>Que,</w:t>
      </w:r>
      <w:r w:rsidRPr="00831A56">
        <w:rPr>
          <w:rFonts w:ascii="Times New Roman" w:hAnsi="Times New Roman"/>
          <w:b/>
          <w:bCs/>
          <w:sz w:val="24"/>
          <w:szCs w:val="24"/>
        </w:rPr>
        <w:tab/>
      </w:r>
      <w:r w:rsidRPr="00831A56">
        <w:rPr>
          <w:rFonts w:ascii="Times New Roman" w:hAnsi="Times New Roman"/>
          <w:sz w:val="24"/>
          <w:szCs w:val="24"/>
        </w:rPr>
        <w:t>el artículo 266 de la Constitución establece que: “</w:t>
      </w:r>
      <w:r w:rsidRPr="00831A56">
        <w:rPr>
          <w:rFonts w:ascii="Times New Roman" w:hAnsi="Times New Roman"/>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14B1BFD7" w14:textId="77777777" w:rsidR="00C02AAE" w:rsidRPr="00831A56" w:rsidRDefault="00C02AAE" w:rsidP="00C02AAE">
      <w:pPr>
        <w:pStyle w:val="Sinespaciado"/>
        <w:spacing w:after="240" w:line="276" w:lineRule="auto"/>
        <w:ind w:left="709" w:hanging="709"/>
        <w:jc w:val="both"/>
        <w:rPr>
          <w:rFonts w:ascii="Times New Roman" w:hAnsi="Times New Roman"/>
          <w:sz w:val="24"/>
          <w:szCs w:val="24"/>
        </w:rPr>
      </w:pPr>
      <w:r w:rsidRPr="00831A56">
        <w:rPr>
          <w:rFonts w:ascii="Times New Roman" w:hAnsi="Times New Roman"/>
          <w:i/>
          <w:sz w:val="24"/>
          <w:szCs w:val="24"/>
        </w:rPr>
        <w:t xml:space="preserve">            En el ámbito de sus competencias y territorio, y en uso de sus facultades, expedirán ordenanzas distritales.”</w:t>
      </w:r>
      <w:r w:rsidRPr="00831A56">
        <w:rPr>
          <w:rFonts w:ascii="Times New Roman" w:hAnsi="Times New Roman"/>
          <w:sz w:val="24"/>
          <w:szCs w:val="24"/>
        </w:rPr>
        <w:t>;</w:t>
      </w:r>
    </w:p>
    <w:p w14:paraId="02194944" w14:textId="77777777" w:rsidR="00C02AAE" w:rsidRPr="00831A56" w:rsidRDefault="00C02AAE" w:rsidP="00C02AAE">
      <w:pPr>
        <w:pStyle w:val="Sinespaciado"/>
        <w:spacing w:after="240" w:line="276" w:lineRule="auto"/>
        <w:ind w:left="709" w:hanging="709"/>
        <w:jc w:val="both"/>
        <w:rPr>
          <w:rFonts w:ascii="Times New Roman" w:hAnsi="Times New Roman"/>
          <w:i/>
          <w:sz w:val="24"/>
          <w:szCs w:val="24"/>
        </w:rPr>
      </w:pPr>
      <w:r w:rsidRPr="00831A56">
        <w:rPr>
          <w:rFonts w:ascii="Times New Roman" w:hAnsi="Times New Roman"/>
          <w:b/>
          <w:bCs/>
          <w:sz w:val="24"/>
          <w:szCs w:val="24"/>
        </w:rPr>
        <w:t>Que,</w:t>
      </w:r>
      <w:r w:rsidRPr="00831A56">
        <w:rPr>
          <w:rFonts w:ascii="Times New Roman" w:hAnsi="Times New Roman"/>
          <w:sz w:val="24"/>
          <w:szCs w:val="24"/>
        </w:rPr>
        <w:tab/>
      </w:r>
      <w:r w:rsidRPr="00831A56">
        <w:rPr>
          <w:rFonts w:ascii="Times New Roman" w:hAnsi="Times New Roman"/>
          <w:bCs/>
          <w:sz w:val="24"/>
          <w:szCs w:val="24"/>
        </w:rPr>
        <w:t xml:space="preserve">el literal c) del artículo 84 del Código Orgánico de Organización Territorial, Autonomía y Descentralización (en adelante “COOTAD”), señala las funciones del gobierno del distrito autónomo metropolitano, </w:t>
      </w:r>
      <w:r w:rsidRPr="00831A56">
        <w:rPr>
          <w:rFonts w:ascii="Times New Roman" w:hAnsi="Times New Roman"/>
          <w:bCs/>
          <w:i/>
          <w:sz w:val="24"/>
          <w:szCs w:val="24"/>
        </w:rPr>
        <w:t>“</w:t>
      </w:r>
      <w:r w:rsidRPr="00831A56">
        <w:rPr>
          <w:rFonts w:ascii="Times New Roman" w:hAnsi="Times New Roman"/>
          <w:b/>
          <w:i/>
          <w:sz w:val="24"/>
          <w:szCs w:val="24"/>
        </w:rPr>
        <w:t>c)</w:t>
      </w:r>
      <w:r w:rsidRPr="00831A56">
        <w:rPr>
          <w:rFonts w:ascii="Times New Roman" w:hAnsi="Times New Roman"/>
          <w:i/>
          <w:sz w:val="24"/>
          <w:szCs w:val="24"/>
        </w:rPr>
        <w:t xml:space="preserve"> Establecer el régimen de uso del suelo y urbanístico para lo cual determinará las condiciones de urbanización, parcelación, lotización, división o cualquier otra forma de fraccionamiento de </w:t>
      </w:r>
      <w:r w:rsidRPr="00831A56">
        <w:rPr>
          <w:rFonts w:ascii="Times New Roman" w:hAnsi="Times New Roman"/>
          <w:i/>
          <w:sz w:val="24"/>
          <w:szCs w:val="24"/>
        </w:rPr>
        <w:lastRenderedPageBreak/>
        <w:t>conformidad con la planificación metropolitana, asegurando porcentajes para zonas verdes y áreas comunales”;</w:t>
      </w:r>
    </w:p>
    <w:p w14:paraId="1F1C64FC" w14:textId="77777777" w:rsidR="00C02AAE" w:rsidRPr="00831A56" w:rsidRDefault="00C02AAE" w:rsidP="00C02AAE">
      <w:pPr>
        <w:pStyle w:val="Sinespaciado"/>
        <w:spacing w:after="240" w:line="276" w:lineRule="auto"/>
        <w:ind w:left="709" w:hanging="709"/>
        <w:jc w:val="both"/>
        <w:rPr>
          <w:rFonts w:ascii="Times New Roman" w:hAnsi="Times New Roman"/>
          <w:sz w:val="24"/>
          <w:szCs w:val="24"/>
        </w:rPr>
      </w:pPr>
      <w:r w:rsidRPr="00831A56">
        <w:rPr>
          <w:rFonts w:ascii="Times New Roman" w:hAnsi="Times New Roman"/>
          <w:b/>
          <w:bCs/>
          <w:sz w:val="24"/>
          <w:szCs w:val="24"/>
        </w:rPr>
        <w:t>Que,</w:t>
      </w:r>
      <w:r w:rsidRPr="00831A56">
        <w:rPr>
          <w:rFonts w:ascii="Times New Roman" w:hAnsi="Times New Roman"/>
          <w:b/>
          <w:bCs/>
          <w:sz w:val="24"/>
          <w:szCs w:val="24"/>
        </w:rPr>
        <w:tab/>
      </w:r>
      <w:r w:rsidRPr="00831A56">
        <w:rPr>
          <w:rFonts w:ascii="Times New Roman" w:hAnsi="Times New Roman"/>
          <w:bCs/>
          <w:sz w:val="24"/>
          <w:szCs w:val="24"/>
        </w:rPr>
        <w:t>el literal a), d</w:t>
      </w:r>
      <w:r w:rsidRPr="00831A56">
        <w:rPr>
          <w:rFonts w:ascii="Times New Roman" w:hAnsi="Times New Roman"/>
          <w:sz w:val="24"/>
          <w:szCs w:val="24"/>
        </w:rPr>
        <w:t xml:space="preserve">el artículo 87 del COOTAD, establece que las funciones del Concejo Metropolitano, entre otras, son: </w:t>
      </w:r>
      <w:r w:rsidRPr="00831A56">
        <w:rPr>
          <w:rFonts w:ascii="Times New Roman" w:hAnsi="Times New Roman"/>
          <w:i/>
          <w:iCs/>
          <w:sz w:val="24"/>
          <w:szCs w:val="24"/>
        </w:rPr>
        <w:t>“</w:t>
      </w:r>
      <w:r w:rsidRPr="00831A56">
        <w:rPr>
          <w:rFonts w:ascii="Times New Roman" w:hAnsi="Times New Roman"/>
          <w:b/>
          <w:i/>
          <w:sz w:val="24"/>
          <w:szCs w:val="24"/>
        </w:rPr>
        <w:t>a)</w:t>
      </w:r>
      <w:r w:rsidRPr="00831A56">
        <w:rPr>
          <w:rFonts w:ascii="Times New Roman" w:hAnsi="Times New Roman"/>
          <w:i/>
          <w:sz w:val="24"/>
          <w:szCs w:val="24"/>
        </w:rPr>
        <w:t xml:space="preserve"> Ejercer la facultad normativa en las materias de competencia del gobierno autónomo descentralizado metropolitano, mediante la expedición de ordenanzas metropolitanas, acuerdos y resoluciones”;</w:t>
      </w:r>
      <w:r w:rsidRPr="00831A56">
        <w:rPr>
          <w:rFonts w:ascii="Times New Roman" w:hAnsi="Times New Roman"/>
          <w:i/>
          <w:iCs/>
          <w:sz w:val="24"/>
          <w:szCs w:val="24"/>
        </w:rPr>
        <w:t xml:space="preserve"> </w:t>
      </w:r>
    </w:p>
    <w:p w14:paraId="1F5AE2A1" w14:textId="77777777" w:rsidR="00C02AAE" w:rsidRPr="00831A56" w:rsidRDefault="00C02AAE" w:rsidP="00C02AAE">
      <w:pPr>
        <w:pStyle w:val="Sinespaciado"/>
        <w:spacing w:after="240" w:line="276" w:lineRule="auto"/>
        <w:ind w:left="709" w:hanging="709"/>
        <w:jc w:val="both"/>
        <w:rPr>
          <w:rFonts w:ascii="Times New Roman" w:hAnsi="Times New Roman"/>
          <w:sz w:val="24"/>
          <w:szCs w:val="24"/>
        </w:rPr>
      </w:pPr>
      <w:r w:rsidRPr="00831A56">
        <w:rPr>
          <w:rFonts w:ascii="Times New Roman" w:hAnsi="Times New Roman"/>
          <w:b/>
          <w:bCs/>
          <w:sz w:val="24"/>
          <w:szCs w:val="24"/>
        </w:rPr>
        <w:t>Que,</w:t>
      </w:r>
      <w:r w:rsidRPr="00831A56">
        <w:rPr>
          <w:rFonts w:ascii="Times New Roman" w:hAnsi="Times New Roman"/>
          <w:b/>
          <w:bCs/>
          <w:sz w:val="24"/>
          <w:szCs w:val="24"/>
        </w:rPr>
        <w:tab/>
      </w:r>
      <w:r w:rsidRPr="00831A56">
        <w:rPr>
          <w:rFonts w:ascii="Times New Roman" w:hAnsi="Times New Roman"/>
          <w:sz w:val="24"/>
          <w:szCs w:val="24"/>
        </w:rPr>
        <w:t>el artículo 322 del COOTAD establece el procedimiento para la aprobación de las ordenanzas municipales;</w:t>
      </w:r>
    </w:p>
    <w:p w14:paraId="7CB5051D" w14:textId="77777777" w:rsidR="00C02AAE" w:rsidRPr="00831A56" w:rsidRDefault="00C02AAE" w:rsidP="00C02AAE">
      <w:pPr>
        <w:pStyle w:val="Sinespaciado"/>
        <w:spacing w:after="240" w:line="276" w:lineRule="auto"/>
        <w:ind w:left="709" w:hanging="709"/>
        <w:jc w:val="both"/>
        <w:rPr>
          <w:rFonts w:ascii="Times New Roman" w:hAnsi="Times New Roman"/>
          <w:b/>
          <w:bCs/>
          <w:sz w:val="24"/>
          <w:szCs w:val="24"/>
        </w:rPr>
      </w:pPr>
      <w:r w:rsidRPr="00831A56">
        <w:rPr>
          <w:rFonts w:ascii="Times New Roman" w:hAnsi="Times New Roman"/>
          <w:b/>
          <w:bCs/>
          <w:sz w:val="24"/>
          <w:szCs w:val="24"/>
        </w:rPr>
        <w:t xml:space="preserve">Que,    </w:t>
      </w:r>
      <w:r w:rsidRPr="00831A56">
        <w:rPr>
          <w:rFonts w:ascii="Times New Roman" w:hAnsi="Times New Roman"/>
          <w:bCs/>
          <w:sz w:val="24"/>
          <w:szCs w:val="24"/>
        </w:rPr>
        <w:t>el artículo 486 del COOTAD reformado establece que: “</w:t>
      </w:r>
      <w:r w:rsidRPr="00831A56">
        <w:rPr>
          <w:rFonts w:ascii="Times New Roman" w:hAnsi="Times New Roman"/>
          <w:bCs/>
          <w:i/>
          <w:sz w:val="24"/>
          <w:szCs w:val="24"/>
          <w:lang w:val="es-ES_tradnl"/>
        </w:rPr>
        <w:t>Cuando por resolución del órgano de legislación y fiscalización del Gobierno Autónomo Descentralizado municipal o metropolitano, se requiera regularizar y legalizar asentamiento 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831A56">
        <w:rPr>
          <w:rFonts w:ascii="Times New Roman" w:hAnsi="Times New Roman"/>
          <w:bCs/>
          <w:sz w:val="24"/>
          <w:szCs w:val="24"/>
          <w:lang w:val="es-ES_tradnl"/>
        </w:rPr>
        <w:t>”</w:t>
      </w:r>
      <w:r w:rsidRPr="00831A56">
        <w:rPr>
          <w:rFonts w:ascii="Times New Roman" w:hAnsi="Times New Roman"/>
          <w:bCs/>
          <w:sz w:val="24"/>
          <w:szCs w:val="24"/>
        </w:rPr>
        <w:t>;</w:t>
      </w:r>
    </w:p>
    <w:p w14:paraId="47922671" w14:textId="77777777" w:rsidR="00C02AAE" w:rsidRPr="00831A56" w:rsidRDefault="00C02AAE" w:rsidP="00C02AAE">
      <w:pPr>
        <w:pStyle w:val="Sinespaciado"/>
        <w:spacing w:before="240" w:after="240" w:line="276" w:lineRule="auto"/>
        <w:ind w:left="709" w:hanging="709"/>
        <w:jc w:val="both"/>
        <w:rPr>
          <w:rFonts w:ascii="Times New Roman" w:hAnsi="Times New Roman"/>
          <w:i/>
          <w:sz w:val="24"/>
          <w:szCs w:val="24"/>
        </w:rPr>
      </w:pPr>
      <w:r w:rsidRPr="00831A56">
        <w:rPr>
          <w:rFonts w:ascii="Times New Roman" w:hAnsi="Times New Roman"/>
          <w:b/>
          <w:bCs/>
          <w:sz w:val="24"/>
          <w:szCs w:val="24"/>
        </w:rPr>
        <w:t>Que,</w:t>
      </w:r>
      <w:r w:rsidRPr="00831A56">
        <w:rPr>
          <w:rFonts w:ascii="Times New Roman" w:hAnsi="Times New Roman"/>
          <w:b/>
          <w:bCs/>
          <w:sz w:val="24"/>
          <w:szCs w:val="24"/>
        </w:rPr>
        <w:tab/>
      </w:r>
      <w:r w:rsidRPr="00831A56">
        <w:rPr>
          <w:rFonts w:ascii="Times New Roman" w:hAnsi="Times New Roman"/>
          <w:bCs/>
          <w:sz w:val="24"/>
          <w:szCs w:val="24"/>
        </w:rPr>
        <w:t>la Disposición Transitoria Décima Cuarta del COOTAD, señala: “</w:t>
      </w:r>
      <w:r w:rsidRPr="00831A56">
        <w:rPr>
          <w:rFonts w:ascii="Times New Roman" w:hAnsi="Times New Roman"/>
          <w:bCs/>
          <w:i/>
          <w:sz w:val="24"/>
          <w:szCs w:val="24"/>
        </w:rPr>
        <w:t xml:space="preserve">(…) </w:t>
      </w:r>
      <w:r w:rsidRPr="00831A56">
        <w:rPr>
          <w:rFonts w:ascii="Times New Roman" w:hAnsi="Times New Roman"/>
          <w:i/>
          <w:sz w:val="24"/>
          <w:szCs w:val="24"/>
        </w:rPr>
        <w:t>Excepcionalmente en los casos de asentamientos de hecho y consolidados declarados de interés social, en que no se ha previsto el porcentaje de áreas verdes y comunales establecidas en la ley, serán exoneradas de este porcentaje.”;</w:t>
      </w:r>
    </w:p>
    <w:p w14:paraId="4CD98F19" w14:textId="77777777" w:rsidR="00C02AAE" w:rsidRPr="00831A56" w:rsidRDefault="00C02AAE" w:rsidP="00C02AAE">
      <w:pPr>
        <w:pStyle w:val="Sinespaciado"/>
        <w:spacing w:after="240" w:line="276" w:lineRule="auto"/>
        <w:ind w:left="709" w:hanging="709"/>
        <w:jc w:val="both"/>
        <w:rPr>
          <w:rFonts w:ascii="Times New Roman" w:hAnsi="Times New Roman"/>
          <w:bCs/>
          <w:sz w:val="24"/>
          <w:szCs w:val="24"/>
        </w:rPr>
      </w:pPr>
      <w:r w:rsidRPr="00831A56">
        <w:rPr>
          <w:rFonts w:ascii="Times New Roman" w:hAnsi="Times New Roman"/>
          <w:b/>
          <w:bCs/>
          <w:sz w:val="24"/>
          <w:szCs w:val="24"/>
        </w:rPr>
        <w:t>Que,</w:t>
      </w:r>
      <w:r w:rsidRPr="00831A56">
        <w:rPr>
          <w:rFonts w:ascii="Times New Roman" w:hAnsi="Times New Roman"/>
          <w:b/>
          <w:bCs/>
          <w:sz w:val="24"/>
          <w:szCs w:val="24"/>
        </w:rPr>
        <w:tab/>
      </w:r>
      <w:r w:rsidRPr="00831A56">
        <w:rPr>
          <w:rFonts w:ascii="Times New Roman" w:hAnsi="Times New Roman"/>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515387F3" w14:textId="77777777" w:rsidR="00C02AAE" w:rsidRPr="00831A56" w:rsidRDefault="00C02AAE" w:rsidP="00C02AAE">
      <w:pPr>
        <w:pStyle w:val="Sinespaciado"/>
        <w:spacing w:after="240" w:line="276" w:lineRule="auto"/>
        <w:ind w:left="709" w:hanging="709"/>
        <w:jc w:val="both"/>
        <w:rPr>
          <w:rFonts w:ascii="Times New Roman" w:hAnsi="Times New Roman"/>
          <w:bCs/>
          <w:sz w:val="24"/>
          <w:szCs w:val="24"/>
        </w:rPr>
      </w:pPr>
      <w:r w:rsidRPr="00831A56">
        <w:rPr>
          <w:rFonts w:ascii="Times New Roman" w:hAnsi="Times New Roman"/>
          <w:b/>
          <w:bCs/>
          <w:sz w:val="24"/>
          <w:szCs w:val="24"/>
        </w:rPr>
        <w:t>Que,</w:t>
      </w:r>
      <w:r w:rsidRPr="00831A56">
        <w:rPr>
          <w:rFonts w:ascii="Times New Roman" w:hAnsi="Times New Roman"/>
          <w:b/>
          <w:bCs/>
          <w:sz w:val="24"/>
          <w:szCs w:val="24"/>
        </w:rPr>
        <w:tab/>
      </w:r>
      <w:r w:rsidRPr="00831A56">
        <w:rPr>
          <w:rFonts w:ascii="Times New Roman" w:hAnsi="Times New Roman"/>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0C935544" w14:textId="77777777" w:rsidR="00C02AAE" w:rsidRPr="00831A56" w:rsidRDefault="00C02AAE" w:rsidP="00C02AAE">
      <w:pPr>
        <w:pStyle w:val="Sinespaciado"/>
        <w:spacing w:after="240" w:line="276" w:lineRule="auto"/>
        <w:ind w:left="709" w:hanging="709"/>
        <w:jc w:val="both"/>
        <w:rPr>
          <w:rFonts w:ascii="Times New Roman" w:hAnsi="Times New Roman"/>
          <w:sz w:val="24"/>
          <w:szCs w:val="24"/>
        </w:rPr>
      </w:pPr>
      <w:r w:rsidRPr="00831A56">
        <w:rPr>
          <w:rFonts w:ascii="Times New Roman" w:hAnsi="Times New Roman"/>
          <w:b/>
          <w:bCs/>
          <w:sz w:val="24"/>
          <w:szCs w:val="24"/>
        </w:rPr>
        <w:t>Que,</w:t>
      </w:r>
      <w:r w:rsidRPr="00831A56">
        <w:rPr>
          <w:rFonts w:ascii="Times New Roman" w:hAnsi="Times New Roman"/>
          <w:b/>
          <w:bCs/>
          <w:sz w:val="24"/>
          <w:szCs w:val="24"/>
        </w:rPr>
        <w:tab/>
      </w:r>
      <w:r w:rsidRPr="00831A56">
        <w:rPr>
          <w:rFonts w:ascii="Times New Roman" w:hAnsi="Times New Roman"/>
          <w:sz w:val="24"/>
          <w:szCs w:val="24"/>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0B3AB8F8" w14:textId="77777777" w:rsidR="00C02AAE" w:rsidRPr="006B1979" w:rsidRDefault="00C02AAE" w:rsidP="00C02AAE">
      <w:pPr>
        <w:spacing w:after="240" w:line="276" w:lineRule="auto"/>
        <w:ind w:left="705" w:hanging="705"/>
        <w:jc w:val="both"/>
        <w:rPr>
          <w:sz w:val="24"/>
          <w:szCs w:val="24"/>
        </w:rPr>
      </w:pPr>
      <w:commentRangeStart w:id="0"/>
      <w:r w:rsidRPr="006B1979">
        <w:rPr>
          <w:b/>
          <w:sz w:val="24"/>
          <w:szCs w:val="24"/>
        </w:rPr>
        <w:t>Que,</w:t>
      </w:r>
      <w:r w:rsidRPr="006B1979">
        <w:rPr>
          <w:sz w:val="24"/>
          <w:szCs w:val="24"/>
        </w:rPr>
        <w:t xml:space="preserve"> </w:t>
      </w:r>
      <w:r w:rsidRPr="006B1979">
        <w:rPr>
          <w:sz w:val="24"/>
          <w:szCs w:val="24"/>
        </w:rPr>
        <w:tab/>
        <w:t xml:space="preserve">la Ordenanza Metropolitana PMDOT-PUGS No. 001 – 2021, sancionada el 13 de septiembre de 2021, en su Disposición Final dispone: </w:t>
      </w:r>
      <w:r w:rsidRPr="006B1979">
        <w:rPr>
          <w:i/>
          <w:sz w:val="24"/>
          <w:szCs w:val="24"/>
        </w:rPr>
        <w:t xml:space="preserve">“(…) La presente Ordenanza entrará en vigencia al momento de ser aprobada e implementada la Ordenanza Metropolitana que sustituya el Título I “Del Régimen Administrativo”, Libro IV.1 “Del Uso del Suelo”, libro IV “Eje Territorial”, de la Ordenanza Metropolitana No. </w:t>
      </w:r>
      <w:r w:rsidRPr="006B1979">
        <w:rPr>
          <w:i/>
          <w:sz w:val="24"/>
          <w:szCs w:val="24"/>
        </w:rPr>
        <w:lastRenderedPageBreak/>
        <w:t>001, que contiene el Código Municipal para el Distrito Metropolitano de Quito. Durante el transcurso del tiempo establecido en este párrafo, la normativa de ordenamiento territorial, uso y ocupación de suelo que regía en el Distrito Metropolitano de Quito antes de la aprobación de la presente Ordenanza, se mantendrá vigente”</w:t>
      </w:r>
      <w:r w:rsidRPr="006B1979">
        <w:rPr>
          <w:sz w:val="24"/>
          <w:szCs w:val="24"/>
        </w:rPr>
        <w:t>;</w:t>
      </w:r>
      <w:commentRangeEnd w:id="0"/>
      <w:r>
        <w:rPr>
          <w:rStyle w:val="Refdecomentario"/>
        </w:rPr>
        <w:commentReference w:id="0"/>
      </w:r>
    </w:p>
    <w:p w14:paraId="66D6BC76" w14:textId="77777777" w:rsidR="00C02AAE" w:rsidRDefault="00C02AAE" w:rsidP="00C02AAE">
      <w:pPr>
        <w:spacing w:after="240" w:line="276" w:lineRule="auto"/>
        <w:ind w:left="705" w:hanging="705"/>
        <w:jc w:val="both"/>
        <w:rPr>
          <w:sz w:val="24"/>
          <w:szCs w:val="24"/>
        </w:rPr>
      </w:pPr>
      <w:r w:rsidRPr="00831A56">
        <w:rPr>
          <w:b/>
          <w:sz w:val="24"/>
          <w:szCs w:val="24"/>
        </w:rPr>
        <w:t>Que,</w:t>
      </w:r>
      <w:r w:rsidRPr="00831A56">
        <w:rPr>
          <w:sz w:val="24"/>
          <w:szCs w:val="24"/>
        </w:rPr>
        <w:t xml:space="preserve"> </w:t>
      </w:r>
      <w:r w:rsidRPr="00831A56">
        <w:rPr>
          <w:sz w:val="24"/>
          <w:szCs w:val="24"/>
        </w:rPr>
        <w:tab/>
        <w:t>por medio de la Resolución número C128-2021 de 28 de diciembre de 2021, se aprobó el plan general de regulación de asentamientos humanos de hecho y consolidados, identificados por parte de la  Secretaría  de Territorio, Hábitat y Vivienda, en coordinación con la Unidad Especial “Regula tu Barrio” y sujetos a ser tratados en el proceso especial de regularización integral, determinado en el Título II “De la Declaración de  Interés Social a  Asentamientos  Humanos  de  Hecho  y  Consolidados  y  Establecer  su  Proceso Integral  de  Regularización” del   Libro   IV.7   del   Código   Municipal   para   el   Distrito Metropolitano de Quito y la planificación de la ciudad;</w:t>
      </w:r>
    </w:p>
    <w:p w14:paraId="5708E7D0" w14:textId="77777777" w:rsidR="00C02AAE" w:rsidRPr="00831A56" w:rsidRDefault="00C02AAE" w:rsidP="00C02AAE">
      <w:pPr>
        <w:spacing w:after="240" w:line="276" w:lineRule="auto"/>
        <w:ind w:left="705" w:hanging="705"/>
        <w:jc w:val="both"/>
        <w:rPr>
          <w:sz w:val="24"/>
          <w:szCs w:val="24"/>
        </w:rPr>
      </w:pPr>
      <w:commentRangeStart w:id="1"/>
      <w:r w:rsidRPr="00831A56">
        <w:rPr>
          <w:b/>
          <w:sz w:val="24"/>
          <w:szCs w:val="24"/>
        </w:rPr>
        <w:t>Que,</w:t>
      </w:r>
      <w:r w:rsidRPr="00831A56">
        <w:rPr>
          <w:b/>
          <w:sz w:val="24"/>
          <w:szCs w:val="24"/>
        </w:rPr>
        <w:tab/>
      </w:r>
      <w:r w:rsidRPr="00831A56">
        <w:rPr>
          <w:sz w:val="24"/>
          <w:szCs w:val="24"/>
        </w:rPr>
        <w:t xml:space="preserve">la Ordenanza Metropolitana No. 044 – 2022, sancionada el 02 de noviembre de 2022, en su Disposición Cuarta ordena: </w:t>
      </w:r>
      <w:r w:rsidRPr="00831A56">
        <w:rPr>
          <w:i/>
          <w:sz w:val="24"/>
          <w:szCs w:val="24"/>
        </w:rPr>
        <w:t>“(…) Los procesos de regularización de asentamientos humanos de hecho y consolidados ingresados previo la vigencia del Plan de Uso y Gestión del Suelo, seguirán los procedimientos establecidos para su aprobación, en el momento que hayan cumplido los requisitos para ser admitidos a trámite.”</w:t>
      </w:r>
      <w:r w:rsidRPr="00831A56">
        <w:rPr>
          <w:sz w:val="24"/>
          <w:szCs w:val="24"/>
        </w:rPr>
        <w:t>;</w:t>
      </w:r>
      <w:commentRangeEnd w:id="1"/>
      <w:r>
        <w:rPr>
          <w:rStyle w:val="Refdecomentario"/>
        </w:rPr>
        <w:commentReference w:id="1"/>
      </w:r>
    </w:p>
    <w:p w14:paraId="0BB1F473" w14:textId="77777777" w:rsidR="00C02AAE" w:rsidRPr="0093536B" w:rsidRDefault="00C02AAE" w:rsidP="00C02AAE">
      <w:pPr>
        <w:pStyle w:val="Textoindependienteprimerasangra2"/>
        <w:ind w:left="709" w:hanging="709"/>
        <w:jc w:val="both"/>
        <w:rPr>
          <w:bCs/>
          <w:sz w:val="24"/>
          <w:szCs w:val="24"/>
        </w:rPr>
      </w:pPr>
      <w:r w:rsidRPr="0093536B">
        <w:rPr>
          <w:b/>
          <w:bCs/>
          <w:sz w:val="24"/>
          <w:szCs w:val="24"/>
        </w:rPr>
        <w:t>Que,</w:t>
      </w:r>
      <w:r w:rsidRPr="0093536B">
        <w:rPr>
          <w:b/>
          <w:bCs/>
          <w:sz w:val="24"/>
          <w:szCs w:val="24"/>
        </w:rPr>
        <w:tab/>
      </w:r>
      <w:r w:rsidRPr="0093536B">
        <w:rPr>
          <w:bCs/>
          <w:sz w:val="24"/>
          <w:szCs w:val="24"/>
        </w:rPr>
        <w:t>el artículo 3716, del Código Municipal para el Distrito Metropolitano de Quito, en su último párrafo, establece que, con la declaratoria de interés social del asentamiento humano de hecho y consolidado dará lugar a la exoneración referentes a la contribución de áreas verdes;</w:t>
      </w:r>
    </w:p>
    <w:p w14:paraId="44FBAA1B" w14:textId="77777777" w:rsidR="00C02AAE" w:rsidRPr="0093536B" w:rsidRDefault="00C02AAE" w:rsidP="00C02AAE">
      <w:pPr>
        <w:pStyle w:val="Textoindependienteprimerasangra2"/>
        <w:ind w:left="709" w:hanging="709"/>
        <w:jc w:val="both"/>
        <w:rPr>
          <w:bCs/>
          <w:sz w:val="24"/>
          <w:szCs w:val="24"/>
        </w:rPr>
      </w:pPr>
    </w:p>
    <w:p w14:paraId="05B9AED8" w14:textId="77777777" w:rsidR="00C02AAE" w:rsidRPr="0093536B" w:rsidRDefault="00C02AAE" w:rsidP="00C02AAE">
      <w:pPr>
        <w:spacing w:line="276" w:lineRule="auto"/>
        <w:ind w:left="705" w:hanging="705"/>
        <w:jc w:val="both"/>
        <w:rPr>
          <w:bCs/>
          <w:i/>
          <w:sz w:val="24"/>
          <w:szCs w:val="24"/>
        </w:rPr>
      </w:pPr>
      <w:r w:rsidRPr="0093536B">
        <w:rPr>
          <w:b/>
          <w:bCs/>
          <w:sz w:val="24"/>
          <w:szCs w:val="24"/>
        </w:rPr>
        <w:t>Que,</w:t>
      </w:r>
      <w:r w:rsidRPr="0093536B">
        <w:rPr>
          <w:b/>
          <w:bCs/>
          <w:sz w:val="24"/>
          <w:szCs w:val="24"/>
        </w:rPr>
        <w:tab/>
      </w:r>
      <w:r w:rsidRPr="0093536B">
        <w:rPr>
          <w:bCs/>
          <w:sz w:val="24"/>
          <w:szCs w:val="24"/>
        </w:rPr>
        <w:t>el artículo 3728 del Código Municipal para el Distrito Metropolitano de Quito, señala: “</w:t>
      </w:r>
      <w:r w:rsidRPr="0093536B">
        <w:rPr>
          <w:bCs/>
          <w:i/>
          <w:sz w:val="24"/>
          <w:szCs w:val="24"/>
        </w:rPr>
        <w:t xml:space="preserve">Ordenamiento </w:t>
      </w:r>
      <w:proofErr w:type="gramStart"/>
      <w:r w:rsidRPr="0093536B">
        <w:rPr>
          <w:bCs/>
          <w:i/>
          <w:sz w:val="24"/>
          <w:szCs w:val="24"/>
        </w:rPr>
        <w:t>territorial.-</w:t>
      </w:r>
      <w:proofErr w:type="gramEnd"/>
      <w:r w:rsidRPr="0093536B">
        <w:rPr>
          <w:bCs/>
          <w:i/>
          <w:sz w:val="24"/>
          <w:szCs w:val="24"/>
        </w:rPr>
        <w:t xml:space="preserve">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3F755090" w14:textId="77777777" w:rsidR="00C02AAE" w:rsidRPr="00831A56" w:rsidRDefault="00C02AAE" w:rsidP="00C02AAE">
      <w:pPr>
        <w:spacing w:line="276" w:lineRule="auto"/>
        <w:ind w:left="705" w:hanging="705"/>
        <w:jc w:val="both"/>
        <w:rPr>
          <w:bCs/>
          <w:i/>
          <w:color w:val="FF0000"/>
          <w:sz w:val="24"/>
          <w:szCs w:val="24"/>
        </w:rPr>
      </w:pPr>
    </w:p>
    <w:p w14:paraId="12A071B7" w14:textId="77777777" w:rsidR="00C02AAE" w:rsidRPr="0093536B" w:rsidRDefault="00C02AAE" w:rsidP="00C02AAE">
      <w:pPr>
        <w:spacing w:after="240" w:line="276" w:lineRule="auto"/>
        <w:ind w:left="705" w:hanging="705"/>
        <w:jc w:val="both"/>
        <w:rPr>
          <w:bCs/>
          <w:sz w:val="24"/>
          <w:szCs w:val="24"/>
        </w:rPr>
      </w:pPr>
      <w:r w:rsidRPr="0093536B">
        <w:rPr>
          <w:b/>
          <w:bCs/>
          <w:sz w:val="24"/>
          <w:szCs w:val="24"/>
        </w:rPr>
        <w:t>Que,</w:t>
      </w:r>
      <w:r w:rsidRPr="0093536B">
        <w:rPr>
          <w:b/>
          <w:bCs/>
          <w:sz w:val="24"/>
          <w:szCs w:val="24"/>
        </w:rPr>
        <w:tab/>
      </w:r>
      <w:r w:rsidRPr="0093536B">
        <w:rPr>
          <w:bCs/>
          <w:sz w:val="24"/>
          <w:szCs w:val="24"/>
        </w:rPr>
        <w:t xml:space="preserve">el artículo 3730 del Código Municipal para el Distrito Metropolitano de Quito, en su parte pertinente de la excepción de las áreas verdes dispone: </w:t>
      </w:r>
      <w:r w:rsidRPr="0093536B">
        <w:rPr>
          <w:bCs/>
          <w:i/>
          <w:sz w:val="24"/>
          <w:szCs w:val="24"/>
        </w:rPr>
        <w:t>“(…) El faltante de áreas verdes será compensado pecuniariamente con excepción de los asentamientos declarados de interés social (...)”</w:t>
      </w:r>
      <w:r w:rsidRPr="0093536B">
        <w:rPr>
          <w:bCs/>
          <w:sz w:val="24"/>
          <w:szCs w:val="24"/>
        </w:rPr>
        <w:t>;</w:t>
      </w:r>
    </w:p>
    <w:p w14:paraId="3037454F" w14:textId="77777777" w:rsidR="00C02AAE" w:rsidRPr="00831A56" w:rsidRDefault="00C02AAE" w:rsidP="00C02AAE">
      <w:pPr>
        <w:pStyle w:val="Sinespaciado"/>
        <w:spacing w:after="240" w:line="276" w:lineRule="auto"/>
        <w:ind w:left="709" w:hanging="709"/>
        <w:jc w:val="both"/>
        <w:rPr>
          <w:rFonts w:ascii="Times New Roman" w:hAnsi="Times New Roman"/>
          <w:bCs/>
          <w:sz w:val="24"/>
          <w:szCs w:val="24"/>
        </w:rPr>
      </w:pPr>
      <w:r w:rsidRPr="00831A56">
        <w:rPr>
          <w:rFonts w:ascii="Times New Roman" w:hAnsi="Times New Roman"/>
          <w:b/>
          <w:bCs/>
          <w:sz w:val="24"/>
          <w:szCs w:val="24"/>
        </w:rPr>
        <w:t xml:space="preserve">Que, </w:t>
      </w:r>
      <w:r w:rsidRPr="00831A56">
        <w:rPr>
          <w:rFonts w:ascii="Times New Roman" w:hAnsi="Times New Roman"/>
          <w:b/>
          <w:bCs/>
          <w:sz w:val="24"/>
          <w:szCs w:val="24"/>
        </w:rPr>
        <w:tab/>
      </w:r>
      <w:r w:rsidRPr="00831A56">
        <w:rPr>
          <w:rFonts w:ascii="Times New Roman" w:eastAsia="Times New Roman" w:hAnsi="Times New Roman"/>
          <w:bCs/>
          <w:sz w:val="24"/>
          <w:szCs w:val="24"/>
          <w:lang w:val="es-ES" w:eastAsia="es-ES"/>
        </w:rPr>
        <w:t xml:space="preserve">el Código Municipal para el Distrito Metropolitano de Quito, </w:t>
      </w:r>
      <w:r w:rsidRPr="00831A56">
        <w:rPr>
          <w:rFonts w:ascii="Times New Roman" w:hAnsi="Times New Roman"/>
          <w:bCs/>
          <w:sz w:val="24"/>
          <w:szCs w:val="24"/>
        </w:rPr>
        <w:t xml:space="preserve">determina en su disposición derogatoria lo siguiente: </w:t>
      </w:r>
      <w:r w:rsidRPr="00831A56">
        <w:rPr>
          <w:rFonts w:ascii="Times New Roman" w:hAnsi="Times New Roman"/>
          <w:bCs/>
          <w:i/>
          <w:sz w:val="24"/>
          <w:szCs w:val="24"/>
        </w:rPr>
        <w:t xml:space="preserve">“(…) Deróguense todas las Ordenanzas que se detallan en el cuadro adjunto (Anexo Derogatorias), con excepción de sus </w:t>
      </w:r>
      <w:r w:rsidRPr="00831A56">
        <w:rPr>
          <w:rFonts w:ascii="Times New Roman" w:hAnsi="Times New Roman"/>
          <w:bCs/>
          <w:i/>
          <w:sz w:val="24"/>
          <w:szCs w:val="24"/>
        </w:rPr>
        <w:lastRenderedPageBreak/>
        <w:t>disposiciones de carácter transitorio hasta la verificación del efectivo cumplimiento de las mismas;(…)</w:t>
      </w:r>
      <w:r w:rsidRPr="00831A56">
        <w:rPr>
          <w:rFonts w:ascii="Times New Roman" w:hAnsi="Times New Roman"/>
          <w:bCs/>
          <w:sz w:val="24"/>
          <w:szCs w:val="24"/>
        </w:rPr>
        <w:t xml:space="preserve">”; </w:t>
      </w:r>
    </w:p>
    <w:p w14:paraId="536ABAA5" w14:textId="77777777" w:rsidR="00C02AAE" w:rsidRPr="00831A56" w:rsidRDefault="00C02AAE" w:rsidP="00C02AAE">
      <w:pPr>
        <w:pStyle w:val="Sinespaciado"/>
        <w:spacing w:after="240" w:line="276" w:lineRule="auto"/>
        <w:ind w:left="709" w:hanging="709"/>
        <w:jc w:val="both"/>
        <w:rPr>
          <w:rFonts w:ascii="Times New Roman" w:hAnsi="Times New Roman"/>
          <w:bCs/>
          <w:sz w:val="24"/>
          <w:szCs w:val="24"/>
        </w:rPr>
      </w:pPr>
      <w:bookmarkStart w:id="2" w:name="_Hlk80219000"/>
      <w:r w:rsidRPr="00831A56">
        <w:rPr>
          <w:rFonts w:ascii="Times New Roman" w:hAnsi="Times New Roman"/>
          <w:b/>
          <w:bCs/>
          <w:sz w:val="24"/>
          <w:szCs w:val="24"/>
        </w:rPr>
        <w:t>Que,</w:t>
      </w:r>
      <w:r w:rsidRPr="00831A56">
        <w:rPr>
          <w:rFonts w:ascii="Times New Roman" w:hAnsi="Times New Roman"/>
          <w:bCs/>
          <w:sz w:val="24"/>
          <w:szCs w:val="24"/>
        </w:rPr>
        <w:tab/>
      </w:r>
      <w:r w:rsidRPr="00831A56">
        <w:rPr>
          <w:rFonts w:ascii="Times New Roman" w:eastAsia="Times New Roman" w:hAnsi="Times New Roman"/>
          <w:bCs/>
          <w:sz w:val="24"/>
          <w:szCs w:val="24"/>
          <w:lang w:val="es-ES" w:eastAsia="es-ES"/>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r w:rsidRPr="00831A56">
        <w:rPr>
          <w:rFonts w:ascii="Times New Roman" w:hAnsi="Times New Roman"/>
          <w:bCs/>
          <w:sz w:val="24"/>
          <w:szCs w:val="24"/>
        </w:rPr>
        <w:t xml:space="preserve">  </w:t>
      </w:r>
    </w:p>
    <w:p w14:paraId="408728B4" w14:textId="77777777" w:rsidR="00C02AAE" w:rsidRPr="006B1979" w:rsidRDefault="00C02AAE" w:rsidP="00C02AAE">
      <w:pPr>
        <w:pStyle w:val="Sinespaciado"/>
        <w:spacing w:after="240" w:line="276" w:lineRule="auto"/>
        <w:ind w:left="709" w:hanging="709"/>
        <w:jc w:val="both"/>
        <w:rPr>
          <w:rFonts w:ascii="Times New Roman" w:hAnsi="Times New Roman"/>
          <w:sz w:val="24"/>
          <w:szCs w:val="24"/>
        </w:rPr>
      </w:pPr>
      <w:commentRangeStart w:id="3"/>
      <w:r w:rsidRPr="006B1979">
        <w:rPr>
          <w:rFonts w:ascii="Times New Roman" w:hAnsi="Times New Roman"/>
          <w:b/>
          <w:sz w:val="24"/>
          <w:szCs w:val="24"/>
        </w:rPr>
        <w:t>Que,</w:t>
      </w:r>
      <w:r w:rsidRPr="006B1979">
        <w:rPr>
          <w:rFonts w:ascii="Times New Roman" w:hAnsi="Times New Roman"/>
          <w:sz w:val="24"/>
          <w:szCs w:val="24"/>
        </w:rPr>
        <w:tab/>
        <w:t>en la Mesa Institucional de 31 de mayo del 2022, se aprobó el Informe Socio Organizativo Legal y Técnico No.  001-UERB-AZLD-SOLT-2022, de 31 de mayo de 2021, habilitante de la Ordenanza de Reconocimiento del asentamiento humano de hecho y consolidado de interés social, denominado: Barrio “José Gabriel Alarcón”, a favor de sus copropietarios.</w:t>
      </w:r>
      <w:commentRangeEnd w:id="3"/>
      <w:r>
        <w:rPr>
          <w:rStyle w:val="Refdecomentario"/>
          <w:rFonts w:ascii="Times New Roman" w:eastAsia="Times New Roman" w:hAnsi="Times New Roman"/>
          <w:lang w:val="es-ES" w:eastAsia="es-ES"/>
        </w:rPr>
        <w:commentReference w:id="3"/>
      </w:r>
    </w:p>
    <w:p w14:paraId="1C315649" w14:textId="77777777" w:rsidR="00C02AAE" w:rsidRPr="00831A56" w:rsidRDefault="00C02AAE" w:rsidP="00C02AAE">
      <w:pPr>
        <w:spacing w:after="240" w:line="276" w:lineRule="auto"/>
        <w:ind w:left="705" w:hanging="705"/>
        <w:jc w:val="both"/>
        <w:rPr>
          <w:bCs/>
          <w:color w:val="000000"/>
          <w:sz w:val="24"/>
          <w:szCs w:val="24"/>
        </w:rPr>
      </w:pPr>
      <w:r w:rsidRPr="00831A56">
        <w:rPr>
          <w:b/>
          <w:bCs/>
          <w:color w:val="000000"/>
          <w:sz w:val="24"/>
          <w:szCs w:val="24"/>
        </w:rPr>
        <w:t xml:space="preserve">Que, </w:t>
      </w:r>
      <w:r w:rsidRPr="00831A56">
        <w:rPr>
          <w:b/>
          <w:bCs/>
          <w:color w:val="000000"/>
          <w:sz w:val="24"/>
          <w:szCs w:val="24"/>
        </w:rPr>
        <w:tab/>
      </w:r>
      <w:r w:rsidRPr="00831A56">
        <w:rPr>
          <w:bCs/>
          <w:color w:val="000000"/>
          <w:sz w:val="24"/>
          <w:szCs w:val="24"/>
        </w:rPr>
        <w:t>mediante</w:t>
      </w:r>
      <w:r w:rsidRPr="00831A56">
        <w:rPr>
          <w:b/>
          <w:bCs/>
          <w:color w:val="000000"/>
          <w:sz w:val="24"/>
          <w:szCs w:val="24"/>
        </w:rPr>
        <w:t xml:space="preserve"> </w:t>
      </w:r>
      <w:r w:rsidRPr="00831A56">
        <w:rPr>
          <w:bCs/>
          <w:color w:val="000000"/>
          <w:sz w:val="24"/>
          <w:szCs w:val="24"/>
        </w:rPr>
        <w:t xml:space="preserve">Oficio Nro. GADDMQ-AZEE-2022-0209-O de 19 de enero de 2022, suscrito por la Ing. Gina Gabriela </w:t>
      </w:r>
      <w:proofErr w:type="spellStart"/>
      <w:r w:rsidRPr="00831A56">
        <w:rPr>
          <w:bCs/>
          <w:color w:val="000000"/>
          <w:sz w:val="24"/>
          <w:szCs w:val="24"/>
        </w:rPr>
        <w:t>Yanguez</w:t>
      </w:r>
      <w:proofErr w:type="spellEnd"/>
      <w:r w:rsidRPr="00831A56">
        <w:rPr>
          <w:bCs/>
          <w:color w:val="000000"/>
          <w:sz w:val="24"/>
          <w:szCs w:val="24"/>
        </w:rPr>
        <w:t xml:space="preserve"> Paredes, Administradora Zonal Eugenio Espejo, remite el Informe técnico No. AZEE-DGT-UTYV-RV-2022-001, de 17 de enero de 2022, correspondiente al trazado vial, para el Barrio “José Gabriel Alarcón”;</w:t>
      </w:r>
    </w:p>
    <w:bookmarkEnd w:id="2"/>
    <w:p w14:paraId="2BC800A4" w14:textId="77777777" w:rsidR="00C02AAE" w:rsidRPr="00831A56" w:rsidRDefault="00C02AAE" w:rsidP="00C02AAE">
      <w:pPr>
        <w:pStyle w:val="NormalWeb"/>
        <w:shd w:val="clear" w:color="auto" w:fill="FFFFFF"/>
        <w:spacing w:after="240" w:afterAutospacing="0" w:line="276" w:lineRule="auto"/>
        <w:ind w:left="700" w:hanging="700"/>
        <w:jc w:val="both"/>
      </w:pPr>
      <w:r w:rsidRPr="00831A56">
        <w:rPr>
          <w:b/>
        </w:rPr>
        <w:t>Que,</w:t>
      </w:r>
      <w:r w:rsidRPr="00831A56">
        <w:rPr>
          <w:b/>
        </w:rPr>
        <w:tab/>
      </w:r>
      <w:r w:rsidRPr="00831A56">
        <w:t>mediante Oficio Nro. 0080-EPMMOP-GP-2022-OF de 24 de enero de 2022, suscrito por el Arq. Hidalgo Aurelio Núñez Lucio, Gerente de Planificación la Empresa Pública Metropolitana de Movilidad y Obras Públicas, remite el plano en archivo digital que corresponde a la designación de nomenclatura vial del asentamiento humano de hecho y consolidado de interés social denominado: Barrio “José Gabriel Alarcón”.</w:t>
      </w:r>
    </w:p>
    <w:p w14:paraId="32CD706A" w14:textId="77777777" w:rsidR="00C02AAE" w:rsidRPr="00831A56" w:rsidRDefault="00C02AAE" w:rsidP="00C02AAE">
      <w:pPr>
        <w:spacing w:after="240" w:line="276" w:lineRule="auto"/>
        <w:ind w:left="705" w:hanging="705"/>
        <w:jc w:val="both"/>
        <w:rPr>
          <w:bCs/>
          <w:color w:val="000000"/>
          <w:sz w:val="24"/>
          <w:szCs w:val="24"/>
        </w:rPr>
      </w:pPr>
      <w:r w:rsidRPr="00831A56">
        <w:rPr>
          <w:b/>
          <w:bCs/>
          <w:color w:val="000000"/>
          <w:sz w:val="24"/>
          <w:szCs w:val="24"/>
        </w:rPr>
        <w:t>Que,</w:t>
      </w:r>
      <w:r w:rsidRPr="00831A56">
        <w:rPr>
          <w:bCs/>
          <w:color w:val="000000"/>
          <w:sz w:val="24"/>
          <w:szCs w:val="24"/>
        </w:rPr>
        <w:tab/>
        <w:t>mediante memorando Nro. GADDMQ-STHYV-DMC-UGC-2022-0786-M de 15 de mayo de 2022, suscrito por la Ing. Gabriela Patricia Melo Castillo, Jefa de la Unidad de Gestión Catastral de la Secretaría de Territorio, Hábitat y Vivienda, remite el Informe Técnico Favorable No. STHV-DMC-UGC-2022-1436, de 05 de mayo de 2022,</w:t>
      </w:r>
      <w:r w:rsidRPr="00831A56">
        <w:rPr>
          <w:sz w:val="24"/>
          <w:szCs w:val="24"/>
        </w:rPr>
        <w:t xml:space="preserve"> “(…) </w:t>
      </w:r>
      <w:r w:rsidRPr="00831A56">
        <w:rPr>
          <w:i/>
          <w:sz w:val="24"/>
          <w:szCs w:val="24"/>
        </w:rPr>
        <w:t>el cual contiene el trámite de Regularización de Excedentes y Diferencias de Áreas de terreno del predio No. 1480 y cédula catastral por estar dentro de la ETAM.”.</w:t>
      </w:r>
      <w:r w:rsidRPr="00831A56">
        <w:rPr>
          <w:bCs/>
          <w:sz w:val="24"/>
          <w:szCs w:val="24"/>
          <w:lang w:val="es-MX"/>
        </w:rPr>
        <w:t>;</w:t>
      </w:r>
    </w:p>
    <w:p w14:paraId="0E5E6E60" w14:textId="77777777" w:rsidR="00C02AAE" w:rsidRPr="00831A56" w:rsidRDefault="00C02AAE" w:rsidP="00C02AAE">
      <w:pPr>
        <w:spacing w:after="240" w:line="276" w:lineRule="auto"/>
        <w:ind w:left="705" w:hanging="705"/>
        <w:jc w:val="both"/>
        <w:rPr>
          <w:bCs/>
          <w:sz w:val="24"/>
          <w:szCs w:val="24"/>
        </w:rPr>
      </w:pPr>
      <w:r w:rsidRPr="00831A56">
        <w:rPr>
          <w:b/>
          <w:bCs/>
          <w:color w:val="000000"/>
          <w:sz w:val="24"/>
          <w:szCs w:val="24"/>
        </w:rPr>
        <w:t>Que,</w:t>
      </w:r>
      <w:r w:rsidRPr="00831A56">
        <w:rPr>
          <w:bCs/>
          <w:color w:val="000000"/>
          <w:sz w:val="24"/>
          <w:szCs w:val="24"/>
        </w:rPr>
        <w:tab/>
        <w:t xml:space="preserve">mediante Oficio Nro. GADDMQ-SGSG-DMGR-2022-0664-OF de 29 de mayo de 2022, suscrito por el </w:t>
      </w:r>
      <w:proofErr w:type="spellStart"/>
      <w:r w:rsidRPr="00831A56">
        <w:rPr>
          <w:bCs/>
          <w:color w:val="000000"/>
          <w:sz w:val="24"/>
          <w:szCs w:val="24"/>
        </w:rPr>
        <w:t>Mgs</w:t>
      </w:r>
      <w:proofErr w:type="spellEnd"/>
      <w:r w:rsidRPr="00831A56">
        <w:rPr>
          <w:bCs/>
          <w:color w:val="000000"/>
          <w:sz w:val="24"/>
          <w:szCs w:val="24"/>
        </w:rPr>
        <w:t xml:space="preserve">. Sixto Xavier Heras </w:t>
      </w:r>
      <w:proofErr w:type="spellStart"/>
      <w:r w:rsidRPr="00831A56">
        <w:rPr>
          <w:bCs/>
          <w:color w:val="000000"/>
          <w:sz w:val="24"/>
          <w:szCs w:val="24"/>
        </w:rPr>
        <w:t>Gárate</w:t>
      </w:r>
      <w:proofErr w:type="spellEnd"/>
      <w:r w:rsidRPr="00831A56">
        <w:rPr>
          <w:bCs/>
          <w:color w:val="000000"/>
          <w:sz w:val="24"/>
          <w:szCs w:val="24"/>
        </w:rPr>
        <w:t>, Director Metropolitano de la Secretaría General de Seguridad y Gobernabilidad, remite el informe técnico No. I-0008-EAH-AT-DMGR-2022, de 25 de mayo de 2022,</w:t>
      </w:r>
      <w:r w:rsidRPr="00831A56">
        <w:rPr>
          <w:sz w:val="24"/>
          <w:szCs w:val="24"/>
        </w:rPr>
        <w:t xml:space="preserve"> en el cual califica en el numeral 6.1 referente al nivel de riesgo </w:t>
      </w:r>
      <w:r w:rsidRPr="00831A56">
        <w:rPr>
          <w:bCs/>
          <w:sz w:val="24"/>
          <w:szCs w:val="24"/>
        </w:rPr>
        <w:t>para la regularización de tierras indicando que:</w:t>
      </w:r>
    </w:p>
    <w:p w14:paraId="57BD0083" w14:textId="77777777" w:rsidR="00C02AAE" w:rsidRPr="00831A56" w:rsidRDefault="00C02AAE" w:rsidP="00C02AAE">
      <w:pPr>
        <w:spacing w:after="240" w:line="276" w:lineRule="auto"/>
        <w:ind w:left="705" w:hanging="705"/>
        <w:jc w:val="both"/>
        <w:rPr>
          <w:i/>
          <w:sz w:val="24"/>
          <w:szCs w:val="24"/>
        </w:rPr>
      </w:pPr>
      <w:r w:rsidRPr="00831A56">
        <w:rPr>
          <w:bCs/>
          <w:color w:val="000000"/>
          <w:sz w:val="24"/>
          <w:szCs w:val="24"/>
        </w:rPr>
        <w:tab/>
      </w:r>
      <w:r w:rsidRPr="00831A56">
        <w:rPr>
          <w:bCs/>
          <w:sz w:val="24"/>
          <w:szCs w:val="24"/>
        </w:rPr>
        <w:t>“</w:t>
      </w:r>
      <w:r w:rsidRPr="00831A56">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08C97ECE" w14:textId="77777777" w:rsidR="00C02AAE" w:rsidRPr="00831A56" w:rsidRDefault="00C02AAE" w:rsidP="00C02AAE">
      <w:pPr>
        <w:spacing w:after="240" w:line="276" w:lineRule="auto"/>
        <w:ind w:left="705" w:hanging="705"/>
        <w:jc w:val="both"/>
        <w:rPr>
          <w:rFonts w:eastAsiaTheme="minorHAnsi"/>
          <w:color w:val="000000"/>
          <w:sz w:val="24"/>
          <w:szCs w:val="24"/>
          <w:lang w:val="es-EC" w:eastAsia="en-US"/>
        </w:rPr>
      </w:pPr>
      <w:r w:rsidRPr="00831A56">
        <w:rPr>
          <w:rFonts w:eastAsiaTheme="minorHAnsi"/>
          <w:b/>
          <w:bCs/>
          <w:color w:val="000000"/>
          <w:sz w:val="24"/>
          <w:szCs w:val="24"/>
          <w:lang w:val="es-EC" w:eastAsia="en-US"/>
        </w:rPr>
        <w:lastRenderedPageBreak/>
        <w:t xml:space="preserve">           </w:t>
      </w:r>
      <w:r w:rsidRPr="00831A56">
        <w:rPr>
          <w:rFonts w:eastAsiaTheme="minorHAnsi"/>
          <w:b/>
          <w:bCs/>
          <w:i/>
          <w:color w:val="000000"/>
          <w:sz w:val="24"/>
          <w:szCs w:val="24"/>
          <w:lang w:val="es-EC" w:eastAsia="en-US"/>
        </w:rPr>
        <w:t xml:space="preserve">Movimientos en masa: </w:t>
      </w:r>
      <w:r w:rsidRPr="00831A56">
        <w:rPr>
          <w:rFonts w:eastAsiaTheme="minorHAnsi"/>
          <w:i/>
          <w:color w:val="000000"/>
          <w:sz w:val="24"/>
          <w:szCs w:val="24"/>
          <w:lang w:val="es-EC" w:eastAsia="en-US"/>
        </w:rPr>
        <w:t xml:space="preserve">el AHHYC “José Gabriel Alarcón” presenta </w:t>
      </w:r>
      <w:r w:rsidRPr="00831A56">
        <w:rPr>
          <w:rFonts w:eastAsiaTheme="minorHAnsi"/>
          <w:b/>
          <w:i/>
          <w:color w:val="000000"/>
          <w:sz w:val="24"/>
          <w:szCs w:val="24"/>
          <w:lang w:val="es-EC" w:eastAsia="en-US"/>
        </w:rPr>
        <w:t xml:space="preserve">un </w:t>
      </w:r>
      <w:r w:rsidRPr="00831A56">
        <w:rPr>
          <w:rFonts w:eastAsiaTheme="minorHAnsi"/>
          <w:b/>
          <w:i/>
          <w:iCs/>
          <w:color w:val="000000"/>
          <w:sz w:val="24"/>
          <w:szCs w:val="24"/>
          <w:u w:val="single"/>
          <w:lang w:val="es-EC" w:eastAsia="en-US"/>
        </w:rPr>
        <w:t>Riesgo Bajo Mitigable</w:t>
      </w:r>
      <w:r w:rsidRPr="00831A56">
        <w:rPr>
          <w:rFonts w:eastAsiaTheme="minorHAnsi"/>
          <w:i/>
          <w:iCs/>
          <w:color w:val="000000"/>
          <w:sz w:val="24"/>
          <w:szCs w:val="24"/>
          <w:lang w:val="es-EC" w:eastAsia="en-US"/>
        </w:rPr>
        <w:t xml:space="preserve"> para todos los lotes </w:t>
      </w:r>
      <w:r w:rsidRPr="00831A56">
        <w:rPr>
          <w:rFonts w:eastAsiaTheme="minorHAnsi"/>
          <w:i/>
          <w:color w:val="000000"/>
          <w:sz w:val="24"/>
          <w:szCs w:val="24"/>
          <w:lang w:val="es-EC" w:eastAsia="en-US"/>
        </w:rPr>
        <w:t>(Mapa 10.5)</w:t>
      </w:r>
      <w:r w:rsidRPr="00831A56">
        <w:rPr>
          <w:rFonts w:eastAsiaTheme="minorHAnsi"/>
          <w:color w:val="000000"/>
          <w:sz w:val="24"/>
          <w:szCs w:val="24"/>
          <w:lang w:val="es-EC" w:eastAsia="en-US"/>
        </w:rPr>
        <w:t>”.</w:t>
      </w:r>
    </w:p>
    <w:p w14:paraId="351256D0" w14:textId="77777777" w:rsidR="00C02AAE" w:rsidRDefault="00C02AAE" w:rsidP="00C02AAE">
      <w:pPr>
        <w:ind w:left="705" w:hanging="705"/>
        <w:jc w:val="both"/>
        <w:rPr>
          <w:i/>
          <w:sz w:val="24"/>
          <w:szCs w:val="24"/>
        </w:rPr>
      </w:pPr>
      <w:commentRangeStart w:id="4"/>
      <w:r w:rsidRPr="00927180">
        <w:rPr>
          <w:b/>
          <w:sz w:val="24"/>
          <w:szCs w:val="24"/>
        </w:rPr>
        <w:t>Que,</w:t>
      </w:r>
      <w:r w:rsidRPr="00A7136F">
        <w:rPr>
          <w:sz w:val="24"/>
          <w:szCs w:val="24"/>
        </w:rPr>
        <w:tab/>
        <w:t>mediante Informe No. 001-UERB-AZEE-SOLT-2022, de 31 de mayo de 2022, suscrito por la abogada Lucía Jurado Orna, Coordinadora de la Unidad Especial “Regula tu Barrio”, La Delicia y Eugenio Espejo de ese entonces, se justifica la</w:t>
      </w:r>
      <w:r>
        <w:rPr>
          <w:sz w:val="24"/>
          <w:szCs w:val="24"/>
        </w:rPr>
        <w:t xml:space="preserve"> tenencia legal de la propiedad, además en s</w:t>
      </w:r>
      <w:r w:rsidRPr="00A7136F">
        <w:rPr>
          <w:sz w:val="24"/>
          <w:szCs w:val="24"/>
        </w:rPr>
        <w:t xml:space="preserve">u parte pertinente, el informe SOLT concluye que: </w:t>
      </w:r>
      <w:r w:rsidRPr="00A7136F">
        <w:rPr>
          <w:i/>
          <w:sz w:val="24"/>
          <w:szCs w:val="24"/>
        </w:rPr>
        <w:t xml:space="preserve">“De conformidad a lo establecido en el artículo 3681, manifiesta: “Declaratoria de Interés Social de los Asentamientos Humanos de Hecho y Consolidados”, el asentamiento humano de hecho y consolidado denominado “José Gabriel Alarcón”, del análisis socio organizativo se sugiere se lo considere de INTERÉS SOCIAL. </w:t>
      </w:r>
      <w:commentRangeEnd w:id="4"/>
      <w:r>
        <w:rPr>
          <w:rStyle w:val="Refdecomentario"/>
        </w:rPr>
        <w:commentReference w:id="4"/>
      </w:r>
    </w:p>
    <w:p w14:paraId="1B994953" w14:textId="77777777" w:rsidR="00C02AAE" w:rsidRDefault="00C02AAE" w:rsidP="00C02AAE">
      <w:pPr>
        <w:ind w:left="705" w:hanging="705"/>
        <w:jc w:val="both"/>
        <w:rPr>
          <w:i/>
          <w:sz w:val="24"/>
          <w:szCs w:val="24"/>
        </w:rPr>
      </w:pPr>
    </w:p>
    <w:p w14:paraId="629EADDF" w14:textId="77777777" w:rsidR="00C02AAE" w:rsidRPr="00416913" w:rsidRDefault="00C02AAE" w:rsidP="00C02AAE">
      <w:pPr>
        <w:ind w:left="705" w:hanging="705"/>
        <w:jc w:val="both"/>
        <w:rPr>
          <w:i/>
          <w:sz w:val="24"/>
          <w:szCs w:val="24"/>
        </w:rPr>
      </w:pPr>
      <w:commentRangeStart w:id="5"/>
      <w:r w:rsidRPr="00416913">
        <w:rPr>
          <w:b/>
          <w:sz w:val="24"/>
          <w:szCs w:val="24"/>
        </w:rPr>
        <w:t xml:space="preserve">Que, </w:t>
      </w:r>
      <w:r>
        <w:rPr>
          <w:b/>
          <w:sz w:val="24"/>
          <w:szCs w:val="24"/>
        </w:rPr>
        <w:tab/>
      </w:r>
      <w:r>
        <w:rPr>
          <w:sz w:val="24"/>
          <w:szCs w:val="24"/>
        </w:rPr>
        <w:t xml:space="preserve">mediante Informe Socio Organizativo Ampliatorio No. UERB-CLD-AZEE-ISO-2022-001-A, de 14 de septiembre de 2022, suscrito por la abogada Fernanda Durán García, Responsable Socio Organizativa de la Coordinación Desconcentrada de la </w:t>
      </w:r>
      <w:r w:rsidRPr="00A7136F">
        <w:rPr>
          <w:sz w:val="24"/>
          <w:szCs w:val="24"/>
        </w:rPr>
        <w:t>Unidad Especial “Regula tu Barrio”, La Delicia y Eugenio Espejo de ese entonces</w:t>
      </w:r>
      <w:r>
        <w:rPr>
          <w:sz w:val="24"/>
          <w:szCs w:val="24"/>
        </w:rPr>
        <w:t xml:space="preserve">, emitió un informe socio organizativo ampliatorio para el proceso de regularización del asentamiento humano de hecho y consolidado denominado “José Gabriel Alarcón”, y concluye: </w:t>
      </w:r>
      <w:r w:rsidRPr="00416913">
        <w:rPr>
          <w:i/>
          <w:sz w:val="24"/>
          <w:szCs w:val="24"/>
        </w:rPr>
        <w:t xml:space="preserve">“De conformidad a lo establecido en el artículo 3716 del Código Municipal para el Distrito Metropolitano de Quito, que dispone: “Declaratoria de Interés Social de los Asentamientos Humanos de Hecho y Consolidados”, al análisis de la información proporcionada por los moradores mediante la aplicación del instrumento encuesta socio económica, y de la información verificada en campo, se determinó que las personas moradoras del asentamiento, no </w:t>
      </w:r>
      <w:r w:rsidRPr="00937862">
        <w:rPr>
          <w:i/>
          <w:sz w:val="24"/>
          <w:szCs w:val="24"/>
        </w:rPr>
        <w:t>cubren las necesidades básicas, esto sumado a que en su mayoría el asentamiento está conformado por personas de la tercera edad, constituyéndose en un grupo vulnerable, y la falta de recursos económicos en los que vive la población, afectando a su calidad de vida. Bajo estas consideraciones, se sugiere que se considere al asentamiento</w:t>
      </w:r>
      <w:r w:rsidRPr="00A7136F">
        <w:rPr>
          <w:i/>
          <w:sz w:val="24"/>
          <w:szCs w:val="24"/>
        </w:rPr>
        <w:t xml:space="preserve"> humano de hecho y consolidado denominado “José Gabriel Alarcón”</w:t>
      </w:r>
      <w:r>
        <w:rPr>
          <w:i/>
          <w:sz w:val="24"/>
          <w:szCs w:val="24"/>
        </w:rPr>
        <w:t xml:space="preserve">, como un asentamiento de INTERÉS SOCIAL.”.  </w:t>
      </w:r>
    </w:p>
    <w:p w14:paraId="7C81311B" w14:textId="77777777" w:rsidR="00C02AAE" w:rsidRDefault="00C02AAE" w:rsidP="00C02AAE">
      <w:pPr>
        <w:ind w:left="700" w:hanging="700"/>
        <w:jc w:val="both"/>
        <w:rPr>
          <w:b/>
          <w:color w:val="FF0000"/>
          <w:sz w:val="24"/>
          <w:szCs w:val="24"/>
          <w:lang w:val="es-EC" w:eastAsia="es-ES_tradnl"/>
        </w:rPr>
      </w:pPr>
    </w:p>
    <w:p w14:paraId="0345C4A2" w14:textId="77777777" w:rsidR="00C02AAE" w:rsidRDefault="00C02AAE" w:rsidP="00C02AAE">
      <w:pPr>
        <w:ind w:left="700" w:hanging="700"/>
        <w:jc w:val="both"/>
        <w:rPr>
          <w:sz w:val="24"/>
          <w:szCs w:val="24"/>
        </w:rPr>
      </w:pPr>
      <w:r w:rsidRPr="00937862">
        <w:rPr>
          <w:b/>
          <w:sz w:val="24"/>
          <w:szCs w:val="24"/>
          <w:lang w:val="es-EC" w:eastAsia="es-ES_tradnl"/>
        </w:rPr>
        <w:t xml:space="preserve">Que, </w:t>
      </w:r>
      <w:r>
        <w:rPr>
          <w:b/>
          <w:color w:val="FF0000"/>
          <w:sz w:val="24"/>
          <w:szCs w:val="24"/>
          <w:lang w:val="es-EC" w:eastAsia="es-ES_tradnl"/>
        </w:rPr>
        <w:tab/>
      </w:r>
      <w:r>
        <w:rPr>
          <w:sz w:val="24"/>
          <w:szCs w:val="24"/>
        </w:rPr>
        <w:t>mediante Informe Legal Ampliatorio No. UERB-CLD-EE-2023-</w:t>
      </w:r>
      <w:r w:rsidRPr="00C64051">
        <w:rPr>
          <w:sz w:val="24"/>
          <w:szCs w:val="24"/>
        </w:rPr>
        <w:t>010-IL</w:t>
      </w:r>
      <w:r>
        <w:rPr>
          <w:sz w:val="24"/>
          <w:szCs w:val="24"/>
        </w:rPr>
        <w:t xml:space="preserve">, de 06 de marzo de 2023, suscrito por la abogada Fernanda Durán García, Responsable Legal de la Coordinación Desconcentrada de la </w:t>
      </w:r>
      <w:r w:rsidRPr="00A7136F">
        <w:rPr>
          <w:sz w:val="24"/>
          <w:szCs w:val="24"/>
        </w:rPr>
        <w:t xml:space="preserve">Unidad Especial “Regula tu Barrio”, La Delicia </w:t>
      </w:r>
      <w:r>
        <w:rPr>
          <w:sz w:val="24"/>
          <w:szCs w:val="24"/>
        </w:rPr>
        <w:t xml:space="preserve">y Eugenio Espejo, emitió un informe legal ampliatorio para el proceso de regularización del asentamiento humano de hecho y consolidado denominado “José Gabriel Alarcón”, en el que recomienda: </w:t>
      </w:r>
      <w:r w:rsidRPr="00C64051">
        <w:rPr>
          <w:i/>
          <w:sz w:val="24"/>
          <w:szCs w:val="24"/>
        </w:rPr>
        <w:t>“En base a los antecedentes descritos, la Coordinación de la Unidad Especial “Regula tu Barrio” La Delicia y Eugenio Espejo considera “factible” continuar con el proceso de regularización del asentamiento humano de hecho y consolidado denominado “José Gabriel Alarcón”, por encontrarse enmarcado en lo dispuesto en la normativa vigente en concordancia con las competencias del Municipio del Distrito Metropolitano de Quito.”</w:t>
      </w:r>
      <w:commentRangeEnd w:id="5"/>
      <w:r w:rsidRPr="00C64051">
        <w:rPr>
          <w:rStyle w:val="Refdecomentario"/>
          <w:i/>
        </w:rPr>
        <w:commentReference w:id="5"/>
      </w:r>
      <w:r>
        <w:rPr>
          <w:i/>
          <w:sz w:val="24"/>
          <w:szCs w:val="24"/>
        </w:rPr>
        <w:t>.</w:t>
      </w:r>
    </w:p>
    <w:p w14:paraId="26953D04" w14:textId="77777777" w:rsidR="00C02AAE" w:rsidRPr="00831A56" w:rsidRDefault="00C02AAE" w:rsidP="00C02AAE">
      <w:pPr>
        <w:ind w:left="700" w:hanging="700"/>
        <w:jc w:val="both"/>
        <w:rPr>
          <w:b/>
          <w:color w:val="FF0000"/>
          <w:sz w:val="24"/>
          <w:szCs w:val="24"/>
          <w:lang w:val="es-EC" w:eastAsia="es-ES_tradnl"/>
        </w:rPr>
      </w:pPr>
    </w:p>
    <w:p w14:paraId="465284D8" w14:textId="77777777" w:rsidR="00C02AAE" w:rsidRPr="00831A56" w:rsidRDefault="00C02AAE" w:rsidP="00C02AAE">
      <w:pPr>
        <w:ind w:left="700" w:hanging="700"/>
        <w:jc w:val="both"/>
        <w:rPr>
          <w:rStyle w:val="markedcontent"/>
          <w:i/>
          <w:sz w:val="24"/>
          <w:szCs w:val="24"/>
        </w:rPr>
      </w:pPr>
      <w:r w:rsidRPr="00831A56">
        <w:rPr>
          <w:b/>
          <w:sz w:val="24"/>
          <w:szCs w:val="24"/>
          <w:lang w:val="es-EC" w:eastAsia="es-ES_tradnl"/>
        </w:rPr>
        <w:t>Que,</w:t>
      </w:r>
      <w:r w:rsidRPr="00831A56">
        <w:rPr>
          <w:rStyle w:val="markedcontent"/>
          <w:sz w:val="24"/>
          <w:szCs w:val="24"/>
        </w:rPr>
        <w:t xml:space="preserve"> </w:t>
      </w:r>
      <w:r w:rsidRPr="00831A56">
        <w:rPr>
          <w:rStyle w:val="markedcontent"/>
          <w:sz w:val="24"/>
          <w:szCs w:val="24"/>
        </w:rPr>
        <w:tab/>
      </w:r>
      <w:r w:rsidRPr="00831A56">
        <w:rPr>
          <w:sz w:val="24"/>
          <w:szCs w:val="24"/>
          <w:lang w:val="es-EC" w:eastAsia="es-ES_tradnl"/>
        </w:rPr>
        <w:t xml:space="preserve">mediante Oficio Nro. EPMAPS-GT-0122-2021, de 12 de febrero de 2021, emitido por el Gerente Técnico de Infraestructura de la Empresa Pública Metropolitana de Agua Potable y Saneamiento remite el Oficio No. EPMAPS-GT-2021-0111, de 10 de febrero de 2021, en el cual informa: </w:t>
      </w:r>
      <w:r w:rsidRPr="00831A56">
        <w:rPr>
          <w:i/>
          <w:sz w:val="24"/>
          <w:szCs w:val="24"/>
          <w:lang w:val="es-EC" w:eastAsia="es-ES_tradnl"/>
        </w:rPr>
        <w:t xml:space="preserve">“De acuerdo a las “Normas de Diseño de Sistemas de Agua Potable para la EMAAP-Q, 01-AP-AMAAPQ-2008”, la instalación de hidrantes es un requisito técnico obligatorio que se deben considerar en los diseños de redes de agua potable, con la finalidad de garantizar obras seguras, </w:t>
      </w:r>
      <w:r w:rsidRPr="00831A56">
        <w:rPr>
          <w:i/>
          <w:sz w:val="24"/>
          <w:szCs w:val="24"/>
          <w:lang w:val="es-EC" w:eastAsia="es-ES_tradnl"/>
        </w:rPr>
        <w:lastRenderedPageBreak/>
        <w:t>durables, de funcionamiento adecuado, sostenibles en el tiempo y costos que garanticen los mayores beneficios de inversión prevista”.</w:t>
      </w:r>
    </w:p>
    <w:p w14:paraId="66BF1A66" w14:textId="77777777" w:rsidR="00C02AAE" w:rsidRDefault="00C02AAE" w:rsidP="00C02AAE">
      <w:pPr>
        <w:pStyle w:val="NormalWeb"/>
        <w:shd w:val="clear" w:color="auto" w:fill="FFFFFF"/>
        <w:spacing w:line="276" w:lineRule="auto"/>
        <w:ind w:left="700"/>
        <w:jc w:val="both"/>
        <w:rPr>
          <w:rStyle w:val="markedcontent"/>
          <w:i/>
        </w:rPr>
      </w:pPr>
      <w:r w:rsidRPr="00831A56">
        <w:rPr>
          <w:rStyle w:val="markedcontent"/>
          <w:i/>
        </w:rPr>
        <w:t>“En este sentido una vez que los barrios cuenten con la respectiva Ordenanza, la EPMAPS procederá a realizar los estudios y diseños para la dotación de agua potable en los diferentes sectores de DMQ incluyendo la instalación de hidrantes.”</w:t>
      </w:r>
    </w:p>
    <w:p w14:paraId="4C64A348" w14:textId="77777777" w:rsidR="00C02AAE" w:rsidRPr="00A7136F" w:rsidRDefault="00C02AAE" w:rsidP="00C02AAE">
      <w:pPr>
        <w:shd w:val="clear" w:color="auto" w:fill="FFFFFF"/>
        <w:autoSpaceDE w:val="0"/>
        <w:autoSpaceDN w:val="0"/>
        <w:adjustRightInd w:val="0"/>
        <w:spacing w:before="240" w:after="240"/>
        <w:ind w:left="705" w:hanging="705"/>
        <w:jc w:val="both"/>
        <w:rPr>
          <w:sz w:val="22"/>
          <w:szCs w:val="22"/>
        </w:rPr>
      </w:pPr>
      <w:commentRangeStart w:id="6"/>
      <w:r w:rsidRPr="00A7136F">
        <w:rPr>
          <w:rFonts w:eastAsiaTheme="minorHAnsi"/>
          <w:b/>
          <w:sz w:val="22"/>
          <w:szCs w:val="22"/>
          <w:lang w:val="es-EC" w:eastAsia="en-US"/>
        </w:rPr>
        <w:t>Que,</w:t>
      </w:r>
      <w:r w:rsidRPr="00A7136F">
        <w:rPr>
          <w:rFonts w:eastAsiaTheme="minorHAnsi"/>
          <w:b/>
          <w:sz w:val="22"/>
          <w:szCs w:val="22"/>
          <w:lang w:val="es-EC" w:eastAsia="en-US"/>
        </w:rPr>
        <w:tab/>
      </w:r>
      <w:r w:rsidRPr="00A7136F">
        <w:rPr>
          <w:bCs/>
          <w:sz w:val="24"/>
          <w:szCs w:val="24"/>
        </w:rPr>
        <w:t>mediante informe No. DMDU-URR-2023-03, de 05 de enero de 2023, la Dirección Metropolitana de Desarrollo Urbano, de la Secretaría de Territorio</w:t>
      </w:r>
      <w:r w:rsidRPr="00A7136F">
        <w:rPr>
          <w:sz w:val="22"/>
          <w:szCs w:val="22"/>
        </w:rPr>
        <w:t xml:space="preserve"> Hábitat y Vivienda, emite el informe técnico para la aplicación de la Ordenanza Metropolitana No. 042-2022, en los asentamientos humanos de hecho y consolidados del Distrito Metropolitano de Quito, señalando en su parte pertinente: </w:t>
      </w:r>
    </w:p>
    <w:p w14:paraId="4BD8CE08" w14:textId="77777777" w:rsidR="00C02AAE" w:rsidRPr="00A7136F" w:rsidRDefault="00C02AAE" w:rsidP="00C02AAE">
      <w:pPr>
        <w:shd w:val="clear" w:color="auto" w:fill="FFFFFF"/>
        <w:autoSpaceDE w:val="0"/>
        <w:autoSpaceDN w:val="0"/>
        <w:adjustRightInd w:val="0"/>
        <w:spacing w:before="240" w:after="240"/>
        <w:ind w:left="705"/>
        <w:jc w:val="both"/>
        <w:rPr>
          <w:i/>
          <w:sz w:val="22"/>
          <w:szCs w:val="22"/>
        </w:rPr>
      </w:pPr>
      <w:r w:rsidRPr="00A7136F">
        <w:rPr>
          <w:i/>
          <w:sz w:val="22"/>
          <w:szCs w:val="22"/>
        </w:rPr>
        <w:t>“Es decir, los asentamientos humanos de hecho y consolidados no se consideran un proyecto de habilitación de suelo, debido a que ya tienen la dotación de servicio, por lo que no se puede aplicar el artículo 1225.8 del Código Municipal, que se refiere únicamente a “… nuevo proyecto vial, de habilitación del suelo y/o edificación, incluidos aquellos realizados bajo régimen de propiedad horizontal…”, en caso de que no tenga la dotación de servicios se deberá considerar lo descrito en el Art. 466.1 del COOTAD”</w:t>
      </w:r>
    </w:p>
    <w:p w14:paraId="5764F0AE" w14:textId="77777777" w:rsidR="00C02AAE" w:rsidRPr="00A7136F" w:rsidRDefault="00C02AAE" w:rsidP="00C02AAE">
      <w:pPr>
        <w:spacing w:after="240" w:line="276" w:lineRule="auto"/>
        <w:ind w:left="705"/>
        <w:jc w:val="both"/>
        <w:rPr>
          <w:sz w:val="24"/>
          <w:szCs w:val="24"/>
        </w:rPr>
      </w:pPr>
      <w:r w:rsidRPr="00A7136F">
        <w:rPr>
          <w:i/>
          <w:sz w:val="22"/>
          <w:szCs w:val="22"/>
        </w:rPr>
        <w:t>“Con base en las consideraciones expuestas, los asentamientos humanos de hecho y consolidados de interés social, no tienen la obligatoriedad de acogerse al soterramiento planteado por la Ordenanza Metropolitana No. 042-2022.”</w:t>
      </w:r>
      <w:commentRangeEnd w:id="6"/>
      <w:r>
        <w:rPr>
          <w:rStyle w:val="Refdecomentario"/>
        </w:rPr>
        <w:commentReference w:id="6"/>
      </w:r>
    </w:p>
    <w:p w14:paraId="56723301" w14:textId="77777777" w:rsidR="00C02AAE" w:rsidRPr="00831A56" w:rsidRDefault="00C02AAE" w:rsidP="00C02AAE">
      <w:pPr>
        <w:pStyle w:val="NormalWeb"/>
        <w:shd w:val="clear" w:color="auto" w:fill="FFFFFF"/>
        <w:spacing w:line="276" w:lineRule="auto"/>
        <w:jc w:val="both"/>
        <w:rPr>
          <w:b/>
        </w:rPr>
      </w:pPr>
      <w:r w:rsidRPr="00831A56">
        <w:rPr>
          <w:b/>
        </w:rPr>
        <w:t>En ejercicio de sus atribuciones legales constantes en los artículos 30, 31, 240 y 264 numerales 1 y 2 y 266 de la Constitución de la República del Ecuador; Art. 84 literal c), Art. 87 literal a); y, Art. 322 del Código Orgánico de Organización Territorial Autonomía y Descentralización; Art. 2 numeral 1, y Art. 8 numeral 1 de la Ley de Régimen para el Distrito Metropolitano de Quito,</w:t>
      </w:r>
    </w:p>
    <w:p w14:paraId="761B8780" w14:textId="77777777" w:rsidR="00C02AAE" w:rsidRPr="00831A56" w:rsidRDefault="00C02AAE" w:rsidP="00C02AAE">
      <w:pPr>
        <w:spacing w:after="240" w:line="276" w:lineRule="auto"/>
        <w:jc w:val="center"/>
        <w:rPr>
          <w:b/>
          <w:bCs/>
          <w:sz w:val="24"/>
          <w:szCs w:val="24"/>
        </w:rPr>
      </w:pPr>
      <w:r w:rsidRPr="00831A56">
        <w:rPr>
          <w:b/>
          <w:sz w:val="24"/>
          <w:szCs w:val="24"/>
        </w:rPr>
        <w:t>EXPIDE LA SIGUIENTE:</w:t>
      </w:r>
    </w:p>
    <w:p w14:paraId="192A270C" w14:textId="77777777" w:rsidR="00C02AAE" w:rsidRPr="00831A56" w:rsidRDefault="00C02AAE" w:rsidP="00C02AAE">
      <w:pPr>
        <w:spacing w:after="240" w:line="276" w:lineRule="auto"/>
        <w:jc w:val="center"/>
        <w:rPr>
          <w:b/>
          <w:sz w:val="24"/>
          <w:szCs w:val="24"/>
        </w:rPr>
      </w:pPr>
      <w:r w:rsidRPr="00831A56">
        <w:rPr>
          <w:b/>
          <w:sz w:val="24"/>
          <w:szCs w:val="24"/>
        </w:rPr>
        <w:t>ORDENANZA QUE APRUEBA EL PROCESO INTEGRAL DE REGULARIZACIÓN DEL ASENTAMIENTO HUMANO DE HECHO Y CONSOLIDADO DE INTERÉS SOCIAL DENOMINADO BARRIO “JOSÉ GABRIEL ALARCÓN”, UBICADO EN LA PARROQUIA KENEDDY, A FAVOR DE SUS COPROPIETARIOS.</w:t>
      </w:r>
    </w:p>
    <w:p w14:paraId="0128C06B" w14:textId="77777777" w:rsidR="00C02AAE" w:rsidRPr="00831A56" w:rsidRDefault="00C02AAE" w:rsidP="00C02AAE">
      <w:pPr>
        <w:pStyle w:val="Ttulo7"/>
        <w:spacing w:before="0" w:after="240" w:line="276" w:lineRule="auto"/>
        <w:jc w:val="both"/>
        <w:rPr>
          <w:rFonts w:ascii="Times New Roman" w:hAnsi="Times New Roman"/>
        </w:rPr>
      </w:pPr>
      <w:r w:rsidRPr="00831A56">
        <w:rPr>
          <w:rFonts w:ascii="Times New Roman" w:hAnsi="Times New Roman"/>
          <w:b/>
        </w:rPr>
        <w:t>Articulo 1.- Objeto. -</w:t>
      </w:r>
      <w:r w:rsidRPr="00831A56">
        <w:rPr>
          <w:rFonts w:ascii="Times New Roman" w:hAnsi="Times New Roman"/>
        </w:rPr>
        <w:t xml:space="preserve"> La presente ordenanza tiene por objeto reconocer y aprobar el fraccionamiento del predio No. 1480 y</w:t>
      </w:r>
      <w:r w:rsidRPr="00831A56">
        <w:rPr>
          <w:rFonts w:ascii="Times New Roman" w:hAnsi="Times New Roman"/>
          <w:bCs/>
          <w:lang w:val="es-EC" w:eastAsia="en-US"/>
        </w:rPr>
        <w:t xml:space="preserve"> mantener su zonificación; </w:t>
      </w:r>
      <w:r w:rsidRPr="00831A56">
        <w:rPr>
          <w:rFonts w:ascii="Times New Roman" w:hAnsi="Times New Roman"/>
        </w:rPr>
        <w:t>sobre el que se encuentra el asentamiento humano de hecho y consolidado de interés social denominado Barrio “José Gabriel Alarcón”</w:t>
      </w:r>
      <w:r w:rsidRPr="00831A56">
        <w:rPr>
          <w:rFonts w:ascii="Times New Roman" w:hAnsi="Times New Roman"/>
          <w:bCs/>
        </w:rPr>
        <w:t xml:space="preserve">, ubicado en la parroquia Kennedy </w:t>
      </w:r>
      <w:r w:rsidRPr="00831A56">
        <w:rPr>
          <w:rFonts w:ascii="Times New Roman" w:hAnsi="Times New Roman"/>
        </w:rPr>
        <w:t>a favor de sus copropietarios.</w:t>
      </w:r>
    </w:p>
    <w:p w14:paraId="136A802C" w14:textId="77777777" w:rsidR="00C02AAE" w:rsidRPr="00A7136F" w:rsidRDefault="00C02AAE" w:rsidP="00C02AAE">
      <w:pPr>
        <w:spacing w:after="240" w:line="276" w:lineRule="auto"/>
        <w:jc w:val="both"/>
        <w:rPr>
          <w:sz w:val="24"/>
          <w:szCs w:val="24"/>
        </w:rPr>
      </w:pPr>
      <w:commentRangeStart w:id="7"/>
      <w:r w:rsidRPr="00A7136F">
        <w:rPr>
          <w:b/>
          <w:sz w:val="24"/>
          <w:szCs w:val="24"/>
        </w:rPr>
        <w:t>Artículo 2.- De los planos y documentos presentados.-</w:t>
      </w:r>
      <w:r w:rsidRPr="00A7136F">
        <w:rPr>
          <w:sz w:val="24"/>
          <w:szCs w:val="24"/>
        </w:rPr>
        <w:t xml:space="preserve"> Los planos y documentos presentados para la aprobación del presente acto normativo son de exclusiva responsabilidad del proyectista y de los copropietarios del asentamiento humano de hecho y consolidado de interés social denominado Barrio “José Gabriel Alarcón”</w:t>
      </w:r>
      <w:r w:rsidRPr="00A7136F">
        <w:rPr>
          <w:bCs/>
          <w:sz w:val="24"/>
          <w:szCs w:val="24"/>
        </w:rPr>
        <w:t>,</w:t>
      </w:r>
      <w:r w:rsidRPr="00A7136F">
        <w:rPr>
          <w:b/>
          <w:sz w:val="24"/>
          <w:szCs w:val="24"/>
        </w:rPr>
        <w:t xml:space="preserve"> </w:t>
      </w:r>
      <w:r w:rsidRPr="00A7136F">
        <w:rPr>
          <w:sz w:val="24"/>
          <w:szCs w:val="24"/>
        </w:rPr>
        <w:t>ubicado en la parroquia Kennedy, y de los funcionarios públicos que emitieron los informes habilitantes de este procedimiento de regularización, salvo que hayan sido inducidos al engaño o al error.</w:t>
      </w:r>
      <w:commentRangeEnd w:id="7"/>
      <w:r>
        <w:rPr>
          <w:rStyle w:val="Refdecomentario"/>
        </w:rPr>
        <w:commentReference w:id="7"/>
      </w:r>
    </w:p>
    <w:p w14:paraId="77C3CD68" w14:textId="77777777" w:rsidR="00C02AAE" w:rsidRPr="00831A56" w:rsidRDefault="00C02AAE" w:rsidP="00C02AAE">
      <w:pPr>
        <w:spacing w:after="240" w:line="276" w:lineRule="auto"/>
        <w:jc w:val="both"/>
        <w:rPr>
          <w:sz w:val="24"/>
          <w:szCs w:val="24"/>
        </w:rPr>
      </w:pPr>
      <w:r w:rsidRPr="00831A56">
        <w:rPr>
          <w:sz w:val="24"/>
          <w:szCs w:val="24"/>
        </w:rPr>
        <w:lastRenderedPageBreak/>
        <w:t>En caso de comprobarse ocultación o falsedad en planos, datos, documentos, o de existir reclamos de terceros afectados, será de exclusiva responsabilidad del técnico y de los copropietarios del predio.</w:t>
      </w:r>
    </w:p>
    <w:p w14:paraId="2DAC07AE" w14:textId="77777777" w:rsidR="00C02AAE" w:rsidRPr="00831A56" w:rsidRDefault="00C02AAE" w:rsidP="00C02AAE">
      <w:pPr>
        <w:spacing w:after="240" w:line="276" w:lineRule="auto"/>
        <w:jc w:val="both"/>
        <w:rPr>
          <w:sz w:val="24"/>
          <w:szCs w:val="24"/>
        </w:rPr>
      </w:pPr>
      <w:r w:rsidRPr="00831A56">
        <w:rPr>
          <w:sz w:val="24"/>
          <w:szCs w:val="24"/>
        </w:rPr>
        <w:t>Las dimensiones y superficies de los lotes son las determinadas en el plano aprobatorio que forma parte integrante de esta Ordenanza.</w:t>
      </w:r>
    </w:p>
    <w:p w14:paraId="3BAF67DE" w14:textId="77777777" w:rsidR="00C02AAE" w:rsidRPr="00831A56" w:rsidRDefault="00C02AAE" w:rsidP="00C02AAE">
      <w:pPr>
        <w:spacing w:after="240" w:line="276" w:lineRule="auto"/>
        <w:jc w:val="both"/>
        <w:rPr>
          <w:sz w:val="24"/>
          <w:szCs w:val="24"/>
        </w:rPr>
      </w:pPr>
      <w:r w:rsidRPr="00831A56">
        <w:rPr>
          <w:sz w:val="24"/>
          <w:szCs w:val="24"/>
        </w:rPr>
        <w:t>Los copropietarios del asentamiento humano de hecho y consolidado de interés social denominado Barrio “José Gabriel Alarcón”</w:t>
      </w:r>
      <w:r w:rsidRPr="00831A56">
        <w:rPr>
          <w:bCs/>
          <w:sz w:val="24"/>
          <w:szCs w:val="24"/>
        </w:rPr>
        <w:t>,</w:t>
      </w:r>
      <w:r w:rsidRPr="00831A56">
        <w:rPr>
          <w:b/>
          <w:sz w:val="24"/>
          <w:szCs w:val="24"/>
        </w:rPr>
        <w:t xml:space="preserve"> </w:t>
      </w:r>
      <w:r w:rsidRPr="00831A56">
        <w:rPr>
          <w:sz w:val="24"/>
          <w:szCs w:val="24"/>
        </w:rPr>
        <w:t>ubicado en la parroquia Kennedy, se comprometen a respetar las características de los lotes establecidas en el Plano y en este instrumento; por tanto, no podrán fraccionarlos o dividirlos.</w:t>
      </w:r>
    </w:p>
    <w:p w14:paraId="53307854" w14:textId="77777777" w:rsidR="00C02AAE" w:rsidRPr="00831A56" w:rsidRDefault="00C02AAE" w:rsidP="00C02AAE">
      <w:pPr>
        <w:spacing w:after="240" w:line="276" w:lineRule="auto"/>
        <w:jc w:val="both"/>
        <w:rPr>
          <w:sz w:val="24"/>
          <w:szCs w:val="24"/>
        </w:rPr>
      </w:pPr>
      <w:r w:rsidRPr="00831A56">
        <w:rPr>
          <w:sz w:val="24"/>
          <w:szCs w:val="24"/>
        </w:rPr>
        <w:t xml:space="preserve">El incumplimiento de lo dispuesto en la presente Ordenanza y en la normativa metropolitana y nacional vigente al respecto, dará lugar a la imposición de las sanciones correspondientes. </w:t>
      </w:r>
    </w:p>
    <w:p w14:paraId="05850FB4" w14:textId="77777777" w:rsidR="00C02AAE" w:rsidRPr="00831A56" w:rsidRDefault="00C02AAE" w:rsidP="00C02AAE">
      <w:pPr>
        <w:spacing w:after="240" w:line="276" w:lineRule="auto"/>
        <w:jc w:val="both"/>
        <w:rPr>
          <w:sz w:val="24"/>
          <w:szCs w:val="24"/>
        </w:rPr>
      </w:pPr>
      <w:r w:rsidRPr="00831A56">
        <w:rPr>
          <w:b/>
          <w:bCs/>
          <w:sz w:val="24"/>
          <w:szCs w:val="24"/>
        </w:rPr>
        <w:t xml:space="preserve">Artículo 3.- Declaratoria de Interés Social. - </w:t>
      </w:r>
      <w:r w:rsidRPr="00831A56">
        <w:rPr>
          <w:sz w:val="24"/>
          <w:szCs w:val="24"/>
        </w:rPr>
        <w:t>Por las condiciones del asentamiento humano de hecho y consolidado, se lo aprueba considerándolo de interés social de conformidad con la normativa vigente.</w:t>
      </w:r>
    </w:p>
    <w:p w14:paraId="5CB8100E" w14:textId="77777777" w:rsidR="00C02AAE" w:rsidRPr="00831A56" w:rsidRDefault="00C02AAE" w:rsidP="00C02AAE">
      <w:pPr>
        <w:pStyle w:val="Sinespaciado"/>
        <w:rPr>
          <w:rFonts w:ascii="Times New Roman" w:hAnsi="Times New Roman"/>
          <w:b/>
          <w:sz w:val="24"/>
          <w:szCs w:val="24"/>
        </w:rPr>
      </w:pPr>
      <w:r w:rsidRPr="00831A56">
        <w:rPr>
          <w:rFonts w:ascii="Times New Roman" w:hAnsi="Times New Roman"/>
          <w:b/>
          <w:sz w:val="24"/>
          <w:szCs w:val="24"/>
        </w:rPr>
        <w:t>Artículo 4.- Especificaciones técnicas. -</w:t>
      </w:r>
    </w:p>
    <w:p w14:paraId="1C4CD49C" w14:textId="77777777" w:rsidR="00C02AAE" w:rsidRPr="00831A56" w:rsidRDefault="00C02AAE" w:rsidP="00C02AAE">
      <w:pPr>
        <w:pStyle w:val="Sinespaciad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761"/>
        <w:gridCol w:w="2195"/>
      </w:tblGrid>
      <w:tr w:rsidR="00C02AAE" w:rsidRPr="00831A56" w14:paraId="2BA72215" w14:textId="77777777" w:rsidTr="00A4676E">
        <w:trPr>
          <w:trHeight w:val="128"/>
        </w:trPr>
        <w:tc>
          <w:tcPr>
            <w:tcW w:w="3823" w:type="dxa"/>
            <w:shd w:val="clear" w:color="auto" w:fill="auto"/>
          </w:tcPr>
          <w:p w14:paraId="4A853140" w14:textId="77777777" w:rsidR="00C02AAE" w:rsidRPr="00831A56" w:rsidRDefault="00C02AAE" w:rsidP="00A4676E">
            <w:pPr>
              <w:pStyle w:val="Sinespaciado"/>
              <w:rPr>
                <w:rFonts w:ascii="Times New Roman" w:hAnsi="Times New Roman"/>
                <w:b/>
                <w:sz w:val="24"/>
                <w:szCs w:val="24"/>
              </w:rPr>
            </w:pPr>
            <w:bookmarkStart w:id="8" w:name="_Hlk80200367"/>
            <w:r w:rsidRPr="00831A56">
              <w:rPr>
                <w:rFonts w:ascii="Times New Roman" w:hAnsi="Times New Roman"/>
                <w:b/>
                <w:bCs/>
                <w:sz w:val="24"/>
                <w:szCs w:val="24"/>
              </w:rPr>
              <w:t>Predios:</w:t>
            </w:r>
          </w:p>
        </w:tc>
        <w:tc>
          <w:tcPr>
            <w:tcW w:w="4956" w:type="dxa"/>
            <w:gridSpan w:val="2"/>
            <w:shd w:val="clear" w:color="auto" w:fill="auto"/>
          </w:tcPr>
          <w:p w14:paraId="72BF3026" w14:textId="77777777" w:rsidR="00C02AAE" w:rsidRPr="00831A56" w:rsidRDefault="00C02AAE" w:rsidP="00A4676E">
            <w:pPr>
              <w:pStyle w:val="Sinespaciado"/>
              <w:rPr>
                <w:rFonts w:ascii="Times New Roman" w:hAnsi="Times New Roman"/>
                <w:sz w:val="24"/>
                <w:szCs w:val="24"/>
              </w:rPr>
            </w:pPr>
            <w:r w:rsidRPr="00831A56">
              <w:rPr>
                <w:rFonts w:ascii="Times New Roman" w:hAnsi="Times New Roman"/>
                <w:sz w:val="24"/>
                <w:szCs w:val="24"/>
              </w:rPr>
              <w:t>1480</w:t>
            </w:r>
          </w:p>
        </w:tc>
      </w:tr>
      <w:tr w:rsidR="00C02AAE" w:rsidRPr="00831A56" w14:paraId="7A56B7B2" w14:textId="77777777" w:rsidTr="00A4676E">
        <w:tc>
          <w:tcPr>
            <w:tcW w:w="3823" w:type="dxa"/>
            <w:shd w:val="clear" w:color="auto" w:fill="auto"/>
          </w:tcPr>
          <w:p w14:paraId="45D35845" w14:textId="77777777" w:rsidR="00C02AAE" w:rsidRPr="00831A56" w:rsidRDefault="00C02AAE" w:rsidP="00A4676E">
            <w:pPr>
              <w:pStyle w:val="Sinespaciado"/>
              <w:rPr>
                <w:rFonts w:ascii="Times New Roman" w:hAnsi="Times New Roman"/>
                <w:b/>
                <w:bCs/>
                <w:sz w:val="24"/>
                <w:szCs w:val="24"/>
              </w:rPr>
            </w:pPr>
            <w:r w:rsidRPr="00831A56">
              <w:rPr>
                <w:rFonts w:ascii="Times New Roman" w:hAnsi="Times New Roman"/>
                <w:b/>
                <w:color w:val="000000"/>
                <w:sz w:val="24"/>
                <w:szCs w:val="24"/>
              </w:rPr>
              <w:t>Zonificación:</w:t>
            </w:r>
          </w:p>
        </w:tc>
        <w:tc>
          <w:tcPr>
            <w:tcW w:w="2761" w:type="dxa"/>
            <w:shd w:val="clear" w:color="auto" w:fill="auto"/>
          </w:tcPr>
          <w:p w14:paraId="57EE2455" w14:textId="77777777" w:rsidR="00C02AAE" w:rsidRPr="00831A56" w:rsidRDefault="00C02AAE" w:rsidP="00A4676E">
            <w:pPr>
              <w:pStyle w:val="Sinespaciado"/>
              <w:rPr>
                <w:rFonts w:ascii="Times New Roman" w:hAnsi="Times New Roman"/>
                <w:sz w:val="24"/>
                <w:szCs w:val="24"/>
              </w:rPr>
            </w:pPr>
            <w:r w:rsidRPr="00831A56">
              <w:rPr>
                <w:rFonts w:ascii="Times New Roman" w:hAnsi="Times New Roman"/>
                <w:sz w:val="24"/>
                <w:szCs w:val="24"/>
              </w:rPr>
              <w:t xml:space="preserve">C4 (C304-70) </w:t>
            </w:r>
          </w:p>
        </w:tc>
        <w:tc>
          <w:tcPr>
            <w:tcW w:w="2195" w:type="dxa"/>
            <w:shd w:val="clear" w:color="auto" w:fill="auto"/>
          </w:tcPr>
          <w:p w14:paraId="65F4C5D7" w14:textId="77777777" w:rsidR="00C02AAE" w:rsidRPr="00831A56" w:rsidRDefault="00C02AAE" w:rsidP="00A4676E">
            <w:pPr>
              <w:pStyle w:val="Sinespaciado"/>
              <w:rPr>
                <w:rFonts w:ascii="Times New Roman" w:hAnsi="Times New Roman"/>
                <w:sz w:val="24"/>
                <w:szCs w:val="24"/>
              </w:rPr>
            </w:pPr>
            <w:r w:rsidRPr="00831A56">
              <w:rPr>
                <w:rFonts w:ascii="Times New Roman" w:hAnsi="Times New Roman"/>
                <w:sz w:val="24"/>
                <w:szCs w:val="24"/>
              </w:rPr>
              <w:t>A22 (A608-60(PB))</w:t>
            </w:r>
          </w:p>
        </w:tc>
      </w:tr>
      <w:tr w:rsidR="00C02AAE" w:rsidRPr="00831A56" w14:paraId="7E310750" w14:textId="77777777" w:rsidTr="00A4676E">
        <w:tc>
          <w:tcPr>
            <w:tcW w:w="3823" w:type="dxa"/>
            <w:shd w:val="clear" w:color="auto" w:fill="auto"/>
          </w:tcPr>
          <w:p w14:paraId="6BD22BC3" w14:textId="77777777" w:rsidR="00C02AAE" w:rsidRPr="00831A56" w:rsidRDefault="00C02AAE" w:rsidP="00A4676E">
            <w:pPr>
              <w:pStyle w:val="Sinespaciado"/>
              <w:rPr>
                <w:rFonts w:ascii="Times New Roman" w:hAnsi="Times New Roman"/>
                <w:b/>
                <w:color w:val="000000"/>
                <w:sz w:val="24"/>
                <w:szCs w:val="24"/>
              </w:rPr>
            </w:pPr>
            <w:r w:rsidRPr="00831A56">
              <w:rPr>
                <w:rFonts w:ascii="Times New Roman" w:hAnsi="Times New Roman"/>
                <w:b/>
                <w:color w:val="000000"/>
                <w:sz w:val="24"/>
                <w:szCs w:val="24"/>
              </w:rPr>
              <w:t>Lote mínimo:</w:t>
            </w:r>
          </w:p>
        </w:tc>
        <w:tc>
          <w:tcPr>
            <w:tcW w:w="2761" w:type="dxa"/>
            <w:shd w:val="clear" w:color="auto" w:fill="auto"/>
          </w:tcPr>
          <w:p w14:paraId="78E5BAAB" w14:textId="77777777" w:rsidR="00C02AAE" w:rsidRPr="00831A56" w:rsidRDefault="00C02AAE" w:rsidP="00A4676E">
            <w:pPr>
              <w:pStyle w:val="Sinespaciado"/>
              <w:rPr>
                <w:rFonts w:ascii="Times New Roman" w:hAnsi="Times New Roman"/>
                <w:sz w:val="24"/>
                <w:szCs w:val="24"/>
              </w:rPr>
            </w:pPr>
            <w:r w:rsidRPr="00831A56">
              <w:rPr>
                <w:rFonts w:ascii="Times New Roman" w:hAnsi="Times New Roman"/>
                <w:sz w:val="24"/>
                <w:szCs w:val="24"/>
              </w:rPr>
              <w:t>300 m2</w:t>
            </w:r>
          </w:p>
        </w:tc>
        <w:tc>
          <w:tcPr>
            <w:tcW w:w="2195" w:type="dxa"/>
            <w:shd w:val="clear" w:color="auto" w:fill="auto"/>
          </w:tcPr>
          <w:p w14:paraId="20372271" w14:textId="77777777" w:rsidR="00C02AAE" w:rsidRPr="00831A56" w:rsidRDefault="00C02AAE" w:rsidP="00A4676E">
            <w:pPr>
              <w:pStyle w:val="Sinespaciado"/>
              <w:rPr>
                <w:rFonts w:ascii="Times New Roman" w:hAnsi="Times New Roman"/>
                <w:sz w:val="24"/>
                <w:szCs w:val="24"/>
              </w:rPr>
            </w:pPr>
            <w:r w:rsidRPr="00831A56">
              <w:rPr>
                <w:rFonts w:ascii="Times New Roman" w:hAnsi="Times New Roman"/>
                <w:sz w:val="24"/>
                <w:szCs w:val="24"/>
              </w:rPr>
              <w:t>600 m2</w:t>
            </w:r>
          </w:p>
        </w:tc>
      </w:tr>
      <w:tr w:rsidR="00C02AAE" w:rsidRPr="00831A56" w14:paraId="6F52C2D4" w14:textId="77777777" w:rsidTr="00A4676E">
        <w:tc>
          <w:tcPr>
            <w:tcW w:w="3823" w:type="dxa"/>
            <w:shd w:val="clear" w:color="auto" w:fill="auto"/>
          </w:tcPr>
          <w:p w14:paraId="39F28618" w14:textId="77777777" w:rsidR="00C02AAE" w:rsidRPr="00831A56" w:rsidRDefault="00C02AAE" w:rsidP="00A4676E">
            <w:pPr>
              <w:pStyle w:val="Sinespaciado"/>
              <w:rPr>
                <w:rFonts w:ascii="Times New Roman" w:hAnsi="Times New Roman"/>
                <w:b/>
                <w:color w:val="000000"/>
                <w:sz w:val="24"/>
                <w:szCs w:val="24"/>
              </w:rPr>
            </w:pPr>
            <w:r w:rsidRPr="00831A56">
              <w:rPr>
                <w:rFonts w:ascii="Times New Roman" w:hAnsi="Times New Roman"/>
                <w:b/>
                <w:color w:val="000000"/>
                <w:sz w:val="24"/>
                <w:szCs w:val="24"/>
              </w:rPr>
              <w:t>Forma de ocupación del suelo:</w:t>
            </w:r>
          </w:p>
        </w:tc>
        <w:tc>
          <w:tcPr>
            <w:tcW w:w="2761" w:type="dxa"/>
            <w:shd w:val="clear" w:color="auto" w:fill="auto"/>
          </w:tcPr>
          <w:p w14:paraId="280F0E47" w14:textId="77777777" w:rsidR="00C02AAE" w:rsidRPr="00831A56" w:rsidRDefault="00C02AAE" w:rsidP="00A4676E">
            <w:pPr>
              <w:pStyle w:val="Sinespaciado"/>
              <w:rPr>
                <w:rFonts w:ascii="Times New Roman" w:hAnsi="Times New Roman"/>
                <w:sz w:val="24"/>
                <w:szCs w:val="24"/>
              </w:rPr>
            </w:pPr>
            <w:r w:rsidRPr="00831A56">
              <w:rPr>
                <w:rFonts w:ascii="Times New Roman" w:hAnsi="Times New Roman"/>
                <w:sz w:val="24"/>
                <w:szCs w:val="24"/>
              </w:rPr>
              <w:t xml:space="preserve">(C) Continua con retiro frontal </w:t>
            </w:r>
          </w:p>
        </w:tc>
        <w:tc>
          <w:tcPr>
            <w:tcW w:w="2195" w:type="dxa"/>
            <w:shd w:val="clear" w:color="auto" w:fill="auto"/>
          </w:tcPr>
          <w:p w14:paraId="64A37F2D" w14:textId="77777777" w:rsidR="00C02AAE" w:rsidRPr="00831A56" w:rsidRDefault="00C02AAE" w:rsidP="00A4676E">
            <w:pPr>
              <w:pStyle w:val="Sinespaciado"/>
              <w:rPr>
                <w:rFonts w:ascii="Times New Roman" w:hAnsi="Times New Roman"/>
                <w:sz w:val="24"/>
                <w:szCs w:val="24"/>
              </w:rPr>
            </w:pPr>
            <w:r w:rsidRPr="00831A56">
              <w:rPr>
                <w:rFonts w:ascii="Times New Roman" w:hAnsi="Times New Roman"/>
                <w:sz w:val="24"/>
                <w:szCs w:val="24"/>
              </w:rPr>
              <w:t xml:space="preserve"> (A) Aislada</w:t>
            </w:r>
          </w:p>
        </w:tc>
      </w:tr>
      <w:tr w:rsidR="00C02AAE" w:rsidRPr="00831A56" w14:paraId="6E454085" w14:textId="77777777" w:rsidTr="00A4676E">
        <w:tc>
          <w:tcPr>
            <w:tcW w:w="3823" w:type="dxa"/>
            <w:shd w:val="clear" w:color="auto" w:fill="auto"/>
          </w:tcPr>
          <w:p w14:paraId="550924EB" w14:textId="77777777" w:rsidR="00C02AAE" w:rsidRPr="00831A56" w:rsidRDefault="00C02AAE" w:rsidP="00A4676E">
            <w:pPr>
              <w:pStyle w:val="Sinespaciado"/>
              <w:rPr>
                <w:rFonts w:ascii="Times New Roman" w:hAnsi="Times New Roman"/>
                <w:b/>
                <w:color w:val="000000"/>
                <w:sz w:val="24"/>
                <w:szCs w:val="24"/>
              </w:rPr>
            </w:pPr>
            <w:r w:rsidRPr="00831A56">
              <w:rPr>
                <w:rFonts w:ascii="Times New Roman" w:hAnsi="Times New Roman"/>
                <w:b/>
                <w:color w:val="000000"/>
                <w:sz w:val="24"/>
                <w:szCs w:val="24"/>
              </w:rPr>
              <w:t>Uso principal del suelo:</w:t>
            </w:r>
          </w:p>
        </w:tc>
        <w:tc>
          <w:tcPr>
            <w:tcW w:w="2761" w:type="dxa"/>
            <w:shd w:val="clear" w:color="auto" w:fill="auto"/>
            <w:vAlign w:val="center"/>
          </w:tcPr>
          <w:p w14:paraId="5ADA2668" w14:textId="77777777" w:rsidR="00C02AAE" w:rsidRPr="00831A56" w:rsidRDefault="00C02AAE" w:rsidP="00A4676E">
            <w:pPr>
              <w:pStyle w:val="Sinespaciado"/>
              <w:rPr>
                <w:rFonts w:ascii="Times New Roman" w:hAnsi="Times New Roman"/>
                <w:sz w:val="24"/>
                <w:szCs w:val="24"/>
              </w:rPr>
            </w:pPr>
            <w:r w:rsidRPr="00831A56">
              <w:rPr>
                <w:rFonts w:ascii="Times New Roman" w:hAnsi="Times New Roman"/>
                <w:sz w:val="24"/>
                <w:szCs w:val="24"/>
              </w:rPr>
              <w:t xml:space="preserve">RU2) Residencial Urbano </w:t>
            </w:r>
          </w:p>
        </w:tc>
        <w:tc>
          <w:tcPr>
            <w:tcW w:w="2195" w:type="dxa"/>
            <w:shd w:val="clear" w:color="auto" w:fill="auto"/>
            <w:vAlign w:val="center"/>
          </w:tcPr>
          <w:p w14:paraId="7E005837" w14:textId="77777777" w:rsidR="00C02AAE" w:rsidRPr="00831A56" w:rsidRDefault="00C02AAE" w:rsidP="00A4676E">
            <w:pPr>
              <w:pStyle w:val="Sinespaciado"/>
              <w:rPr>
                <w:rFonts w:ascii="Times New Roman" w:hAnsi="Times New Roman"/>
                <w:sz w:val="24"/>
                <w:szCs w:val="24"/>
              </w:rPr>
            </w:pPr>
            <w:r w:rsidRPr="00831A56">
              <w:rPr>
                <w:rFonts w:ascii="Times New Roman" w:hAnsi="Times New Roman"/>
                <w:sz w:val="24"/>
                <w:szCs w:val="24"/>
              </w:rPr>
              <w:t>(M) Múltiple</w:t>
            </w:r>
          </w:p>
        </w:tc>
      </w:tr>
      <w:tr w:rsidR="00C02AAE" w:rsidRPr="00831A56" w14:paraId="22058857" w14:textId="77777777" w:rsidTr="00A4676E">
        <w:tc>
          <w:tcPr>
            <w:tcW w:w="3823" w:type="dxa"/>
            <w:shd w:val="clear" w:color="auto" w:fill="auto"/>
          </w:tcPr>
          <w:p w14:paraId="71C928F9" w14:textId="77777777" w:rsidR="00C02AAE" w:rsidRPr="00831A56" w:rsidRDefault="00C02AAE" w:rsidP="00A4676E">
            <w:pPr>
              <w:pStyle w:val="Sinespaciado"/>
              <w:rPr>
                <w:rFonts w:ascii="Times New Roman" w:hAnsi="Times New Roman"/>
                <w:b/>
                <w:color w:val="000000"/>
                <w:sz w:val="24"/>
                <w:szCs w:val="24"/>
              </w:rPr>
            </w:pPr>
            <w:r w:rsidRPr="00831A56">
              <w:rPr>
                <w:rFonts w:ascii="Times New Roman" w:hAnsi="Times New Roman"/>
                <w:b/>
                <w:color w:val="000000"/>
                <w:sz w:val="24"/>
                <w:szCs w:val="24"/>
              </w:rPr>
              <w:t>Clasificación del Suelo:</w:t>
            </w:r>
          </w:p>
        </w:tc>
        <w:tc>
          <w:tcPr>
            <w:tcW w:w="4956" w:type="dxa"/>
            <w:gridSpan w:val="2"/>
            <w:shd w:val="clear" w:color="auto" w:fill="auto"/>
          </w:tcPr>
          <w:p w14:paraId="4D35BFA2" w14:textId="77777777" w:rsidR="00C02AAE" w:rsidRPr="00831A56" w:rsidRDefault="00C02AAE" w:rsidP="00A4676E">
            <w:pPr>
              <w:pStyle w:val="Sinespaciado"/>
              <w:rPr>
                <w:rFonts w:ascii="Times New Roman" w:hAnsi="Times New Roman"/>
                <w:sz w:val="24"/>
                <w:szCs w:val="24"/>
              </w:rPr>
            </w:pPr>
            <w:r w:rsidRPr="00831A56">
              <w:rPr>
                <w:rFonts w:ascii="Times New Roman" w:hAnsi="Times New Roman"/>
                <w:sz w:val="24"/>
                <w:szCs w:val="24"/>
              </w:rPr>
              <w:t>(SU) Suelo Urbano</w:t>
            </w:r>
          </w:p>
        </w:tc>
      </w:tr>
      <w:tr w:rsidR="00C02AAE" w:rsidRPr="00831A56" w14:paraId="728982A0" w14:textId="77777777" w:rsidTr="00A4676E">
        <w:tc>
          <w:tcPr>
            <w:tcW w:w="3823" w:type="dxa"/>
            <w:shd w:val="clear" w:color="auto" w:fill="auto"/>
          </w:tcPr>
          <w:p w14:paraId="494C26F4" w14:textId="77777777" w:rsidR="00C02AAE" w:rsidRPr="00831A56" w:rsidRDefault="00C02AAE" w:rsidP="00A4676E">
            <w:pPr>
              <w:pStyle w:val="Sinespaciado"/>
              <w:rPr>
                <w:rFonts w:ascii="Times New Roman" w:hAnsi="Times New Roman"/>
                <w:b/>
                <w:color w:val="000000"/>
                <w:sz w:val="24"/>
                <w:szCs w:val="24"/>
              </w:rPr>
            </w:pPr>
            <w:r w:rsidRPr="00831A56">
              <w:rPr>
                <w:rFonts w:ascii="Times New Roman" w:hAnsi="Times New Roman"/>
                <w:b/>
                <w:color w:val="000000"/>
                <w:sz w:val="24"/>
                <w:szCs w:val="24"/>
              </w:rPr>
              <w:t>Número de lotes:</w:t>
            </w:r>
          </w:p>
        </w:tc>
        <w:tc>
          <w:tcPr>
            <w:tcW w:w="4956" w:type="dxa"/>
            <w:gridSpan w:val="2"/>
            <w:shd w:val="clear" w:color="auto" w:fill="auto"/>
          </w:tcPr>
          <w:p w14:paraId="097F4512" w14:textId="77777777" w:rsidR="00C02AAE" w:rsidRPr="00831A56" w:rsidRDefault="00C02AAE" w:rsidP="00A4676E">
            <w:pPr>
              <w:pStyle w:val="Sinespaciado"/>
              <w:rPr>
                <w:rFonts w:ascii="Times New Roman" w:hAnsi="Times New Roman"/>
                <w:sz w:val="24"/>
                <w:szCs w:val="24"/>
              </w:rPr>
            </w:pPr>
            <w:r w:rsidRPr="00831A56">
              <w:rPr>
                <w:rFonts w:ascii="Times New Roman" w:hAnsi="Times New Roman"/>
                <w:sz w:val="24"/>
                <w:szCs w:val="24"/>
              </w:rPr>
              <w:t>11</w:t>
            </w:r>
          </w:p>
        </w:tc>
      </w:tr>
      <w:tr w:rsidR="00C02AAE" w:rsidRPr="00831A56" w14:paraId="3F5B1DFA" w14:textId="77777777" w:rsidTr="00A4676E">
        <w:tc>
          <w:tcPr>
            <w:tcW w:w="3823" w:type="dxa"/>
            <w:tcBorders>
              <w:bottom w:val="single" w:sz="4" w:space="0" w:color="auto"/>
            </w:tcBorders>
            <w:shd w:val="clear" w:color="auto" w:fill="auto"/>
          </w:tcPr>
          <w:p w14:paraId="20653215" w14:textId="77777777" w:rsidR="00C02AAE" w:rsidRPr="00831A56" w:rsidRDefault="00C02AAE" w:rsidP="00A4676E">
            <w:pPr>
              <w:pStyle w:val="Sinespaciado"/>
              <w:rPr>
                <w:rFonts w:ascii="Times New Roman" w:hAnsi="Times New Roman"/>
                <w:b/>
                <w:color w:val="000000"/>
                <w:sz w:val="24"/>
                <w:szCs w:val="24"/>
              </w:rPr>
            </w:pPr>
            <w:r w:rsidRPr="00831A56">
              <w:rPr>
                <w:rFonts w:ascii="Times New Roman" w:hAnsi="Times New Roman"/>
                <w:b/>
                <w:color w:val="000000"/>
                <w:sz w:val="24"/>
                <w:szCs w:val="24"/>
              </w:rPr>
              <w:t>Área útil de lotes:</w:t>
            </w:r>
          </w:p>
        </w:tc>
        <w:tc>
          <w:tcPr>
            <w:tcW w:w="4956" w:type="dxa"/>
            <w:gridSpan w:val="2"/>
            <w:tcBorders>
              <w:bottom w:val="single" w:sz="4" w:space="0" w:color="auto"/>
            </w:tcBorders>
            <w:shd w:val="clear" w:color="auto" w:fill="auto"/>
            <w:vAlign w:val="center"/>
          </w:tcPr>
          <w:p w14:paraId="653F1024" w14:textId="77777777" w:rsidR="00C02AAE" w:rsidRPr="00831A56" w:rsidRDefault="00C02AAE" w:rsidP="00A4676E">
            <w:pPr>
              <w:pStyle w:val="Sinespaciado"/>
              <w:rPr>
                <w:rFonts w:ascii="Times New Roman" w:hAnsi="Times New Roman"/>
                <w:sz w:val="24"/>
                <w:szCs w:val="24"/>
              </w:rPr>
            </w:pPr>
            <w:r w:rsidRPr="00831A56">
              <w:rPr>
                <w:rFonts w:ascii="Times New Roman" w:hAnsi="Times New Roman"/>
                <w:sz w:val="24"/>
                <w:szCs w:val="24"/>
              </w:rPr>
              <w:t>10241.00 m2</w:t>
            </w:r>
          </w:p>
        </w:tc>
      </w:tr>
      <w:tr w:rsidR="00C02AAE" w:rsidRPr="00831A56" w14:paraId="1D3816F3" w14:textId="77777777" w:rsidTr="00A4676E">
        <w:tc>
          <w:tcPr>
            <w:tcW w:w="3823" w:type="dxa"/>
            <w:shd w:val="clear" w:color="auto" w:fill="auto"/>
          </w:tcPr>
          <w:p w14:paraId="2599E50D" w14:textId="77777777" w:rsidR="00C02AAE" w:rsidRPr="00831A56" w:rsidRDefault="00C02AAE" w:rsidP="00A4676E">
            <w:pPr>
              <w:pStyle w:val="Sinespaciado"/>
              <w:rPr>
                <w:rFonts w:ascii="Times New Roman" w:hAnsi="Times New Roman"/>
                <w:b/>
                <w:color w:val="000000"/>
                <w:sz w:val="24"/>
                <w:szCs w:val="24"/>
              </w:rPr>
            </w:pPr>
            <w:r w:rsidRPr="00831A56">
              <w:rPr>
                <w:rFonts w:ascii="Times New Roman" w:hAnsi="Times New Roman"/>
                <w:b/>
                <w:color w:val="000000"/>
                <w:sz w:val="24"/>
                <w:szCs w:val="24"/>
              </w:rPr>
              <w:t>Área bruta del terreno (Área Total):</w:t>
            </w:r>
          </w:p>
        </w:tc>
        <w:tc>
          <w:tcPr>
            <w:tcW w:w="4956" w:type="dxa"/>
            <w:gridSpan w:val="2"/>
            <w:shd w:val="clear" w:color="auto" w:fill="auto"/>
            <w:vAlign w:val="center"/>
          </w:tcPr>
          <w:p w14:paraId="1BF4E669" w14:textId="77777777" w:rsidR="00C02AAE" w:rsidRPr="00831A56" w:rsidRDefault="00C02AAE" w:rsidP="00A4676E">
            <w:pPr>
              <w:pStyle w:val="Sinespaciado"/>
              <w:rPr>
                <w:rFonts w:ascii="Times New Roman" w:hAnsi="Times New Roman"/>
                <w:sz w:val="24"/>
                <w:szCs w:val="24"/>
              </w:rPr>
            </w:pPr>
            <w:r w:rsidRPr="00831A56">
              <w:rPr>
                <w:rFonts w:ascii="Times New Roman" w:hAnsi="Times New Roman"/>
                <w:sz w:val="24"/>
                <w:szCs w:val="24"/>
              </w:rPr>
              <w:t>10241.00 m2</w:t>
            </w:r>
          </w:p>
        </w:tc>
      </w:tr>
      <w:bookmarkEnd w:id="8"/>
    </w:tbl>
    <w:p w14:paraId="0BD522BA" w14:textId="77777777" w:rsidR="00C02AAE" w:rsidRPr="00831A56" w:rsidRDefault="00C02AAE" w:rsidP="00C02AAE">
      <w:pPr>
        <w:pStyle w:val="Sinespaciado"/>
        <w:rPr>
          <w:rFonts w:ascii="Times New Roman" w:hAnsi="Times New Roman"/>
          <w:b/>
          <w:sz w:val="24"/>
          <w:szCs w:val="24"/>
        </w:rPr>
      </w:pPr>
    </w:p>
    <w:p w14:paraId="0AA1E0C3" w14:textId="77777777" w:rsidR="00C02AAE" w:rsidRPr="00831A56" w:rsidRDefault="00C02AAE" w:rsidP="00C02AAE">
      <w:pPr>
        <w:spacing w:after="200" w:line="276" w:lineRule="auto"/>
        <w:jc w:val="both"/>
        <w:rPr>
          <w:sz w:val="24"/>
          <w:szCs w:val="24"/>
        </w:rPr>
      </w:pPr>
      <w:r w:rsidRPr="00831A56">
        <w:rPr>
          <w:sz w:val="24"/>
          <w:szCs w:val="24"/>
        </w:rPr>
        <w:t>El número total de lotes,</w:t>
      </w:r>
      <w:r w:rsidRPr="00831A56">
        <w:rPr>
          <w:color w:val="FF0000"/>
          <w:sz w:val="24"/>
          <w:szCs w:val="24"/>
        </w:rPr>
        <w:t xml:space="preserve"> </w:t>
      </w:r>
      <w:r w:rsidRPr="00831A56">
        <w:rPr>
          <w:color w:val="000000"/>
          <w:sz w:val="24"/>
          <w:szCs w:val="24"/>
        </w:rPr>
        <w:t>producto del fraccionamiento,</w:t>
      </w:r>
      <w:r w:rsidRPr="00831A56">
        <w:rPr>
          <w:sz w:val="24"/>
          <w:szCs w:val="24"/>
        </w:rPr>
        <w:t xml:space="preserve"> es de 11, signados del uno (1) al once (11) cuyo detalle es el que consta en los planos aprobatorios que forman parte de la presente Ordenanza. </w:t>
      </w:r>
    </w:p>
    <w:p w14:paraId="7F384C3D" w14:textId="77777777" w:rsidR="00C02AAE" w:rsidRPr="00831A56" w:rsidRDefault="00C02AAE" w:rsidP="00C02AAE">
      <w:pPr>
        <w:spacing w:after="200" w:line="276" w:lineRule="auto"/>
        <w:jc w:val="both"/>
        <w:rPr>
          <w:color w:val="FF0000"/>
          <w:sz w:val="24"/>
          <w:szCs w:val="24"/>
        </w:rPr>
      </w:pPr>
      <w:r w:rsidRPr="00831A56">
        <w:rPr>
          <w:sz w:val="24"/>
          <w:szCs w:val="24"/>
        </w:rPr>
        <w:t>El área total del predio No. 1480, es la que consta en la Cédula Catastral No. 160552, emitida por la Direcció</w:t>
      </w:r>
      <w:r>
        <w:rPr>
          <w:sz w:val="24"/>
          <w:szCs w:val="24"/>
        </w:rPr>
        <w:t>n Metropolitana de Catastro, el</w:t>
      </w:r>
      <w:r w:rsidRPr="00831A56">
        <w:rPr>
          <w:sz w:val="24"/>
          <w:szCs w:val="24"/>
        </w:rPr>
        <w:t xml:space="preserve"> 10 de mayo de 2022, inscrita en el Registro de la Propiedad el </w:t>
      </w:r>
      <w:r>
        <w:rPr>
          <w:sz w:val="24"/>
          <w:szCs w:val="24"/>
        </w:rPr>
        <w:t>15</w:t>
      </w:r>
      <w:r w:rsidRPr="00831A56">
        <w:rPr>
          <w:sz w:val="24"/>
          <w:szCs w:val="24"/>
        </w:rPr>
        <w:t xml:space="preserve"> de febrero de 2023 y se encuentra rectificada y regularizada de conformidad al Art. 2268 </w:t>
      </w:r>
      <w:r w:rsidRPr="00831A56">
        <w:rPr>
          <w:bCs/>
          <w:sz w:val="24"/>
          <w:szCs w:val="24"/>
        </w:rPr>
        <w:t>del Código Municipal para el Distrito Metropolitano de Quito</w:t>
      </w:r>
      <w:r w:rsidRPr="00831A56">
        <w:rPr>
          <w:sz w:val="24"/>
          <w:szCs w:val="24"/>
        </w:rPr>
        <w:t>.</w:t>
      </w:r>
    </w:p>
    <w:p w14:paraId="2DD1B13A" w14:textId="77777777" w:rsidR="00C02AAE" w:rsidRPr="00831A56" w:rsidRDefault="00C02AAE" w:rsidP="00C02AAE">
      <w:pPr>
        <w:tabs>
          <w:tab w:val="left" w:pos="4253"/>
          <w:tab w:val="center" w:pos="4394"/>
        </w:tabs>
        <w:jc w:val="both"/>
        <w:rPr>
          <w:sz w:val="24"/>
          <w:szCs w:val="24"/>
        </w:rPr>
      </w:pPr>
      <w:r w:rsidRPr="00831A56">
        <w:rPr>
          <w:b/>
          <w:sz w:val="24"/>
          <w:szCs w:val="24"/>
        </w:rPr>
        <w:t xml:space="preserve">Artículo 5.- Zonificación de los lotes. </w:t>
      </w:r>
      <w:r w:rsidRPr="00831A56">
        <w:rPr>
          <w:sz w:val="24"/>
          <w:szCs w:val="24"/>
        </w:rPr>
        <w:t>- Los lotes fraccionados mantendrán la zonificación actual: C4 (C304-70) / A22 (A608-60(PB)), forma de ocupación: (C) Continua con retiro frontal / (A) Aislada, Lote mínimo: 300 m2 / 600 m2, Número de pisos: 4 / 8, COS planta baja: 70% / 60%, COS total: 280% / 480%, Uso principal: (RU2) Residencial Urbano / (M) Múltiple.</w:t>
      </w:r>
    </w:p>
    <w:p w14:paraId="6088DBA7" w14:textId="77777777" w:rsidR="00C02AAE" w:rsidRPr="00831A56" w:rsidRDefault="00C02AAE" w:rsidP="00C02AAE">
      <w:pPr>
        <w:spacing w:before="240" w:after="240" w:line="276" w:lineRule="auto"/>
        <w:jc w:val="both"/>
        <w:rPr>
          <w:sz w:val="24"/>
          <w:szCs w:val="24"/>
        </w:rPr>
      </w:pPr>
      <w:r w:rsidRPr="00831A56">
        <w:rPr>
          <w:b/>
          <w:sz w:val="24"/>
          <w:szCs w:val="24"/>
        </w:rPr>
        <w:lastRenderedPageBreak/>
        <w:t xml:space="preserve">Artículo 6.- Clasificación del Suelo. - </w:t>
      </w:r>
      <w:r w:rsidRPr="00831A56">
        <w:rPr>
          <w:sz w:val="24"/>
          <w:szCs w:val="24"/>
        </w:rPr>
        <w:t>Los lotes fraccionados mantendrán la clasificación vigente esto es (SU) Suelo Urbano.</w:t>
      </w:r>
    </w:p>
    <w:p w14:paraId="7D5F90D9" w14:textId="77777777" w:rsidR="00C02AAE" w:rsidRPr="00831A56" w:rsidRDefault="00C02AAE" w:rsidP="00C02AAE">
      <w:pPr>
        <w:tabs>
          <w:tab w:val="left" w:pos="4253"/>
          <w:tab w:val="center" w:pos="4394"/>
        </w:tabs>
        <w:spacing w:after="240"/>
        <w:jc w:val="both"/>
        <w:rPr>
          <w:b/>
          <w:sz w:val="24"/>
          <w:szCs w:val="24"/>
        </w:rPr>
      </w:pPr>
      <w:r w:rsidRPr="00831A56">
        <w:rPr>
          <w:b/>
          <w:sz w:val="24"/>
          <w:szCs w:val="24"/>
        </w:rPr>
        <w:t xml:space="preserve">Artículo 7.- Exoneración del porcentaje de área </w:t>
      </w:r>
      <w:proofErr w:type="gramStart"/>
      <w:r w:rsidRPr="00831A56">
        <w:rPr>
          <w:b/>
          <w:sz w:val="24"/>
          <w:szCs w:val="24"/>
        </w:rPr>
        <w:t>verde.-</w:t>
      </w:r>
      <w:proofErr w:type="gramEnd"/>
      <w:r w:rsidRPr="00831A56">
        <w:rPr>
          <w:b/>
          <w:sz w:val="24"/>
          <w:szCs w:val="24"/>
        </w:rPr>
        <w:t xml:space="preserve"> </w:t>
      </w:r>
      <w:r w:rsidRPr="00831A56">
        <w:rPr>
          <w:sz w:val="24"/>
          <w:szCs w:val="24"/>
        </w:rPr>
        <w:t>A los copropietarios del predio donde se encuentra el asentamiento humano de hecho y consolidado de interés social denominado Barrio “José Gabriel Alarcón”, conforme a la normativa vigente se les exonera el 15% como contribución del área verde, por ser considerado como un asentamiento declarado de interés social.</w:t>
      </w:r>
    </w:p>
    <w:p w14:paraId="5644C659" w14:textId="77777777" w:rsidR="00C02AAE" w:rsidRPr="00831A56" w:rsidRDefault="00C02AAE" w:rsidP="00C02AAE">
      <w:pPr>
        <w:spacing w:after="240" w:line="276" w:lineRule="auto"/>
        <w:jc w:val="both"/>
        <w:rPr>
          <w:sz w:val="24"/>
          <w:szCs w:val="24"/>
        </w:rPr>
      </w:pPr>
      <w:r w:rsidRPr="00831A56">
        <w:rPr>
          <w:b/>
          <w:sz w:val="24"/>
          <w:szCs w:val="24"/>
        </w:rPr>
        <w:t>Artículo 8</w:t>
      </w:r>
      <w:r w:rsidRPr="00831A56">
        <w:rPr>
          <w:b/>
          <w:bCs/>
          <w:sz w:val="24"/>
          <w:szCs w:val="24"/>
        </w:rPr>
        <w:t xml:space="preserve">.- Calificación de Riesgos. - </w:t>
      </w:r>
      <w:r w:rsidRPr="00831A56">
        <w:rPr>
          <w:sz w:val="24"/>
          <w:szCs w:val="24"/>
        </w:rPr>
        <w:t>El asentamiento humano de hecho y consolidado de interés social</w:t>
      </w:r>
      <w:r w:rsidRPr="00831A56">
        <w:rPr>
          <w:bCs/>
          <w:color w:val="000000"/>
          <w:sz w:val="24"/>
          <w:szCs w:val="24"/>
        </w:rPr>
        <w:t xml:space="preserve"> denominado Barrio “José Gabriel Alarcón”</w:t>
      </w:r>
      <w:r w:rsidRPr="00831A56">
        <w:rPr>
          <w:bCs/>
          <w:sz w:val="24"/>
          <w:szCs w:val="24"/>
        </w:rPr>
        <w:t>,</w:t>
      </w:r>
      <w:r w:rsidRPr="00831A56" w:rsidDel="00403EE1">
        <w:rPr>
          <w:bCs/>
          <w:sz w:val="24"/>
          <w:szCs w:val="24"/>
        </w:rPr>
        <w:t xml:space="preserve"> </w:t>
      </w:r>
      <w:r w:rsidRPr="00831A56">
        <w:rPr>
          <w:sz w:val="24"/>
          <w:szCs w:val="24"/>
        </w:rPr>
        <w:t xml:space="preserve">deberá cumplir y acatar las recomendaciones </w:t>
      </w:r>
      <w:r w:rsidRPr="00831A56">
        <w:rPr>
          <w:bCs/>
          <w:color w:val="000000"/>
          <w:sz w:val="24"/>
          <w:szCs w:val="24"/>
        </w:rPr>
        <w:t>que se encuentran determinadas en el informe de la Dirección Metropolitana de Gestión de Riesgos No. I-008-EAH-AT-DMGR-2022, de 25 de mayo de 2022,</w:t>
      </w:r>
      <w:r w:rsidRPr="00831A56">
        <w:rPr>
          <w:sz w:val="24"/>
          <w:szCs w:val="24"/>
        </w:rPr>
        <w:t xml:space="preserve"> el cual califica en el numeral 6.1 referente al nivel de riesgo para la regularización de tierras indicando que:</w:t>
      </w:r>
    </w:p>
    <w:p w14:paraId="277A255E" w14:textId="77777777" w:rsidR="00C02AAE" w:rsidRPr="00831A56" w:rsidRDefault="00C02AAE" w:rsidP="00C02AAE">
      <w:pPr>
        <w:spacing w:after="240" w:line="276" w:lineRule="auto"/>
        <w:ind w:left="705"/>
        <w:jc w:val="both"/>
        <w:rPr>
          <w:i/>
          <w:sz w:val="24"/>
          <w:szCs w:val="24"/>
        </w:rPr>
      </w:pPr>
      <w:r w:rsidRPr="00831A56">
        <w:rPr>
          <w:bCs/>
          <w:sz w:val="24"/>
          <w:szCs w:val="24"/>
        </w:rPr>
        <w:t>“</w:t>
      </w:r>
      <w:r w:rsidRPr="00831A56">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13F8433E" w14:textId="77777777" w:rsidR="00C02AAE" w:rsidRPr="00831A56" w:rsidRDefault="00C02AAE" w:rsidP="00C02AAE">
      <w:pPr>
        <w:spacing w:after="240" w:line="276" w:lineRule="auto"/>
        <w:ind w:left="705" w:hanging="705"/>
        <w:jc w:val="both"/>
        <w:rPr>
          <w:rFonts w:eastAsiaTheme="minorHAnsi"/>
          <w:color w:val="000000"/>
          <w:sz w:val="24"/>
          <w:szCs w:val="24"/>
          <w:lang w:val="es-EC" w:eastAsia="en-US"/>
        </w:rPr>
      </w:pPr>
      <w:r w:rsidRPr="00831A56">
        <w:rPr>
          <w:rFonts w:eastAsiaTheme="minorHAnsi"/>
          <w:b/>
          <w:bCs/>
          <w:color w:val="000000"/>
          <w:sz w:val="24"/>
          <w:szCs w:val="24"/>
          <w:lang w:val="es-EC" w:eastAsia="en-US"/>
        </w:rPr>
        <w:t xml:space="preserve">           </w:t>
      </w:r>
      <w:r w:rsidRPr="00831A56">
        <w:rPr>
          <w:rFonts w:eastAsiaTheme="minorHAnsi"/>
          <w:b/>
          <w:bCs/>
          <w:i/>
          <w:color w:val="000000"/>
          <w:sz w:val="24"/>
          <w:szCs w:val="24"/>
          <w:lang w:val="es-EC" w:eastAsia="en-US"/>
        </w:rPr>
        <w:t xml:space="preserve">Movimientos en masa: </w:t>
      </w:r>
      <w:r w:rsidRPr="00831A56">
        <w:rPr>
          <w:rFonts w:eastAsiaTheme="minorHAnsi"/>
          <w:i/>
          <w:color w:val="000000"/>
          <w:sz w:val="24"/>
          <w:szCs w:val="24"/>
          <w:lang w:val="es-EC" w:eastAsia="en-US"/>
        </w:rPr>
        <w:t xml:space="preserve">el AHHYC “José Gabriel Alarcón” presenta </w:t>
      </w:r>
      <w:r w:rsidRPr="00831A56">
        <w:rPr>
          <w:rFonts w:eastAsiaTheme="minorHAnsi"/>
          <w:b/>
          <w:i/>
          <w:color w:val="000000"/>
          <w:sz w:val="24"/>
          <w:szCs w:val="24"/>
          <w:lang w:val="es-EC" w:eastAsia="en-US"/>
        </w:rPr>
        <w:t xml:space="preserve">un </w:t>
      </w:r>
      <w:r w:rsidRPr="00831A56">
        <w:rPr>
          <w:rFonts w:eastAsiaTheme="minorHAnsi"/>
          <w:b/>
          <w:i/>
          <w:iCs/>
          <w:color w:val="000000"/>
          <w:sz w:val="24"/>
          <w:szCs w:val="24"/>
          <w:u w:val="single"/>
          <w:lang w:val="es-EC" w:eastAsia="en-US"/>
        </w:rPr>
        <w:t>Riesgo Bajo Mitigable</w:t>
      </w:r>
      <w:r w:rsidRPr="00831A56">
        <w:rPr>
          <w:rFonts w:eastAsiaTheme="minorHAnsi"/>
          <w:i/>
          <w:iCs/>
          <w:color w:val="000000"/>
          <w:sz w:val="24"/>
          <w:szCs w:val="24"/>
          <w:lang w:val="es-EC" w:eastAsia="en-US"/>
        </w:rPr>
        <w:t xml:space="preserve"> para todos los lotes </w:t>
      </w:r>
      <w:r w:rsidRPr="00831A56">
        <w:rPr>
          <w:rFonts w:eastAsiaTheme="minorHAnsi"/>
          <w:i/>
          <w:color w:val="000000"/>
          <w:sz w:val="24"/>
          <w:szCs w:val="24"/>
          <w:lang w:val="es-EC" w:eastAsia="en-US"/>
        </w:rPr>
        <w:t>(Mapa 10.5)</w:t>
      </w:r>
      <w:r w:rsidRPr="00831A56">
        <w:rPr>
          <w:rFonts w:eastAsiaTheme="minorHAnsi"/>
          <w:color w:val="000000"/>
          <w:sz w:val="24"/>
          <w:szCs w:val="24"/>
          <w:lang w:val="es-EC" w:eastAsia="en-US"/>
        </w:rPr>
        <w:t>”.</w:t>
      </w:r>
    </w:p>
    <w:p w14:paraId="36386EED" w14:textId="77777777" w:rsidR="00C02AAE" w:rsidRPr="00831A56" w:rsidRDefault="00C02AAE" w:rsidP="00C02AAE">
      <w:pPr>
        <w:spacing w:after="240"/>
        <w:jc w:val="both"/>
        <w:rPr>
          <w:sz w:val="24"/>
          <w:szCs w:val="24"/>
        </w:rPr>
      </w:pPr>
      <w:r w:rsidRPr="00831A56">
        <w:rPr>
          <w:sz w:val="24"/>
          <w:szCs w:val="24"/>
        </w:rPr>
        <w:t xml:space="preserve">La aprobación de este </w:t>
      </w:r>
      <w:r w:rsidRPr="00831A56">
        <w:rPr>
          <w:rFonts w:eastAsia="Calibri"/>
          <w:bCs/>
          <w:sz w:val="24"/>
          <w:szCs w:val="24"/>
        </w:rPr>
        <w:t>AHHYC</w:t>
      </w:r>
      <w:r w:rsidRPr="00831A56">
        <w:rPr>
          <w:sz w:val="24"/>
          <w:szCs w:val="24"/>
        </w:rPr>
        <w:t>,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2E0445ED" w14:textId="77777777" w:rsidR="00C02AAE" w:rsidRPr="00831A56" w:rsidRDefault="00C02AAE" w:rsidP="00C02AAE">
      <w:pPr>
        <w:spacing w:after="240" w:line="276" w:lineRule="auto"/>
        <w:jc w:val="both"/>
        <w:rPr>
          <w:b/>
          <w:color w:val="000000"/>
          <w:sz w:val="24"/>
          <w:szCs w:val="24"/>
        </w:rPr>
      </w:pPr>
      <w:r w:rsidRPr="00831A56">
        <w:rPr>
          <w:sz w:val="24"/>
          <w:szCs w:val="24"/>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74FB680A" w14:textId="77777777" w:rsidR="00C02AAE" w:rsidRPr="00831A56" w:rsidRDefault="00C02AAE" w:rsidP="00C02AAE">
      <w:pPr>
        <w:spacing w:line="276" w:lineRule="auto"/>
        <w:jc w:val="both"/>
        <w:rPr>
          <w:sz w:val="24"/>
          <w:szCs w:val="24"/>
        </w:rPr>
      </w:pPr>
      <w:r w:rsidRPr="00831A56">
        <w:rPr>
          <w:b/>
          <w:bCs/>
          <w:sz w:val="24"/>
          <w:szCs w:val="24"/>
        </w:rPr>
        <w:t xml:space="preserve">Artículo 9.- De las obras a ejecutarse. - </w:t>
      </w:r>
      <w:r w:rsidRPr="00831A56">
        <w:rPr>
          <w:sz w:val="24"/>
          <w:szCs w:val="24"/>
        </w:rPr>
        <w:t xml:space="preserve">Las obras de infraestructura a ejecutarse en el asentamiento humano de hecho y consolidado de interés social, son las siguientes: </w:t>
      </w:r>
    </w:p>
    <w:p w14:paraId="6BD34AC1" w14:textId="77777777" w:rsidR="00C02AAE" w:rsidRPr="00831A56" w:rsidRDefault="00C02AAE" w:rsidP="00C02AAE">
      <w:pPr>
        <w:spacing w:line="276" w:lineRule="auto"/>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851"/>
      </w:tblGrid>
      <w:tr w:rsidR="00C02AAE" w:rsidRPr="00831A56" w14:paraId="1BFEBE58" w14:textId="77777777" w:rsidTr="00A4676E">
        <w:tc>
          <w:tcPr>
            <w:tcW w:w="2155" w:type="dxa"/>
            <w:shd w:val="clear" w:color="auto" w:fill="auto"/>
            <w:vAlign w:val="center"/>
          </w:tcPr>
          <w:p w14:paraId="23E7C986" w14:textId="77777777" w:rsidR="00C02AAE" w:rsidRPr="00831A56" w:rsidRDefault="00C02AAE" w:rsidP="00A4676E">
            <w:pPr>
              <w:spacing w:line="276" w:lineRule="auto"/>
              <w:jc w:val="center"/>
              <w:rPr>
                <w:sz w:val="24"/>
                <w:szCs w:val="24"/>
              </w:rPr>
            </w:pPr>
            <w:r w:rsidRPr="00831A56">
              <w:rPr>
                <w:sz w:val="24"/>
                <w:szCs w:val="24"/>
              </w:rPr>
              <w:t>Energía Eléctrica</w:t>
            </w:r>
          </w:p>
        </w:tc>
        <w:tc>
          <w:tcPr>
            <w:tcW w:w="851" w:type="dxa"/>
            <w:shd w:val="clear" w:color="auto" w:fill="auto"/>
            <w:vAlign w:val="center"/>
          </w:tcPr>
          <w:p w14:paraId="0E2AD374" w14:textId="77777777" w:rsidR="00C02AAE" w:rsidRPr="00831A56" w:rsidRDefault="00C02AAE" w:rsidP="00A4676E">
            <w:pPr>
              <w:spacing w:line="276" w:lineRule="auto"/>
              <w:jc w:val="center"/>
              <w:rPr>
                <w:sz w:val="24"/>
                <w:szCs w:val="24"/>
              </w:rPr>
            </w:pPr>
            <w:r w:rsidRPr="00831A56">
              <w:rPr>
                <w:sz w:val="24"/>
                <w:szCs w:val="24"/>
              </w:rPr>
              <w:t>9%</w:t>
            </w:r>
          </w:p>
        </w:tc>
      </w:tr>
    </w:tbl>
    <w:p w14:paraId="16D8E819" w14:textId="77777777" w:rsidR="00C02AAE" w:rsidRPr="00831A56" w:rsidRDefault="00C02AAE" w:rsidP="00C02AAE">
      <w:pPr>
        <w:pStyle w:val="Textoindependiente"/>
        <w:spacing w:after="0"/>
        <w:jc w:val="both"/>
        <w:rPr>
          <w:b/>
          <w:bCs/>
          <w:sz w:val="24"/>
          <w:szCs w:val="24"/>
        </w:rPr>
      </w:pPr>
    </w:p>
    <w:p w14:paraId="1A4CCE6B" w14:textId="77777777" w:rsidR="00C02AAE" w:rsidRPr="00831A56" w:rsidRDefault="00C02AAE" w:rsidP="00C02AAE">
      <w:pPr>
        <w:pStyle w:val="Textoindependiente"/>
        <w:jc w:val="both"/>
        <w:rPr>
          <w:color w:val="FF0000"/>
          <w:sz w:val="24"/>
          <w:szCs w:val="24"/>
        </w:rPr>
      </w:pPr>
      <w:commentRangeStart w:id="9"/>
      <w:r w:rsidRPr="00831A56">
        <w:rPr>
          <w:b/>
          <w:bCs/>
          <w:sz w:val="24"/>
          <w:szCs w:val="24"/>
        </w:rPr>
        <w:t xml:space="preserve">Artículo 10.- Del plazo de ejecución de las </w:t>
      </w:r>
      <w:proofErr w:type="gramStart"/>
      <w:r w:rsidRPr="00831A56">
        <w:rPr>
          <w:b/>
          <w:bCs/>
          <w:sz w:val="24"/>
          <w:szCs w:val="24"/>
        </w:rPr>
        <w:t>obras.-</w:t>
      </w:r>
      <w:proofErr w:type="gramEnd"/>
      <w:r w:rsidRPr="00831A56">
        <w:rPr>
          <w:sz w:val="24"/>
          <w:szCs w:val="24"/>
        </w:rPr>
        <w:t xml:space="preserve"> Para la ejecución de las obras civiles y de infraestructura podrán ser realizadas, </w:t>
      </w:r>
      <w:r w:rsidRPr="00831A56">
        <w:rPr>
          <w:iCs/>
          <w:sz w:val="24"/>
          <w:szCs w:val="24"/>
        </w:rPr>
        <w:t>bajo las siguientes modalidades: gestión municipal o pública, gestión directa o cogestión</w:t>
      </w:r>
      <w:r w:rsidRPr="00831A56">
        <w:rPr>
          <w:sz w:val="24"/>
          <w:szCs w:val="24"/>
        </w:rPr>
        <w:t>.</w:t>
      </w:r>
    </w:p>
    <w:p w14:paraId="0F978F5A" w14:textId="77777777" w:rsidR="00C02AAE" w:rsidRPr="00831A56" w:rsidRDefault="00C02AAE" w:rsidP="00C02AAE">
      <w:pPr>
        <w:pStyle w:val="Textoindependiente"/>
        <w:jc w:val="both"/>
        <w:rPr>
          <w:iCs/>
          <w:sz w:val="24"/>
          <w:szCs w:val="24"/>
        </w:rPr>
      </w:pPr>
      <w:r w:rsidRPr="00831A56">
        <w:rPr>
          <w:iCs/>
          <w:sz w:val="24"/>
          <w:szCs w:val="24"/>
        </w:rPr>
        <w:t xml:space="preserve">Para el cumplimiento de las obras de infraestructura (Energía Eléctrica) en el asentamiento humano de hecho y consolidado de interés social denominado interés social denominado </w:t>
      </w:r>
      <w:r w:rsidRPr="00831A56">
        <w:rPr>
          <w:iCs/>
          <w:sz w:val="24"/>
          <w:szCs w:val="24"/>
        </w:rPr>
        <w:lastRenderedPageBreak/>
        <w:t>Barrio “José Gabriel Alarcón”, por medio de sus copropietarios deberán efectuar la debida notificación de la inscripción de la presente Ordenanza Metropolitana en el Registro de la Propiedad; a las empresas encargadas de la dotación de servicios públicos, quienes a su vez realizaran la planificación de los estudios, diseños y ejecución de las obras de infraestructura para la dotación de estos servicios en el plazo de tres (3) años a partir de dicha notificación</w:t>
      </w:r>
    </w:p>
    <w:p w14:paraId="4463372D" w14:textId="77777777" w:rsidR="00C02AAE" w:rsidRPr="00831A56" w:rsidRDefault="00C02AAE" w:rsidP="00C02AAE">
      <w:pPr>
        <w:pStyle w:val="Textoindependiente"/>
        <w:jc w:val="both"/>
        <w:rPr>
          <w:iCs/>
          <w:sz w:val="24"/>
          <w:szCs w:val="24"/>
        </w:rPr>
      </w:pPr>
      <w:r w:rsidRPr="00831A56">
        <w:rPr>
          <w:iCs/>
          <w:sz w:val="24"/>
          <w:szCs w:val="24"/>
        </w:rPr>
        <w:t>El valor por contribución especial por mejoras se aplicará conforme la modalidad ejecutada</w:t>
      </w:r>
      <w:commentRangeEnd w:id="9"/>
      <w:r>
        <w:rPr>
          <w:rStyle w:val="Refdecomentario"/>
        </w:rPr>
        <w:commentReference w:id="9"/>
      </w:r>
      <w:r w:rsidRPr="00831A56">
        <w:rPr>
          <w:iCs/>
          <w:sz w:val="24"/>
          <w:szCs w:val="24"/>
        </w:rPr>
        <w:t xml:space="preserve">. </w:t>
      </w:r>
    </w:p>
    <w:p w14:paraId="2D489E21" w14:textId="77777777" w:rsidR="00C02AAE" w:rsidRPr="00831A56" w:rsidRDefault="00C02AAE" w:rsidP="00C02AAE">
      <w:pPr>
        <w:pStyle w:val="Textoindependiente"/>
        <w:jc w:val="both"/>
        <w:rPr>
          <w:bCs/>
          <w:sz w:val="24"/>
          <w:szCs w:val="24"/>
          <w:lang w:val="es-ES_tradnl"/>
        </w:rPr>
      </w:pPr>
      <w:r w:rsidRPr="00831A56">
        <w:rPr>
          <w:b/>
          <w:bCs/>
          <w:sz w:val="24"/>
          <w:szCs w:val="24"/>
        </w:rPr>
        <w:t xml:space="preserve">Artículo 11.- </w:t>
      </w:r>
      <w:r w:rsidRPr="00831A56">
        <w:rPr>
          <w:b/>
          <w:bCs/>
          <w:sz w:val="24"/>
          <w:szCs w:val="24"/>
          <w:lang w:val="es-ES_tradnl"/>
        </w:rPr>
        <w:t>Del control de ejecución de las obras. -</w:t>
      </w:r>
      <w:r w:rsidRPr="00831A56">
        <w:rPr>
          <w:bCs/>
          <w:sz w:val="24"/>
          <w:szCs w:val="24"/>
          <w:lang w:val="es-ES_tradnl"/>
        </w:rPr>
        <w:t xml:space="preserve"> La Administración Zonal Eugenio Espejo realizará de oficio, el seguimiento en la ejecución y avance de las obras de infraestructura hasta la terminación de las mismas, para lo cual se emitirá un informe técnico tanto del departamento de fiscalización como del departamento de obras públicas cada semestre. Su informe favorable, conforme la normativa vigente, expedido por la Administración Zonal Eugenio Espejo, será indispensable para cancelar la hipoteca.</w:t>
      </w:r>
    </w:p>
    <w:p w14:paraId="55E7173A" w14:textId="77777777" w:rsidR="00C02AAE" w:rsidRPr="00831A56" w:rsidRDefault="00C02AAE" w:rsidP="00C02AAE">
      <w:pPr>
        <w:pStyle w:val="Textoindependiente"/>
        <w:jc w:val="both"/>
        <w:rPr>
          <w:bCs/>
          <w:sz w:val="24"/>
          <w:szCs w:val="24"/>
        </w:rPr>
      </w:pPr>
      <w:r w:rsidRPr="00831A56">
        <w:rPr>
          <w:b/>
          <w:bCs/>
          <w:sz w:val="24"/>
          <w:szCs w:val="24"/>
          <w:lang w:val="es-ES_tradnl"/>
        </w:rPr>
        <w:t xml:space="preserve">Artículo 12.- De la multa por retraso en ejecución de obras. - </w:t>
      </w:r>
      <w:r w:rsidRPr="00831A56">
        <w:rPr>
          <w:sz w:val="24"/>
          <w:szCs w:val="24"/>
          <w:lang w:val="es-ES_tradnl"/>
        </w:rPr>
        <w:t>En</w:t>
      </w:r>
      <w:r w:rsidRPr="00831A56">
        <w:rPr>
          <w:bCs/>
          <w:sz w:val="24"/>
          <w:szCs w:val="24"/>
        </w:rPr>
        <w:t xml:space="preserve"> caso de retraso en la ejecución de las obras de infraestructura, los copropietarios del inmueble sobre el cual se ubica el asentamiento humano de hecho y consolidado de interés social denominado Barrio “José Gabriel Alarcón” se sujetarán a las sanciones contempladas en el Ordenamiento Jurídico Nacional y Metropolitano.</w:t>
      </w:r>
    </w:p>
    <w:p w14:paraId="1D72F19A" w14:textId="77777777" w:rsidR="00C02AAE" w:rsidRPr="00831A56" w:rsidRDefault="00C02AAE" w:rsidP="00C02AAE">
      <w:pPr>
        <w:spacing w:after="240"/>
        <w:jc w:val="both"/>
        <w:rPr>
          <w:sz w:val="24"/>
          <w:szCs w:val="24"/>
        </w:rPr>
      </w:pPr>
      <w:r w:rsidRPr="00831A56">
        <w:rPr>
          <w:b/>
          <w:sz w:val="24"/>
          <w:szCs w:val="24"/>
        </w:rPr>
        <w:t xml:space="preserve">Artículo 13.- </w:t>
      </w:r>
      <w:r w:rsidRPr="00831A56">
        <w:rPr>
          <w:b/>
          <w:bCs/>
          <w:iCs/>
          <w:sz w:val="24"/>
          <w:szCs w:val="24"/>
        </w:rPr>
        <w:t xml:space="preserve">De la garantía de ejecución de las obras.- </w:t>
      </w:r>
      <w:r w:rsidRPr="00831A56">
        <w:rPr>
          <w:sz w:val="24"/>
          <w:szCs w:val="24"/>
        </w:rPr>
        <w:t xml:space="preserve">Los lotes producto del fraccionamiento donde se encuentra ubicado el asentamiento humano de hecho y consolidado de interés social denominado </w:t>
      </w:r>
      <w:r w:rsidRPr="00831A56">
        <w:rPr>
          <w:bCs/>
          <w:sz w:val="24"/>
          <w:szCs w:val="24"/>
        </w:rPr>
        <w:t>Barrio “José Gabriel Alarcón”</w:t>
      </w:r>
      <w:r w:rsidRPr="00831A56">
        <w:rPr>
          <w:sz w:val="24"/>
          <w:szCs w:val="24"/>
        </w:rPr>
        <w:t>, quedan gravados con primera, especial y preferente hipoteca a favor del Municipio del Distrito Metropolitano de Quito, gravamen que regirá una vez que se adjudiquen los lotes a sus respectivos beneficiarios y que podrá levantarse con el cumplimiento de las obras de infraestructura conforme a la normativa vigente, sin perjuicio de que se continúe con el trámite de ejecución de multas. El gravamen constituido a favor de la Municipalidad deberá constar en cada escritura individualizada.</w:t>
      </w:r>
    </w:p>
    <w:p w14:paraId="5DAB5924" w14:textId="77777777" w:rsidR="00C02AAE" w:rsidRPr="00831A56" w:rsidRDefault="00C02AAE" w:rsidP="00C02AAE">
      <w:pPr>
        <w:pStyle w:val="Textoindependiente"/>
        <w:jc w:val="both"/>
        <w:rPr>
          <w:bCs/>
          <w:color w:val="000000"/>
          <w:sz w:val="24"/>
          <w:szCs w:val="24"/>
          <w:lang w:val="es-ES_tradnl"/>
        </w:rPr>
      </w:pPr>
      <w:r w:rsidRPr="00831A56">
        <w:rPr>
          <w:b/>
          <w:bCs/>
          <w:sz w:val="24"/>
          <w:szCs w:val="24"/>
          <w:lang w:val="es-ES_tradnl"/>
        </w:rPr>
        <w:t xml:space="preserve">Artículo 14.-  De la Protocolización e inscripción de la Ordenanza. -  </w:t>
      </w:r>
      <w:r w:rsidRPr="00831A56">
        <w:rPr>
          <w:sz w:val="24"/>
          <w:szCs w:val="24"/>
          <w:lang w:val="es-EC"/>
        </w:rPr>
        <w:t xml:space="preserve">Los copropietarios del predio del </w:t>
      </w:r>
      <w:r w:rsidRPr="00831A56">
        <w:rPr>
          <w:sz w:val="24"/>
          <w:szCs w:val="24"/>
        </w:rPr>
        <w:t>asentamiento humano de hecho y consolidado de interés social</w:t>
      </w:r>
      <w:r w:rsidRPr="00831A56">
        <w:rPr>
          <w:bCs/>
          <w:color w:val="000000"/>
          <w:sz w:val="24"/>
          <w:szCs w:val="24"/>
        </w:rPr>
        <w:t xml:space="preserve"> denominado Barrio</w:t>
      </w:r>
      <w:r w:rsidRPr="00831A56">
        <w:rPr>
          <w:rFonts w:eastAsia="Calibri"/>
          <w:bCs/>
          <w:sz w:val="24"/>
          <w:szCs w:val="24"/>
        </w:rPr>
        <w:t xml:space="preserve"> “José Gabriel Alarcón”</w:t>
      </w:r>
      <w:r w:rsidRPr="00831A56">
        <w:rPr>
          <w:bCs/>
          <w:sz w:val="24"/>
          <w:szCs w:val="24"/>
        </w:rPr>
        <w:t>,</w:t>
      </w:r>
      <w:r w:rsidRPr="00831A56" w:rsidDel="003223A7">
        <w:rPr>
          <w:sz w:val="24"/>
          <w:szCs w:val="24"/>
        </w:rPr>
        <w:t xml:space="preserve"> </w:t>
      </w:r>
      <w:r w:rsidRPr="00831A56">
        <w:rPr>
          <w:sz w:val="24"/>
          <w:szCs w:val="24"/>
          <w:lang w:val="es-ES_tradnl"/>
        </w:rPr>
        <w:t xml:space="preserve">deberán </w:t>
      </w:r>
      <w:r w:rsidRPr="00831A56">
        <w:rPr>
          <w:sz w:val="24"/>
          <w:szCs w:val="24"/>
          <w:lang w:val="es-EC"/>
        </w:rPr>
        <w:t xml:space="preserve">protocolizar la presente Ordenanza ante Notario Público e inscribirla en el Registro de la Propiedad del Distrito Metropolitano de Quito, </w:t>
      </w:r>
      <w:r w:rsidRPr="00831A56">
        <w:rPr>
          <w:sz w:val="24"/>
          <w:szCs w:val="24"/>
          <w:lang w:val="es-ES_tradnl"/>
        </w:rPr>
        <w:t>con todos sus documentos habilitantes</w:t>
      </w:r>
      <w:r w:rsidRPr="00831A56">
        <w:rPr>
          <w:sz w:val="24"/>
          <w:szCs w:val="24"/>
          <w:lang w:val="es-EC"/>
        </w:rPr>
        <w:t>.</w:t>
      </w:r>
      <w:r w:rsidRPr="00831A56">
        <w:rPr>
          <w:sz w:val="24"/>
          <w:szCs w:val="24"/>
          <w:lang w:val="es-ES_tradnl"/>
        </w:rPr>
        <w:t xml:space="preserve"> </w:t>
      </w:r>
    </w:p>
    <w:p w14:paraId="11879CC3" w14:textId="77777777" w:rsidR="00C02AAE" w:rsidRPr="00831A56" w:rsidRDefault="00C02AAE" w:rsidP="00C02AAE">
      <w:pPr>
        <w:spacing w:after="240"/>
        <w:ind w:left="1"/>
        <w:jc w:val="both"/>
        <w:rPr>
          <w:bCs/>
          <w:sz w:val="24"/>
          <w:szCs w:val="24"/>
        </w:rPr>
      </w:pPr>
      <w:bookmarkStart w:id="10" w:name="_Hlk80222422"/>
      <w:r w:rsidRPr="00831A56">
        <w:rPr>
          <w:bCs/>
          <w:sz w:val="24"/>
          <w:szCs w:val="24"/>
          <w:lang w:val="es-ES_tradnl"/>
        </w:rPr>
        <w:t>En caso de no legalizar la presente ordenanza, ésta caducará en el plazo de tres (03) años de conformidad con lo dispuesto en el artículo No. 3749</w:t>
      </w:r>
      <w:r w:rsidRPr="00831A56">
        <w:rPr>
          <w:sz w:val="24"/>
          <w:szCs w:val="24"/>
        </w:rPr>
        <w:t xml:space="preserve"> </w:t>
      </w:r>
      <w:r w:rsidRPr="00831A56">
        <w:rPr>
          <w:bCs/>
          <w:sz w:val="24"/>
          <w:szCs w:val="24"/>
        </w:rPr>
        <w:t>del Código Municipal para el Distrito Metropolitano de Quito.</w:t>
      </w:r>
    </w:p>
    <w:bookmarkEnd w:id="10"/>
    <w:p w14:paraId="1A95A0C9" w14:textId="77777777" w:rsidR="00C02AAE" w:rsidRPr="00831A56" w:rsidRDefault="00C02AAE" w:rsidP="00C02AAE">
      <w:pPr>
        <w:pStyle w:val="Textoindependiente"/>
        <w:spacing w:line="276" w:lineRule="auto"/>
        <w:jc w:val="both"/>
        <w:rPr>
          <w:sz w:val="24"/>
          <w:szCs w:val="24"/>
          <w:lang w:val="es-ES_tradnl"/>
        </w:rPr>
      </w:pPr>
      <w:r w:rsidRPr="00831A56">
        <w:rPr>
          <w:b/>
          <w:sz w:val="24"/>
          <w:szCs w:val="24"/>
          <w:lang w:val="es-ES_tradnl"/>
        </w:rPr>
        <w:t>Artículo 15.- De la partición y adjudicación. -</w:t>
      </w:r>
      <w:r w:rsidRPr="00831A56">
        <w:rPr>
          <w:sz w:val="24"/>
          <w:szCs w:val="24"/>
          <w:lang w:val="es-ES_tradnl"/>
        </w:rPr>
        <w:t xml:space="preserve"> 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w:t>
      </w:r>
    </w:p>
    <w:p w14:paraId="7945FE7B" w14:textId="77777777" w:rsidR="00C02AAE" w:rsidRPr="00831A56" w:rsidRDefault="00C02AAE" w:rsidP="00C02AAE">
      <w:pPr>
        <w:pStyle w:val="Textoindependiente"/>
        <w:spacing w:line="276" w:lineRule="auto"/>
        <w:jc w:val="both"/>
        <w:rPr>
          <w:sz w:val="24"/>
          <w:szCs w:val="24"/>
          <w:lang w:val="es-ES_tradnl"/>
        </w:rPr>
      </w:pPr>
      <w:r w:rsidRPr="00831A56">
        <w:rPr>
          <w:sz w:val="24"/>
          <w:szCs w:val="24"/>
          <w:lang w:val="es-ES_tradnl"/>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0D40AF1F" w14:textId="77777777" w:rsidR="00C02AAE" w:rsidRPr="00831A56" w:rsidRDefault="00C02AAE" w:rsidP="00C02AAE">
      <w:pPr>
        <w:spacing w:after="240" w:line="276" w:lineRule="auto"/>
        <w:jc w:val="both"/>
        <w:rPr>
          <w:sz w:val="24"/>
          <w:szCs w:val="24"/>
          <w:lang w:val="es-ES_tradnl"/>
        </w:rPr>
      </w:pPr>
      <w:r w:rsidRPr="00831A56">
        <w:rPr>
          <w:b/>
          <w:bCs/>
          <w:sz w:val="24"/>
          <w:szCs w:val="24"/>
        </w:rPr>
        <w:lastRenderedPageBreak/>
        <w:t xml:space="preserve">Artículo 16.- Solicitudes de ampliación de </w:t>
      </w:r>
      <w:proofErr w:type="gramStart"/>
      <w:r w:rsidRPr="00831A56">
        <w:rPr>
          <w:b/>
          <w:bCs/>
          <w:sz w:val="24"/>
          <w:szCs w:val="24"/>
        </w:rPr>
        <w:t>plazo.-</w:t>
      </w:r>
      <w:proofErr w:type="gramEnd"/>
      <w:r w:rsidRPr="00831A56">
        <w:rPr>
          <w:bCs/>
          <w:sz w:val="24"/>
          <w:szCs w:val="24"/>
        </w:rPr>
        <w:t xml:space="preserve"> </w:t>
      </w:r>
      <w:r w:rsidRPr="00831A56">
        <w:rPr>
          <w:sz w:val="24"/>
          <w:szCs w:val="24"/>
          <w:lang w:val="es-ES_tradnl"/>
        </w:rPr>
        <w:t>Las solicitudes de ampliación de plazo para ejecución de obras de infraestructura, serán resueltas por la Administración Zonal correspondiente, a petición de parte o de oficio debidamente motivado.</w:t>
      </w:r>
    </w:p>
    <w:p w14:paraId="058AE440" w14:textId="77777777" w:rsidR="00C02AAE" w:rsidRPr="00831A56" w:rsidRDefault="00C02AAE" w:rsidP="00C02AAE">
      <w:pPr>
        <w:spacing w:after="240" w:line="276" w:lineRule="auto"/>
        <w:jc w:val="both"/>
        <w:rPr>
          <w:sz w:val="24"/>
          <w:szCs w:val="24"/>
          <w:lang w:val="es-ES_tradnl"/>
        </w:rPr>
      </w:pPr>
      <w:r w:rsidRPr="00831A56">
        <w:rPr>
          <w:sz w:val="24"/>
          <w:szCs w:val="24"/>
          <w:lang w:val="es-ES_tradnl"/>
        </w:rPr>
        <w:t>La Administración Zonal Eugenio Espejo, deberá notificar a los copropietarios del asentamiento 6 meses antes a la conclusión del plazo establecido.</w:t>
      </w:r>
    </w:p>
    <w:p w14:paraId="3C631044" w14:textId="77777777" w:rsidR="00C02AAE" w:rsidRPr="00831A56" w:rsidRDefault="00C02AAE" w:rsidP="00C02AAE">
      <w:pPr>
        <w:spacing w:after="240" w:line="276" w:lineRule="auto"/>
        <w:jc w:val="both"/>
        <w:rPr>
          <w:sz w:val="24"/>
          <w:szCs w:val="24"/>
          <w:lang w:val="es-ES_tradnl"/>
        </w:rPr>
      </w:pPr>
      <w:r w:rsidRPr="00831A56">
        <w:rPr>
          <w:sz w:val="24"/>
          <w:szCs w:val="24"/>
          <w:lang w:val="es-ES_tradnl"/>
        </w:rPr>
        <w:t>Dichas solicitudes para ser evaluadas, deberán ser presentadas con al menos tres meses de anticipación a la conclusión del plazo establecido para la ejecución de las obras referidas y debidamente justificadas.</w:t>
      </w:r>
    </w:p>
    <w:p w14:paraId="3F73D034" w14:textId="77777777" w:rsidR="00C02AAE" w:rsidRPr="00A7136F" w:rsidRDefault="00C02AAE" w:rsidP="00C02AAE">
      <w:pPr>
        <w:spacing w:after="240" w:line="276" w:lineRule="auto"/>
        <w:jc w:val="both"/>
        <w:rPr>
          <w:bCs/>
          <w:sz w:val="24"/>
          <w:szCs w:val="24"/>
        </w:rPr>
      </w:pPr>
      <w:commentRangeStart w:id="11"/>
      <w:r w:rsidRPr="00A7136F">
        <w:rPr>
          <w:b/>
          <w:bCs/>
          <w:sz w:val="24"/>
          <w:szCs w:val="24"/>
          <w:lang w:val="es-ES_tradnl"/>
        </w:rPr>
        <w:t>Artículo 17.- Potestad de ejecución. -</w:t>
      </w:r>
      <w:r w:rsidRPr="00A7136F">
        <w:rPr>
          <w:bCs/>
          <w:sz w:val="24"/>
          <w:szCs w:val="24"/>
          <w:lang w:val="es-ES_tradnl"/>
        </w:rPr>
        <w:t xml:space="preserve"> Para el fiel cumplimiento de las disposiciones de esta Ordenanza, y en caso de que no se hayan cumplido los plazos establecidos, se podrá </w:t>
      </w:r>
      <w:r w:rsidRPr="00A7136F">
        <w:rPr>
          <w:bCs/>
          <w:sz w:val="24"/>
          <w:szCs w:val="24"/>
        </w:rPr>
        <w:t>ejecutar en forma subsidiaria, los actos que el obligado no hubiere cumplido, a costa de estos. En este evento, se podrá recuperar los valores invertidos por la vía coactiva, con un recargo del veinte por ciento (20%) más los intereses correspondientes.</w:t>
      </w:r>
      <w:commentRangeEnd w:id="11"/>
      <w:r>
        <w:rPr>
          <w:rStyle w:val="Refdecomentario"/>
        </w:rPr>
        <w:commentReference w:id="11"/>
      </w:r>
    </w:p>
    <w:p w14:paraId="59072A04" w14:textId="77777777" w:rsidR="00C02AAE" w:rsidRPr="00831A56" w:rsidRDefault="00C02AAE" w:rsidP="00C02AAE">
      <w:pPr>
        <w:spacing w:after="360" w:line="276" w:lineRule="auto"/>
        <w:jc w:val="center"/>
        <w:rPr>
          <w:b/>
          <w:sz w:val="24"/>
          <w:szCs w:val="24"/>
          <w:lang w:val="es-ES_tradnl"/>
        </w:rPr>
      </w:pPr>
      <w:r w:rsidRPr="00831A56">
        <w:rPr>
          <w:b/>
          <w:sz w:val="24"/>
          <w:szCs w:val="24"/>
          <w:lang w:val="es-ES_tradnl"/>
        </w:rPr>
        <w:t>Disposiciones Generales</w:t>
      </w:r>
    </w:p>
    <w:p w14:paraId="02E3AE1A" w14:textId="77777777" w:rsidR="00C02AAE" w:rsidRPr="00831A56" w:rsidRDefault="00C02AAE" w:rsidP="00C02AAE">
      <w:pPr>
        <w:spacing w:after="240" w:line="276" w:lineRule="auto"/>
        <w:jc w:val="both"/>
        <w:rPr>
          <w:b/>
          <w:sz w:val="24"/>
          <w:szCs w:val="24"/>
          <w:lang w:val="es-ES_tradnl"/>
        </w:rPr>
      </w:pPr>
      <w:r w:rsidRPr="00831A56">
        <w:rPr>
          <w:b/>
          <w:sz w:val="24"/>
          <w:szCs w:val="24"/>
          <w:lang w:val="es-ES_tradnl"/>
        </w:rPr>
        <w:t xml:space="preserve">Primera. - </w:t>
      </w:r>
      <w:r w:rsidRPr="00831A56">
        <w:rPr>
          <w:sz w:val="24"/>
          <w:szCs w:val="24"/>
          <w:lang w:val="es-ES_tradnl"/>
        </w:rPr>
        <w:t>Todos los anexos adjuntos al proyecto de regularización son documentos habilitantes de esta Ordenanza</w:t>
      </w:r>
      <w:r w:rsidRPr="00831A56">
        <w:rPr>
          <w:b/>
          <w:sz w:val="24"/>
          <w:szCs w:val="24"/>
          <w:lang w:val="es-ES_tradnl"/>
        </w:rPr>
        <w:t>.</w:t>
      </w:r>
    </w:p>
    <w:p w14:paraId="739ADC55" w14:textId="77777777" w:rsidR="00C02AAE" w:rsidRPr="00831A56" w:rsidRDefault="00C02AAE" w:rsidP="00C02AAE">
      <w:pPr>
        <w:spacing w:after="240" w:line="276" w:lineRule="auto"/>
        <w:jc w:val="both"/>
        <w:rPr>
          <w:sz w:val="24"/>
          <w:szCs w:val="24"/>
        </w:rPr>
      </w:pPr>
      <w:r w:rsidRPr="00831A56">
        <w:rPr>
          <w:b/>
          <w:sz w:val="24"/>
          <w:szCs w:val="24"/>
          <w:lang w:val="es-ES_tradnl"/>
        </w:rPr>
        <w:t xml:space="preserve">Segunda. - </w:t>
      </w:r>
      <w:r w:rsidRPr="00831A56">
        <w:rPr>
          <w:sz w:val="24"/>
          <w:szCs w:val="24"/>
          <w:lang w:val="es-ES_tradnl"/>
        </w:rPr>
        <w:t>De acuerdo al informe de la Dirección Metropolitana de Gestión de Riesgos No I-008-EAH-AT-DMGR-2022,</w:t>
      </w:r>
      <w:r w:rsidRPr="00831A56">
        <w:rPr>
          <w:bCs/>
          <w:color w:val="000000"/>
          <w:sz w:val="24"/>
          <w:szCs w:val="24"/>
        </w:rPr>
        <w:t xml:space="preserve"> de 25 de mayo de 2022</w:t>
      </w:r>
      <w:r w:rsidRPr="00831A56">
        <w:rPr>
          <w:sz w:val="24"/>
          <w:szCs w:val="24"/>
        </w:rPr>
        <w:t xml:space="preserve">, </w:t>
      </w:r>
      <w:r w:rsidRPr="00831A56">
        <w:rPr>
          <w:sz w:val="24"/>
          <w:szCs w:val="24"/>
          <w:lang w:val="es-ES_tradnl"/>
        </w:rPr>
        <w:t>el asentamiento deberá cumplir las siguientes disposiciones:</w:t>
      </w:r>
    </w:p>
    <w:p w14:paraId="17038E43" w14:textId="77777777" w:rsidR="00C02AAE" w:rsidRPr="00831A56" w:rsidRDefault="00C02AAE" w:rsidP="00C02AAE">
      <w:pPr>
        <w:pStyle w:val="Prrafodelista"/>
        <w:numPr>
          <w:ilvl w:val="0"/>
          <w:numId w:val="1"/>
        </w:numPr>
        <w:shd w:val="clear" w:color="auto" w:fill="FFFFFF"/>
        <w:autoSpaceDE w:val="0"/>
        <w:autoSpaceDN w:val="0"/>
        <w:adjustRightInd w:val="0"/>
        <w:spacing w:after="240"/>
        <w:jc w:val="both"/>
        <w:rPr>
          <w:sz w:val="24"/>
          <w:szCs w:val="24"/>
          <w:lang w:val="es-EC" w:eastAsia="es-ES_tradnl"/>
        </w:rPr>
      </w:pPr>
      <w:r w:rsidRPr="00831A56">
        <w:rPr>
          <w:sz w:val="24"/>
          <w:szCs w:val="24"/>
        </w:rPr>
        <w:t xml:space="preserve">Se dispone </w:t>
      </w:r>
      <w:r w:rsidRPr="00831A56">
        <w:rPr>
          <w:sz w:val="24"/>
          <w:szCs w:val="24"/>
          <w:lang w:val="es-EC" w:eastAsia="es-ES_tradnl"/>
        </w:rPr>
        <w:t xml:space="preserve">que, los propietarios y/o posesionarios del AHHYC, no construyan más viviendas en el </w:t>
      </w:r>
      <w:proofErr w:type="spellStart"/>
      <w:r w:rsidRPr="00831A56">
        <w:rPr>
          <w:sz w:val="24"/>
          <w:szCs w:val="24"/>
          <w:lang w:val="es-EC" w:eastAsia="es-ES_tradnl"/>
        </w:rPr>
        <w:t>macrolote</w:t>
      </w:r>
      <w:proofErr w:type="spellEnd"/>
      <w:r w:rsidRPr="00831A56">
        <w:rPr>
          <w:sz w:val="24"/>
          <w:szCs w:val="24"/>
          <w:lang w:val="es-EC" w:eastAsia="es-ES_tradnl"/>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7E756199" w14:textId="77777777" w:rsidR="00C02AAE" w:rsidRPr="00831A56" w:rsidRDefault="00C02AAE" w:rsidP="00C02AAE">
      <w:pPr>
        <w:shd w:val="clear" w:color="auto" w:fill="FFFFFF"/>
        <w:autoSpaceDE w:val="0"/>
        <w:autoSpaceDN w:val="0"/>
        <w:adjustRightInd w:val="0"/>
        <w:spacing w:after="240"/>
        <w:jc w:val="both"/>
        <w:rPr>
          <w:sz w:val="24"/>
          <w:szCs w:val="24"/>
          <w:lang w:val="es-EC" w:eastAsia="es-ES_tradnl"/>
        </w:rPr>
      </w:pPr>
      <w:r w:rsidRPr="00831A56">
        <w:rPr>
          <w:sz w:val="24"/>
          <w:szCs w:val="24"/>
          <w:lang w:val="es-EC" w:eastAsia="es-ES_tradnl"/>
        </w:rPr>
        <w:t xml:space="preserve">La Unidad Especial “Regula tu Barrio” deberá comunicar a la comunidad del AHHYC de interés social denominado </w:t>
      </w:r>
      <w:r w:rsidRPr="00831A56">
        <w:rPr>
          <w:rFonts w:eastAsia="Calibri"/>
          <w:bCs/>
          <w:sz w:val="24"/>
          <w:szCs w:val="24"/>
        </w:rPr>
        <w:t>“José Gabriel Alarcón”</w:t>
      </w:r>
      <w:r w:rsidRPr="00831A56">
        <w:rPr>
          <w:sz w:val="24"/>
          <w:szCs w:val="24"/>
          <w:lang w:val="es-EC" w:eastAsia="es-ES_tradnl"/>
        </w:rPr>
        <w:t>, lo descrito en el informe de Dirección Metropolitana de Gestión de Riesgos, especialmente referente a la calificación del riesgo ante las diferentes amenazas analizadas y las respectivas recomendaciones técnicas, socializando la importancia de su cumplimiento en reducción del riesgo y seguridad ciudadana.</w:t>
      </w:r>
    </w:p>
    <w:p w14:paraId="782E32CC" w14:textId="77777777" w:rsidR="00C02AAE" w:rsidRPr="00A7136F" w:rsidRDefault="00C02AAE" w:rsidP="00C02AAE">
      <w:pPr>
        <w:spacing w:after="360"/>
        <w:jc w:val="both"/>
        <w:rPr>
          <w:b/>
          <w:sz w:val="24"/>
          <w:szCs w:val="24"/>
          <w:lang w:val="es-ES_tradnl"/>
        </w:rPr>
      </w:pPr>
      <w:r>
        <w:rPr>
          <w:b/>
          <w:sz w:val="24"/>
          <w:szCs w:val="24"/>
          <w:lang w:val="es-ES_tradnl"/>
        </w:rPr>
        <w:t>Tercera</w:t>
      </w:r>
      <w:commentRangeStart w:id="12"/>
      <w:r w:rsidRPr="00A7136F">
        <w:rPr>
          <w:b/>
          <w:sz w:val="24"/>
          <w:szCs w:val="24"/>
          <w:lang w:val="es-ES_tradnl"/>
        </w:rPr>
        <w:t xml:space="preserve">. - </w:t>
      </w:r>
      <w:r w:rsidRPr="00A7136F">
        <w:rPr>
          <w:sz w:val="24"/>
          <w:szCs w:val="24"/>
          <w:lang w:val="es-ES_tradnl"/>
        </w:rPr>
        <w:t>La Secretaría General del Concejo Metropolitano de Quito, una vez sellados los planos del fraccionamiento aprobado por el Concejo Metropolitano de Quito, deberá remitir una copia certificada a las administraciones zonales y a las instancias dotadoras de servicio básicos.</w:t>
      </w:r>
    </w:p>
    <w:p w14:paraId="1F5FC501" w14:textId="77777777" w:rsidR="00C02AAE" w:rsidRPr="00A7136F" w:rsidRDefault="00C02AAE" w:rsidP="00C02AAE">
      <w:pPr>
        <w:spacing w:after="360"/>
        <w:jc w:val="both"/>
        <w:rPr>
          <w:b/>
          <w:sz w:val="24"/>
          <w:szCs w:val="24"/>
          <w:lang w:val="es-ES_tradnl"/>
        </w:rPr>
      </w:pPr>
      <w:r>
        <w:rPr>
          <w:b/>
          <w:sz w:val="24"/>
          <w:szCs w:val="24"/>
          <w:lang w:val="es-ES_tradnl"/>
        </w:rPr>
        <w:t>Cuarta</w:t>
      </w:r>
      <w:r w:rsidRPr="00A7136F">
        <w:rPr>
          <w:b/>
          <w:sz w:val="24"/>
          <w:szCs w:val="24"/>
          <w:lang w:val="es-ES_tradnl"/>
        </w:rPr>
        <w:t xml:space="preserve">. - </w:t>
      </w:r>
      <w:r w:rsidRPr="00A7136F">
        <w:rPr>
          <w:sz w:val="24"/>
          <w:szCs w:val="24"/>
          <w:lang w:val="es-ES_tradnl"/>
        </w:rPr>
        <w:t>La presente Ordenanza se aprueba en base a los informes que son de exclusiva responsabilidad de los funcionarios que lo suscriben y realizan.</w:t>
      </w:r>
    </w:p>
    <w:p w14:paraId="38158BCF" w14:textId="77777777" w:rsidR="00C02AAE" w:rsidRPr="00A7136F" w:rsidRDefault="00C02AAE" w:rsidP="00C02AAE">
      <w:pPr>
        <w:spacing w:after="360"/>
        <w:jc w:val="both"/>
        <w:rPr>
          <w:sz w:val="24"/>
          <w:szCs w:val="24"/>
          <w:lang w:val="es-ES_tradnl"/>
        </w:rPr>
      </w:pPr>
      <w:proofErr w:type="gramStart"/>
      <w:r>
        <w:rPr>
          <w:b/>
          <w:sz w:val="24"/>
          <w:szCs w:val="24"/>
          <w:lang w:val="es-ES_tradnl"/>
        </w:rPr>
        <w:lastRenderedPageBreak/>
        <w:t>Quinta</w:t>
      </w:r>
      <w:r w:rsidRPr="00A7136F">
        <w:rPr>
          <w:b/>
          <w:sz w:val="24"/>
          <w:szCs w:val="24"/>
          <w:lang w:val="es-ES_tradnl"/>
        </w:rPr>
        <w:t>.-</w:t>
      </w:r>
      <w:proofErr w:type="gramEnd"/>
      <w:r w:rsidRPr="00A7136F">
        <w:rPr>
          <w:b/>
          <w:sz w:val="24"/>
          <w:szCs w:val="24"/>
          <w:lang w:val="es-ES_tradnl"/>
        </w:rPr>
        <w:t xml:space="preserve"> </w:t>
      </w:r>
      <w:r w:rsidRPr="00A7136F">
        <w:rPr>
          <w:sz w:val="24"/>
          <w:szCs w:val="24"/>
          <w:lang w:val="es-ES_tradnl"/>
        </w:rPr>
        <w:t>Disponer a los copropietarios del asentamiento humano de hecho y consolidado de interés social</w:t>
      </w:r>
      <w:r>
        <w:rPr>
          <w:sz w:val="24"/>
          <w:szCs w:val="24"/>
          <w:lang w:val="es-ES_tradnl"/>
        </w:rPr>
        <w:t xml:space="preserve"> denominado</w:t>
      </w:r>
      <w:r w:rsidRPr="00A7136F">
        <w:rPr>
          <w:sz w:val="24"/>
          <w:szCs w:val="24"/>
          <w:lang w:val="es-ES_tradnl"/>
        </w:rPr>
        <w:t xml:space="preserve"> </w:t>
      </w:r>
      <w:r w:rsidRPr="00A7136F">
        <w:rPr>
          <w:sz w:val="24"/>
          <w:szCs w:val="24"/>
          <w:shd w:val="clear" w:color="auto" w:fill="FFFFFF"/>
        </w:rPr>
        <w:t>Barrio “José Gabriel Alarcón”</w:t>
      </w:r>
      <w:r w:rsidRPr="00A7136F">
        <w:rPr>
          <w:sz w:val="24"/>
          <w:szCs w:val="24"/>
          <w:lang w:val="es-ES_tradnl"/>
        </w:rPr>
        <w:t xml:space="preserve">, una vez inscrita la presente Ordenanza Metropolitana en el Registro de la Propiedad, soliciten en debida forma a la Empresa </w:t>
      </w:r>
      <w:r>
        <w:rPr>
          <w:sz w:val="24"/>
          <w:szCs w:val="24"/>
          <w:lang w:val="es-ES_tradnl"/>
        </w:rPr>
        <w:t>Eléctrica Quito (EEQ</w:t>
      </w:r>
      <w:r w:rsidRPr="00A7136F">
        <w:rPr>
          <w:sz w:val="24"/>
          <w:szCs w:val="24"/>
          <w:lang w:val="es-ES_tradnl"/>
        </w:rPr>
        <w:t xml:space="preserve">), para que en el ejercicio de sus atribuciones y planificación proceda a realizar los estudios, diseños y ejecución de las obras de infraestructura para la dotación de </w:t>
      </w:r>
      <w:r>
        <w:rPr>
          <w:sz w:val="24"/>
          <w:szCs w:val="24"/>
          <w:lang w:val="es-ES_tradnl"/>
        </w:rPr>
        <w:t>luz eléctrica</w:t>
      </w:r>
      <w:r w:rsidRPr="00A7136F">
        <w:rPr>
          <w:sz w:val="24"/>
          <w:szCs w:val="24"/>
          <w:lang w:val="es-ES_tradnl"/>
        </w:rPr>
        <w:t>.</w:t>
      </w:r>
    </w:p>
    <w:p w14:paraId="2DA152E0" w14:textId="77777777" w:rsidR="00C02AAE" w:rsidRPr="00A7136F" w:rsidRDefault="00C02AAE" w:rsidP="00C02AAE">
      <w:pPr>
        <w:spacing w:after="360"/>
        <w:jc w:val="both"/>
        <w:rPr>
          <w:sz w:val="24"/>
          <w:szCs w:val="24"/>
          <w:lang w:val="es-ES_tradnl"/>
        </w:rPr>
      </w:pPr>
      <w:r w:rsidRPr="00A7136F">
        <w:rPr>
          <w:sz w:val="24"/>
          <w:szCs w:val="24"/>
          <w:lang w:val="es-ES_tradnl"/>
        </w:rPr>
        <w:t xml:space="preserve">Requerir a la Empresa </w:t>
      </w:r>
      <w:r>
        <w:rPr>
          <w:sz w:val="24"/>
          <w:szCs w:val="24"/>
          <w:lang w:val="es-ES_tradnl"/>
        </w:rPr>
        <w:t>Eléctrica Quito (EEQ</w:t>
      </w:r>
      <w:r w:rsidRPr="00A7136F">
        <w:rPr>
          <w:sz w:val="24"/>
          <w:szCs w:val="24"/>
          <w:lang w:val="es-ES_tradnl"/>
        </w:rPr>
        <w:t xml:space="preserve">), que una vez culminen con la ejecución de las obras de infraestructura en el asentamiento humano de hecho y consolidado de interés social denominado </w:t>
      </w:r>
      <w:r w:rsidRPr="00A7136F">
        <w:rPr>
          <w:sz w:val="24"/>
          <w:szCs w:val="24"/>
          <w:shd w:val="clear" w:color="auto" w:fill="FFFFFF"/>
        </w:rPr>
        <w:t>Barrio “José Gabriel Alarcón”</w:t>
      </w:r>
      <w:r w:rsidRPr="00A7136F">
        <w:rPr>
          <w:sz w:val="24"/>
          <w:szCs w:val="24"/>
          <w:lang w:val="es-ES_tradnl"/>
        </w:rPr>
        <w:t>, deberán notificar a los copropietarios asentamiento humano y a la Administración Zonal Eugenio Espejo, con el acta de entrega recepción definitiva de las obras de infraestructura que son de sus atribuciones.</w:t>
      </w:r>
      <w:commentRangeEnd w:id="12"/>
      <w:r>
        <w:rPr>
          <w:rStyle w:val="Refdecomentario"/>
        </w:rPr>
        <w:commentReference w:id="12"/>
      </w:r>
    </w:p>
    <w:p w14:paraId="20F52A94" w14:textId="77777777" w:rsidR="00C02AAE" w:rsidRPr="00831A56" w:rsidRDefault="00C02AAE" w:rsidP="00C02AAE">
      <w:pPr>
        <w:spacing w:after="360"/>
        <w:jc w:val="both"/>
        <w:rPr>
          <w:i/>
          <w:sz w:val="24"/>
          <w:szCs w:val="24"/>
          <w:lang w:val="es-ES_tradnl"/>
        </w:rPr>
      </w:pPr>
      <w:r w:rsidRPr="00831A56">
        <w:rPr>
          <w:b/>
          <w:sz w:val="24"/>
          <w:szCs w:val="24"/>
          <w:lang w:val="es-ES_tradnl"/>
        </w:rPr>
        <w:t xml:space="preserve">Disposición Final. - </w:t>
      </w:r>
      <w:r w:rsidRPr="00831A56">
        <w:rPr>
          <w:bCs/>
          <w:sz w:val="24"/>
          <w:szCs w:val="24"/>
          <w:lang w:val="es-ES_tradnl"/>
        </w:rPr>
        <w:t>Esta ordenanza entrará en vigencia a partir de la fecha de su sanción, sin perjuicio de su publicación en la página web institucional de la Municipalidad.</w:t>
      </w:r>
    </w:p>
    <w:p w14:paraId="786F2303" w14:textId="77777777" w:rsidR="00C02AAE" w:rsidRPr="00831A56" w:rsidRDefault="00C02AAE" w:rsidP="00C02AAE">
      <w:pPr>
        <w:jc w:val="both"/>
        <w:rPr>
          <w:sz w:val="24"/>
          <w:szCs w:val="24"/>
        </w:rPr>
      </w:pPr>
      <w:r w:rsidRPr="00831A56">
        <w:rPr>
          <w:sz w:val="24"/>
          <w:szCs w:val="24"/>
        </w:rPr>
        <w:t xml:space="preserve">Dada, en la Sala de Sesiones del Concejo Metropolitano de Quito, </w:t>
      </w:r>
      <w:proofErr w:type="gramStart"/>
      <w:r w:rsidRPr="00831A56">
        <w:rPr>
          <w:sz w:val="24"/>
          <w:szCs w:val="24"/>
        </w:rPr>
        <w:t>el.…</w:t>
      </w:r>
      <w:proofErr w:type="gramEnd"/>
      <w:r w:rsidRPr="00831A56">
        <w:rPr>
          <w:sz w:val="24"/>
          <w:szCs w:val="24"/>
        </w:rPr>
        <w:t>… de …………. del 2023.</w:t>
      </w:r>
    </w:p>
    <w:p w14:paraId="5A9F3395" w14:textId="77777777" w:rsidR="00C02AAE" w:rsidRPr="00831A56" w:rsidRDefault="00C02AAE" w:rsidP="00C02AAE">
      <w:pPr>
        <w:pStyle w:val="Textopredeterminado"/>
        <w:shd w:val="clear" w:color="auto" w:fill="FFFFFF"/>
        <w:jc w:val="both"/>
        <w:rPr>
          <w:szCs w:val="24"/>
          <w:lang w:val="es-ES"/>
        </w:rPr>
      </w:pPr>
    </w:p>
    <w:p w14:paraId="288AC0F5" w14:textId="77777777" w:rsidR="00C02AAE" w:rsidRPr="00831A56" w:rsidRDefault="00C02AAE" w:rsidP="00C02AAE">
      <w:pPr>
        <w:jc w:val="both"/>
        <w:rPr>
          <w:sz w:val="24"/>
          <w:szCs w:val="24"/>
        </w:rPr>
      </w:pPr>
    </w:p>
    <w:p w14:paraId="6E194B12" w14:textId="77777777" w:rsidR="00C02AAE" w:rsidRPr="00831A56" w:rsidRDefault="00C02AAE" w:rsidP="00C02AAE">
      <w:pPr>
        <w:jc w:val="both"/>
        <w:rPr>
          <w:sz w:val="24"/>
          <w:szCs w:val="24"/>
        </w:rPr>
      </w:pPr>
    </w:p>
    <w:p w14:paraId="5B61EA19" w14:textId="77777777" w:rsidR="00C02AAE" w:rsidRPr="00831A56" w:rsidRDefault="00C02AAE" w:rsidP="00C02AAE">
      <w:pPr>
        <w:jc w:val="both"/>
        <w:rPr>
          <w:sz w:val="24"/>
          <w:szCs w:val="24"/>
        </w:rPr>
      </w:pPr>
    </w:p>
    <w:p w14:paraId="565EA4F6" w14:textId="77777777" w:rsidR="00C02AAE" w:rsidRPr="00831A56" w:rsidRDefault="00C02AAE" w:rsidP="00C02AAE">
      <w:pPr>
        <w:pStyle w:val="Textopredeterminado"/>
        <w:shd w:val="clear" w:color="auto" w:fill="FFFFFF"/>
        <w:jc w:val="both"/>
        <w:rPr>
          <w:szCs w:val="24"/>
          <w:lang w:val="es-ES"/>
        </w:rPr>
      </w:pPr>
    </w:p>
    <w:p w14:paraId="07EB5015" w14:textId="77777777" w:rsidR="00C02AAE" w:rsidRPr="00831A56" w:rsidRDefault="00C02AAE" w:rsidP="00C02AAE">
      <w:pPr>
        <w:pStyle w:val="Textosinformato"/>
        <w:jc w:val="center"/>
        <w:rPr>
          <w:rFonts w:ascii="Times New Roman" w:eastAsia="MS Mincho" w:hAnsi="Times New Roman"/>
          <w:sz w:val="24"/>
          <w:szCs w:val="24"/>
        </w:rPr>
      </w:pPr>
      <w:r w:rsidRPr="00831A56">
        <w:rPr>
          <w:rFonts w:ascii="Times New Roman" w:eastAsia="MS Mincho" w:hAnsi="Times New Roman"/>
          <w:sz w:val="24"/>
          <w:szCs w:val="24"/>
        </w:rPr>
        <w:t>Abg. Pablo Antonio Santillán Paredes</w:t>
      </w:r>
    </w:p>
    <w:p w14:paraId="696BD984" w14:textId="77777777" w:rsidR="00C02AAE" w:rsidRPr="00831A56" w:rsidRDefault="00C02AAE" w:rsidP="00C02AAE">
      <w:pPr>
        <w:pStyle w:val="Textosinformato"/>
        <w:spacing w:after="240"/>
        <w:jc w:val="center"/>
        <w:rPr>
          <w:rFonts w:ascii="Times New Roman" w:eastAsia="MS Mincho" w:hAnsi="Times New Roman"/>
          <w:b/>
          <w:bCs/>
          <w:sz w:val="24"/>
          <w:szCs w:val="24"/>
        </w:rPr>
      </w:pPr>
      <w:r w:rsidRPr="00831A56">
        <w:rPr>
          <w:rFonts w:ascii="Times New Roman" w:eastAsia="MS Mincho" w:hAnsi="Times New Roman"/>
          <w:b/>
          <w:bCs/>
          <w:sz w:val="24"/>
          <w:szCs w:val="24"/>
        </w:rPr>
        <w:t xml:space="preserve">SECRETARIO GENERAL DEL CONCEJO METROPOLITANO DE QUITO </w:t>
      </w:r>
    </w:p>
    <w:p w14:paraId="69849D61" w14:textId="77777777" w:rsidR="00C02AAE" w:rsidRPr="00831A56" w:rsidRDefault="00C02AAE" w:rsidP="00C02AAE">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4"/>
          <w:szCs w:val="24"/>
        </w:rPr>
      </w:pPr>
      <w:r w:rsidRPr="00831A56">
        <w:rPr>
          <w:rFonts w:ascii="Times New Roman" w:eastAsia="MS Mincho" w:hAnsi="Times New Roman"/>
          <w:b/>
          <w:bCs/>
          <w:sz w:val="24"/>
          <w:szCs w:val="24"/>
        </w:rPr>
        <w:t>CERTIFICADO DE DISCUSIÓN</w:t>
      </w:r>
    </w:p>
    <w:p w14:paraId="1F9678D1" w14:textId="77777777" w:rsidR="00C02AAE" w:rsidRPr="00831A56" w:rsidRDefault="00C02AAE" w:rsidP="00C02AAE">
      <w:pPr>
        <w:pStyle w:val="Textosinformato"/>
        <w:jc w:val="center"/>
        <w:rPr>
          <w:rFonts w:ascii="Times New Roman" w:eastAsia="MS Mincho" w:hAnsi="Times New Roman"/>
          <w:sz w:val="24"/>
          <w:szCs w:val="24"/>
        </w:rPr>
      </w:pPr>
    </w:p>
    <w:p w14:paraId="6AA5B6F3" w14:textId="77777777" w:rsidR="00C02AAE" w:rsidRPr="00831A56" w:rsidRDefault="00C02AAE" w:rsidP="00C02AAE">
      <w:pPr>
        <w:pStyle w:val="Textosinformato"/>
        <w:spacing w:line="276" w:lineRule="auto"/>
        <w:jc w:val="center"/>
        <w:rPr>
          <w:rFonts w:ascii="Times New Roman" w:eastAsia="MS Mincho" w:hAnsi="Times New Roman"/>
          <w:sz w:val="24"/>
          <w:szCs w:val="24"/>
        </w:rPr>
      </w:pPr>
    </w:p>
    <w:p w14:paraId="72687DFD" w14:textId="77777777" w:rsidR="00C02AAE" w:rsidRPr="00831A56" w:rsidRDefault="00C02AAE" w:rsidP="00C02AAE">
      <w:pPr>
        <w:pStyle w:val="Textosinformato"/>
        <w:spacing w:line="276" w:lineRule="auto"/>
        <w:jc w:val="center"/>
        <w:rPr>
          <w:rFonts w:ascii="Times New Roman" w:eastAsia="MS Mincho" w:hAnsi="Times New Roman"/>
          <w:sz w:val="24"/>
          <w:szCs w:val="24"/>
        </w:rPr>
      </w:pPr>
      <w:r w:rsidRPr="00831A56">
        <w:rPr>
          <w:rFonts w:ascii="Times New Roman" w:eastAsia="MS Mincho" w:hAnsi="Times New Roman"/>
          <w:sz w:val="24"/>
          <w:szCs w:val="24"/>
        </w:rPr>
        <w:t>La infrascrita Secretaria General del Concejo Metropolitano de Quito, certifica que la presente ordenanza fue discutida y aprobada en dos debates, en sesiones de</w:t>
      </w:r>
      <w:proofErr w:type="gramStart"/>
      <w:r w:rsidRPr="00831A56">
        <w:rPr>
          <w:rFonts w:ascii="Times New Roman" w:eastAsia="MS Mincho" w:hAnsi="Times New Roman"/>
          <w:sz w:val="24"/>
          <w:szCs w:val="24"/>
        </w:rPr>
        <w:t xml:space="preserve"> ….</w:t>
      </w:r>
      <w:proofErr w:type="gramEnd"/>
      <w:r w:rsidRPr="00831A56">
        <w:rPr>
          <w:rFonts w:ascii="Times New Roman" w:eastAsia="MS Mincho" w:hAnsi="Times New Roman"/>
          <w:sz w:val="24"/>
          <w:szCs w:val="24"/>
        </w:rPr>
        <w:t>.de ……..  y</w:t>
      </w:r>
      <w:proofErr w:type="gramStart"/>
      <w:r w:rsidRPr="00831A56">
        <w:rPr>
          <w:rFonts w:ascii="Times New Roman" w:eastAsia="MS Mincho" w:hAnsi="Times New Roman"/>
          <w:sz w:val="24"/>
          <w:szCs w:val="24"/>
        </w:rPr>
        <w:t xml:space="preserve"> ….</w:t>
      </w:r>
      <w:proofErr w:type="gramEnd"/>
      <w:r w:rsidRPr="00831A56">
        <w:rPr>
          <w:rFonts w:ascii="Times New Roman" w:eastAsia="MS Mincho" w:hAnsi="Times New Roman"/>
          <w:sz w:val="24"/>
          <w:szCs w:val="24"/>
        </w:rPr>
        <w:t>. de …………. de 2023 - Quito,</w:t>
      </w:r>
    </w:p>
    <w:p w14:paraId="2DB63A76" w14:textId="77777777" w:rsidR="00C02AAE" w:rsidRPr="00831A56" w:rsidRDefault="00C02AAE" w:rsidP="00C02AAE">
      <w:pPr>
        <w:pStyle w:val="Textosinformato"/>
        <w:jc w:val="center"/>
        <w:rPr>
          <w:rFonts w:ascii="Times New Roman" w:eastAsia="MS Mincho" w:hAnsi="Times New Roman"/>
          <w:sz w:val="24"/>
          <w:szCs w:val="24"/>
        </w:rPr>
      </w:pPr>
    </w:p>
    <w:p w14:paraId="42ED9BE8" w14:textId="77777777" w:rsidR="00C02AAE" w:rsidRPr="00831A56" w:rsidRDefault="00C02AAE" w:rsidP="00C02AAE">
      <w:pPr>
        <w:pStyle w:val="Textosinformato"/>
        <w:rPr>
          <w:rFonts w:ascii="Times New Roman" w:eastAsia="MS Mincho" w:hAnsi="Times New Roman"/>
          <w:sz w:val="24"/>
          <w:szCs w:val="24"/>
        </w:rPr>
      </w:pPr>
    </w:p>
    <w:p w14:paraId="3082E15C" w14:textId="77777777" w:rsidR="00C02AAE" w:rsidRPr="00831A56" w:rsidRDefault="00C02AAE" w:rsidP="00C02AAE">
      <w:pPr>
        <w:pStyle w:val="Textosinformato"/>
        <w:jc w:val="center"/>
        <w:rPr>
          <w:rFonts w:ascii="Times New Roman" w:eastAsia="MS Mincho" w:hAnsi="Times New Roman"/>
          <w:sz w:val="24"/>
          <w:szCs w:val="24"/>
        </w:rPr>
      </w:pPr>
    </w:p>
    <w:p w14:paraId="280C443D" w14:textId="77777777" w:rsidR="00C02AAE" w:rsidRPr="00831A56" w:rsidRDefault="00C02AAE" w:rsidP="00C02AAE">
      <w:pPr>
        <w:pStyle w:val="Textosinformato"/>
        <w:jc w:val="center"/>
        <w:rPr>
          <w:rFonts w:ascii="Times New Roman" w:eastAsia="MS Mincho" w:hAnsi="Times New Roman"/>
          <w:sz w:val="24"/>
          <w:szCs w:val="24"/>
        </w:rPr>
      </w:pPr>
    </w:p>
    <w:p w14:paraId="79A2AC60" w14:textId="77777777" w:rsidR="00C02AAE" w:rsidRPr="00831A56" w:rsidRDefault="00C02AAE" w:rsidP="00C02AAE">
      <w:pPr>
        <w:pStyle w:val="Textosinformato"/>
        <w:jc w:val="center"/>
        <w:rPr>
          <w:rFonts w:ascii="Times New Roman" w:eastAsia="MS Mincho" w:hAnsi="Times New Roman"/>
          <w:sz w:val="24"/>
          <w:szCs w:val="24"/>
        </w:rPr>
      </w:pPr>
      <w:r w:rsidRPr="00831A56">
        <w:rPr>
          <w:rFonts w:ascii="Times New Roman" w:eastAsia="MS Mincho" w:hAnsi="Times New Roman"/>
          <w:sz w:val="24"/>
          <w:szCs w:val="24"/>
        </w:rPr>
        <w:t>Abg. Pablo Antonio Santillán Paredes</w:t>
      </w:r>
    </w:p>
    <w:p w14:paraId="70BBE55E" w14:textId="77777777" w:rsidR="00C02AAE" w:rsidRPr="00831A56" w:rsidRDefault="00C02AAE" w:rsidP="00C02AAE">
      <w:pPr>
        <w:pStyle w:val="Textosinformato"/>
        <w:spacing w:after="240"/>
        <w:jc w:val="center"/>
        <w:rPr>
          <w:rFonts w:ascii="Times New Roman" w:eastAsia="MS Mincho" w:hAnsi="Times New Roman"/>
          <w:b/>
          <w:bCs/>
          <w:sz w:val="24"/>
          <w:szCs w:val="24"/>
        </w:rPr>
      </w:pPr>
      <w:r w:rsidRPr="00831A56">
        <w:rPr>
          <w:rFonts w:ascii="Times New Roman" w:eastAsia="MS Mincho" w:hAnsi="Times New Roman"/>
          <w:b/>
          <w:bCs/>
          <w:sz w:val="24"/>
          <w:szCs w:val="24"/>
        </w:rPr>
        <w:t xml:space="preserve">SECRETARIO GENERAL DEL CONCEJO METROPOLITANO DE QUITO </w:t>
      </w:r>
    </w:p>
    <w:p w14:paraId="735B4925" w14:textId="77777777" w:rsidR="00C02AAE" w:rsidRPr="00831A56" w:rsidRDefault="00C02AAE" w:rsidP="00C02AAE">
      <w:pPr>
        <w:pStyle w:val="Textosinformato"/>
        <w:jc w:val="center"/>
        <w:rPr>
          <w:rFonts w:ascii="Times New Roman" w:eastAsia="MS Mincho" w:hAnsi="Times New Roman"/>
          <w:sz w:val="24"/>
          <w:szCs w:val="24"/>
        </w:rPr>
      </w:pPr>
    </w:p>
    <w:p w14:paraId="10121657" w14:textId="77777777" w:rsidR="00C02AAE" w:rsidRPr="00831A56" w:rsidRDefault="00C02AAE" w:rsidP="00C02AAE">
      <w:pPr>
        <w:pStyle w:val="Textosinformato"/>
        <w:jc w:val="center"/>
        <w:rPr>
          <w:rFonts w:ascii="Times New Roman" w:eastAsia="MS Mincho" w:hAnsi="Times New Roman"/>
          <w:sz w:val="24"/>
          <w:szCs w:val="24"/>
        </w:rPr>
      </w:pPr>
    </w:p>
    <w:p w14:paraId="20EFD1DD" w14:textId="77777777" w:rsidR="00C02AAE" w:rsidRPr="00831A56" w:rsidRDefault="00C02AAE" w:rsidP="00C02AAE">
      <w:pPr>
        <w:pStyle w:val="Textosinformato"/>
        <w:jc w:val="center"/>
        <w:rPr>
          <w:rFonts w:ascii="Times New Roman" w:eastAsia="MS Mincho" w:hAnsi="Times New Roman"/>
          <w:sz w:val="24"/>
          <w:szCs w:val="24"/>
        </w:rPr>
      </w:pPr>
    </w:p>
    <w:p w14:paraId="2B52BEFD" w14:textId="77777777" w:rsidR="00C02AAE" w:rsidRPr="00831A56" w:rsidRDefault="00C02AAE" w:rsidP="00C02AAE">
      <w:pPr>
        <w:pStyle w:val="Textosinformato"/>
        <w:jc w:val="center"/>
        <w:rPr>
          <w:rFonts w:ascii="Times New Roman" w:eastAsia="MS Mincho" w:hAnsi="Times New Roman"/>
          <w:sz w:val="24"/>
          <w:szCs w:val="24"/>
        </w:rPr>
      </w:pPr>
    </w:p>
    <w:p w14:paraId="2075B020" w14:textId="77777777" w:rsidR="00C02AAE" w:rsidRPr="00831A56" w:rsidRDefault="00C02AAE" w:rsidP="00C02AAE">
      <w:pPr>
        <w:pStyle w:val="Textosinformato"/>
        <w:jc w:val="center"/>
        <w:rPr>
          <w:rFonts w:ascii="Times New Roman" w:eastAsia="MS Mincho" w:hAnsi="Times New Roman"/>
          <w:sz w:val="24"/>
          <w:szCs w:val="24"/>
        </w:rPr>
      </w:pPr>
    </w:p>
    <w:p w14:paraId="5DF288A6" w14:textId="77777777" w:rsidR="00C02AAE" w:rsidRPr="00831A56" w:rsidRDefault="00C02AAE" w:rsidP="00C02AAE">
      <w:pPr>
        <w:pStyle w:val="Textosinformato"/>
        <w:jc w:val="center"/>
        <w:rPr>
          <w:rFonts w:ascii="Times New Roman" w:eastAsia="MS Mincho" w:hAnsi="Times New Roman"/>
          <w:sz w:val="24"/>
          <w:szCs w:val="24"/>
        </w:rPr>
      </w:pPr>
      <w:r w:rsidRPr="00831A56">
        <w:rPr>
          <w:rFonts w:ascii="Times New Roman" w:eastAsia="MS Mincho" w:hAnsi="Times New Roman"/>
          <w:b/>
          <w:bCs/>
          <w:sz w:val="24"/>
          <w:szCs w:val="24"/>
        </w:rPr>
        <w:t>ALCALDÍA DEL DISTRITO METROPOLITANO. -</w:t>
      </w:r>
      <w:r w:rsidRPr="00831A56">
        <w:rPr>
          <w:rFonts w:ascii="Times New Roman" w:eastAsia="MS Mincho" w:hAnsi="Times New Roman"/>
          <w:sz w:val="24"/>
          <w:szCs w:val="24"/>
        </w:rPr>
        <w:t xml:space="preserve">  Distrito Metropolitano de Quito,</w:t>
      </w:r>
    </w:p>
    <w:p w14:paraId="3C713E04" w14:textId="77777777" w:rsidR="00C02AAE" w:rsidRPr="00831A56" w:rsidRDefault="00C02AAE" w:rsidP="00C02AAE">
      <w:pPr>
        <w:pStyle w:val="Textosinformato"/>
        <w:jc w:val="center"/>
        <w:rPr>
          <w:rFonts w:ascii="Times New Roman" w:eastAsia="MS Mincho" w:hAnsi="Times New Roman"/>
          <w:b/>
          <w:sz w:val="24"/>
          <w:szCs w:val="24"/>
        </w:rPr>
      </w:pPr>
    </w:p>
    <w:p w14:paraId="5F650701" w14:textId="77777777" w:rsidR="00C02AAE" w:rsidRDefault="00C02AAE" w:rsidP="00C02AAE">
      <w:pPr>
        <w:pStyle w:val="Textosinformato"/>
        <w:spacing w:after="480"/>
        <w:jc w:val="center"/>
        <w:rPr>
          <w:rFonts w:ascii="Times New Roman" w:eastAsia="MS Mincho" w:hAnsi="Times New Roman"/>
          <w:b/>
          <w:sz w:val="24"/>
          <w:szCs w:val="24"/>
        </w:rPr>
      </w:pPr>
    </w:p>
    <w:p w14:paraId="41CA8C40" w14:textId="77777777" w:rsidR="00C02AAE" w:rsidRPr="00831A56" w:rsidRDefault="00C02AAE" w:rsidP="00C02AAE">
      <w:pPr>
        <w:pStyle w:val="Textosinformato"/>
        <w:spacing w:after="480"/>
        <w:jc w:val="center"/>
        <w:rPr>
          <w:rFonts w:ascii="Times New Roman" w:eastAsia="MS Mincho" w:hAnsi="Times New Roman"/>
          <w:b/>
          <w:sz w:val="24"/>
          <w:szCs w:val="24"/>
        </w:rPr>
      </w:pPr>
    </w:p>
    <w:p w14:paraId="127359C1" w14:textId="77777777" w:rsidR="00C02AAE" w:rsidRPr="00831A56" w:rsidRDefault="00C02AAE" w:rsidP="00C02AAE">
      <w:pPr>
        <w:pStyle w:val="Textosinformato"/>
        <w:spacing w:after="480"/>
        <w:jc w:val="center"/>
        <w:rPr>
          <w:rFonts w:ascii="Times New Roman" w:eastAsia="MS Mincho" w:hAnsi="Times New Roman"/>
          <w:b/>
          <w:sz w:val="24"/>
          <w:szCs w:val="24"/>
        </w:rPr>
      </w:pPr>
      <w:r w:rsidRPr="00831A56">
        <w:rPr>
          <w:rFonts w:ascii="Times New Roman" w:eastAsia="MS Mincho" w:hAnsi="Times New Roman"/>
          <w:b/>
          <w:sz w:val="24"/>
          <w:szCs w:val="24"/>
        </w:rPr>
        <w:lastRenderedPageBreak/>
        <w:t>EJECÚTESE:</w:t>
      </w:r>
    </w:p>
    <w:p w14:paraId="6E47072B" w14:textId="77777777" w:rsidR="00C02AAE" w:rsidRPr="00831A56" w:rsidRDefault="00C02AAE" w:rsidP="00C02AAE">
      <w:pPr>
        <w:pStyle w:val="Textosinformato"/>
        <w:jc w:val="center"/>
        <w:rPr>
          <w:rFonts w:ascii="Times New Roman" w:eastAsia="MS Mincho" w:hAnsi="Times New Roman"/>
          <w:sz w:val="24"/>
          <w:szCs w:val="24"/>
        </w:rPr>
      </w:pPr>
    </w:p>
    <w:p w14:paraId="35EAF675" w14:textId="77777777" w:rsidR="00C02AAE" w:rsidRPr="00831A56" w:rsidRDefault="00C02AAE" w:rsidP="00C02AAE">
      <w:pPr>
        <w:pStyle w:val="Textosinformato"/>
        <w:jc w:val="center"/>
        <w:rPr>
          <w:rFonts w:ascii="Times New Roman" w:eastAsia="MS Mincho" w:hAnsi="Times New Roman"/>
          <w:sz w:val="24"/>
          <w:szCs w:val="24"/>
        </w:rPr>
      </w:pPr>
      <w:r w:rsidRPr="00831A56">
        <w:rPr>
          <w:rFonts w:ascii="Times New Roman" w:eastAsia="MS Mincho" w:hAnsi="Times New Roman"/>
          <w:sz w:val="24"/>
          <w:szCs w:val="24"/>
        </w:rPr>
        <w:t xml:space="preserve">Dr. Santiago Mauricio </w:t>
      </w:r>
      <w:proofErr w:type="spellStart"/>
      <w:r w:rsidRPr="00831A56">
        <w:rPr>
          <w:rFonts w:ascii="Times New Roman" w:eastAsia="MS Mincho" w:hAnsi="Times New Roman"/>
          <w:sz w:val="24"/>
          <w:szCs w:val="24"/>
        </w:rPr>
        <w:t>Guarderas</w:t>
      </w:r>
      <w:proofErr w:type="spellEnd"/>
      <w:r w:rsidRPr="00831A56">
        <w:rPr>
          <w:rFonts w:ascii="Times New Roman" w:eastAsia="MS Mincho" w:hAnsi="Times New Roman"/>
          <w:sz w:val="24"/>
          <w:szCs w:val="24"/>
        </w:rPr>
        <w:t xml:space="preserve"> Izquierdo</w:t>
      </w:r>
    </w:p>
    <w:p w14:paraId="11FDA778" w14:textId="77777777" w:rsidR="00C02AAE" w:rsidRPr="00831A56" w:rsidRDefault="00C02AAE" w:rsidP="00C02AAE">
      <w:pPr>
        <w:pStyle w:val="Textosinformato"/>
        <w:jc w:val="center"/>
        <w:rPr>
          <w:rFonts w:ascii="Times New Roman" w:eastAsia="MS Mincho" w:hAnsi="Times New Roman"/>
          <w:b/>
          <w:bCs/>
          <w:sz w:val="24"/>
          <w:szCs w:val="24"/>
        </w:rPr>
      </w:pPr>
      <w:r w:rsidRPr="00831A56">
        <w:rPr>
          <w:rFonts w:ascii="Times New Roman" w:eastAsia="MS Mincho" w:hAnsi="Times New Roman"/>
          <w:b/>
          <w:bCs/>
          <w:sz w:val="24"/>
          <w:szCs w:val="24"/>
        </w:rPr>
        <w:t>ALCALDE DEL DISTRITO METROPOLITANO DE QUITO</w:t>
      </w:r>
    </w:p>
    <w:p w14:paraId="4B0E6C94" w14:textId="77777777" w:rsidR="00C02AAE" w:rsidRPr="00831A56" w:rsidRDefault="00C02AAE" w:rsidP="00C02AAE">
      <w:pPr>
        <w:pStyle w:val="Textosinformato"/>
        <w:jc w:val="center"/>
        <w:rPr>
          <w:rFonts w:ascii="Times New Roman" w:eastAsia="MS Mincho" w:hAnsi="Times New Roman"/>
          <w:sz w:val="24"/>
          <w:szCs w:val="24"/>
        </w:rPr>
      </w:pPr>
    </w:p>
    <w:p w14:paraId="03683645" w14:textId="77777777" w:rsidR="00C02AAE" w:rsidRPr="00831A56" w:rsidRDefault="00C02AAE" w:rsidP="00C02AAE">
      <w:pPr>
        <w:pStyle w:val="Textosinformato"/>
        <w:jc w:val="center"/>
        <w:rPr>
          <w:rFonts w:ascii="Times New Roman" w:eastAsia="MS Mincho" w:hAnsi="Times New Roman"/>
          <w:sz w:val="24"/>
          <w:szCs w:val="24"/>
        </w:rPr>
      </w:pPr>
      <w:r w:rsidRPr="00831A56">
        <w:rPr>
          <w:rFonts w:ascii="Times New Roman" w:eastAsia="MS Mincho" w:hAnsi="Times New Roman"/>
          <w:b/>
          <w:bCs/>
          <w:sz w:val="24"/>
          <w:szCs w:val="24"/>
        </w:rPr>
        <w:t>CERTIFICO,</w:t>
      </w:r>
      <w:r w:rsidRPr="00831A56">
        <w:rPr>
          <w:rFonts w:ascii="Times New Roman" w:eastAsia="MS Mincho" w:hAnsi="Times New Roman"/>
          <w:sz w:val="24"/>
          <w:szCs w:val="24"/>
        </w:rPr>
        <w:t xml:space="preserve"> que la presente ordenanza fue sancionada por el Dr. Santiago Mauricio </w:t>
      </w:r>
      <w:proofErr w:type="spellStart"/>
      <w:r w:rsidRPr="00831A56">
        <w:rPr>
          <w:rFonts w:ascii="Times New Roman" w:eastAsia="MS Mincho" w:hAnsi="Times New Roman"/>
          <w:sz w:val="24"/>
          <w:szCs w:val="24"/>
        </w:rPr>
        <w:t>Guarderas</w:t>
      </w:r>
      <w:proofErr w:type="spellEnd"/>
      <w:r w:rsidRPr="00831A56">
        <w:rPr>
          <w:rFonts w:ascii="Times New Roman" w:eastAsia="MS Mincho" w:hAnsi="Times New Roman"/>
          <w:sz w:val="24"/>
          <w:szCs w:val="24"/>
        </w:rPr>
        <w:t xml:space="preserve"> Izquierdo, Alcalde del Distrito Metropolitano de Quito, el</w:t>
      </w:r>
    </w:p>
    <w:p w14:paraId="4FF6BA00" w14:textId="77777777" w:rsidR="00C02AAE" w:rsidRPr="00831A56" w:rsidRDefault="00C02AAE" w:rsidP="00C02AAE">
      <w:pPr>
        <w:pStyle w:val="Textosinformato"/>
        <w:tabs>
          <w:tab w:val="right" w:pos="8504"/>
        </w:tabs>
        <w:spacing w:line="276" w:lineRule="auto"/>
        <w:jc w:val="center"/>
        <w:rPr>
          <w:rFonts w:ascii="Times New Roman" w:hAnsi="Times New Roman"/>
          <w:sz w:val="24"/>
          <w:szCs w:val="24"/>
        </w:rPr>
      </w:pPr>
      <w:proofErr w:type="gramStart"/>
      <w:r w:rsidRPr="00831A56">
        <w:rPr>
          <w:rFonts w:ascii="Times New Roman" w:eastAsia="MS Mincho" w:hAnsi="Times New Roman"/>
          <w:sz w:val="24"/>
          <w:szCs w:val="24"/>
        </w:rPr>
        <w:t>.-</w:t>
      </w:r>
      <w:proofErr w:type="gramEnd"/>
      <w:r w:rsidRPr="00831A56">
        <w:rPr>
          <w:rFonts w:ascii="Times New Roman" w:eastAsia="MS Mincho" w:hAnsi="Times New Roman"/>
          <w:sz w:val="24"/>
          <w:szCs w:val="24"/>
        </w:rPr>
        <w:t xml:space="preserve"> Distrito Metropolitano de Quito</w:t>
      </w:r>
    </w:p>
    <w:p w14:paraId="474A7009" w14:textId="77777777" w:rsidR="00E93DC5" w:rsidRDefault="00E93DC5">
      <w:bookmarkStart w:id="13" w:name="_GoBack"/>
      <w:bookmarkEnd w:id="13"/>
    </w:p>
    <w:sectPr w:rsidR="00E93DC5" w:rsidSect="00F95DF2">
      <w:headerReference w:type="even" r:id="rId15"/>
      <w:headerReference w:type="default" r:id="rId16"/>
      <w:footerReference w:type="default" r:id="rId17"/>
      <w:headerReference w:type="first" r:id="rId18"/>
      <w:pgSz w:w="11906" w:h="16838"/>
      <w:pgMar w:top="1843" w:right="1416" w:bottom="567" w:left="1701" w:header="567" w:footer="294" w:gutter="0"/>
      <w:pgNumType w:start="2"/>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onia Fernanda Duran Garcia" w:date="2023-02-15T09:41:00Z" w:initials="SFDG">
    <w:p w14:paraId="1050FB62" w14:textId="77777777" w:rsidR="00C02AAE" w:rsidRDefault="00C02AAE" w:rsidP="00C02AAE">
      <w:pPr>
        <w:pStyle w:val="Textocomentario"/>
      </w:pPr>
      <w:r>
        <w:rPr>
          <w:rStyle w:val="Refdecomentario"/>
        </w:rPr>
        <w:annotationRef/>
      </w:r>
      <w:r>
        <w:t xml:space="preserve">Incluir las nuevas disposiciones legales con la aprobación del PUGS </w:t>
      </w:r>
    </w:p>
    <w:p w14:paraId="0DC8A94F" w14:textId="77777777" w:rsidR="00C02AAE" w:rsidRDefault="00C02AAE" w:rsidP="00C02AAE">
      <w:pPr>
        <w:pStyle w:val="Textocomentario"/>
      </w:pPr>
      <w:r>
        <w:t xml:space="preserve">Despacho Concejal René Bedón; y, </w:t>
      </w:r>
    </w:p>
    <w:p w14:paraId="6613F2D8" w14:textId="77777777" w:rsidR="00C02AAE" w:rsidRDefault="00C02AAE" w:rsidP="00C02AAE">
      <w:pPr>
        <w:pStyle w:val="Textocomentario"/>
      </w:pPr>
      <w:r>
        <w:t>Despacho Concejal Luis Robles</w:t>
      </w:r>
    </w:p>
  </w:comment>
  <w:comment w:id="1" w:author="Sonia Fernanda Duran Garcia" w:date="2023-02-15T09:42:00Z" w:initials="SFDG">
    <w:p w14:paraId="26583CAF" w14:textId="77777777" w:rsidR="00C02AAE" w:rsidRDefault="00C02AAE" w:rsidP="00C02AAE">
      <w:pPr>
        <w:pStyle w:val="Textocomentario"/>
      </w:pPr>
      <w:r>
        <w:rPr>
          <w:rStyle w:val="Refdecomentario"/>
        </w:rPr>
        <w:annotationRef/>
      </w:r>
      <w:r>
        <w:t>Incluir las nuevas disposiciones legales con la aprobación del PUGS sobre los AHHYC que se acogen a los procesos de regularización anterior.</w:t>
      </w:r>
    </w:p>
    <w:p w14:paraId="221CD4DA" w14:textId="77777777" w:rsidR="00C02AAE" w:rsidRDefault="00C02AAE" w:rsidP="00C02AAE">
      <w:pPr>
        <w:pStyle w:val="Textocomentario"/>
      </w:pPr>
      <w:r>
        <w:t>Despacho Concejal René Bedón</w:t>
      </w:r>
    </w:p>
  </w:comment>
  <w:comment w:id="3" w:author="Sonia Fernanda Duran Garcia" w:date="2023-02-15T09:45:00Z" w:initials="SFDG">
    <w:p w14:paraId="471E696A" w14:textId="77777777" w:rsidR="00C02AAE" w:rsidRDefault="00C02AAE" w:rsidP="00C02AAE">
      <w:pPr>
        <w:pStyle w:val="Textocomentario"/>
      </w:pPr>
      <w:r>
        <w:rPr>
          <w:rStyle w:val="Refdecomentario"/>
        </w:rPr>
        <w:annotationRef/>
      </w:r>
      <w:r>
        <w:t xml:space="preserve">Incluir observación al texto. </w:t>
      </w:r>
    </w:p>
    <w:p w14:paraId="74BEE684" w14:textId="77777777" w:rsidR="00C02AAE" w:rsidRDefault="00C02AAE" w:rsidP="00C02AAE">
      <w:pPr>
        <w:pStyle w:val="Textocomentario"/>
      </w:pPr>
      <w:r>
        <w:t xml:space="preserve">Despacho señor Alcalde Dr. Santiago </w:t>
      </w:r>
      <w:proofErr w:type="spellStart"/>
      <w:r>
        <w:t>Guarderas</w:t>
      </w:r>
      <w:proofErr w:type="spellEnd"/>
    </w:p>
    <w:p w14:paraId="5A9E3C14" w14:textId="77777777" w:rsidR="00C02AAE" w:rsidRDefault="00C02AAE" w:rsidP="00C02AAE">
      <w:pPr>
        <w:pStyle w:val="Textocomentario"/>
      </w:pPr>
    </w:p>
  </w:comment>
  <w:comment w:id="4" w:author="Sonia Fernanda Duran Garcia" w:date="2023-02-15T09:47:00Z" w:initials="SFDG">
    <w:p w14:paraId="0373BB4A" w14:textId="77777777" w:rsidR="00C02AAE" w:rsidRDefault="00C02AAE" w:rsidP="00C02AAE">
      <w:pPr>
        <w:pStyle w:val="Textocomentario"/>
      </w:pPr>
      <w:r>
        <w:rPr>
          <w:rStyle w:val="Refdecomentario"/>
        </w:rPr>
        <w:annotationRef/>
      </w:r>
      <w:r>
        <w:t xml:space="preserve">Incluir en considerandos los criterios de la UERB para la consideración de la declaratoria de interés social del AHHYC </w:t>
      </w:r>
    </w:p>
    <w:p w14:paraId="09E4A834" w14:textId="77777777" w:rsidR="00C02AAE" w:rsidRDefault="00C02AAE" w:rsidP="00C02AAE">
      <w:pPr>
        <w:pStyle w:val="Textocomentario"/>
      </w:pPr>
      <w:r>
        <w:t>Despacho Concejal René Bedón</w:t>
      </w:r>
    </w:p>
  </w:comment>
  <w:comment w:id="5" w:author="Sonia Fernanda Duran Garcia" w:date="2023-03-02T15:22:00Z" w:initials="SFDG">
    <w:p w14:paraId="24158DB6" w14:textId="77777777" w:rsidR="00C02AAE" w:rsidRDefault="00C02AAE" w:rsidP="00C02AAE">
      <w:pPr>
        <w:pStyle w:val="Textocomentario"/>
      </w:pPr>
      <w:r>
        <w:rPr>
          <w:rStyle w:val="Refdecomentario"/>
        </w:rPr>
        <w:annotationRef/>
      </w:r>
      <w:r>
        <w:t>Incluir en considerandos los criterios de la UERB para la consideración de la declaratoria de interés social del AHHYC, los informes ampliatorios.</w:t>
      </w:r>
    </w:p>
    <w:p w14:paraId="69EA4925" w14:textId="77777777" w:rsidR="00C02AAE" w:rsidRDefault="00C02AAE" w:rsidP="00C02AAE">
      <w:pPr>
        <w:pStyle w:val="Textocomentario"/>
      </w:pPr>
      <w:r>
        <w:t>Despacho Concejal Amparito Narváez</w:t>
      </w:r>
    </w:p>
  </w:comment>
  <w:comment w:id="6" w:author="Sonia Fernanda Duran Garcia" w:date="2023-02-15T09:47:00Z" w:initials="SFDG">
    <w:p w14:paraId="5C04FBF6" w14:textId="77777777" w:rsidR="00C02AAE" w:rsidRDefault="00C02AAE" w:rsidP="00C02AAE">
      <w:pPr>
        <w:pStyle w:val="Textocomentario"/>
      </w:pPr>
      <w:r>
        <w:rPr>
          <w:rStyle w:val="Refdecomentario"/>
        </w:rPr>
        <w:annotationRef/>
      </w:r>
      <w:r>
        <w:t>Texto propuesto por la UERB en respuesta a las inquietudes presentadas por</w:t>
      </w:r>
    </w:p>
    <w:p w14:paraId="4642FF4F" w14:textId="77777777" w:rsidR="00C02AAE" w:rsidRDefault="00C02AAE" w:rsidP="00C02AAE">
      <w:pPr>
        <w:pStyle w:val="Textocomentario"/>
      </w:pPr>
      <w:r>
        <w:t>-Despacho Concejal René Bedón y;</w:t>
      </w:r>
    </w:p>
    <w:p w14:paraId="1349459B" w14:textId="77777777" w:rsidR="00C02AAE" w:rsidRDefault="00C02AAE" w:rsidP="00C02AAE">
      <w:pPr>
        <w:pStyle w:val="Textocomentario"/>
      </w:pPr>
      <w:r>
        <w:t>-Despacho Concejala Amparito Narváez.</w:t>
      </w:r>
    </w:p>
    <w:p w14:paraId="7CFFFEDB" w14:textId="77777777" w:rsidR="00C02AAE" w:rsidRDefault="00C02AAE" w:rsidP="00C02AAE">
      <w:pPr>
        <w:pStyle w:val="Textocomentario"/>
      </w:pPr>
      <w:r>
        <w:t>Se retira el texto de las disposiciones generales y se lo incluye en los considerandos con el criterio emitido por la STHYV.</w:t>
      </w:r>
    </w:p>
  </w:comment>
  <w:comment w:id="7" w:author="Sonia Fernanda Duran Garcia" w:date="2023-02-15T09:49:00Z" w:initials="SFDG">
    <w:p w14:paraId="03E11691" w14:textId="77777777" w:rsidR="00C02AAE" w:rsidRDefault="00C02AAE" w:rsidP="00C02AAE">
      <w:pPr>
        <w:pStyle w:val="Textocomentario"/>
      </w:pPr>
      <w:r>
        <w:rPr>
          <w:rStyle w:val="Refdecomentario"/>
        </w:rPr>
        <w:annotationRef/>
      </w:r>
      <w:r>
        <w:t>Modificación de texto</w:t>
      </w:r>
    </w:p>
    <w:p w14:paraId="6D2B67A7" w14:textId="77777777" w:rsidR="00C02AAE" w:rsidRDefault="00C02AAE" w:rsidP="00C02AAE">
      <w:pPr>
        <w:pStyle w:val="Textocomentario"/>
      </w:pPr>
      <w:r>
        <w:t>-Despacho Concejal René Bedón</w:t>
      </w:r>
    </w:p>
  </w:comment>
  <w:comment w:id="9" w:author="Sonia Fernanda Duran Garcia" w:date="2023-02-15T09:50:00Z" w:initials="SFDG">
    <w:p w14:paraId="35346D9A" w14:textId="77777777" w:rsidR="00C02AAE" w:rsidRDefault="00C02AAE" w:rsidP="00C02AAE">
      <w:pPr>
        <w:pStyle w:val="Textocomentario"/>
      </w:pPr>
      <w:r>
        <w:rPr>
          <w:rStyle w:val="Refdecomentario"/>
        </w:rPr>
        <w:annotationRef/>
      </w:r>
      <w:r>
        <w:rPr>
          <w:rStyle w:val="Refdecomentario"/>
        </w:rPr>
        <w:annotationRef/>
      </w:r>
      <w:r>
        <w:t>Texto modificado por la UERB de acuerdo a la propuesta de los despachos</w:t>
      </w:r>
    </w:p>
    <w:p w14:paraId="375D7135" w14:textId="77777777" w:rsidR="00C02AAE" w:rsidRDefault="00C02AAE" w:rsidP="00C02AAE">
      <w:pPr>
        <w:pStyle w:val="Textocomentario"/>
        <w:numPr>
          <w:ilvl w:val="0"/>
          <w:numId w:val="2"/>
        </w:numPr>
      </w:pPr>
      <w:r>
        <w:t>Despacho Concejal Luis Robles</w:t>
      </w:r>
    </w:p>
    <w:p w14:paraId="16CCC3F1" w14:textId="77777777" w:rsidR="00C02AAE" w:rsidRDefault="00C02AAE" w:rsidP="00C02AAE">
      <w:pPr>
        <w:pStyle w:val="Textocomentario"/>
        <w:numPr>
          <w:ilvl w:val="0"/>
          <w:numId w:val="2"/>
        </w:numPr>
      </w:pPr>
      <w:r>
        <w:t>Despacho Concejal René Bedón</w:t>
      </w:r>
    </w:p>
    <w:p w14:paraId="4885A52E" w14:textId="77777777" w:rsidR="00C02AAE" w:rsidRDefault="00C02AAE" w:rsidP="00C02AAE">
      <w:pPr>
        <w:pStyle w:val="Textocomentario"/>
      </w:pPr>
    </w:p>
  </w:comment>
  <w:comment w:id="11" w:author="Sonia Fernanda Duran Garcia" w:date="2023-02-15T09:51:00Z" w:initials="SFDG">
    <w:p w14:paraId="4A1EAB21" w14:textId="77777777" w:rsidR="00C02AAE" w:rsidRDefault="00C02AAE" w:rsidP="00C02AAE">
      <w:pPr>
        <w:pStyle w:val="Textocomentario"/>
        <w:rPr>
          <w:bCs/>
          <w:sz w:val="24"/>
          <w:szCs w:val="24"/>
          <w:u w:val="single"/>
        </w:rPr>
      </w:pPr>
      <w:r>
        <w:rPr>
          <w:rStyle w:val="Refdecomentario"/>
        </w:rPr>
        <w:annotationRef/>
      </w:r>
      <w:r>
        <w:rPr>
          <w:rStyle w:val="Refdecomentario"/>
        </w:rPr>
        <w:annotationRef/>
      </w:r>
      <w:r>
        <w:t xml:space="preserve">Eliminar el texto: </w:t>
      </w:r>
      <w:r w:rsidRPr="00921EDC">
        <w:rPr>
          <w:i/>
        </w:rPr>
        <w:t>“</w:t>
      </w:r>
      <w:r w:rsidRPr="00921EDC">
        <w:rPr>
          <w:bCs/>
          <w:i/>
          <w:sz w:val="24"/>
          <w:szCs w:val="24"/>
        </w:rPr>
        <w:t>solicitar el auxilio de la policía nacional”</w:t>
      </w:r>
      <w:r>
        <w:rPr>
          <w:bCs/>
          <w:i/>
          <w:sz w:val="24"/>
          <w:szCs w:val="24"/>
        </w:rPr>
        <w:t xml:space="preserve"> </w:t>
      </w:r>
      <w:r w:rsidRPr="00921EDC">
        <w:rPr>
          <w:bCs/>
          <w:sz w:val="24"/>
          <w:szCs w:val="24"/>
          <w:u w:val="single"/>
        </w:rPr>
        <w:t>por ser improcedente</w:t>
      </w:r>
    </w:p>
    <w:p w14:paraId="1597ED87" w14:textId="77777777" w:rsidR="00C02AAE" w:rsidRPr="00921EDC" w:rsidRDefault="00C02AAE" w:rsidP="00C02AAE">
      <w:pPr>
        <w:pStyle w:val="Textocomentario"/>
      </w:pPr>
      <w:r>
        <w:rPr>
          <w:bCs/>
          <w:sz w:val="24"/>
          <w:szCs w:val="24"/>
        </w:rPr>
        <w:t>Despacho Concejal René Bedón</w:t>
      </w:r>
    </w:p>
    <w:p w14:paraId="00801409" w14:textId="77777777" w:rsidR="00C02AAE" w:rsidRDefault="00C02AAE" w:rsidP="00C02AAE">
      <w:pPr>
        <w:pStyle w:val="Textocomentario"/>
      </w:pPr>
    </w:p>
  </w:comment>
  <w:comment w:id="12" w:author="Sonia Fernanda Duran Garcia" w:date="2023-02-15T09:53:00Z" w:initials="SFDG">
    <w:p w14:paraId="4C8D5564" w14:textId="77777777" w:rsidR="00C02AAE" w:rsidRDefault="00C02AAE" w:rsidP="00C02AAE">
      <w:pPr>
        <w:pStyle w:val="Textocomentario"/>
      </w:pPr>
      <w:r>
        <w:rPr>
          <w:rStyle w:val="Refdecomentario"/>
        </w:rPr>
        <w:annotationRef/>
      </w:r>
      <w:r>
        <w:rPr>
          <w:noProof/>
        </w:rPr>
        <w:t xml:space="preserve">Modificación de disposiciones propuesto, se eliminaría como disposición el </w:t>
      </w:r>
      <w:r w:rsidRPr="00CF7A59">
        <w:rPr>
          <w:noProof/>
        </w:rPr>
        <w:t xml:space="preserve">soterramiento de cables Ordenanza </w:t>
      </w:r>
      <w:r w:rsidRPr="00CF7A59">
        <w:rPr>
          <w:color w:val="000000" w:themeColor="text1"/>
        </w:rPr>
        <w:t>No. 044 – 2022, sancionada el 02 de noviembre de 2022</w:t>
      </w:r>
      <w:r>
        <w:rPr>
          <w:noProof/>
          <w:color w:val="000000" w:themeColor="text1"/>
        </w:rPr>
        <w:t>; y, se eliminaría el texto de la inicialmente disposicón tercera)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13F2D8" w15:done="0"/>
  <w15:commentEx w15:paraId="221CD4DA" w15:done="0"/>
  <w15:commentEx w15:paraId="5A9E3C14" w15:done="0"/>
  <w15:commentEx w15:paraId="09E4A834" w15:done="0"/>
  <w15:commentEx w15:paraId="69EA4925" w15:done="0"/>
  <w15:commentEx w15:paraId="7CFFFEDB" w15:done="0"/>
  <w15:commentEx w15:paraId="6D2B67A7" w15:done="0"/>
  <w15:commentEx w15:paraId="4885A52E" w15:done="0"/>
  <w15:commentEx w15:paraId="00801409" w15:done="0"/>
  <w15:commentEx w15:paraId="4C8D556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09673" w14:textId="77777777" w:rsidR="00E737F8" w:rsidRDefault="00E737F8" w:rsidP="00C02AAE">
      <w:r>
        <w:separator/>
      </w:r>
    </w:p>
  </w:endnote>
  <w:endnote w:type="continuationSeparator" w:id="0">
    <w:p w14:paraId="43F52B72" w14:textId="77777777" w:rsidR="00E737F8" w:rsidRDefault="00E737F8" w:rsidP="00C02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910A0" w14:textId="77777777" w:rsidR="004F36AB" w:rsidRDefault="00E737F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38189" w14:textId="18C8D06E" w:rsidR="00E463E5" w:rsidRDefault="00E737F8">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927180">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927180">
      <w:rPr>
        <w:b/>
        <w:noProof/>
      </w:rPr>
      <w:t>13</w:t>
    </w:r>
    <w:r>
      <w:rPr>
        <w:b/>
        <w:sz w:val="24"/>
        <w:szCs w:val="24"/>
      </w:rPr>
      <w:fldChar w:fldCharType="end"/>
    </w:r>
  </w:p>
  <w:p w14:paraId="4AED639F" w14:textId="77777777" w:rsidR="00E463E5" w:rsidRDefault="00E737F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1188B" w14:textId="4A8D0C80" w:rsidR="00E463E5" w:rsidRDefault="00E737F8">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927180">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927180">
      <w:rPr>
        <w:b/>
        <w:noProof/>
      </w:rPr>
      <w:t>13</w:t>
    </w:r>
    <w:r>
      <w:rPr>
        <w:b/>
        <w:sz w:val="24"/>
        <w:szCs w:val="24"/>
      </w:rPr>
      <w:fldChar w:fldCharType="end"/>
    </w:r>
  </w:p>
  <w:p w14:paraId="5AF76E93" w14:textId="77777777" w:rsidR="00E463E5" w:rsidRDefault="00E737F8">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B6E45" w14:textId="5E8769F4" w:rsidR="00B416C1" w:rsidRDefault="00E737F8">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927180">
      <w:rPr>
        <w:b/>
        <w:noProof/>
      </w:rPr>
      <w:t>13</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927180">
      <w:rPr>
        <w:b/>
        <w:noProof/>
      </w:rPr>
      <w:t>13</w:t>
    </w:r>
    <w:r>
      <w:rPr>
        <w:b/>
        <w:sz w:val="24"/>
        <w:szCs w:val="24"/>
      </w:rPr>
      <w:fldChar w:fldCharType="end"/>
    </w:r>
  </w:p>
  <w:p w14:paraId="325238F7" w14:textId="77777777" w:rsidR="00B416C1" w:rsidRDefault="00E737F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8CF41" w14:textId="77777777" w:rsidR="00E737F8" w:rsidRDefault="00E737F8" w:rsidP="00C02AAE">
      <w:r>
        <w:separator/>
      </w:r>
    </w:p>
  </w:footnote>
  <w:footnote w:type="continuationSeparator" w:id="0">
    <w:p w14:paraId="2A45FE98" w14:textId="77777777" w:rsidR="00E737F8" w:rsidRDefault="00E737F8" w:rsidP="00C02A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05BED" w14:textId="77777777" w:rsidR="00E463E5" w:rsidRDefault="00C02AAE">
    <w:pPr>
      <w:pStyle w:val="Encabezado"/>
    </w:pPr>
    <w:r>
      <w:rPr>
        <w:noProof/>
      </w:rPr>
      <w:pict w14:anchorId="49F156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863094" o:spid="_x0000_s2055" type="#_x0000_t136" style="position:absolute;margin-left:0;margin-top:0;width:592.95pt;height:26.35pt;rotation:315;z-index:-251650048;mso-position-horizontal:center;mso-position-horizontal-relative:margin;mso-position-vertical:center;mso-position-vertical-relative:margin" o:allowincell="f" fillcolor="silver" stroked="f">
          <v:fill opacity=".5"/>
          <v:textpath style="font-family:&quot;Times New Roman&quot;;font-size:1pt" string="Observaciones I Debate - José Gabriel Alarcón"/>
        </v:shape>
      </w:pict>
    </w:r>
    <w:r>
      <w:rPr>
        <w:noProof/>
      </w:rPr>
      <mc:AlternateContent>
        <mc:Choice Requires="wps">
          <w:drawing>
            <wp:anchor distT="0" distB="0" distL="114300" distR="114300" simplePos="0" relativeHeight="251660288" behindDoc="1" locked="0" layoutInCell="0" allowOverlap="1" wp14:anchorId="4A863A20" wp14:editId="1A70C0E8">
              <wp:simplePos x="0" y="0"/>
              <wp:positionH relativeFrom="margin">
                <wp:align>center</wp:align>
              </wp:positionH>
              <wp:positionV relativeFrom="margin">
                <wp:align>center</wp:align>
              </wp:positionV>
              <wp:extent cx="7547610" cy="320675"/>
              <wp:effectExtent l="0" t="2533650" r="0" b="256540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47610" cy="3206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2ECF8A" w14:textId="77777777" w:rsidR="00C02AAE" w:rsidRDefault="00C02AAE" w:rsidP="00C02AAE">
                          <w:pPr>
                            <w:pStyle w:val="NormalWeb"/>
                            <w:spacing w:before="0" w:beforeAutospacing="0" w:after="0" w:afterAutospacing="0"/>
                            <w:jc w:val="center"/>
                          </w:pPr>
                          <w:r>
                            <w:rPr>
                              <w:rFonts w:ascii="Arial" w:hAnsi="Arial" w:cs="Arial"/>
                              <w:color w:val="7F7F7F"/>
                              <w:sz w:val="2"/>
                              <w:szCs w:val="2"/>
                              <w14:textFill>
                                <w14:solidFill>
                                  <w14:srgbClr w14:val="7F7F7F">
                                    <w14:alpha w14:val="50000"/>
                                  </w14:srgbClr>
                                </w14:solidFill>
                              </w14:textFill>
                            </w:rPr>
                            <w:t>Proyecto Primer Debate AHHYC José Gabriel Alarcón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863A20" id="_x0000_t202" coordsize="21600,21600" o:spt="202" path="m,l,21600r21600,l21600,xe">
              <v:stroke joinstyle="miter"/>
              <v:path gradientshapeok="t" o:connecttype="rect"/>
            </v:shapetype>
            <v:shape id="Cuadro de texto 7" o:spid="_x0000_s1026" type="#_x0000_t202" style="position:absolute;margin-left:0;margin-top:0;width:594.3pt;height:25.2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" o:allowincell="f" filled="f" stroked="f">
              <v:stroke joinstyle="round"/>
              <o:lock v:ext="edit" shapetype="t"/>
              <v:textbox style="mso-fit-shape-to-text:t">
                <w:txbxContent>
                  <w:p w14:paraId="592ECF8A" w14:textId="77777777" w:rsidR="00C02AAE" w:rsidRDefault="00C02AAE" w:rsidP="00C02AAE">
                    <w:pPr>
                      <w:pStyle w:val="NormalWeb"/>
                      <w:spacing w:before="0" w:beforeAutospacing="0" w:after="0" w:afterAutospacing="0"/>
                      <w:jc w:val="center"/>
                    </w:pPr>
                    <w:r>
                      <w:rPr>
                        <w:rFonts w:ascii="Arial" w:hAnsi="Arial" w:cs="Arial"/>
                        <w:color w:val="7F7F7F"/>
                        <w:sz w:val="2"/>
                        <w:szCs w:val="2"/>
                        <w14:textFill>
                          <w14:solidFill>
                            <w14:srgbClr w14:val="7F7F7F">
                              <w14:alpha w14:val="50000"/>
                            </w14:srgbClr>
                          </w14:solidFill>
                        </w14:textFill>
                      </w:rPr>
                      <w:t>Proyecto Primer Debate AHHYC José Gabriel Alarcón</w:t>
                    </w:r>
                  </w:p>
                </w:txbxContent>
              </v:textbox>
              <w10:wrap anchorx="margin" anchory="margin"/>
            </v:shape>
          </w:pict>
        </mc:Fallback>
      </mc:AlternateContent>
    </w:r>
    <w:r w:rsidR="00E737F8">
      <w:rPr>
        <w:noProof/>
      </w:rPr>
      <mc:AlternateContent>
        <mc:Choice Requires="wps">
          <w:drawing>
            <wp:anchor distT="0" distB="0" distL="114300" distR="114300" simplePos="0" relativeHeight="251659264" behindDoc="1" locked="0" layoutInCell="0" allowOverlap="1" wp14:anchorId="4F7B746E" wp14:editId="4E2E8783">
              <wp:simplePos x="0" y="0"/>
              <wp:positionH relativeFrom="margin">
                <wp:align>center</wp:align>
              </wp:positionH>
              <wp:positionV relativeFrom="margin">
                <wp:align>center</wp:align>
              </wp:positionV>
              <wp:extent cx="7067550" cy="55245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7550" cy="552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3B0C03" w14:textId="77777777" w:rsidR="00E463E5" w:rsidRDefault="00E737F8" w:rsidP="00E463E5">
                          <w:pPr>
                            <w:pStyle w:val="NormalWeb"/>
                            <w:spacing w:before="0" w:beforeAutospacing="0" w:after="0" w:afterAutospacing="0"/>
                            <w:jc w:val="center"/>
                          </w:pPr>
                          <w:r w:rsidRPr="00E463E5">
                            <w:rPr>
                              <w:rFonts w:ascii="Arial" w:hAnsi="Arial" w:cs="Arial"/>
                              <w:color w:val="767171"/>
                              <w:sz w:val="76"/>
                              <w:szCs w:val="76"/>
                            </w:rPr>
                            <w:t xml:space="preserve">Ordenanza </w:t>
                          </w:r>
                          <w:proofErr w:type="spellStart"/>
                          <w:r w:rsidRPr="00E463E5">
                            <w:rPr>
                              <w:rFonts w:ascii="Arial" w:hAnsi="Arial" w:cs="Arial"/>
                              <w:color w:val="767171"/>
                              <w:sz w:val="76"/>
                              <w:szCs w:val="76"/>
                            </w:rPr>
                            <w:t>demesa</w:t>
                          </w:r>
                          <w:proofErr w:type="spellEnd"/>
                          <w:r w:rsidRPr="00E463E5">
                            <w:rPr>
                              <w:rFonts w:ascii="Arial" w:hAnsi="Arial" w:cs="Arial"/>
                              <w:color w:val="767171"/>
                              <w:sz w:val="76"/>
                              <w:szCs w:val="76"/>
                            </w:rPr>
                            <w:t xml:space="preserve"> de Asesores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F7B746E" id="Cuadro de texto 5" o:spid="_x0000_s1027" type="#_x0000_t202" style="position:absolute;margin-left:0;margin-top:0;width:556.5pt;height:43.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" o:allowincell="f" filled="f" stroked="f">
              <v:stroke joinstyle="round"/>
              <o:lock v:ext="edit" shapetype="t"/>
              <v:textbox style="mso-fit-shape-to-text:t">
                <w:txbxContent>
                  <w:p w14:paraId="013B0C03" w14:textId="77777777" w:rsidR="00E463E5" w:rsidRDefault="00E737F8" w:rsidP="00E463E5">
                    <w:pPr>
                      <w:pStyle w:val="NormalWeb"/>
                      <w:spacing w:before="0" w:beforeAutospacing="0" w:after="0" w:afterAutospacing="0"/>
                      <w:jc w:val="center"/>
                    </w:pPr>
                    <w:r w:rsidRPr="00E463E5">
                      <w:rPr>
                        <w:rFonts w:ascii="Arial" w:hAnsi="Arial" w:cs="Arial"/>
                        <w:color w:val="767171"/>
                        <w:sz w:val="76"/>
                        <w:szCs w:val="76"/>
                      </w:rPr>
                      <w:t xml:space="preserve">Ordenanza </w:t>
                    </w:r>
                    <w:proofErr w:type="spellStart"/>
                    <w:r w:rsidRPr="00E463E5">
                      <w:rPr>
                        <w:rFonts w:ascii="Arial" w:hAnsi="Arial" w:cs="Arial"/>
                        <w:color w:val="767171"/>
                        <w:sz w:val="76"/>
                        <w:szCs w:val="76"/>
                      </w:rPr>
                      <w:t>demesa</w:t>
                    </w:r>
                    <w:proofErr w:type="spellEnd"/>
                    <w:r w:rsidRPr="00E463E5">
                      <w:rPr>
                        <w:rFonts w:ascii="Arial" w:hAnsi="Arial" w:cs="Arial"/>
                        <w:color w:val="767171"/>
                        <w:sz w:val="76"/>
                        <w:szCs w:val="76"/>
                      </w:rPr>
                      <w:t xml:space="preserve"> de Asesores</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2EA04" w14:textId="77777777" w:rsidR="00E463E5" w:rsidRDefault="00C02AAE">
    <w:pPr>
      <w:pStyle w:val="Encabezado"/>
      <w:rPr>
        <w:lang w:val="es-EC"/>
      </w:rPr>
    </w:pPr>
    <w:r>
      <w:rPr>
        <w:noProof/>
      </w:rPr>
      <w:pict w14:anchorId="545A42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863095" o:spid="_x0000_s2056" type="#_x0000_t136" style="position:absolute;margin-left:0;margin-top:0;width:592.95pt;height:26.35pt;rotation:315;z-index:-251648000;mso-position-horizontal:center;mso-position-horizontal-relative:margin;mso-position-vertical:center;mso-position-vertical-relative:margin" o:allowincell="f" fillcolor="silver" stroked="f">
          <v:fill opacity=".5"/>
          <v:textpath style="font-family:&quot;Times New Roman&quot;;font-size:1pt" string="Observaciones I Debate - José Gabriel Alarcón"/>
        </v:shape>
      </w:pict>
    </w:r>
    <w:r>
      <w:rPr>
        <w:noProof/>
      </w:rPr>
      <mc:AlternateContent>
        <mc:Choice Requires="wps">
          <w:drawing>
            <wp:anchor distT="0" distB="0" distL="114300" distR="114300" simplePos="0" relativeHeight="251661312" behindDoc="1" locked="0" layoutInCell="0" allowOverlap="1" wp14:anchorId="25B7D837" wp14:editId="18EE8A47">
              <wp:simplePos x="0" y="0"/>
              <wp:positionH relativeFrom="margin">
                <wp:align>center</wp:align>
              </wp:positionH>
              <wp:positionV relativeFrom="margin">
                <wp:align>center</wp:align>
              </wp:positionV>
              <wp:extent cx="7547610" cy="320675"/>
              <wp:effectExtent l="0" t="2533650" r="0" b="256540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47610" cy="3206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8C3E80" w14:textId="77777777" w:rsidR="00C02AAE" w:rsidRDefault="00C02AAE" w:rsidP="00C02AAE">
                          <w:pPr>
                            <w:pStyle w:val="NormalWeb"/>
                            <w:spacing w:before="0" w:beforeAutospacing="0" w:after="0" w:afterAutospacing="0"/>
                            <w:jc w:val="center"/>
                          </w:pPr>
                          <w:r>
                            <w:rPr>
                              <w:rFonts w:ascii="Arial" w:hAnsi="Arial" w:cs="Arial"/>
                              <w:color w:val="7F7F7F"/>
                              <w:sz w:val="2"/>
                              <w:szCs w:val="2"/>
                              <w14:textFill>
                                <w14:solidFill>
                                  <w14:srgbClr w14:val="7F7F7F">
                                    <w14:alpha w14:val="50000"/>
                                  </w14:srgbClr>
                                </w14:solidFill>
                              </w14:textFill>
                            </w:rPr>
                            <w:t>Proyecto Primer Debate AHHYC José Gabriel Alarcón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B7D837" id="_x0000_t202" coordsize="21600,21600" o:spt="202" path="m,l,21600r21600,l21600,xe">
              <v:stroke joinstyle="miter"/>
              <v:path gradientshapeok="t" o:connecttype="rect"/>
            </v:shapetype>
            <v:shape id="Cuadro de texto 6" o:spid="_x0000_s1028" type="#_x0000_t202" style="position:absolute;margin-left:0;margin-top:0;width:594.3pt;height:25.2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" o:allowincell="f" filled="f" stroked="f">
              <v:stroke joinstyle="round"/>
              <o:lock v:ext="edit" shapetype="t"/>
              <v:textbox style="mso-fit-shape-to-text:t">
                <w:txbxContent>
                  <w:p w14:paraId="138C3E80" w14:textId="77777777" w:rsidR="00C02AAE" w:rsidRDefault="00C02AAE" w:rsidP="00C02AAE">
                    <w:pPr>
                      <w:pStyle w:val="NormalWeb"/>
                      <w:spacing w:before="0" w:beforeAutospacing="0" w:after="0" w:afterAutospacing="0"/>
                      <w:jc w:val="center"/>
                    </w:pPr>
                    <w:r>
                      <w:rPr>
                        <w:rFonts w:ascii="Arial" w:hAnsi="Arial" w:cs="Arial"/>
                        <w:color w:val="7F7F7F"/>
                        <w:sz w:val="2"/>
                        <w:szCs w:val="2"/>
                        <w14:textFill>
                          <w14:solidFill>
                            <w14:srgbClr w14:val="7F7F7F">
                              <w14:alpha w14:val="50000"/>
                            </w14:srgbClr>
                          </w14:solidFill>
                        </w14:textFill>
                      </w:rPr>
                      <w:t>Proyecto Primer Debate AHHYC José Gabriel Alarcón</w:t>
                    </w:r>
                  </w:p>
                </w:txbxContent>
              </v:textbox>
              <w10:wrap anchorx="margin" anchory="margin"/>
            </v:shape>
          </w:pict>
        </mc:Fallback>
      </mc:AlternateContent>
    </w:r>
  </w:p>
  <w:p w14:paraId="01E87991" w14:textId="77777777" w:rsidR="00E463E5" w:rsidRDefault="00E737F8">
    <w:pPr>
      <w:pStyle w:val="Encabezado"/>
      <w:rPr>
        <w:lang w:val="es-EC"/>
      </w:rPr>
    </w:pPr>
  </w:p>
  <w:p w14:paraId="4E8C688C" w14:textId="77777777" w:rsidR="00E463E5" w:rsidRPr="00150606" w:rsidRDefault="00E737F8" w:rsidP="007479B8">
    <w:pPr>
      <w:pStyle w:val="1"/>
      <w:rPr>
        <w:lang w:val="es-EC"/>
      </w:rPr>
    </w:pPr>
    <w:r w:rsidRPr="00716956">
      <w:rPr>
        <w:rFonts w:ascii="Palatino Linotype" w:hAnsi="Palatino Linotype" w:cs="Arial"/>
        <w:sz w:val="22"/>
        <w:szCs w:val="22"/>
      </w:rPr>
      <w:t>ORDENANZA No.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B1737" w14:textId="77777777" w:rsidR="005B011E" w:rsidRDefault="00C02AAE">
    <w:pPr>
      <w:pStyle w:val="Encabezado"/>
    </w:pPr>
    <w:r>
      <w:rPr>
        <w:noProof/>
      </w:rPr>
      <w:pict w14:anchorId="123B86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863093" o:spid="_x0000_s2054" type="#_x0000_t136" style="position:absolute;margin-left:0;margin-top:0;width:592.95pt;height:26.35pt;rotation:315;z-index:-251652096;mso-position-horizontal:center;mso-position-horizontal-relative:margin;mso-position-vertical:center;mso-position-vertical-relative:margin" o:allowincell="f" fillcolor="silver" stroked="f">
          <v:fill opacity=".5"/>
          <v:textpath style="font-family:&quot;Times New Roman&quot;;font-size:1pt" string="Observaciones I Debate - José Gabriel Alarcó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CE45F" w14:textId="77777777" w:rsidR="00B416C1" w:rsidRDefault="00C02AAE">
    <w:pPr>
      <w:pStyle w:val="Encabezado"/>
    </w:pPr>
    <w:r>
      <w:rPr>
        <w:noProof/>
      </w:rPr>
      <w:pict w14:anchorId="10A4E6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863097" o:spid="_x0000_s2058" type="#_x0000_t136" style="position:absolute;margin-left:0;margin-top:0;width:592.95pt;height:26.35pt;rotation:315;z-index:-251643904;mso-position-horizontal:center;mso-position-horizontal-relative:margin;mso-position-vertical:center;mso-position-vertical-relative:margin" o:allowincell="f" fillcolor="silver" stroked="f">
          <v:fill opacity=".5"/>
          <v:textpath style="font-family:&quot;Times New Roman&quot;;font-size:1pt" string="Observaciones I Debate - José Gabriel Alarcón"/>
        </v:shape>
      </w:pict>
    </w:r>
    <w:r>
      <w:rPr>
        <w:noProof/>
      </w:rPr>
      <mc:AlternateContent>
        <mc:Choice Requires="wps">
          <w:drawing>
            <wp:anchor distT="0" distB="0" distL="114300" distR="114300" simplePos="0" relativeHeight="251661312" behindDoc="1" locked="0" layoutInCell="0" allowOverlap="1" wp14:anchorId="2138EBB3" wp14:editId="1FB6F5D7">
              <wp:simplePos x="0" y="0"/>
              <wp:positionH relativeFrom="margin">
                <wp:align>center</wp:align>
              </wp:positionH>
              <wp:positionV relativeFrom="margin">
                <wp:align>center</wp:align>
              </wp:positionV>
              <wp:extent cx="7547610" cy="320675"/>
              <wp:effectExtent l="0" t="2533650" r="0" b="256540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47610" cy="3206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19CD23" w14:textId="77777777" w:rsidR="00C02AAE" w:rsidRDefault="00C02AAE" w:rsidP="00C02AAE">
                          <w:pPr>
                            <w:pStyle w:val="NormalWeb"/>
                            <w:spacing w:before="0" w:beforeAutospacing="0" w:after="0" w:afterAutospacing="0"/>
                            <w:jc w:val="center"/>
                          </w:pPr>
                          <w:r>
                            <w:rPr>
                              <w:rFonts w:ascii="Arial" w:hAnsi="Arial" w:cs="Arial"/>
                              <w:color w:val="7F7F7F"/>
                              <w:sz w:val="2"/>
                              <w:szCs w:val="2"/>
                              <w14:textFill>
                                <w14:solidFill>
                                  <w14:srgbClr w14:val="7F7F7F">
                                    <w14:alpha w14:val="50000"/>
                                  </w14:srgbClr>
                                </w14:solidFill>
                              </w14:textFill>
                            </w:rPr>
                            <w:t>Proyecto Primer Debate AHHYC José Gabriel Alarcón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38EBB3" id="_x0000_t202" coordsize="21600,21600" o:spt="202" path="m,l,21600r21600,l21600,xe">
              <v:stroke joinstyle="miter"/>
              <v:path gradientshapeok="t" o:connecttype="rect"/>
            </v:shapetype>
            <v:shape id="Cuadro de texto 4" o:spid="_x0000_s1029" type="#_x0000_t202" style="position:absolute;margin-left:0;margin-top:0;width:594.3pt;height:25.2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" o:allowincell="f" filled="f" stroked="f">
              <v:stroke joinstyle="round"/>
              <o:lock v:ext="edit" shapetype="t"/>
              <v:textbox style="mso-fit-shape-to-text:t">
                <w:txbxContent>
                  <w:p w14:paraId="6719CD23" w14:textId="77777777" w:rsidR="00C02AAE" w:rsidRDefault="00C02AAE" w:rsidP="00C02AAE">
                    <w:pPr>
                      <w:pStyle w:val="NormalWeb"/>
                      <w:spacing w:before="0" w:beforeAutospacing="0" w:after="0" w:afterAutospacing="0"/>
                      <w:jc w:val="center"/>
                    </w:pPr>
                    <w:r>
                      <w:rPr>
                        <w:rFonts w:ascii="Arial" w:hAnsi="Arial" w:cs="Arial"/>
                        <w:color w:val="7F7F7F"/>
                        <w:sz w:val="2"/>
                        <w:szCs w:val="2"/>
                        <w14:textFill>
                          <w14:solidFill>
                            <w14:srgbClr w14:val="7F7F7F">
                              <w14:alpha w14:val="50000"/>
                            </w14:srgbClr>
                          </w14:solidFill>
                        </w14:textFill>
                      </w:rPr>
                      <w:t>Proyecto Primer Debate AHHYC José Gabriel Alarcón</w:t>
                    </w:r>
                  </w:p>
                </w:txbxContent>
              </v:textbox>
              <w10:wrap anchorx="margin" anchory="margin"/>
            </v:shape>
          </w:pict>
        </mc:Fallback>
      </mc:AlternateContent>
    </w:r>
    <w:r w:rsidR="00E737F8">
      <w:rPr>
        <w:noProof/>
      </w:rPr>
      <mc:AlternateContent>
        <mc:Choice Requires="wps">
          <w:drawing>
            <wp:anchor distT="0" distB="0" distL="114300" distR="114300" simplePos="0" relativeHeight="251659264" behindDoc="1" locked="0" layoutInCell="0" allowOverlap="1" wp14:anchorId="4901FB58" wp14:editId="6C142852">
              <wp:simplePos x="0" y="0"/>
              <wp:positionH relativeFrom="margin">
                <wp:align>center</wp:align>
              </wp:positionH>
              <wp:positionV relativeFrom="margin">
                <wp:align>center</wp:align>
              </wp:positionV>
              <wp:extent cx="7067550" cy="55245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7550" cy="552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BA7260" w14:textId="77777777" w:rsidR="00E463E5" w:rsidRDefault="00E737F8" w:rsidP="00E463E5">
                          <w:pPr>
                            <w:pStyle w:val="NormalWeb"/>
                            <w:spacing w:before="0" w:beforeAutospacing="0" w:after="0" w:afterAutospacing="0"/>
                            <w:jc w:val="center"/>
                          </w:pPr>
                          <w:r w:rsidRPr="00E463E5">
                            <w:rPr>
                              <w:rFonts w:ascii="Arial" w:hAnsi="Arial" w:cs="Arial"/>
                              <w:color w:val="767171"/>
                              <w:sz w:val="76"/>
                              <w:szCs w:val="76"/>
                            </w:rPr>
                            <w:t xml:space="preserve">Ordenanza </w:t>
                          </w:r>
                          <w:proofErr w:type="spellStart"/>
                          <w:r w:rsidRPr="00E463E5">
                            <w:rPr>
                              <w:rFonts w:ascii="Arial" w:hAnsi="Arial" w:cs="Arial"/>
                              <w:color w:val="767171"/>
                              <w:sz w:val="76"/>
                              <w:szCs w:val="76"/>
                            </w:rPr>
                            <w:t>demesa</w:t>
                          </w:r>
                          <w:proofErr w:type="spellEnd"/>
                          <w:r w:rsidRPr="00E463E5">
                            <w:rPr>
                              <w:rFonts w:ascii="Arial" w:hAnsi="Arial" w:cs="Arial"/>
                              <w:color w:val="767171"/>
                              <w:sz w:val="76"/>
                              <w:szCs w:val="76"/>
                            </w:rPr>
                            <w:t xml:space="preserve"> de Asesores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901FB58" id="Cuadro de texto 3" o:spid="_x0000_s1030" type="#_x0000_t202" style="position:absolute;margin-left:0;margin-top:0;width:556.5pt;height:43.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" o:allowincell="f" filled="f" stroked="f">
              <v:stroke joinstyle="round"/>
              <o:lock v:ext="edit" shapetype="t"/>
              <v:textbox style="mso-fit-shape-to-text:t">
                <w:txbxContent>
                  <w:p w14:paraId="64BA7260" w14:textId="77777777" w:rsidR="00E463E5" w:rsidRDefault="00E737F8" w:rsidP="00E463E5">
                    <w:pPr>
                      <w:pStyle w:val="NormalWeb"/>
                      <w:spacing w:before="0" w:beforeAutospacing="0" w:after="0" w:afterAutospacing="0"/>
                      <w:jc w:val="center"/>
                    </w:pPr>
                    <w:r w:rsidRPr="00E463E5">
                      <w:rPr>
                        <w:rFonts w:ascii="Arial" w:hAnsi="Arial" w:cs="Arial"/>
                        <w:color w:val="767171"/>
                        <w:sz w:val="76"/>
                        <w:szCs w:val="76"/>
                      </w:rPr>
                      <w:t xml:space="preserve">Ordenanza </w:t>
                    </w:r>
                    <w:proofErr w:type="spellStart"/>
                    <w:r w:rsidRPr="00E463E5">
                      <w:rPr>
                        <w:rFonts w:ascii="Arial" w:hAnsi="Arial" w:cs="Arial"/>
                        <w:color w:val="767171"/>
                        <w:sz w:val="76"/>
                        <w:szCs w:val="76"/>
                      </w:rPr>
                      <w:t>demesa</w:t>
                    </w:r>
                    <w:proofErr w:type="spellEnd"/>
                    <w:r w:rsidRPr="00E463E5">
                      <w:rPr>
                        <w:rFonts w:ascii="Arial" w:hAnsi="Arial" w:cs="Arial"/>
                        <w:color w:val="767171"/>
                        <w:sz w:val="76"/>
                        <w:szCs w:val="76"/>
                      </w:rPr>
                      <w:t xml:space="preserve"> de Asesores</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7FF7F" w14:textId="77777777" w:rsidR="00B416C1" w:rsidRDefault="00C02AAE" w:rsidP="00F95DF2">
    <w:pPr>
      <w:pStyle w:val="1"/>
      <w:jc w:val="left"/>
    </w:pPr>
    <w:r>
      <w:rPr>
        <w:noProof/>
      </w:rPr>
      <w:pict w14:anchorId="5C5BCB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863098" o:spid="_x0000_s2059" type="#_x0000_t136" style="position:absolute;margin-left:0;margin-top:0;width:592.95pt;height:26.35pt;rotation:315;z-index:-251641856;mso-position-horizontal:center;mso-position-horizontal-relative:margin;mso-position-vertical:center;mso-position-vertical-relative:margin" o:allowincell="f" fillcolor="silver" stroked="f">
          <v:fill opacity=".5"/>
          <v:textpath style="font-family:&quot;Times New Roman&quot;;font-size:1pt" string="Observaciones I Debate - José Gabriel Alarcón"/>
        </v:shape>
      </w:pict>
    </w:r>
    <w:r>
      <w:rPr>
        <w:noProof/>
      </w:rPr>
      <mc:AlternateContent>
        <mc:Choice Requires="wps">
          <w:drawing>
            <wp:anchor distT="0" distB="0" distL="114300" distR="114300" simplePos="0" relativeHeight="251662336" behindDoc="1" locked="0" layoutInCell="0" allowOverlap="1" wp14:anchorId="4893FA9B" wp14:editId="7001E2C6">
              <wp:simplePos x="0" y="0"/>
              <wp:positionH relativeFrom="margin">
                <wp:align>center</wp:align>
              </wp:positionH>
              <wp:positionV relativeFrom="margin">
                <wp:align>center</wp:align>
              </wp:positionV>
              <wp:extent cx="7547610" cy="320675"/>
              <wp:effectExtent l="0" t="2533650" r="0" b="256540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47610" cy="3206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62F1F8" w14:textId="77777777" w:rsidR="00C02AAE" w:rsidRDefault="00C02AAE" w:rsidP="00C02AAE">
                          <w:pPr>
                            <w:pStyle w:val="NormalWeb"/>
                            <w:spacing w:before="0" w:beforeAutospacing="0" w:after="0" w:afterAutospacing="0"/>
                            <w:jc w:val="center"/>
                          </w:pPr>
                          <w:r>
                            <w:rPr>
                              <w:rFonts w:ascii="Arial" w:hAnsi="Arial" w:cs="Arial"/>
                              <w:color w:val="7F7F7F"/>
                              <w:sz w:val="2"/>
                              <w:szCs w:val="2"/>
                              <w14:textFill>
                                <w14:solidFill>
                                  <w14:srgbClr w14:val="7F7F7F">
                                    <w14:alpha w14:val="50000"/>
                                  </w14:srgbClr>
                                </w14:solidFill>
                              </w14:textFill>
                            </w:rPr>
                            <w:t>Proyecto Primer Debate AHHYC José Gabriel Alarcón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93FA9B" id="_x0000_t202" coordsize="21600,21600" o:spt="202" path="m,l,21600r21600,l21600,xe">
              <v:stroke joinstyle="miter"/>
              <v:path gradientshapeok="t" o:connecttype="rect"/>
            </v:shapetype>
            <v:shape id="Cuadro de texto 2" o:spid="_x0000_s1031" type="#_x0000_t202" style="position:absolute;margin-left:0;margin-top:0;width:594.3pt;height:25.2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" o:allowincell="f" filled="f" stroked="f">
              <v:stroke joinstyle="round"/>
              <o:lock v:ext="edit" shapetype="t"/>
              <v:textbox style="mso-fit-shape-to-text:t">
                <w:txbxContent>
                  <w:p w14:paraId="1862F1F8" w14:textId="77777777" w:rsidR="00C02AAE" w:rsidRDefault="00C02AAE" w:rsidP="00C02AAE">
                    <w:pPr>
                      <w:pStyle w:val="NormalWeb"/>
                      <w:spacing w:before="0" w:beforeAutospacing="0" w:after="0" w:afterAutospacing="0"/>
                      <w:jc w:val="center"/>
                    </w:pPr>
                    <w:r>
                      <w:rPr>
                        <w:rFonts w:ascii="Arial" w:hAnsi="Arial" w:cs="Arial"/>
                        <w:color w:val="7F7F7F"/>
                        <w:sz w:val="2"/>
                        <w:szCs w:val="2"/>
                        <w14:textFill>
                          <w14:solidFill>
                            <w14:srgbClr w14:val="7F7F7F">
                              <w14:alpha w14:val="50000"/>
                            </w14:srgbClr>
                          </w14:solidFill>
                        </w14:textFill>
                      </w:rPr>
                      <w:t>Proyecto Primer Debate AHHYC José Gabriel Alarcón</w:t>
                    </w:r>
                  </w:p>
                </w:txbxContent>
              </v:textbox>
              <w10:wrap anchorx="margin" anchory="margin"/>
            </v:shape>
          </w:pict>
        </mc:Fallback>
      </mc:AlternateContent>
    </w:r>
  </w:p>
  <w:p w14:paraId="43F19A55" w14:textId="77777777" w:rsidR="00B416C1" w:rsidRPr="009243E2" w:rsidRDefault="00E737F8" w:rsidP="00B416C1"/>
  <w:p w14:paraId="26BA77A3" w14:textId="77777777" w:rsidR="00B416C1" w:rsidRPr="009243E2" w:rsidRDefault="00E737F8" w:rsidP="00B416C1">
    <w:pPr>
      <w:pStyle w:val="1"/>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010AE" w14:textId="77777777" w:rsidR="00B416C1" w:rsidRPr="007479B8" w:rsidRDefault="00C02AAE" w:rsidP="007479B8">
    <w:pPr>
      <w:pStyle w:val="1"/>
      <w:rPr>
        <w:lang w:val="es-EC"/>
      </w:rPr>
    </w:pPr>
    <w:r>
      <w:rPr>
        <w:noProof/>
      </w:rPr>
      <w:pict w14:anchorId="1365B7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863096" o:spid="_x0000_s2057" type="#_x0000_t136" style="position:absolute;left:0;text-align:left;margin-left:0;margin-top:0;width:592.95pt;height:26.35pt;rotation:315;z-index:-251645952;mso-position-horizontal:center;mso-position-horizontal-relative:margin;mso-position-vertical:center;mso-position-vertical-relative:margin" o:allowincell="f" fillcolor="silver" stroked="f">
          <v:fill opacity=".5"/>
          <v:textpath style="font-family:&quot;Times New Roman&quot;;font-size:1pt" string="Observaciones I Debate - José Gabriel Alarcón"/>
        </v:shape>
      </w:pict>
    </w:r>
    <w:r w:rsidR="00E737F8" w:rsidRPr="00716956">
      <w:rPr>
        <w:rFonts w:ascii="Palatino Linotype" w:hAnsi="Palatino Linotype" w:cs="Arial"/>
        <w:sz w:val="22"/>
        <w:szCs w:val="22"/>
      </w:rPr>
      <w:t>ORDENANZA No.</w:t>
    </w:r>
    <w:r>
      <w:rPr>
        <w:noProof/>
      </w:rPr>
      <mc:AlternateContent>
        <mc:Choice Requires="wps">
          <w:drawing>
            <wp:anchor distT="0" distB="0" distL="114300" distR="114300" simplePos="0" relativeHeight="251660288" behindDoc="1" locked="0" layoutInCell="0" allowOverlap="1" wp14:anchorId="4035B1B5" wp14:editId="66EF3116">
              <wp:simplePos x="0" y="0"/>
              <wp:positionH relativeFrom="margin">
                <wp:align>center</wp:align>
              </wp:positionH>
              <wp:positionV relativeFrom="margin">
                <wp:align>center</wp:align>
              </wp:positionV>
              <wp:extent cx="7547610" cy="320675"/>
              <wp:effectExtent l="0" t="2533650" r="0" b="256540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47610" cy="3206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1AB9CA" w14:textId="77777777" w:rsidR="00C02AAE" w:rsidRDefault="00C02AAE" w:rsidP="00C02AAE">
                          <w:pPr>
                            <w:pStyle w:val="NormalWeb"/>
                            <w:spacing w:before="0" w:beforeAutospacing="0" w:after="0" w:afterAutospacing="0"/>
                            <w:jc w:val="center"/>
                          </w:pPr>
                          <w:r>
                            <w:rPr>
                              <w:rFonts w:ascii="Arial" w:hAnsi="Arial" w:cs="Arial"/>
                              <w:color w:val="7F7F7F"/>
                              <w:sz w:val="2"/>
                              <w:szCs w:val="2"/>
                              <w14:textFill>
                                <w14:solidFill>
                                  <w14:srgbClr w14:val="7F7F7F">
                                    <w14:alpha w14:val="50000"/>
                                  </w14:srgbClr>
                                </w14:solidFill>
                              </w14:textFill>
                            </w:rPr>
                            <w:t>Proyecto Primer Debate AHHYC José Gabriel Alarcón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035B1B5" id="_x0000_t202" coordsize="21600,21600" o:spt="202" path="m,l,21600r21600,l21600,xe">
              <v:stroke joinstyle="miter"/>
              <v:path gradientshapeok="t" o:connecttype="rect"/>
            </v:shapetype>
            <v:shape id="Cuadro de texto 1" o:spid="_x0000_s1032" type="#_x0000_t202" style="position:absolute;left:0;text-align:left;margin-left:0;margin-top:0;width:594.3pt;height:25.2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" o:allowincell="f" filled="f" stroked="f">
              <v:stroke joinstyle="round"/>
              <o:lock v:ext="edit" shapetype="t"/>
              <v:textbox style="mso-fit-shape-to-text:t">
                <w:txbxContent>
                  <w:p w14:paraId="4B1AB9CA" w14:textId="77777777" w:rsidR="00C02AAE" w:rsidRDefault="00C02AAE" w:rsidP="00C02AAE">
                    <w:pPr>
                      <w:pStyle w:val="NormalWeb"/>
                      <w:spacing w:before="0" w:beforeAutospacing="0" w:after="0" w:afterAutospacing="0"/>
                      <w:jc w:val="center"/>
                    </w:pPr>
                    <w:r>
                      <w:rPr>
                        <w:rFonts w:ascii="Arial" w:hAnsi="Arial" w:cs="Arial"/>
                        <w:color w:val="7F7F7F"/>
                        <w:sz w:val="2"/>
                        <w:szCs w:val="2"/>
                        <w14:textFill>
                          <w14:solidFill>
                            <w14:srgbClr w14:val="7F7F7F">
                              <w14:alpha w14:val="50000"/>
                            </w14:srgbClr>
                          </w14:solidFill>
                        </w14:textFill>
                      </w:rPr>
                      <w:t>Proyecto Primer Debate AHHYC José Gabriel Alarcón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60BE7"/>
    <w:multiLevelType w:val="hybridMultilevel"/>
    <w:tmpl w:val="DC60D5A8"/>
    <w:lvl w:ilvl="0" w:tplc="B21E99E2">
      <w:start w:val="1"/>
      <w:numFmt w:val="bullet"/>
      <w:lvlText w:val=""/>
      <w:lvlJc w:val="left"/>
      <w:pPr>
        <w:ind w:left="720" w:hanging="360"/>
      </w:pPr>
      <w:rPr>
        <w:rFonts w:ascii="Symbol" w:hAnsi="Symbol" w:hint="default"/>
        <w:lang w:val="es-EC"/>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753C3D47"/>
    <w:multiLevelType w:val="hybridMultilevel"/>
    <w:tmpl w:val="31A8433C"/>
    <w:lvl w:ilvl="0" w:tplc="E95CF73A">
      <w:numFmt w:val="bullet"/>
      <w:lvlText w:val="-"/>
      <w:lvlJc w:val="left"/>
      <w:pPr>
        <w:ind w:left="720" w:hanging="360"/>
      </w:pPr>
      <w:rPr>
        <w:rFonts w:ascii="Times New Roman" w:eastAsia="Times New Roman" w:hAnsi="Times New Roman"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nia Fernanda Duran Garcia">
    <w15:presenceInfo w15:providerId="None" w15:userId="Sonia Fernanda Duran Garc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AAE"/>
    <w:rsid w:val="00927180"/>
    <w:rsid w:val="00C02AAE"/>
    <w:rsid w:val="00E737F8"/>
    <w:rsid w:val="00E93D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35B59AA5"/>
  <w15:chartTrackingRefBased/>
  <w15:docId w15:val="{1A4F07A0-BE5B-42A2-A614-BC779DC0A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AAE"/>
    <w:pPr>
      <w:spacing w:after="0" w:line="240" w:lineRule="auto"/>
    </w:pPr>
    <w:rPr>
      <w:rFonts w:ascii="Times New Roman" w:eastAsia="Times New Roman" w:hAnsi="Times New Roman" w:cs="Times New Roman"/>
      <w:sz w:val="20"/>
      <w:szCs w:val="20"/>
      <w:lang w:eastAsia="es-ES"/>
    </w:rPr>
  </w:style>
  <w:style w:type="paragraph" w:styleId="Ttulo7">
    <w:name w:val="heading 7"/>
    <w:basedOn w:val="Normal"/>
    <w:next w:val="Normal"/>
    <w:link w:val="Ttulo7Car"/>
    <w:unhideWhenUsed/>
    <w:qFormat/>
    <w:rsid w:val="00C02AAE"/>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C02AAE"/>
    <w:rPr>
      <w:rFonts w:ascii="Calibri" w:eastAsia="Times New Roman" w:hAnsi="Calibri" w:cs="Times New Roman"/>
      <w:sz w:val="24"/>
      <w:szCs w:val="24"/>
      <w:lang w:eastAsia="es-ES"/>
    </w:rPr>
  </w:style>
  <w:style w:type="paragraph" w:styleId="Encabezado">
    <w:name w:val="header"/>
    <w:basedOn w:val="Normal"/>
    <w:link w:val="EncabezadoCar"/>
    <w:rsid w:val="00C02AAE"/>
    <w:pPr>
      <w:tabs>
        <w:tab w:val="center" w:pos="4252"/>
        <w:tab w:val="right" w:pos="8504"/>
      </w:tabs>
    </w:pPr>
  </w:style>
  <w:style w:type="character" w:customStyle="1" w:styleId="EncabezadoCar">
    <w:name w:val="Encabezado Car"/>
    <w:basedOn w:val="Fuentedeprrafopredeter"/>
    <w:link w:val="Encabezado"/>
    <w:rsid w:val="00C02AAE"/>
    <w:rPr>
      <w:rFonts w:ascii="Times New Roman" w:eastAsia="Times New Roman" w:hAnsi="Times New Roman" w:cs="Times New Roman"/>
      <w:sz w:val="20"/>
      <w:szCs w:val="20"/>
      <w:lang w:eastAsia="es-ES"/>
    </w:rPr>
  </w:style>
  <w:style w:type="paragraph" w:customStyle="1" w:styleId="1">
    <w:name w:val="1"/>
    <w:basedOn w:val="Normal"/>
    <w:next w:val="Ttulo"/>
    <w:link w:val="TtuloCar"/>
    <w:qFormat/>
    <w:rsid w:val="00C02AAE"/>
    <w:pPr>
      <w:jc w:val="center"/>
    </w:pPr>
    <w:rPr>
      <w:rFonts w:ascii="Calibri" w:eastAsia="Calibri" w:hAnsi="Calibri"/>
      <w:b/>
      <w:bCs/>
      <w:sz w:val="24"/>
      <w:szCs w:val="24"/>
    </w:rPr>
  </w:style>
  <w:style w:type="paragraph" w:styleId="Textoindependiente">
    <w:name w:val="Body Text"/>
    <w:basedOn w:val="Normal"/>
    <w:link w:val="TextoindependienteCar"/>
    <w:rsid w:val="00C02AAE"/>
    <w:pPr>
      <w:spacing w:after="120"/>
    </w:pPr>
  </w:style>
  <w:style w:type="character" w:customStyle="1" w:styleId="TextoindependienteCar">
    <w:name w:val="Texto independiente Car"/>
    <w:basedOn w:val="Fuentedeprrafopredeter"/>
    <w:link w:val="Textoindependiente"/>
    <w:rsid w:val="00C02AAE"/>
    <w:rPr>
      <w:rFonts w:ascii="Times New Roman" w:eastAsia="Times New Roman" w:hAnsi="Times New Roman" w:cs="Times New Roman"/>
      <w:sz w:val="20"/>
      <w:szCs w:val="20"/>
      <w:lang w:eastAsia="es-ES"/>
    </w:rPr>
  </w:style>
  <w:style w:type="paragraph" w:styleId="Textosinformato">
    <w:name w:val="Plain Text"/>
    <w:basedOn w:val="Normal"/>
    <w:link w:val="TextosinformatoCar"/>
    <w:rsid w:val="00C02AAE"/>
    <w:rPr>
      <w:rFonts w:ascii="Courier New" w:hAnsi="Courier New"/>
    </w:rPr>
  </w:style>
  <w:style w:type="character" w:customStyle="1" w:styleId="TextosinformatoCar">
    <w:name w:val="Texto sin formato Car"/>
    <w:basedOn w:val="Fuentedeprrafopredeter"/>
    <w:link w:val="Textosinformato"/>
    <w:rsid w:val="00C02AAE"/>
    <w:rPr>
      <w:rFonts w:ascii="Courier New" w:eastAsia="Times New Roman" w:hAnsi="Courier New" w:cs="Times New Roman"/>
      <w:sz w:val="20"/>
      <w:szCs w:val="20"/>
      <w:lang w:eastAsia="es-ES"/>
    </w:rPr>
  </w:style>
  <w:style w:type="paragraph" w:customStyle="1" w:styleId="Textopredeterminado">
    <w:name w:val="Texto predeterminado"/>
    <w:basedOn w:val="Normal"/>
    <w:rsid w:val="00C02AAE"/>
    <w:rPr>
      <w:sz w:val="24"/>
      <w:lang w:val="es-ES_tradnl"/>
    </w:rPr>
  </w:style>
  <w:style w:type="paragraph" w:styleId="Piedepgina">
    <w:name w:val="footer"/>
    <w:basedOn w:val="Normal"/>
    <w:link w:val="PiedepginaCar"/>
    <w:uiPriority w:val="99"/>
    <w:rsid w:val="00C02AAE"/>
    <w:pPr>
      <w:tabs>
        <w:tab w:val="center" w:pos="4419"/>
        <w:tab w:val="right" w:pos="8838"/>
      </w:tabs>
    </w:pPr>
  </w:style>
  <w:style w:type="character" w:customStyle="1" w:styleId="PiedepginaCar">
    <w:name w:val="Pie de página Car"/>
    <w:basedOn w:val="Fuentedeprrafopredeter"/>
    <w:link w:val="Piedepgina"/>
    <w:uiPriority w:val="99"/>
    <w:rsid w:val="00C02AAE"/>
    <w:rPr>
      <w:rFonts w:ascii="Times New Roman" w:eastAsia="Times New Roman" w:hAnsi="Times New Roman" w:cs="Times New Roman"/>
      <w:sz w:val="20"/>
      <w:szCs w:val="20"/>
      <w:lang w:eastAsia="es-ES"/>
    </w:rPr>
  </w:style>
  <w:style w:type="paragraph" w:styleId="Sinespaciado">
    <w:name w:val="No Spacing"/>
    <w:link w:val="SinespaciadoCar"/>
    <w:uiPriority w:val="1"/>
    <w:qFormat/>
    <w:rsid w:val="00C02AAE"/>
    <w:pPr>
      <w:spacing w:after="0" w:line="240" w:lineRule="auto"/>
    </w:pPr>
    <w:rPr>
      <w:rFonts w:ascii="Calibri" w:eastAsia="Calibri" w:hAnsi="Calibri" w:cs="Times New Roman"/>
      <w:lang w:val="es-EC"/>
    </w:rPr>
  </w:style>
  <w:style w:type="character" w:customStyle="1" w:styleId="TtuloCar">
    <w:name w:val="Título Car"/>
    <w:link w:val="1"/>
    <w:rsid w:val="00C02AAE"/>
    <w:rPr>
      <w:rFonts w:ascii="Calibri" w:eastAsia="Calibri" w:hAnsi="Calibri" w:cs="Times New Roman"/>
      <w:b/>
      <w:bCs/>
      <w:sz w:val="24"/>
      <w:szCs w:val="24"/>
      <w:lang w:eastAsia="es-ES"/>
    </w:rPr>
  </w:style>
  <w:style w:type="paragraph" w:styleId="Prrafodelista">
    <w:name w:val="List Paragraph"/>
    <w:basedOn w:val="Normal"/>
    <w:link w:val="PrrafodelistaCar"/>
    <w:uiPriority w:val="99"/>
    <w:qFormat/>
    <w:rsid w:val="00C02AAE"/>
    <w:pPr>
      <w:ind w:left="708"/>
    </w:pPr>
  </w:style>
  <w:style w:type="character" w:customStyle="1" w:styleId="SinespaciadoCar">
    <w:name w:val="Sin espaciado Car"/>
    <w:link w:val="Sinespaciado"/>
    <w:uiPriority w:val="1"/>
    <w:rsid w:val="00C02AAE"/>
    <w:rPr>
      <w:rFonts w:ascii="Calibri" w:eastAsia="Calibri" w:hAnsi="Calibri" w:cs="Times New Roman"/>
      <w:lang w:val="es-EC"/>
    </w:rPr>
  </w:style>
  <w:style w:type="character" w:customStyle="1" w:styleId="PrrafodelistaCar">
    <w:name w:val="Párrafo de lista Car"/>
    <w:link w:val="Prrafodelista"/>
    <w:uiPriority w:val="99"/>
    <w:locked/>
    <w:rsid w:val="00C02AAE"/>
    <w:rPr>
      <w:rFonts w:ascii="Times New Roman" w:eastAsia="Times New Roman" w:hAnsi="Times New Roman" w:cs="Times New Roman"/>
      <w:sz w:val="20"/>
      <w:szCs w:val="20"/>
      <w:lang w:eastAsia="es-ES"/>
    </w:rPr>
  </w:style>
  <w:style w:type="paragraph" w:styleId="Sangradetextonormal">
    <w:name w:val="Body Text Indent"/>
    <w:basedOn w:val="Normal"/>
    <w:link w:val="SangradetextonormalCar"/>
    <w:uiPriority w:val="99"/>
    <w:semiHidden/>
    <w:unhideWhenUsed/>
    <w:rsid w:val="00C02AAE"/>
    <w:pPr>
      <w:spacing w:after="120"/>
      <w:ind w:left="283"/>
    </w:pPr>
  </w:style>
  <w:style w:type="character" w:customStyle="1" w:styleId="SangradetextonormalCar">
    <w:name w:val="Sangría de texto normal Car"/>
    <w:basedOn w:val="Fuentedeprrafopredeter"/>
    <w:link w:val="Sangradetextonormal"/>
    <w:uiPriority w:val="99"/>
    <w:semiHidden/>
    <w:rsid w:val="00C02AAE"/>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C02AA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02AAE"/>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C02AAE"/>
    <w:pPr>
      <w:spacing w:before="100" w:beforeAutospacing="1" w:after="100" w:afterAutospacing="1"/>
    </w:pPr>
    <w:rPr>
      <w:sz w:val="24"/>
      <w:szCs w:val="24"/>
      <w:lang w:val="es-EC" w:eastAsia="es-ES_tradnl"/>
    </w:rPr>
  </w:style>
  <w:style w:type="character" w:customStyle="1" w:styleId="markedcontent">
    <w:name w:val="markedcontent"/>
    <w:basedOn w:val="Fuentedeprrafopredeter"/>
    <w:rsid w:val="00C02AAE"/>
  </w:style>
  <w:style w:type="character" w:styleId="Refdecomentario">
    <w:name w:val="annotation reference"/>
    <w:uiPriority w:val="99"/>
    <w:rsid w:val="00C02AAE"/>
    <w:rPr>
      <w:sz w:val="16"/>
      <w:szCs w:val="16"/>
    </w:rPr>
  </w:style>
  <w:style w:type="paragraph" w:styleId="Textocomentario">
    <w:name w:val="annotation text"/>
    <w:basedOn w:val="Normal"/>
    <w:link w:val="TextocomentarioCar"/>
    <w:uiPriority w:val="99"/>
    <w:rsid w:val="00C02AAE"/>
  </w:style>
  <w:style w:type="character" w:customStyle="1" w:styleId="TextocomentarioCar">
    <w:name w:val="Texto comentario Car"/>
    <w:basedOn w:val="Fuentedeprrafopredeter"/>
    <w:link w:val="Textocomentario"/>
    <w:uiPriority w:val="99"/>
    <w:rsid w:val="00C02AAE"/>
    <w:rPr>
      <w:rFonts w:ascii="Times New Roman" w:eastAsia="Times New Roman" w:hAnsi="Times New Roman" w:cs="Times New Roman"/>
      <w:sz w:val="20"/>
      <w:szCs w:val="20"/>
      <w:lang w:eastAsia="es-ES"/>
    </w:rPr>
  </w:style>
  <w:style w:type="paragraph" w:styleId="Ttulo">
    <w:name w:val="Title"/>
    <w:basedOn w:val="Normal"/>
    <w:next w:val="Normal"/>
    <w:link w:val="TtuloCar1"/>
    <w:uiPriority w:val="10"/>
    <w:qFormat/>
    <w:rsid w:val="00C02AAE"/>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C02AAE"/>
    <w:rPr>
      <w:rFonts w:asciiTheme="majorHAnsi" w:eastAsiaTheme="majorEastAsia" w:hAnsiTheme="majorHAnsi" w:cstheme="majorBidi"/>
      <w:spacing w:val="-10"/>
      <w:kern w:val="28"/>
      <w:sz w:val="56"/>
      <w:szCs w:val="56"/>
      <w:lang w:eastAsia="es-ES"/>
    </w:rPr>
  </w:style>
  <w:style w:type="paragraph" w:styleId="Textodeglobo">
    <w:name w:val="Balloon Text"/>
    <w:basedOn w:val="Normal"/>
    <w:link w:val="TextodegloboCar"/>
    <w:uiPriority w:val="99"/>
    <w:semiHidden/>
    <w:unhideWhenUsed/>
    <w:rsid w:val="00C02AA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2AAE"/>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5140</Words>
  <Characters>28274</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Fernanda Duran Garcia</dc:creator>
  <cp:keywords/>
  <dc:description/>
  <cp:lastModifiedBy>Sonia Fernanda Duran Garcia</cp:lastModifiedBy>
  <cp:revision>2</cp:revision>
  <dcterms:created xsi:type="dcterms:W3CDTF">2023-03-06T18:24:00Z</dcterms:created>
  <dcterms:modified xsi:type="dcterms:W3CDTF">2023-03-06T18:36:00Z</dcterms:modified>
</cp:coreProperties>
</file>