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DDF9" w14:textId="4C38B9F5" w:rsidR="00DB15C7" w:rsidRDefault="00DB15C7"/>
    <w:p w14:paraId="3742BD3A" w14:textId="16623004" w:rsidR="00DA0286" w:rsidRDefault="00DA0286"/>
    <w:p w14:paraId="4FD8CA0A" w14:textId="77777777" w:rsidR="00DA0286" w:rsidRPr="00DA0286" w:rsidRDefault="00DA0286"/>
    <w:p w14:paraId="095285E2" w14:textId="77777777" w:rsidR="00D04CFC" w:rsidRPr="00DA0286" w:rsidRDefault="00D04CFC" w:rsidP="00D04CFC">
      <w:pPr>
        <w:spacing w:after="240" w:line="276" w:lineRule="auto"/>
        <w:ind w:left="708" w:hanging="708"/>
        <w:jc w:val="center"/>
        <w:rPr>
          <w:b/>
        </w:rPr>
      </w:pPr>
      <w:r w:rsidRPr="00DA0286">
        <w:rPr>
          <w:b/>
        </w:rPr>
        <w:t>EXPOSICIÓN DE MOTIVOS</w:t>
      </w:r>
    </w:p>
    <w:p w14:paraId="3DE6DC49" w14:textId="77777777" w:rsidR="00E3004A" w:rsidRPr="00DA0286" w:rsidRDefault="00E3004A" w:rsidP="00D04CFC">
      <w:pPr>
        <w:spacing w:after="240" w:line="276" w:lineRule="auto"/>
        <w:jc w:val="both"/>
      </w:pPr>
    </w:p>
    <w:p w14:paraId="5C9DA44D" w14:textId="77777777" w:rsidR="00D04CFC" w:rsidRPr="00DA0286" w:rsidRDefault="00D04CFC" w:rsidP="00D04CFC">
      <w:pPr>
        <w:spacing w:after="240" w:line="276" w:lineRule="auto"/>
        <w:jc w:val="both"/>
      </w:pPr>
      <w:r w:rsidRPr="00DA0286">
        <w:t xml:space="preserve">La Constitución de la República del Ecuador, en su artículo 30, garantiza a las personas el </w:t>
      </w:r>
      <w:r w:rsidRPr="00DA0286">
        <w:rPr>
          <w:i/>
        </w:rPr>
        <w:t>“derecho a un hábitat seguro y saludable, y a una vivienda adecuada y digna, con independencia de su situación social y económica”.</w:t>
      </w:r>
      <w:r w:rsidRPr="00DA0286">
        <w:t xml:space="preserve"> </w:t>
      </w:r>
    </w:p>
    <w:p w14:paraId="26B4F843" w14:textId="77777777" w:rsidR="00D04CFC" w:rsidRPr="00DA0286" w:rsidRDefault="00E3004A" w:rsidP="00D04CFC">
      <w:pPr>
        <w:spacing w:after="240" w:line="276" w:lineRule="auto"/>
        <w:jc w:val="both"/>
      </w:pPr>
      <w:r w:rsidRPr="00DA0286">
        <w:t>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D04CFC" w:rsidRPr="00DA0286">
        <w:t xml:space="preserve">. </w:t>
      </w:r>
    </w:p>
    <w:p w14:paraId="07A4F776" w14:textId="77777777" w:rsidR="00D04CFC" w:rsidRPr="00DA0286" w:rsidRDefault="00D04CFC" w:rsidP="00D04CFC">
      <w:pPr>
        <w:spacing w:after="240" w:line="276" w:lineRule="auto"/>
        <w:jc w:val="both"/>
      </w:pPr>
      <w:r w:rsidRPr="00DA0286">
        <w:t>El asentamiento humano de hecho y consolidado de interés social denominado</w:t>
      </w:r>
      <w:r w:rsidR="009E4A5B" w:rsidRPr="00DA0286">
        <w:t xml:space="preserve"> </w:t>
      </w:r>
      <w:r w:rsidR="00F6068F" w:rsidRPr="00DA0286">
        <w:t>Comité Barri</w:t>
      </w:r>
      <w:r w:rsidR="00162F82" w:rsidRPr="00DA0286">
        <w:t xml:space="preserve">al </w:t>
      </w:r>
      <w:r w:rsidR="00F6068F" w:rsidRPr="00DA0286">
        <w:t>“Abdón Calderón Número Dos”</w:t>
      </w:r>
      <w:r w:rsidR="009E4A5B" w:rsidRPr="00DA0286">
        <w:t>,</w:t>
      </w:r>
      <w:r w:rsidRPr="00DA0286">
        <w:t xml:space="preserve"> ubicado en la parroquia</w:t>
      </w:r>
      <w:r w:rsidR="0043393D" w:rsidRPr="00DA0286">
        <w:t xml:space="preserve"> El</w:t>
      </w:r>
      <w:r w:rsidRPr="00DA0286">
        <w:t xml:space="preserve"> Co</w:t>
      </w:r>
      <w:r w:rsidR="000921E4" w:rsidRPr="00DA0286">
        <w:t>ndado</w:t>
      </w:r>
      <w:r w:rsidRPr="00DA0286">
        <w:t xml:space="preserve">, tiene una consolidación de </w:t>
      </w:r>
      <w:r w:rsidR="00B93062" w:rsidRPr="00DA0286">
        <w:rPr>
          <w:color w:val="000000" w:themeColor="text1"/>
        </w:rPr>
        <w:t>92</w:t>
      </w:r>
      <w:r w:rsidRPr="00DA0286">
        <w:rPr>
          <w:color w:val="000000" w:themeColor="text1"/>
        </w:rPr>
        <w:t xml:space="preserve">%, </w:t>
      </w:r>
      <w:r w:rsidRPr="00DA0286">
        <w:t xml:space="preserve">al inicio del proceso de regularización contaba con </w:t>
      </w:r>
      <w:r w:rsidR="00B93062" w:rsidRPr="00DA0286">
        <w:t>2</w:t>
      </w:r>
      <w:r w:rsidR="00E3004A" w:rsidRPr="00DA0286">
        <w:t>3</w:t>
      </w:r>
      <w:r w:rsidR="00B93062" w:rsidRPr="00DA0286">
        <w:rPr>
          <w:b/>
        </w:rPr>
        <w:t xml:space="preserve"> </w:t>
      </w:r>
      <w:r w:rsidR="00E3004A" w:rsidRPr="00DA0286">
        <w:t>años de existencia; sin embargo, al momento de la sanción de la presente Ordenanza cuenta con 24 años de asentamiento</w:t>
      </w:r>
      <w:r w:rsidRPr="00DA0286">
        <w:t xml:space="preserve"> </w:t>
      </w:r>
      <w:r w:rsidR="00B93062" w:rsidRPr="00DA0286">
        <w:t>50</w:t>
      </w:r>
      <w:r w:rsidRPr="00DA0286">
        <w:rPr>
          <w:b/>
        </w:rPr>
        <w:t xml:space="preserve"> </w:t>
      </w:r>
      <w:r w:rsidRPr="00DA0286">
        <w:t xml:space="preserve">lotes a fraccionarse y </w:t>
      </w:r>
      <w:r w:rsidR="00B93062" w:rsidRPr="00DA0286">
        <w:t>200</w:t>
      </w:r>
      <w:r w:rsidRPr="00DA0286">
        <w:rPr>
          <w:b/>
        </w:rPr>
        <w:t xml:space="preserve"> </w:t>
      </w:r>
      <w:r w:rsidRPr="00DA0286">
        <w:t xml:space="preserve">beneficiarios. </w:t>
      </w:r>
    </w:p>
    <w:p w14:paraId="5EB62A87" w14:textId="77777777" w:rsidR="0089011F" w:rsidRPr="00DA0286" w:rsidRDefault="0089011F" w:rsidP="0089011F">
      <w:pPr>
        <w:spacing w:after="240" w:line="276" w:lineRule="auto"/>
        <w:jc w:val="both"/>
      </w:pPr>
      <w:r w:rsidRPr="00DA0286">
        <w:t>Dicho asentamiento humano de hecho y consolidado de interés social no cuenta con reconocimiento legal por parte de la Municipalidad, por lo que la Unidad Especial “Regul</w:t>
      </w:r>
      <w:r w:rsidR="00910916" w:rsidRPr="00DA0286">
        <w:t>a t</w:t>
      </w:r>
      <w:r w:rsidRPr="00DA0286">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D8A73E2" w14:textId="77777777" w:rsidR="0089011F" w:rsidRPr="00DA0286" w:rsidRDefault="0089011F" w:rsidP="0089011F">
      <w:pPr>
        <w:spacing w:after="240" w:line="276" w:lineRule="auto"/>
        <w:jc w:val="both"/>
      </w:pPr>
      <w:r w:rsidRPr="00DA0286">
        <w:t>En este sentido, la presente ordenanza contiene la normativa tendiente al fraccionamiento del predio donde se encuentra</w:t>
      </w:r>
      <w:r w:rsidR="00A41A0C" w:rsidRPr="00DA0286">
        <w:t xml:space="preserve"> el</w:t>
      </w:r>
      <w:r w:rsidR="0043393D" w:rsidRPr="00DA0286">
        <w:t xml:space="preserve"> asentamiento humano de hecho y consolidado de interés social</w:t>
      </w:r>
      <w:r w:rsidR="00F6068F" w:rsidRPr="00DA0286">
        <w:t xml:space="preserve"> denominado Comité </w:t>
      </w:r>
      <w:r w:rsidR="0043393D" w:rsidRPr="00DA0286">
        <w:t>Barri</w:t>
      </w:r>
      <w:r w:rsidR="00162F82" w:rsidRPr="00DA0286">
        <w:t xml:space="preserve">al </w:t>
      </w:r>
      <w:r w:rsidR="0043393D" w:rsidRPr="00DA0286">
        <w:t xml:space="preserve">“Abdón Calderón Número Dos”, </w:t>
      </w:r>
      <w:r w:rsidRPr="00DA0286">
        <w:t>a fin de garantizar a los beneficiarios el ejercicio de su derecho a la vivienda y el acceso a servicios básicos de calidad.</w:t>
      </w:r>
    </w:p>
    <w:p w14:paraId="138C5BBA" w14:textId="77777777" w:rsidR="009849D0" w:rsidRPr="00DA0286" w:rsidRDefault="009849D0" w:rsidP="0089011F">
      <w:pPr>
        <w:spacing w:after="240" w:line="276" w:lineRule="auto"/>
        <w:jc w:val="both"/>
      </w:pPr>
    </w:p>
    <w:p w14:paraId="0AA7B202" w14:textId="77777777" w:rsidR="009849D0" w:rsidRPr="00DA0286" w:rsidRDefault="009849D0" w:rsidP="0089011F">
      <w:pPr>
        <w:spacing w:after="240" w:line="276" w:lineRule="auto"/>
        <w:jc w:val="both"/>
      </w:pPr>
    </w:p>
    <w:p w14:paraId="5E64BC7C" w14:textId="77777777" w:rsidR="009849D0" w:rsidRPr="00DA0286" w:rsidRDefault="009849D0" w:rsidP="0089011F">
      <w:pPr>
        <w:spacing w:after="240" w:line="276" w:lineRule="auto"/>
        <w:jc w:val="both"/>
      </w:pPr>
    </w:p>
    <w:p w14:paraId="599FBF01" w14:textId="77777777" w:rsidR="009849D0" w:rsidRPr="00DA0286" w:rsidRDefault="009849D0" w:rsidP="0089011F">
      <w:pPr>
        <w:spacing w:after="240" w:line="276" w:lineRule="auto"/>
        <w:jc w:val="both"/>
      </w:pPr>
    </w:p>
    <w:p w14:paraId="606F8106" w14:textId="4ACBD180" w:rsidR="009849D0" w:rsidRDefault="009849D0" w:rsidP="0089011F">
      <w:pPr>
        <w:spacing w:after="240" w:line="276" w:lineRule="auto"/>
        <w:jc w:val="both"/>
      </w:pPr>
    </w:p>
    <w:p w14:paraId="0830FC9C" w14:textId="5A57AFBB" w:rsidR="00DA0286" w:rsidRDefault="00DA0286" w:rsidP="0089011F">
      <w:pPr>
        <w:spacing w:after="240" w:line="276" w:lineRule="auto"/>
        <w:jc w:val="both"/>
      </w:pPr>
    </w:p>
    <w:p w14:paraId="70FD8893" w14:textId="77777777" w:rsidR="00DA0286" w:rsidRPr="00DA0286" w:rsidRDefault="00DA0286" w:rsidP="0089011F">
      <w:pPr>
        <w:spacing w:after="240" w:line="276" w:lineRule="auto"/>
        <w:jc w:val="both"/>
      </w:pPr>
    </w:p>
    <w:p w14:paraId="30B5A018" w14:textId="77777777" w:rsidR="009849D0" w:rsidRPr="00DA0286" w:rsidRDefault="009849D0" w:rsidP="0089011F">
      <w:pPr>
        <w:spacing w:after="240" w:line="276" w:lineRule="auto"/>
        <w:jc w:val="both"/>
      </w:pPr>
    </w:p>
    <w:p w14:paraId="42CB7530" w14:textId="77777777" w:rsidR="00E3004A" w:rsidRPr="00DA0286" w:rsidRDefault="00E3004A" w:rsidP="00E3004A">
      <w:pPr>
        <w:pStyle w:val="1"/>
        <w:spacing w:after="240" w:line="276" w:lineRule="auto"/>
        <w:rPr>
          <w:rFonts w:ascii="Times New Roman" w:hAnsi="Times New Roman"/>
          <w:sz w:val="20"/>
          <w:szCs w:val="20"/>
        </w:rPr>
      </w:pPr>
      <w:r w:rsidRPr="00DA0286">
        <w:rPr>
          <w:rFonts w:ascii="Times New Roman" w:hAnsi="Times New Roman"/>
          <w:sz w:val="20"/>
          <w:szCs w:val="20"/>
        </w:rPr>
        <w:lastRenderedPageBreak/>
        <w:t>EL CONCEJO METROPOLITANO DE QUITO</w:t>
      </w:r>
    </w:p>
    <w:p w14:paraId="125B7C52" w14:textId="77777777" w:rsidR="009849D0" w:rsidRPr="00DA0286" w:rsidRDefault="009849D0" w:rsidP="009849D0">
      <w:pPr>
        <w:spacing w:after="240" w:line="276" w:lineRule="auto"/>
        <w:jc w:val="both"/>
      </w:pPr>
      <w:r w:rsidRPr="00DA0286">
        <w:t>Visto el informe No. ………….. de …… de ….. de</w:t>
      </w:r>
      <w:r w:rsidR="00A75E06" w:rsidRPr="00DA0286">
        <w:t xml:space="preserve"> 2023,</w:t>
      </w:r>
      <w:r w:rsidRPr="00DA0286">
        <w:t xml:space="preserve"> expedido por la Comisión de Ordenamiento Territorial.</w:t>
      </w:r>
    </w:p>
    <w:p w14:paraId="5ABD0D03" w14:textId="77777777" w:rsidR="009849D0" w:rsidRPr="00DA0286" w:rsidRDefault="009849D0" w:rsidP="009849D0">
      <w:pPr>
        <w:spacing w:after="240" w:line="276" w:lineRule="auto"/>
        <w:jc w:val="center"/>
        <w:rPr>
          <w:b/>
        </w:rPr>
      </w:pPr>
      <w:r w:rsidRPr="00DA0286">
        <w:rPr>
          <w:b/>
        </w:rPr>
        <w:t>CONSIDERANDO:</w:t>
      </w:r>
    </w:p>
    <w:p w14:paraId="21A900E9"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sz w:val="20"/>
          <w:szCs w:val="20"/>
        </w:rPr>
        <w:t xml:space="preserve">Que, </w:t>
      </w:r>
      <w:r w:rsidRPr="00DA0286">
        <w:rPr>
          <w:rFonts w:ascii="Times New Roman" w:hAnsi="Times New Roman"/>
          <w:b/>
          <w:sz w:val="20"/>
          <w:szCs w:val="20"/>
        </w:rPr>
        <w:tab/>
      </w:r>
      <w:r w:rsidRPr="00DA0286">
        <w:rPr>
          <w:rFonts w:ascii="Times New Roman" w:hAnsi="Times New Roman"/>
          <w:sz w:val="20"/>
          <w:szCs w:val="20"/>
        </w:rPr>
        <w:t xml:space="preserve">el artículo 30 de la Constitución de la República del Ecuador (en adelante </w:t>
      </w:r>
      <w:r w:rsidRPr="00DA0286">
        <w:rPr>
          <w:rFonts w:ascii="Times New Roman" w:hAnsi="Times New Roman"/>
          <w:i/>
          <w:sz w:val="20"/>
          <w:szCs w:val="20"/>
        </w:rPr>
        <w:t>“Constitución”)</w:t>
      </w:r>
      <w:r w:rsidRPr="00DA0286">
        <w:rPr>
          <w:rFonts w:ascii="Times New Roman" w:hAnsi="Times New Roman"/>
          <w:sz w:val="20"/>
          <w:szCs w:val="20"/>
        </w:rPr>
        <w:t xml:space="preserve"> establece que: “</w:t>
      </w:r>
      <w:r w:rsidRPr="00DA0286">
        <w:rPr>
          <w:rFonts w:ascii="Times New Roman" w:hAnsi="Times New Roman"/>
          <w:i/>
          <w:sz w:val="20"/>
          <w:szCs w:val="20"/>
        </w:rPr>
        <w:t>Las personas tienen derecho a un hábitat seguro y saludable, y a una vivienda adecuada y digna, con independencia de su situación social y económica.</w:t>
      </w:r>
      <w:r w:rsidRPr="00DA0286">
        <w:rPr>
          <w:rFonts w:ascii="Times New Roman" w:hAnsi="Times New Roman"/>
          <w:sz w:val="20"/>
          <w:szCs w:val="20"/>
        </w:rPr>
        <w:t>”;</w:t>
      </w:r>
    </w:p>
    <w:p w14:paraId="6B94B5CC" w14:textId="77777777" w:rsidR="00A879A4" w:rsidRPr="00DA0286" w:rsidRDefault="00A879A4" w:rsidP="00A879A4">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el artículo 31 de la Constitución dispone que: “</w:t>
      </w:r>
      <w:r w:rsidRPr="00DA0286">
        <w:rPr>
          <w:rFonts w:ascii="Times New Roman" w:hAnsi="Times New Roman"/>
          <w:bCs/>
          <w:i/>
          <w:sz w:val="20"/>
          <w:szCs w:val="20"/>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A0286">
        <w:rPr>
          <w:rFonts w:ascii="Times New Roman" w:hAnsi="Times New Roman"/>
          <w:bCs/>
          <w:sz w:val="20"/>
          <w:szCs w:val="20"/>
        </w:rPr>
        <w:t xml:space="preserve">”; </w:t>
      </w:r>
    </w:p>
    <w:p w14:paraId="430F3411"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el artículo 240 de la Constitución establece que: “</w:t>
      </w:r>
      <w:r w:rsidRPr="00DA0286">
        <w:rPr>
          <w:rFonts w:ascii="Times New Roman" w:hAnsi="Times New Roman"/>
          <w:i/>
          <w:sz w:val="20"/>
          <w:szCs w:val="20"/>
        </w:rPr>
        <w:t>Los gobiernos autónomos descentralizados de las regiones, distritos metropolitanos, provincias y cantones tendrán facultades legislativas en el ámbito de sus competencias y jurisdicciones territoriales (…)</w:t>
      </w:r>
      <w:r w:rsidRPr="00DA0286">
        <w:rPr>
          <w:rFonts w:ascii="Times New Roman" w:hAnsi="Times New Roman"/>
          <w:sz w:val="20"/>
          <w:szCs w:val="20"/>
        </w:rPr>
        <w:t>”;</w:t>
      </w:r>
    </w:p>
    <w:p w14:paraId="394D4BD0" w14:textId="77777777" w:rsidR="00A879A4" w:rsidRPr="00DA0286" w:rsidRDefault="00A879A4" w:rsidP="00A879A4">
      <w:pPr>
        <w:pStyle w:val="Sinespaciado"/>
        <w:spacing w:after="240" w:line="276" w:lineRule="auto"/>
        <w:ind w:left="709" w:hanging="709"/>
        <w:jc w:val="both"/>
        <w:rPr>
          <w:rFonts w:ascii="Times New Roman" w:hAnsi="Times New Roman"/>
          <w:i/>
          <w:sz w:val="20"/>
          <w:szCs w:val="20"/>
        </w:rPr>
      </w:pPr>
      <w:r w:rsidRPr="00DA0286">
        <w:rPr>
          <w:rFonts w:ascii="Times New Roman" w:hAnsi="Times New Roman"/>
          <w:b/>
          <w:sz w:val="20"/>
          <w:szCs w:val="20"/>
        </w:rPr>
        <w:t>Que,</w:t>
      </w:r>
      <w:r w:rsidRPr="00DA0286">
        <w:rPr>
          <w:rFonts w:ascii="Times New Roman" w:hAnsi="Times New Roman"/>
          <w:sz w:val="20"/>
          <w:szCs w:val="20"/>
        </w:rPr>
        <w:tab/>
        <w:t>el artículo 266 de la Constitución establece que</w:t>
      </w:r>
      <w:r w:rsidRPr="00DA0286">
        <w:rPr>
          <w:rFonts w:ascii="Times New Roman" w:hAnsi="Times New Roman"/>
          <w:i/>
          <w:sz w:val="20"/>
          <w:szCs w:val="20"/>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5624A05" w14:textId="77777777" w:rsidR="00A879A4" w:rsidRPr="00DA0286" w:rsidRDefault="00A879A4" w:rsidP="00A879A4">
      <w:pPr>
        <w:pStyle w:val="Sinespaciado"/>
        <w:spacing w:after="240" w:line="276" w:lineRule="auto"/>
        <w:ind w:left="709" w:hanging="1"/>
        <w:jc w:val="both"/>
        <w:rPr>
          <w:rFonts w:ascii="Times New Roman" w:hAnsi="Times New Roman"/>
          <w:i/>
          <w:sz w:val="20"/>
          <w:szCs w:val="20"/>
        </w:rPr>
      </w:pPr>
      <w:r w:rsidRPr="00DA0286">
        <w:rPr>
          <w:rFonts w:ascii="Times New Roman" w:hAnsi="Times New Roman"/>
          <w:i/>
          <w:sz w:val="20"/>
          <w:szCs w:val="20"/>
        </w:rPr>
        <w:t>En el ámbito de sus competencias y territorio, y en uso de sus facultades, expedirán ordenanzas distritales.”;</w:t>
      </w:r>
    </w:p>
    <w:p w14:paraId="06BE8B65" w14:textId="77777777" w:rsidR="00A879A4" w:rsidRPr="00DA0286" w:rsidRDefault="00A879A4" w:rsidP="00A879A4">
      <w:pPr>
        <w:pStyle w:val="Sinespaciado"/>
        <w:spacing w:after="240" w:line="276" w:lineRule="auto"/>
        <w:ind w:left="709" w:hanging="709"/>
        <w:jc w:val="both"/>
        <w:rPr>
          <w:rFonts w:ascii="Times New Roman" w:hAnsi="Times New Roman"/>
          <w:i/>
          <w:sz w:val="20"/>
          <w:szCs w:val="20"/>
        </w:rPr>
      </w:pPr>
      <w:r w:rsidRPr="00DA0286">
        <w:rPr>
          <w:rFonts w:ascii="Times New Roman" w:hAnsi="Times New Roman"/>
          <w:b/>
          <w:bCs/>
          <w:sz w:val="20"/>
          <w:szCs w:val="20"/>
        </w:rPr>
        <w:t>Que,</w:t>
      </w:r>
      <w:r w:rsidRPr="00DA0286">
        <w:rPr>
          <w:rFonts w:ascii="Times New Roman" w:hAnsi="Times New Roman"/>
          <w:sz w:val="20"/>
          <w:szCs w:val="20"/>
        </w:rPr>
        <w:tab/>
      </w:r>
      <w:r w:rsidRPr="00DA0286">
        <w:rPr>
          <w:rFonts w:ascii="Times New Roman" w:hAnsi="Times New Roman"/>
          <w:bCs/>
          <w:sz w:val="20"/>
          <w:szCs w:val="20"/>
        </w:rPr>
        <w:t>el literal c) del artículo 84 del Código Orgánico de Organización Territorial, Autonomía y Descentrali</w:t>
      </w:r>
      <w:r w:rsidR="00A75E06" w:rsidRPr="00DA0286">
        <w:rPr>
          <w:rFonts w:ascii="Times New Roman" w:hAnsi="Times New Roman"/>
          <w:bCs/>
          <w:sz w:val="20"/>
          <w:szCs w:val="20"/>
        </w:rPr>
        <w:t>zación (en adelante “COOTAD”), señala</w:t>
      </w:r>
      <w:r w:rsidRPr="00DA0286">
        <w:rPr>
          <w:rFonts w:ascii="Times New Roman" w:hAnsi="Times New Roman"/>
          <w:bCs/>
          <w:sz w:val="20"/>
          <w:szCs w:val="20"/>
        </w:rPr>
        <w:t xml:space="preserve"> las funciones del gobierno del distrito autónomo metropolitano, </w:t>
      </w:r>
      <w:r w:rsidRPr="00DA0286">
        <w:rPr>
          <w:rFonts w:ascii="Times New Roman" w:hAnsi="Times New Roman"/>
          <w:bCs/>
          <w:i/>
          <w:sz w:val="20"/>
          <w:szCs w:val="20"/>
        </w:rPr>
        <w:t>“</w:t>
      </w:r>
      <w:r w:rsidRPr="00DA0286">
        <w:rPr>
          <w:rFonts w:ascii="Times New Roman" w:hAnsi="Times New Roman"/>
          <w:b/>
          <w:i/>
          <w:sz w:val="20"/>
          <w:szCs w:val="20"/>
        </w:rPr>
        <w:t>c)</w:t>
      </w:r>
      <w:r w:rsidRPr="00DA0286">
        <w:rPr>
          <w:rFonts w:ascii="Times New Roman" w:hAnsi="Times New Roman"/>
          <w:i/>
          <w:sz w:val="20"/>
          <w:szCs w:val="20"/>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6F6528B"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 xml:space="preserve">el </w:t>
      </w:r>
      <w:r w:rsidRPr="00DA0286">
        <w:rPr>
          <w:rFonts w:ascii="Times New Roman" w:hAnsi="Times New Roman"/>
          <w:bCs/>
          <w:sz w:val="20"/>
          <w:szCs w:val="20"/>
        </w:rPr>
        <w:t>literal a) d</w:t>
      </w:r>
      <w:r w:rsidRPr="00DA0286">
        <w:rPr>
          <w:rFonts w:ascii="Times New Roman" w:hAnsi="Times New Roman"/>
          <w:sz w:val="20"/>
          <w:szCs w:val="20"/>
        </w:rPr>
        <w:t xml:space="preserve">el artículo 87 del COOTAD, establece que las funciones del Concejo Metropolitano, entre otras, son: </w:t>
      </w:r>
      <w:r w:rsidRPr="00DA0286">
        <w:rPr>
          <w:rFonts w:ascii="Times New Roman" w:hAnsi="Times New Roman"/>
          <w:i/>
          <w:iCs/>
          <w:sz w:val="20"/>
          <w:szCs w:val="20"/>
        </w:rPr>
        <w:t>“</w:t>
      </w:r>
      <w:r w:rsidRPr="00DA0286">
        <w:rPr>
          <w:rFonts w:ascii="Times New Roman" w:hAnsi="Times New Roman"/>
          <w:i/>
          <w:sz w:val="20"/>
          <w:szCs w:val="20"/>
        </w:rPr>
        <w:t>a) Ejercer la facultad normativa en las materias de competencia del gobierno autónomo descentralizado metropolitano, mediante la expedición de ordenanzas metropolitanas, acuerdos y resoluciones”;</w:t>
      </w:r>
      <w:r w:rsidRPr="00DA0286">
        <w:rPr>
          <w:rFonts w:ascii="Times New Roman" w:hAnsi="Times New Roman"/>
          <w:i/>
          <w:iCs/>
          <w:sz w:val="20"/>
          <w:szCs w:val="20"/>
        </w:rPr>
        <w:t xml:space="preserve">  </w:t>
      </w:r>
    </w:p>
    <w:p w14:paraId="42C988D2"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 xml:space="preserve">Que,  </w:t>
      </w:r>
      <w:r w:rsidRPr="00DA0286">
        <w:rPr>
          <w:rFonts w:ascii="Times New Roman" w:hAnsi="Times New Roman"/>
          <w:b/>
          <w:bCs/>
          <w:sz w:val="20"/>
          <w:szCs w:val="20"/>
        </w:rPr>
        <w:tab/>
      </w:r>
      <w:r w:rsidRPr="00DA0286">
        <w:rPr>
          <w:rFonts w:ascii="Times New Roman" w:hAnsi="Times New Roman"/>
          <w:sz w:val="20"/>
          <w:szCs w:val="20"/>
        </w:rPr>
        <w:t>el artículo 322 del COOTAD establece el procedimiento para la aprobación de las ordenanzas municipales;</w:t>
      </w:r>
    </w:p>
    <w:p w14:paraId="4892B076" w14:textId="77777777" w:rsidR="00A879A4" w:rsidRPr="00DA0286" w:rsidRDefault="00A879A4" w:rsidP="00A879A4">
      <w:pPr>
        <w:pStyle w:val="Sinespaciado"/>
        <w:spacing w:after="240" w:line="276" w:lineRule="auto"/>
        <w:ind w:left="709" w:hanging="709"/>
        <w:jc w:val="both"/>
        <w:rPr>
          <w:rFonts w:ascii="Times New Roman" w:hAnsi="Times New Roman"/>
          <w:bCs/>
          <w:i/>
          <w:sz w:val="20"/>
          <w:szCs w:val="20"/>
        </w:rPr>
      </w:pPr>
      <w:r w:rsidRPr="00DA0286">
        <w:rPr>
          <w:rFonts w:ascii="Times New Roman" w:hAnsi="Times New Roman"/>
          <w:b/>
          <w:bCs/>
          <w:sz w:val="20"/>
          <w:szCs w:val="20"/>
        </w:rPr>
        <w:t xml:space="preserve">Que,      </w:t>
      </w:r>
      <w:r w:rsidRPr="00DA0286">
        <w:rPr>
          <w:rFonts w:ascii="Times New Roman" w:hAnsi="Times New Roman"/>
          <w:bCs/>
          <w:sz w:val="20"/>
          <w:szCs w:val="20"/>
        </w:rPr>
        <w:t xml:space="preserve">el artículo 424 del COOTAD establece que en el área verde, comunitaria y vías que: </w:t>
      </w:r>
      <w:r w:rsidRPr="00DA0286">
        <w:rPr>
          <w:rFonts w:ascii="Times New Roman" w:hAnsi="Times New Roman"/>
          <w:bCs/>
          <w:i/>
          <w:sz w:val="20"/>
          <w:szCs w:val="20"/>
        </w:rPr>
        <w:t xml:space="preserve">“En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w:t>
      </w:r>
      <w:r w:rsidRPr="00DA0286">
        <w:rPr>
          <w:rFonts w:ascii="Times New Roman" w:hAnsi="Times New Roman"/>
          <w:bCs/>
          <w:i/>
          <w:sz w:val="20"/>
          <w:szCs w:val="20"/>
        </w:rPr>
        <w:lastRenderedPageBreak/>
        <w:t xml:space="preserve">de cesión gratuita y obligatoria al Gobierno Autónomo Descentralizado municipal o metropolitano como bienes de dominio y uso público (…)”; </w:t>
      </w:r>
    </w:p>
    <w:p w14:paraId="3E888658" w14:textId="1FD462A3" w:rsidR="00A75E06" w:rsidRPr="00DA0286" w:rsidRDefault="00A75E06" w:rsidP="00A75E06">
      <w:pPr>
        <w:spacing w:after="240" w:line="276" w:lineRule="auto"/>
        <w:ind w:left="705" w:hanging="705"/>
        <w:jc w:val="both"/>
        <w:rPr>
          <w:bCs/>
          <w:i/>
        </w:rPr>
      </w:pPr>
      <w:r w:rsidRPr="00DA0286">
        <w:rPr>
          <w:b/>
          <w:bCs/>
        </w:rPr>
        <w:t xml:space="preserve">Que,  </w:t>
      </w:r>
      <w:r w:rsidR="00DA0286">
        <w:rPr>
          <w:b/>
          <w:bCs/>
        </w:rPr>
        <w:t xml:space="preserve">  </w:t>
      </w:r>
      <w:r w:rsidRPr="00DA0286">
        <w:rPr>
          <w:bCs/>
        </w:rPr>
        <w:t xml:space="preserve">el artículo 486 del COOTAD reformado establece que: </w:t>
      </w:r>
      <w:r w:rsidRPr="00DA0286">
        <w:rPr>
          <w:bCs/>
          <w:i/>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1696B1E4" w14:textId="77777777" w:rsidR="00206F3C" w:rsidRPr="00DA0286" w:rsidRDefault="00206F3C" w:rsidP="00206F3C">
      <w:pPr>
        <w:pStyle w:val="Sinespaciado"/>
        <w:spacing w:before="240"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la Disposición Transitoria Décima Cuarta del COOTAD, señala: “</w:t>
      </w:r>
      <w:r w:rsidRPr="00DA0286">
        <w:rPr>
          <w:rFonts w:ascii="Times New Roman" w:hAnsi="Times New Roman"/>
          <w:bCs/>
          <w:i/>
          <w:sz w:val="20"/>
          <w:szCs w:val="20"/>
        </w:rPr>
        <w:t xml:space="preserve">(…) </w:t>
      </w:r>
      <w:r w:rsidRPr="00DA0286">
        <w:rPr>
          <w:rFonts w:ascii="Times New Roman" w:hAnsi="Times New Roman"/>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DA0286">
        <w:rPr>
          <w:rFonts w:ascii="Times New Roman" w:hAnsi="Times New Roman"/>
          <w:sz w:val="20"/>
          <w:szCs w:val="20"/>
        </w:rPr>
        <w:t>.”;</w:t>
      </w:r>
    </w:p>
    <w:p w14:paraId="2E333C17" w14:textId="77777777" w:rsidR="00206F3C" w:rsidRPr="00DA0286" w:rsidRDefault="00206F3C" w:rsidP="00206F3C">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E950409" w14:textId="77777777" w:rsidR="00F77AE5" w:rsidRPr="00DA0286" w:rsidRDefault="00F77AE5" w:rsidP="009751D7">
      <w:pPr>
        <w:spacing w:after="240" w:line="276" w:lineRule="auto"/>
        <w:ind w:left="709" w:hanging="709"/>
        <w:jc w:val="both"/>
        <w:rPr>
          <w:bCs/>
        </w:rPr>
      </w:pPr>
      <w:r w:rsidRPr="00DA0286">
        <w:rPr>
          <w:b/>
          <w:bCs/>
        </w:rPr>
        <w:t>Que,</w:t>
      </w:r>
      <w:r w:rsidRPr="00DA0286">
        <w:rPr>
          <w:b/>
          <w:bCs/>
        </w:rPr>
        <w:tab/>
      </w:r>
      <w:r w:rsidRPr="00DA0286">
        <w:rPr>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5C8CAA0" w14:textId="77777777" w:rsidR="001A0257" w:rsidRPr="00DA0286" w:rsidRDefault="001A0257" w:rsidP="001A0257">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312319E" w14:textId="77777777" w:rsidR="00E3004A" w:rsidRPr="00DA0286" w:rsidRDefault="00E3004A" w:rsidP="00E3004A">
      <w:pPr>
        <w:spacing w:after="240" w:line="276" w:lineRule="auto"/>
        <w:ind w:left="705" w:hanging="705"/>
        <w:jc w:val="both"/>
      </w:pPr>
      <w:r w:rsidRPr="00DA0286">
        <w:rPr>
          <w:b/>
          <w:bCs/>
        </w:rPr>
        <w:t xml:space="preserve">Que, </w:t>
      </w:r>
      <w:r w:rsidRPr="00DA0286">
        <w:rPr>
          <w:b/>
          <w:bCs/>
        </w:rPr>
        <w:tab/>
      </w:r>
      <w:commentRangeStart w:id="0"/>
      <w:r w:rsidRPr="00DA0286">
        <w:t xml:space="preserve">la Ordenanza Metropolitana PMDOT-PUGS No. 001 – 2021, sancionada el 13 de septiembre de 2021, en su Disposición Final dispone: </w:t>
      </w:r>
      <w:r w:rsidRPr="00DA0286">
        <w:rPr>
          <w:i/>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DA0286">
        <w:t>;</w:t>
      </w:r>
      <w:commentRangeEnd w:id="0"/>
      <w:r w:rsidRPr="00DA0286">
        <w:rPr>
          <w:rStyle w:val="Refdecomentario"/>
          <w:sz w:val="20"/>
          <w:szCs w:val="20"/>
        </w:rPr>
        <w:commentReference w:id="0"/>
      </w:r>
    </w:p>
    <w:p w14:paraId="1C065DE8" w14:textId="77777777" w:rsidR="00E3004A" w:rsidRPr="00DA0286" w:rsidRDefault="00E3004A" w:rsidP="00E3004A">
      <w:pPr>
        <w:spacing w:after="240" w:line="276" w:lineRule="auto"/>
        <w:ind w:left="705" w:hanging="705"/>
        <w:jc w:val="both"/>
      </w:pPr>
      <w:r w:rsidRPr="00DA0286">
        <w:rPr>
          <w:b/>
        </w:rPr>
        <w:t>Que,</w:t>
      </w:r>
      <w:r w:rsidRPr="00DA0286">
        <w:t xml:space="preserve"> </w:t>
      </w:r>
      <w:r w:rsidRPr="00DA0286">
        <w:tab/>
        <w:t>por medio de la Resolución número C128-2021 de 28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3B4D4926" w14:textId="77777777" w:rsidR="00E3004A" w:rsidRPr="00DA0286" w:rsidRDefault="00E3004A" w:rsidP="00E3004A">
      <w:pPr>
        <w:spacing w:after="240" w:line="276" w:lineRule="auto"/>
        <w:ind w:left="705" w:hanging="705"/>
        <w:jc w:val="both"/>
      </w:pPr>
      <w:commentRangeStart w:id="1"/>
      <w:r w:rsidRPr="00DA0286">
        <w:rPr>
          <w:b/>
        </w:rPr>
        <w:t>Que,</w:t>
      </w:r>
      <w:r w:rsidRPr="00DA0286">
        <w:rPr>
          <w:b/>
        </w:rPr>
        <w:tab/>
      </w:r>
      <w:r w:rsidRPr="00DA0286">
        <w:t xml:space="preserve">la Ordenanza Metropolitana No. 044 – 2022, sancionada el 02 de noviembre de 2022, en su Disposición Cuarta ordena: </w:t>
      </w:r>
      <w:r w:rsidRPr="00DA0286">
        <w:rPr>
          <w:i/>
        </w:rPr>
        <w:t xml:space="preserve">“(…) Los procesos de regularización de asentamientos humanos de </w:t>
      </w:r>
      <w:r w:rsidRPr="00DA0286">
        <w:rPr>
          <w:i/>
        </w:rPr>
        <w:lastRenderedPageBreak/>
        <w:t>hecho y consolidados ingresados previo la vigencia del Plan de Uso y Gestión del Suelo, seguirán los procedimientos establecidos para su aprobación, en el momento que hayan cumplido los requisitos para ser admitidos a trámite.”</w:t>
      </w:r>
      <w:r w:rsidRPr="00DA0286">
        <w:t>;</w:t>
      </w:r>
      <w:commentRangeEnd w:id="1"/>
      <w:r w:rsidRPr="00DA0286">
        <w:rPr>
          <w:rStyle w:val="Refdecomentario"/>
          <w:sz w:val="20"/>
          <w:szCs w:val="20"/>
        </w:rPr>
        <w:commentReference w:id="1"/>
      </w:r>
    </w:p>
    <w:p w14:paraId="1EFC15AB" w14:textId="77777777" w:rsidR="00A75E06" w:rsidRPr="00DA0286" w:rsidRDefault="00A75E06" w:rsidP="00A75E06">
      <w:pPr>
        <w:spacing w:after="240" w:line="276" w:lineRule="auto"/>
        <w:ind w:left="705" w:hanging="705"/>
        <w:jc w:val="both"/>
        <w:rPr>
          <w:bCs/>
        </w:rPr>
      </w:pPr>
      <w:r w:rsidRPr="00DA0286">
        <w:rPr>
          <w:b/>
          <w:bCs/>
        </w:rPr>
        <w:t xml:space="preserve">Que, </w:t>
      </w:r>
      <w:r w:rsidRPr="00DA0286">
        <w:rPr>
          <w:b/>
          <w:bCs/>
        </w:rPr>
        <w:tab/>
      </w:r>
      <w:r w:rsidRPr="00DA0286">
        <w:rPr>
          <w:bCs/>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7D7F2F3" w14:textId="77777777" w:rsidR="00D438FF" w:rsidRPr="00DA0286" w:rsidRDefault="00D438FF" w:rsidP="00E3004A">
      <w:pPr>
        <w:spacing w:after="240" w:line="276" w:lineRule="auto"/>
        <w:ind w:left="705" w:hanging="705"/>
        <w:jc w:val="both"/>
        <w:rPr>
          <w:bCs/>
        </w:rPr>
      </w:pPr>
      <w:r w:rsidRPr="00DA0286">
        <w:rPr>
          <w:b/>
          <w:bCs/>
        </w:rPr>
        <w:t>Que,</w:t>
      </w:r>
      <w:r w:rsidRPr="00DA0286">
        <w:rPr>
          <w:b/>
          <w:bCs/>
        </w:rPr>
        <w:tab/>
      </w:r>
      <w:r w:rsidRPr="00DA0286">
        <w:rPr>
          <w:bCs/>
        </w:rPr>
        <w:t xml:space="preserve">el artículo 3716, del Código Municipal para el Distrito Metropolitano de Quito, establece que, con la declaratoria de interés social del </w:t>
      </w:r>
      <w:r w:rsidR="00A75E06" w:rsidRPr="00DA0286">
        <w:rPr>
          <w:bCs/>
        </w:rPr>
        <w:t xml:space="preserve">asentamiento humano de hecho y consolidado </w:t>
      </w:r>
      <w:r w:rsidRPr="00DA0286">
        <w:rPr>
          <w:bCs/>
        </w:rPr>
        <w:t>dará lugar a la exoneración referentes a la contribución de áreas verdes;</w:t>
      </w:r>
    </w:p>
    <w:p w14:paraId="42902619" w14:textId="77777777" w:rsidR="008E6C36" w:rsidRPr="00DA0286" w:rsidRDefault="008E6C36" w:rsidP="008E6C36">
      <w:pPr>
        <w:spacing w:line="276" w:lineRule="auto"/>
        <w:ind w:left="705" w:hanging="705"/>
        <w:jc w:val="both"/>
        <w:rPr>
          <w:bCs/>
          <w:i/>
        </w:rPr>
      </w:pPr>
      <w:r w:rsidRPr="00DA0286">
        <w:rPr>
          <w:b/>
          <w:bCs/>
        </w:rPr>
        <w:t>Que,</w:t>
      </w:r>
      <w:r w:rsidRPr="00DA0286">
        <w:rPr>
          <w:b/>
          <w:bCs/>
        </w:rPr>
        <w:tab/>
      </w:r>
      <w:r w:rsidRPr="00DA0286">
        <w:rPr>
          <w:bCs/>
        </w:rPr>
        <w:t xml:space="preserve">el artículo 3728 del Código Municipal para el Distrito Metropolitano de Quito, </w:t>
      </w:r>
      <w:r w:rsidR="00A75E06" w:rsidRPr="00DA0286">
        <w:rPr>
          <w:bCs/>
        </w:rPr>
        <w:t>establece</w:t>
      </w:r>
      <w:r w:rsidRPr="00DA0286">
        <w:rPr>
          <w:bCs/>
        </w:rPr>
        <w:t>: “</w:t>
      </w:r>
      <w:r w:rsidR="00A75E06" w:rsidRPr="00DA0286">
        <w:rPr>
          <w:bCs/>
          <w:i/>
        </w:rPr>
        <w:t>Ordenamiento territorial.-</w:t>
      </w:r>
      <w:r w:rsidR="00A75E06" w:rsidRPr="00DA0286">
        <w:rPr>
          <w:bCs/>
        </w:rPr>
        <w:t xml:space="preserve"> </w:t>
      </w:r>
      <w:r w:rsidRPr="00DA0286">
        <w:rPr>
          <w:bCs/>
          <w:i/>
        </w:rPr>
        <w:t>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F127469" w14:textId="77777777" w:rsidR="00D47C45" w:rsidRPr="00DA0286" w:rsidRDefault="00D47C45" w:rsidP="00D47C45">
      <w:pPr>
        <w:ind w:left="703" w:hanging="703"/>
        <w:jc w:val="both"/>
        <w:rPr>
          <w:b/>
          <w:bCs/>
        </w:rPr>
      </w:pPr>
    </w:p>
    <w:p w14:paraId="7208A620" w14:textId="77777777" w:rsidR="008E6C36" w:rsidRPr="00DA0286" w:rsidRDefault="008E6C36" w:rsidP="008E6C36">
      <w:pPr>
        <w:spacing w:after="240" w:line="276" w:lineRule="auto"/>
        <w:ind w:left="705" w:hanging="705"/>
        <w:jc w:val="both"/>
        <w:rPr>
          <w:bCs/>
        </w:rPr>
      </w:pPr>
      <w:r w:rsidRPr="00DA0286">
        <w:rPr>
          <w:b/>
          <w:bCs/>
        </w:rPr>
        <w:t>Que,</w:t>
      </w:r>
      <w:r w:rsidRPr="00DA0286">
        <w:rPr>
          <w:b/>
          <w:bCs/>
        </w:rPr>
        <w:tab/>
      </w:r>
      <w:r w:rsidRPr="00DA0286">
        <w:rPr>
          <w:bCs/>
        </w:rPr>
        <w:t xml:space="preserve">el artículo 3730 del Código Municipal para el Distrito Metropolitano de Quito, en su parte pertinente de la excepción de las áreas verdes dispone: </w:t>
      </w:r>
      <w:r w:rsidRPr="00DA0286">
        <w:rPr>
          <w:bCs/>
          <w:i/>
        </w:rPr>
        <w:t>“(…) El faltante de áreas verdes será compensado pecuniariamente con excepción de los asentamientos declarados de interés social (...)”</w:t>
      </w:r>
      <w:r w:rsidRPr="00DA0286">
        <w:rPr>
          <w:bCs/>
        </w:rPr>
        <w:t>;</w:t>
      </w:r>
    </w:p>
    <w:p w14:paraId="50DA0C7D" w14:textId="77777777" w:rsidR="008E6C36" w:rsidRPr="00DA0286" w:rsidRDefault="008E6C36" w:rsidP="008E6C36">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 xml:space="preserve">Que, </w:t>
      </w:r>
      <w:r w:rsidRPr="00DA0286">
        <w:rPr>
          <w:rFonts w:ascii="Times New Roman" w:hAnsi="Times New Roman"/>
          <w:b/>
          <w:bCs/>
          <w:sz w:val="20"/>
          <w:szCs w:val="20"/>
        </w:rPr>
        <w:tab/>
      </w:r>
      <w:r w:rsidRPr="00DA0286">
        <w:rPr>
          <w:rFonts w:ascii="Times New Roman" w:eastAsia="Times New Roman" w:hAnsi="Times New Roman"/>
          <w:bCs/>
          <w:sz w:val="20"/>
          <w:szCs w:val="20"/>
          <w:lang w:val="es-ES" w:eastAsia="es-ES"/>
        </w:rPr>
        <w:t xml:space="preserve">el Código Municipal para el Distrito Metropolitano de Quito, </w:t>
      </w:r>
      <w:r w:rsidRPr="00DA0286">
        <w:rPr>
          <w:rFonts w:ascii="Times New Roman" w:hAnsi="Times New Roman"/>
          <w:bCs/>
          <w:sz w:val="20"/>
          <w:szCs w:val="20"/>
        </w:rPr>
        <w:t xml:space="preserve">determina en su disposición derogatoria lo siguiente: </w:t>
      </w:r>
      <w:r w:rsidRPr="00DA0286">
        <w:rPr>
          <w:rFonts w:ascii="Times New Roman" w:hAnsi="Times New Roman"/>
          <w:bCs/>
          <w:i/>
          <w:sz w:val="20"/>
          <w:szCs w:val="20"/>
        </w:rPr>
        <w:t>“(…) Deróguense todas las Ordenanzas que se detallan en el cuadro adjunto (Anexo Derogatorias), con excepción de sus disposiciones de carácter transitorio hasta la verificación del efectivo cumplimiento de las mismas;(…)</w:t>
      </w:r>
      <w:r w:rsidRPr="00DA0286">
        <w:rPr>
          <w:rFonts w:ascii="Times New Roman" w:hAnsi="Times New Roman"/>
          <w:bCs/>
          <w:sz w:val="20"/>
          <w:szCs w:val="20"/>
        </w:rPr>
        <w:t xml:space="preserve">”; </w:t>
      </w:r>
    </w:p>
    <w:p w14:paraId="581E02C8" w14:textId="377CC5C7" w:rsidR="00757B70" w:rsidRPr="00DA0286" w:rsidRDefault="00757B70" w:rsidP="009751D7">
      <w:pPr>
        <w:pStyle w:val="Sinespaciado"/>
        <w:spacing w:after="240" w:line="276" w:lineRule="auto"/>
        <w:ind w:left="709" w:hanging="709"/>
        <w:jc w:val="both"/>
        <w:rPr>
          <w:rFonts w:ascii="Times New Roman" w:hAnsi="Times New Roman"/>
          <w:bCs/>
          <w:sz w:val="20"/>
          <w:szCs w:val="20"/>
        </w:rPr>
      </w:pPr>
      <w:r w:rsidRPr="00DA0286">
        <w:rPr>
          <w:rFonts w:ascii="Times New Roman" w:eastAsia="Times New Roman" w:hAnsi="Times New Roman"/>
          <w:b/>
          <w:bCs/>
          <w:sz w:val="20"/>
          <w:szCs w:val="20"/>
          <w:lang w:val="es-ES" w:eastAsia="es-ES"/>
        </w:rPr>
        <w:t>Que</w:t>
      </w:r>
      <w:r w:rsidRPr="00DA0286">
        <w:rPr>
          <w:rFonts w:ascii="Times New Roman" w:eastAsia="Times New Roman" w:hAnsi="Times New Roman"/>
          <w:bCs/>
          <w:sz w:val="20"/>
          <w:szCs w:val="20"/>
          <w:lang w:val="es-ES" w:eastAsia="es-ES"/>
        </w:rPr>
        <w:t xml:space="preserve">, </w:t>
      </w:r>
      <w:r w:rsidRPr="00DA0286">
        <w:rPr>
          <w:rFonts w:ascii="Times New Roman" w:eastAsia="Times New Roman" w:hAnsi="Times New Roman"/>
          <w:bCs/>
          <w:sz w:val="20"/>
          <w:szCs w:val="20"/>
          <w:lang w:val="es-ES" w:eastAsia="es-ES"/>
        </w:rPr>
        <w:tab/>
        <w:t>en concordancia con el considerando precedente, la Disposición Transitoria</w:t>
      </w:r>
      <w:r w:rsidR="00D47C45" w:rsidRPr="00DA0286">
        <w:rPr>
          <w:rFonts w:ascii="Times New Roman" w:eastAsia="Times New Roman" w:hAnsi="Times New Roman"/>
          <w:bCs/>
          <w:sz w:val="20"/>
          <w:szCs w:val="20"/>
          <w:lang w:val="es-ES" w:eastAsia="es-ES"/>
        </w:rPr>
        <w:t xml:space="preserve"> Segunda de la Ordenanza No. 0147</w:t>
      </w:r>
      <w:r w:rsidRPr="00DA0286">
        <w:rPr>
          <w:rFonts w:ascii="Times New Roman" w:eastAsia="Times New Roman" w:hAnsi="Times New Roman"/>
          <w:bCs/>
          <w:sz w:val="20"/>
          <w:szCs w:val="20"/>
          <w:lang w:val="es-ES" w:eastAsia="es-ES"/>
        </w:rPr>
        <w:t xml:space="preserve"> de 9 de diciembre de 2016, determina que en los procesos de regularización de asentamientos humanos de hecho y consolidados que se encuentren en trámite, se aplicará la norma más beneficiosa para la regularización del asentamiento;</w:t>
      </w:r>
      <w:r w:rsidRPr="00DA0286">
        <w:rPr>
          <w:rFonts w:ascii="Times New Roman" w:hAnsi="Times New Roman"/>
          <w:bCs/>
          <w:sz w:val="20"/>
          <w:szCs w:val="20"/>
        </w:rPr>
        <w:t xml:space="preserve"> </w:t>
      </w:r>
    </w:p>
    <w:p w14:paraId="708A8BDB" w14:textId="77777777" w:rsidR="0031166C" w:rsidRPr="00DA0286" w:rsidRDefault="0031166C" w:rsidP="0031166C">
      <w:pPr>
        <w:ind w:left="700" w:hanging="700"/>
        <w:jc w:val="both"/>
        <w:rPr>
          <w:lang w:val="es-EC" w:eastAsia="es-ES_tradnl"/>
        </w:rPr>
      </w:pPr>
      <w:r w:rsidRPr="00DA0286">
        <w:rPr>
          <w:b/>
          <w:lang w:val="es-EC" w:eastAsia="es-ES_tradnl"/>
        </w:rPr>
        <w:t>Que,</w:t>
      </w:r>
      <w:r w:rsidRPr="00DA0286">
        <w:rPr>
          <w:rStyle w:val="markedcontent"/>
        </w:rPr>
        <w:t xml:space="preserve"> </w:t>
      </w:r>
      <w:r w:rsidRPr="00DA0286">
        <w:rPr>
          <w:rStyle w:val="markedcontent"/>
        </w:rPr>
        <w:tab/>
      </w:r>
      <w:r w:rsidRPr="00DA0286">
        <w:rPr>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0E244214" w14:textId="77777777" w:rsidR="0031166C" w:rsidRPr="00DA0286" w:rsidRDefault="0031166C" w:rsidP="0031166C">
      <w:pPr>
        <w:ind w:left="700" w:hanging="700"/>
        <w:jc w:val="both"/>
        <w:rPr>
          <w:rStyle w:val="markedcontent"/>
        </w:rPr>
      </w:pPr>
    </w:p>
    <w:p w14:paraId="2007B3F0" w14:textId="77777777" w:rsidR="0031166C" w:rsidRPr="00DA0286" w:rsidRDefault="0031166C" w:rsidP="0031166C">
      <w:pPr>
        <w:spacing w:after="240" w:line="276" w:lineRule="auto"/>
        <w:ind w:left="851" w:hanging="151"/>
        <w:jc w:val="both"/>
      </w:pPr>
      <w:r w:rsidRPr="00DA0286">
        <w:rPr>
          <w:rStyle w:val="markedcontent"/>
          <w:i/>
        </w:rPr>
        <w:t>“En este sentido una vez que los barrios cuenten con la respectiva Ordenanza, la EPMAPS procederá a realizar los estudios y diseños para la dotación de agua potable en los diferentes sectores de DMQ incluyendo la instalación de hidrantes.”</w:t>
      </w:r>
    </w:p>
    <w:p w14:paraId="1AB49A4A" w14:textId="732E4A84" w:rsidR="0031166C" w:rsidRPr="00DA0286" w:rsidRDefault="0031166C" w:rsidP="0031166C">
      <w:pPr>
        <w:spacing w:after="240" w:line="276" w:lineRule="auto"/>
        <w:ind w:left="705" w:hanging="705"/>
        <w:jc w:val="both"/>
        <w:rPr>
          <w:bCs/>
        </w:rPr>
      </w:pPr>
      <w:r w:rsidRPr="00DA0286">
        <w:rPr>
          <w:b/>
        </w:rPr>
        <w:lastRenderedPageBreak/>
        <w:t>Que,</w:t>
      </w:r>
      <w:r w:rsidRPr="00DA0286">
        <w:rPr>
          <w:b/>
        </w:rPr>
        <w:tab/>
      </w:r>
      <w:r w:rsidRPr="00DA0286">
        <w:t>mediante Oficio Nro. 0061-EPMMOP-GP-2022-OF, de 19 de enero de 2022, suscrito por el Arq. Hidalgo Aurelio Nuñez Lucio, Gerente de Planificación de la Empresa Pública Metropolitana de Movilidad y Obras Públicas, remite el plano en archivo digital de fecha 18 de enero de 2022, el mismo que corresponde a la designación de nomenclatura vial del asentamiento humano de hecho y consolidado de interés social denominado Comité Barrial “Abdón Calderón Número Dos”.</w:t>
      </w:r>
    </w:p>
    <w:p w14:paraId="6228FE5C" w14:textId="39B54CA8" w:rsidR="0002305D" w:rsidRPr="00DA0286" w:rsidRDefault="0002305D" w:rsidP="0002305D">
      <w:pPr>
        <w:spacing w:after="240" w:line="276" w:lineRule="auto"/>
        <w:ind w:left="705" w:hanging="705"/>
        <w:jc w:val="both"/>
        <w:rPr>
          <w:lang w:val="es-EC" w:eastAsia="es-ES_tradnl"/>
        </w:rPr>
      </w:pPr>
      <w:r w:rsidRPr="00DA0286">
        <w:rPr>
          <w:b/>
          <w:bCs/>
        </w:rPr>
        <w:t xml:space="preserve">Que, </w:t>
      </w:r>
      <w:r w:rsidRPr="00DA0286">
        <w:rPr>
          <w:b/>
          <w:bCs/>
        </w:rPr>
        <w:tab/>
      </w:r>
      <w:r w:rsidRPr="00DA0286">
        <w:rPr>
          <w:lang w:val="es-EC" w:eastAsia="es-ES_tradnl"/>
        </w:rPr>
        <w:t>mediante oficio Nro. GADDMQ-AZLD-2022-0202-O</w:t>
      </w:r>
      <w:r w:rsidR="009A4974" w:rsidRPr="00DA0286">
        <w:rPr>
          <w:lang w:val="es-EC" w:eastAsia="es-ES_tradnl"/>
        </w:rPr>
        <w:t>,</w:t>
      </w:r>
      <w:r w:rsidRPr="00DA0286">
        <w:rPr>
          <w:lang w:val="es-EC" w:eastAsia="es-ES_tradnl"/>
        </w:rPr>
        <w:t xml:space="preserve"> de 26 de enero de 2022, suscrito por la Abg. Laura Vanessa Flores Arias, Administradora Zonal Administración Zonal La Delicia, </w:t>
      </w:r>
      <w:r w:rsidRPr="00DA0286">
        <w:rPr>
          <w:bCs/>
        </w:rPr>
        <w:t>al Director de la Unidad Especial “Regula Tu Barrio” informa: “Sírvase encontrar adjunto el Informe de T</w:t>
      </w:r>
      <w:r w:rsidRPr="00DA0286">
        <w:rPr>
          <w:lang w:val="es-EC" w:eastAsia="es-ES_tradnl"/>
        </w:rPr>
        <w:t>écnico N.- 015-UTYV-22 de 20 de enero de 2022, firmado por el Arq. Edison Cuaical, Jefe de La Unidad de Territorio y Vivienda de esta Administración, mismo que contiene la definición y replanteo vial del asentamiento humano de hecho y consolidado de interés social denominado Comité Barrial “Abdón Calderón Número Dos”, ubicado en la parroquia El Condado;</w:t>
      </w:r>
    </w:p>
    <w:p w14:paraId="47F77BDE" w14:textId="7BDBC8DA" w:rsidR="0002305D" w:rsidRPr="00DA0286" w:rsidRDefault="0002305D" w:rsidP="0002305D">
      <w:pPr>
        <w:spacing w:after="240" w:line="276" w:lineRule="auto"/>
        <w:ind w:left="705" w:hanging="705"/>
        <w:jc w:val="both"/>
        <w:rPr>
          <w:bCs/>
          <w:color w:val="000000"/>
        </w:rPr>
      </w:pPr>
      <w:r w:rsidRPr="00DA0286">
        <w:rPr>
          <w:b/>
          <w:bCs/>
          <w:color w:val="000000"/>
        </w:rPr>
        <w:t>Que,</w:t>
      </w:r>
      <w:r w:rsidRPr="00DA0286">
        <w:rPr>
          <w:bCs/>
          <w:color w:val="000000"/>
        </w:rPr>
        <w:tab/>
        <w:t>mediante oficio Nro. GADDMQ-STHYV-DMC-USIGC-2022-0259-O</w:t>
      </w:r>
      <w:r w:rsidR="009A4974" w:rsidRPr="00DA0286">
        <w:rPr>
          <w:bCs/>
          <w:color w:val="000000"/>
        </w:rPr>
        <w:t>,</w:t>
      </w:r>
      <w:r w:rsidRPr="00DA0286">
        <w:rPr>
          <w:bCs/>
          <w:color w:val="000000"/>
        </w:rPr>
        <w:t xml:space="preserve"> de 08 de febrero de 2022, suscrito por el Ing. José Sebastián Duque Martínez, Jefe de la Unidad de Sistemas de </w:t>
      </w:r>
      <w:r w:rsidR="009A4974" w:rsidRPr="00DA0286">
        <w:rPr>
          <w:bCs/>
          <w:color w:val="000000"/>
        </w:rPr>
        <w:t>Información</w:t>
      </w:r>
      <w:r w:rsidRPr="00DA0286">
        <w:rPr>
          <w:bCs/>
          <w:color w:val="000000"/>
        </w:rPr>
        <w:t xml:space="preserve"> Geográfica Catastral de la Secretaría de Territorio, Hábitat y Vivienda, remite el Informe Técnico </w:t>
      </w:r>
      <w:r w:rsidR="009A4974" w:rsidRPr="00DA0286">
        <w:rPr>
          <w:bCs/>
          <w:color w:val="000000"/>
        </w:rPr>
        <w:t xml:space="preserve">de Accidentes Geográficos </w:t>
      </w:r>
      <w:r w:rsidRPr="00DA0286">
        <w:rPr>
          <w:bCs/>
          <w:color w:val="000000"/>
        </w:rPr>
        <w:t>No. STHV-DMC-U</w:t>
      </w:r>
      <w:r w:rsidR="009A4974" w:rsidRPr="00DA0286">
        <w:rPr>
          <w:bCs/>
          <w:color w:val="000000"/>
        </w:rPr>
        <w:t>SI</w:t>
      </w:r>
      <w:r w:rsidRPr="00DA0286">
        <w:rPr>
          <w:bCs/>
          <w:color w:val="000000"/>
        </w:rPr>
        <w:t>GC-2022-</w:t>
      </w:r>
      <w:r w:rsidR="009A4974" w:rsidRPr="00DA0286">
        <w:rPr>
          <w:bCs/>
          <w:color w:val="000000"/>
        </w:rPr>
        <w:t xml:space="preserve">00272-AGy archivo .dwg implantado el accidente geográfico del predio No. 252228 en la Parroquia El Condado. </w:t>
      </w:r>
    </w:p>
    <w:p w14:paraId="42C53D54" w14:textId="77777777" w:rsidR="009A4974" w:rsidRPr="00DA0286" w:rsidRDefault="009A4974" w:rsidP="009A4974">
      <w:pPr>
        <w:spacing w:after="240" w:line="276" w:lineRule="auto"/>
        <w:ind w:left="705" w:hanging="705"/>
        <w:jc w:val="both"/>
        <w:rPr>
          <w:bCs/>
        </w:rPr>
      </w:pPr>
      <w:r w:rsidRPr="00DA0286">
        <w:rPr>
          <w:b/>
          <w:bCs/>
        </w:rPr>
        <w:t xml:space="preserve">Que, </w:t>
      </w:r>
      <w:r w:rsidRPr="00DA0286">
        <w:rPr>
          <w:b/>
          <w:bCs/>
        </w:rPr>
        <w:tab/>
      </w:r>
      <w:r w:rsidRPr="00DA0286">
        <w:rPr>
          <w:lang w:val="es-EC" w:eastAsia="es-ES_tradnl"/>
        </w:rPr>
        <w:t xml:space="preserve">mediante oficio No. GADDMQ-SGSG-DMGR-2022-0389-OF, de 5 de abril de 2022, suscrito por el Ing. Freddy Roberto Nieto Guayasamin, Director de Riesgos (s) de la Secretaría General de Seguridad y Gobernabilidad remite el Informe de Riesgos No. </w:t>
      </w:r>
      <w:r w:rsidRPr="00DA0286">
        <w:rPr>
          <w:bCs/>
        </w:rPr>
        <w:t xml:space="preserve">I-0004-EAH-AT-DMGR-2022, de 5 de abril de 2022, en el cual, califica </w:t>
      </w:r>
      <w:r w:rsidRPr="00DA0286">
        <w:t xml:space="preserve">en el numeral </w:t>
      </w:r>
      <w:r w:rsidRPr="00DA0286">
        <w:rPr>
          <w:bCs/>
        </w:rPr>
        <w:t>6.1 referente al nivel de riesgo para la regularización de tierras indicando que:</w:t>
      </w:r>
    </w:p>
    <w:p w14:paraId="3E00D78A" w14:textId="77777777" w:rsidR="009A4974" w:rsidRPr="00DA0286" w:rsidRDefault="009A4974" w:rsidP="009A4974">
      <w:pPr>
        <w:spacing w:after="240" w:line="276" w:lineRule="auto"/>
        <w:ind w:left="705"/>
        <w:jc w:val="both"/>
        <w:rPr>
          <w:i/>
        </w:rPr>
      </w:pPr>
      <w:r w:rsidRPr="00DA0286">
        <w:rPr>
          <w:bCs/>
        </w:rPr>
        <w:t>“</w:t>
      </w:r>
      <w:r w:rsidRPr="00DA0286">
        <w:rPr>
          <w:i/>
        </w:rPr>
        <w:t xml:space="preserve">Para el proceso de regularización de tierras se considera el nivel de riesgos frente a movimientos en masa, ya que representa el fenómeno más importante para la posible pérdida del terreno, en tal virtud se considera que: </w:t>
      </w:r>
    </w:p>
    <w:p w14:paraId="4159A4FF" w14:textId="628EBA47" w:rsidR="009A4974" w:rsidRPr="00DA0286" w:rsidRDefault="009A4974" w:rsidP="009A4974">
      <w:pPr>
        <w:spacing w:after="240" w:line="276" w:lineRule="auto"/>
        <w:ind w:left="705" w:hanging="705"/>
        <w:jc w:val="both"/>
        <w:rPr>
          <w:rFonts w:eastAsiaTheme="minorHAnsi"/>
          <w:i/>
          <w:color w:val="000000"/>
          <w:lang w:val="es-EC" w:eastAsia="en-US"/>
        </w:rPr>
      </w:pPr>
      <w:r w:rsidRPr="00DA0286">
        <w:rPr>
          <w:rFonts w:eastAsiaTheme="minorHAnsi"/>
          <w:b/>
          <w:bCs/>
          <w:color w:val="000000"/>
          <w:lang w:val="es-EC" w:eastAsia="en-US"/>
        </w:rPr>
        <w:t xml:space="preserve">           </w:t>
      </w:r>
      <w:r w:rsidRPr="00DA0286">
        <w:rPr>
          <w:rFonts w:eastAsiaTheme="minorHAnsi"/>
          <w:b/>
          <w:bCs/>
          <w:i/>
          <w:color w:val="000000"/>
          <w:lang w:val="es-EC" w:eastAsia="en-US"/>
        </w:rPr>
        <w:t xml:space="preserve">Movimientos en masa: </w:t>
      </w:r>
      <w:r w:rsidRPr="00DA0286">
        <w:rPr>
          <w:rFonts w:eastAsiaTheme="minorHAnsi"/>
          <w:i/>
          <w:color w:val="000000"/>
          <w:lang w:val="es-EC" w:eastAsia="en-US"/>
        </w:rPr>
        <w:t>el AHHYC “</w:t>
      </w:r>
      <w:r w:rsidRPr="00DA0286">
        <w:rPr>
          <w:i/>
          <w:lang w:val="es-EC" w:eastAsia="es-ES_tradnl"/>
        </w:rPr>
        <w:t>Abdón Calderón 2</w:t>
      </w:r>
      <w:r w:rsidRPr="00DA0286">
        <w:rPr>
          <w:rFonts w:eastAsiaTheme="minorHAnsi"/>
          <w:i/>
          <w:color w:val="000000"/>
          <w:lang w:val="es-EC" w:eastAsia="en-US"/>
        </w:rPr>
        <w:t>” presenta un en general presenta un</w:t>
      </w:r>
      <w:r w:rsidRPr="00DA0286">
        <w:rPr>
          <w:i/>
        </w:rPr>
        <w:t xml:space="preserve"> </w:t>
      </w:r>
      <w:r w:rsidRPr="00DA0286">
        <w:rPr>
          <w:i/>
          <w:u w:val="single"/>
        </w:rPr>
        <w:t>Riesgo Bajo Mitigable</w:t>
      </w:r>
      <w:r w:rsidRPr="00DA0286">
        <w:rPr>
          <w:i/>
        </w:rPr>
        <w:t xml:space="preserve"> para los 25, 26, 27, 28, 29 , 30, 31, 32, 33, 34, 35, 36, 37, 38, 39, 40, 41, 42, 43, 44 y 45; </w:t>
      </w:r>
      <w:r w:rsidRPr="00DA0286">
        <w:rPr>
          <w:i/>
          <w:u w:val="single"/>
        </w:rPr>
        <w:t>Riesgo Moderado Mitigable</w:t>
      </w:r>
      <w:r w:rsidRPr="00DA0286">
        <w:rPr>
          <w:i/>
        </w:rPr>
        <w:t xml:space="preserve"> para los lotes 1, 2, 3, 4, 5, 6, 7, 8, 9, 10, 11, 15, 16, 17, 18, 20, 22, 23, 24, 46, 47 y 48; y, </w:t>
      </w:r>
      <w:r w:rsidRPr="00DA0286">
        <w:rPr>
          <w:i/>
          <w:u w:val="single"/>
        </w:rPr>
        <w:t>Riesgo Muy Alto Mitigable</w:t>
      </w:r>
      <w:r w:rsidRPr="00DA0286">
        <w:rPr>
          <w:i/>
        </w:rPr>
        <w:t xml:space="preserve"> para los lotes 12, 13, 14, 19, 21, 49, 50 y 51.</w:t>
      </w:r>
      <w:r w:rsidRPr="00DA0286">
        <w:rPr>
          <w:rFonts w:eastAsiaTheme="minorHAnsi"/>
          <w:i/>
          <w:color w:val="000000"/>
          <w:lang w:val="es-EC" w:eastAsia="en-US"/>
        </w:rPr>
        <w:t xml:space="preserve"> (Mapa 10.5).”.</w:t>
      </w:r>
    </w:p>
    <w:p w14:paraId="188D298F" w14:textId="1A99DA5B" w:rsidR="0031166C" w:rsidRPr="00DA0286" w:rsidRDefault="0031166C" w:rsidP="009A4974">
      <w:pPr>
        <w:spacing w:after="240" w:line="276" w:lineRule="auto"/>
        <w:ind w:left="705" w:hanging="705"/>
        <w:jc w:val="both"/>
        <w:rPr>
          <w:rFonts w:eastAsiaTheme="minorHAnsi"/>
          <w:color w:val="000000"/>
          <w:lang w:val="es-EC" w:eastAsia="en-US"/>
        </w:rPr>
      </w:pPr>
      <w:r w:rsidRPr="00DA0286">
        <w:rPr>
          <w:rFonts w:eastAsiaTheme="minorHAnsi"/>
          <w:b/>
          <w:bCs/>
          <w:color w:val="000000"/>
          <w:lang w:val="es-EC" w:eastAsia="en-US"/>
        </w:rPr>
        <w:t xml:space="preserve">Que, </w:t>
      </w:r>
      <w:r w:rsidRPr="00DA0286">
        <w:rPr>
          <w:rFonts w:eastAsiaTheme="minorHAnsi"/>
          <w:b/>
          <w:bCs/>
          <w:color w:val="000000"/>
          <w:lang w:val="es-EC" w:eastAsia="en-US"/>
        </w:rPr>
        <w:tab/>
      </w:r>
      <w:r w:rsidRPr="00DA0286">
        <w:rPr>
          <w:rFonts w:eastAsiaTheme="minorHAnsi"/>
          <w:bCs/>
          <w:color w:val="000000"/>
          <w:lang w:val="es-EC" w:eastAsia="en-US"/>
        </w:rPr>
        <w:t>mediante Resolución Nro. GADDMQ-STHV-DMC-2022-00092-R del 26 de mayo de 2022, se procedió a rectificar el error técnico de medida del predio Nro. 252228, clave catastral Nro. 42701 02 047, ubicado en la parroquia El Condado (antes Cotocollao), cantón Quito, provincia de Pichincha, de propiedad del Comité Barrial 2Abdón Calderón Número Dos”.</w:t>
      </w:r>
    </w:p>
    <w:p w14:paraId="6F63C1B5" w14:textId="77777777" w:rsidR="0031166C" w:rsidRPr="00DA0286" w:rsidRDefault="0031166C" w:rsidP="0031166C">
      <w:pPr>
        <w:ind w:left="705" w:hanging="705"/>
        <w:jc w:val="both"/>
        <w:rPr>
          <w:i/>
        </w:rPr>
      </w:pPr>
      <w:commentRangeStart w:id="2"/>
      <w:r w:rsidRPr="00DA0286">
        <w:rPr>
          <w:b/>
        </w:rPr>
        <w:t>Que,</w:t>
      </w:r>
      <w:r w:rsidRPr="00DA0286">
        <w:tab/>
        <w:t xml:space="preserve">mediante Informe No. </w:t>
      </w:r>
      <w:r w:rsidRPr="00DA0286">
        <w:rPr>
          <w:bCs/>
        </w:rPr>
        <w:t>Socio organizativo, Legal y Técnico No. 002-UERB-AZLD-SOLT-2022 de 31 de mayo de 2021</w:t>
      </w:r>
      <w:r w:rsidRPr="00DA0286">
        <w:t xml:space="preserve">, suscrito por la abogada Lucía Jurado Orna, Coordinadora de la Unidad Especial “Regula tu Barrio”, La Delicia y Eugenio Espejo de ese entonces, se justifica la tenencia legal de la propiedad; además en su parte pertinente concluye que: </w:t>
      </w:r>
      <w:r w:rsidRPr="00DA0286">
        <w:rPr>
          <w:i/>
        </w:rPr>
        <w:t>“De conformidad a lo establecido en el artículo 3681, manifiesta: “Declaratoria de Interés Social de los Asentamientos Humanos de Hecho y Consolidados”, el asentamiento humano de hecho y consolidado denominado Comité Barrial “Abdón Calderón No. 2”, del análisis socio organizativo se sugiere se lo considere de INTERÉS SOCIAL.</w:t>
      </w:r>
    </w:p>
    <w:p w14:paraId="610B2C9F" w14:textId="77777777" w:rsidR="0031166C" w:rsidRPr="00DA0286" w:rsidRDefault="0031166C" w:rsidP="0031166C">
      <w:pPr>
        <w:ind w:left="705"/>
        <w:jc w:val="both"/>
        <w:rPr>
          <w:i/>
        </w:rPr>
      </w:pPr>
      <w:r w:rsidRPr="00DA0286">
        <w:rPr>
          <w:i/>
        </w:rPr>
        <w:lastRenderedPageBreak/>
        <w:t xml:space="preserve">Del análisis socio económico se determinó que las personas moradoras del asentamiento no cubren las necesidades básicas, esto evidencia la falta de recursos económicos en la que vive la población, lo que afecta a su calidad de vida. </w:t>
      </w:r>
    </w:p>
    <w:p w14:paraId="04BBB0F3" w14:textId="77777777" w:rsidR="0031166C" w:rsidRPr="00DA0286" w:rsidRDefault="0031166C" w:rsidP="0031166C">
      <w:pPr>
        <w:ind w:left="705" w:hanging="5"/>
        <w:jc w:val="both"/>
        <w:rPr>
          <w:i/>
        </w:rPr>
      </w:pPr>
      <w:r w:rsidRPr="00DA0286">
        <w:rPr>
          <w:i/>
        </w:rPr>
        <w:t xml:space="preserve">Finalmente, con el proceso integral de regularización se busca incorporar al asentamiento y a la población beneficiada, al desarrollo y planificación de la ciudad facilitando su acceso a servicios e infraestructura”. </w:t>
      </w:r>
      <w:commentRangeEnd w:id="2"/>
      <w:r w:rsidRPr="00DA0286">
        <w:rPr>
          <w:rStyle w:val="Refdecomentario"/>
          <w:sz w:val="20"/>
          <w:szCs w:val="20"/>
        </w:rPr>
        <w:commentReference w:id="2"/>
      </w:r>
    </w:p>
    <w:p w14:paraId="2F7FFDF2" w14:textId="77777777" w:rsidR="0031166C" w:rsidRPr="00DA0286" w:rsidRDefault="0031166C" w:rsidP="0031166C">
      <w:pPr>
        <w:spacing w:after="240" w:line="276" w:lineRule="auto"/>
        <w:ind w:left="705" w:hanging="705"/>
        <w:jc w:val="both"/>
        <w:rPr>
          <w:b/>
          <w:bCs/>
        </w:rPr>
      </w:pPr>
    </w:p>
    <w:p w14:paraId="5C3DF212" w14:textId="77777777" w:rsidR="0031166C" w:rsidRPr="00DA0286" w:rsidRDefault="0031166C" w:rsidP="0031166C">
      <w:pPr>
        <w:spacing w:after="240" w:line="276" w:lineRule="auto"/>
        <w:ind w:left="705" w:hanging="705"/>
        <w:jc w:val="both"/>
      </w:pPr>
      <w:commentRangeStart w:id="3"/>
      <w:r w:rsidRPr="00DA0286">
        <w:rPr>
          <w:b/>
          <w:bCs/>
        </w:rPr>
        <w:t>Que,</w:t>
      </w:r>
      <w:r w:rsidRPr="00DA0286">
        <w:tab/>
      </w:r>
      <w:r w:rsidRPr="00DA0286">
        <w:tab/>
      </w:r>
      <w:r w:rsidRPr="00DA0286">
        <w:rPr>
          <w:bCs/>
        </w:rPr>
        <w:t xml:space="preserve">la Mesa Institucional del 31 de mayo de 2022, aprobó el Informe Socio organizativo, Legal y Técnico No. 002-UERB-AZLD-SOLT-2022 de 31 de mayo de 2021, habilitante de la Ordenanza de Reconocimiento del </w:t>
      </w:r>
      <w:r w:rsidRPr="00DA0286">
        <w:t>asentamiento humano de hecho y consolidado de interés social denominado Comité Barrial “Abdón Calderón Número Dos” a favor de sus socios;</w:t>
      </w:r>
      <w:commentRangeEnd w:id="3"/>
      <w:r w:rsidRPr="00DA0286">
        <w:rPr>
          <w:rStyle w:val="Refdecomentario"/>
          <w:sz w:val="20"/>
          <w:szCs w:val="20"/>
        </w:rPr>
        <w:commentReference w:id="3"/>
      </w:r>
    </w:p>
    <w:p w14:paraId="50A9C7EA" w14:textId="77777777" w:rsidR="00E3004A" w:rsidRPr="00DA0286" w:rsidRDefault="00E3004A" w:rsidP="00E3004A">
      <w:pPr>
        <w:shd w:val="clear" w:color="auto" w:fill="FFFFFF"/>
        <w:autoSpaceDE w:val="0"/>
        <w:autoSpaceDN w:val="0"/>
        <w:adjustRightInd w:val="0"/>
        <w:spacing w:before="240" w:after="240"/>
        <w:ind w:left="705" w:hanging="705"/>
        <w:jc w:val="both"/>
      </w:pPr>
      <w:r w:rsidRPr="00DA0286">
        <w:rPr>
          <w:rFonts w:eastAsiaTheme="minorHAnsi"/>
          <w:b/>
          <w:lang w:val="es-EC" w:eastAsia="en-US"/>
        </w:rPr>
        <w:t>Que,</w:t>
      </w:r>
      <w:r w:rsidRPr="00DA0286">
        <w:rPr>
          <w:rFonts w:eastAsiaTheme="minorHAnsi"/>
          <w:b/>
          <w:lang w:val="es-EC" w:eastAsia="en-US"/>
        </w:rPr>
        <w:tab/>
      </w:r>
      <w:r w:rsidRPr="00DA0286">
        <w:rPr>
          <w:bCs/>
        </w:rPr>
        <w:t>mediante informe No. DMDU-URR-2023-03, de 05 de enero de 2023, la Dirección Metropolitana de Desarrollo Urbano, de la Secretaría de Territorio</w:t>
      </w:r>
      <w:r w:rsidRPr="00DA0286">
        <w:t xml:space="preserve"> Hábitat y Vivienda, emite el informe técnico para la aplicación de la Ordenanza Metropolitana No. 042-2022, en los asentamientos humanos de hecho y consolidados del Distrito Metropolitano de Quito, señalando en su parte pertinente: </w:t>
      </w:r>
    </w:p>
    <w:p w14:paraId="1C672D4F" w14:textId="77777777" w:rsidR="00E3004A" w:rsidRPr="00DA0286" w:rsidRDefault="00E3004A" w:rsidP="00E3004A">
      <w:pPr>
        <w:shd w:val="clear" w:color="auto" w:fill="FFFFFF"/>
        <w:autoSpaceDE w:val="0"/>
        <w:autoSpaceDN w:val="0"/>
        <w:adjustRightInd w:val="0"/>
        <w:spacing w:before="240" w:after="240"/>
        <w:ind w:left="705"/>
        <w:jc w:val="both"/>
        <w:rPr>
          <w:i/>
        </w:rPr>
      </w:pPr>
      <w:r w:rsidRPr="00DA0286">
        <w:rPr>
          <w:i/>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46A645A5" w14:textId="45F9AEA4" w:rsidR="00553C5F" w:rsidRPr="00482217" w:rsidRDefault="00E3004A" w:rsidP="00482217">
      <w:pPr>
        <w:spacing w:after="240" w:line="276" w:lineRule="auto"/>
        <w:ind w:left="705"/>
        <w:jc w:val="both"/>
        <w:rPr>
          <w:i/>
        </w:rPr>
      </w:pPr>
      <w:r w:rsidRPr="00DA0286">
        <w:rPr>
          <w:i/>
        </w:rPr>
        <w:t xml:space="preserve">“Con base en las consideraciones expuestas, los asentamientos humanos de hecho y consolidados </w:t>
      </w:r>
      <w:r w:rsidRPr="00482217">
        <w:rPr>
          <w:i/>
        </w:rPr>
        <w:t xml:space="preserve">de interés social, no tienen la obligatoriedad de acogerse al soterramiento planteado por la </w:t>
      </w:r>
    </w:p>
    <w:p w14:paraId="7F0DF162" w14:textId="2DDA6100" w:rsidR="00553C5F" w:rsidRPr="00482217" w:rsidRDefault="00553C5F" w:rsidP="00553C5F">
      <w:pPr>
        <w:spacing w:after="240" w:line="276" w:lineRule="auto"/>
        <w:ind w:left="705" w:hanging="705"/>
        <w:jc w:val="both"/>
        <w:rPr>
          <w:bCs/>
        </w:rPr>
      </w:pPr>
      <w:r w:rsidRPr="00482217">
        <w:rPr>
          <w:b/>
          <w:bCs/>
        </w:rPr>
        <w:t xml:space="preserve">Que, </w:t>
      </w:r>
      <w:r w:rsidRPr="00482217">
        <w:rPr>
          <w:b/>
          <w:bCs/>
        </w:rPr>
        <w:tab/>
      </w:r>
      <w:r w:rsidRPr="00482217">
        <w:rPr>
          <w:lang w:val="es-EC" w:eastAsia="es-ES_tradnl"/>
        </w:rPr>
        <w:t>mediante ofi</w:t>
      </w:r>
      <w:r w:rsidR="00391AA0" w:rsidRPr="00482217">
        <w:rPr>
          <w:lang w:val="es-EC" w:eastAsia="es-ES_tradnl"/>
        </w:rPr>
        <w:t>cio No. GADDMQ-SGSG-DMGR-2023</w:t>
      </w:r>
      <w:r w:rsidRPr="00482217">
        <w:rPr>
          <w:lang w:val="es-EC" w:eastAsia="es-ES_tradnl"/>
        </w:rPr>
        <w:t>-0</w:t>
      </w:r>
      <w:r w:rsidR="00391AA0" w:rsidRPr="00482217">
        <w:rPr>
          <w:lang w:val="es-EC" w:eastAsia="es-ES_tradnl"/>
        </w:rPr>
        <w:t>019</w:t>
      </w:r>
      <w:r w:rsidRPr="00482217">
        <w:rPr>
          <w:lang w:val="es-EC" w:eastAsia="es-ES_tradnl"/>
        </w:rPr>
        <w:t xml:space="preserve">-OF, de 5 de </w:t>
      </w:r>
      <w:r w:rsidR="00391AA0" w:rsidRPr="00482217">
        <w:rPr>
          <w:lang w:val="es-EC" w:eastAsia="es-ES_tradnl"/>
        </w:rPr>
        <w:t>enero d</w:t>
      </w:r>
      <w:r w:rsidRPr="00482217">
        <w:rPr>
          <w:lang w:val="es-EC" w:eastAsia="es-ES_tradnl"/>
        </w:rPr>
        <w:t>e 202</w:t>
      </w:r>
      <w:r w:rsidR="00391AA0" w:rsidRPr="00482217">
        <w:rPr>
          <w:lang w:val="es-EC" w:eastAsia="es-ES_tradnl"/>
        </w:rPr>
        <w:t>3</w:t>
      </w:r>
      <w:r w:rsidRPr="00482217">
        <w:rPr>
          <w:lang w:val="es-EC" w:eastAsia="es-ES_tradnl"/>
        </w:rPr>
        <w:t xml:space="preserve">, suscrito por el Ing. Freddy Roberto Nieto Guayasamin, Director de Riesgos de la Secretaría General de Seguridad y Gobernabilidad remite el Informe de Riesgos No. </w:t>
      </w:r>
      <w:r w:rsidRPr="00482217">
        <w:rPr>
          <w:bCs/>
        </w:rPr>
        <w:t xml:space="preserve">I-0004-EAH-AT-DMGR-2022, de 5 de abril de 2022, en el cual, califica </w:t>
      </w:r>
      <w:r w:rsidRPr="00482217">
        <w:t xml:space="preserve">en el numeral </w:t>
      </w:r>
      <w:r w:rsidRPr="00482217">
        <w:rPr>
          <w:bCs/>
        </w:rPr>
        <w:t>6.1 referente al nivel de riesgo para la regularización de tierras indicando que:</w:t>
      </w:r>
    </w:p>
    <w:p w14:paraId="54F243FF" w14:textId="77777777" w:rsidR="00553C5F" w:rsidRPr="00482217" w:rsidRDefault="00553C5F" w:rsidP="00553C5F">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6D27702A" w14:textId="4EE48801" w:rsidR="00553C5F" w:rsidRDefault="00553C5F" w:rsidP="00553C5F">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sidR="001A00F0">
        <w:rPr>
          <w:rFonts w:eastAsiaTheme="minorHAnsi"/>
          <w:b/>
          <w:bCs/>
          <w:lang w:val="es-EC" w:eastAsia="en-US"/>
        </w:rPr>
        <w:tab/>
      </w:r>
      <w:r w:rsidRPr="001A00F0">
        <w:rPr>
          <w:rFonts w:eastAsiaTheme="minorHAnsi"/>
          <w:bCs/>
          <w:i/>
          <w:lang w:val="es-EC" w:eastAsia="en-US"/>
        </w:rPr>
        <w:t>Movimientos en masa:</w:t>
      </w:r>
      <w:r w:rsidRPr="001A00F0">
        <w:rPr>
          <w:rFonts w:eastAsiaTheme="minorHAnsi"/>
          <w:i/>
          <w:lang w:val="es-EC" w:eastAsia="en-US"/>
        </w:rPr>
        <w:t xml:space="preserve">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w:t>
      </w:r>
      <w:r w:rsidR="00482217" w:rsidRPr="00482217">
        <w:rPr>
          <w:i/>
        </w:rPr>
        <w:t xml:space="preserve"> y</w:t>
      </w:r>
      <w:r w:rsidRPr="00482217">
        <w:rPr>
          <w:i/>
        </w:rPr>
        <w:t xml:space="preserve"> 50</w:t>
      </w:r>
      <w:r w:rsidRPr="00482217">
        <w:rPr>
          <w:rFonts w:eastAsiaTheme="minorHAnsi"/>
          <w:i/>
          <w:lang w:val="es-EC" w:eastAsia="en-US"/>
        </w:rPr>
        <w:t>.”.</w:t>
      </w:r>
    </w:p>
    <w:p w14:paraId="7389D753" w14:textId="77777777"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5FE8222F" w14:textId="71AD5332"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1A00F0">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1A00F0">
        <w:rPr>
          <w:rFonts w:eastAsiaTheme="minorHAnsi"/>
          <w:i/>
          <w:lang w:val="es-EC" w:eastAsia="en-US"/>
        </w:rPr>
        <w:t>lo manifestado por parte de la entidad encargada de catastros.</w:t>
      </w:r>
      <w:r>
        <w:rPr>
          <w:rFonts w:eastAsiaTheme="minorHAnsi"/>
          <w:i/>
          <w:lang w:val="es-EC" w:eastAsia="en-US"/>
        </w:rPr>
        <w:t xml:space="preserve"> </w:t>
      </w:r>
    </w:p>
    <w:p w14:paraId="30427744" w14:textId="0AED6443"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 xml:space="preserve">criterios de las otras </w:t>
      </w:r>
      <w:r w:rsidRPr="001A00F0">
        <w:rPr>
          <w:rFonts w:eastAsiaTheme="minorHAnsi"/>
          <w:i/>
          <w:lang w:val="es-EC" w:eastAsia="en-US"/>
        </w:rPr>
        <w:lastRenderedPageBreak/>
        <w:t>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p>
    <w:p w14:paraId="2F17D922" w14:textId="77777777" w:rsidR="00553C5F" w:rsidRPr="00DA0286" w:rsidRDefault="00553C5F" w:rsidP="000F73A8">
      <w:pPr>
        <w:spacing w:line="276" w:lineRule="auto"/>
        <w:jc w:val="both"/>
        <w:rPr>
          <w:b/>
        </w:rPr>
      </w:pPr>
    </w:p>
    <w:p w14:paraId="5BDD9AD0" w14:textId="1D06F5FE" w:rsidR="000F73A8" w:rsidRPr="00DA0286" w:rsidRDefault="000F73A8" w:rsidP="000F73A8">
      <w:pPr>
        <w:spacing w:line="276" w:lineRule="auto"/>
        <w:jc w:val="both"/>
        <w:rPr>
          <w:b/>
        </w:rPr>
      </w:pPr>
      <w:r w:rsidRPr="00DA0286">
        <w:rPr>
          <w:b/>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14:paraId="11D049E3" w14:textId="77777777" w:rsidR="00553C5F" w:rsidRPr="00DA0286" w:rsidRDefault="00553C5F" w:rsidP="000F73A8">
      <w:pPr>
        <w:spacing w:after="240" w:line="276" w:lineRule="auto"/>
        <w:jc w:val="center"/>
        <w:rPr>
          <w:b/>
        </w:rPr>
      </w:pPr>
    </w:p>
    <w:p w14:paraId="29450584" w14:textId="40F1A83F" w:rsidR="000F73A8" w:rsidRPr="00DA0286" w:rsidRDefault="000F73A8" w:rsidP="000F73A8">
      <w:pPr>
        <w:spacing w:after="240" w:line="276" w:lineRule="auto"/>
        <w:jc w:val="center"/>
        <w:rPr>
          <w:b/>
        </w:rPr>
      </w:pPr>
      <w:r w:rsidRPr="00DA0286">
        <w:rPr>
          <w:b/>
        </w:rPr>
        <w:t>EXPIDE LA SIGUIENTE:</w:t>
      </w:r>
    </w:p>
    <w:p w14:paraId="25CA03D1" w14:textId="77777777" w:rsidR="00553C5F" w:rsidRPr="00DA0286" w:rsidRDefault="00553C5F" w:rsidP="0031166C">
      <w:pPr>
        <w:spacing w:after="240" w:line="276" w:lineRule="auto"/>
        <w:jc w:val="center"/>
        <w:rPr>
          <w:b/>
          <w:bCs/>
        </w:rPr>
      </w:pPr>
    </w:p>
    <w:p w14:paraId="62D3BE2D" w14:textId="7EAF4A80" w:rsidR="00596F5F" w:rsidRPr="00DA0286" w:rsidRDefault="000F73A8" w:rsidP="0031166C">
      <w:pPr>
        <w:spacing w:after="240" w:line="276" w:lineRule="auto"/>
        <w:jc w:val="center"/>
        <w:rPr>
          <w:b/>
          <w:bCs/>
        </w:rPr>
      </w:pPr>
      <w:r w:rsidRPr="00DA0286">
        <w:rPr>
          <w:b/>
          <w:bCs/>
        </w:rPr>
        <w:t xml:space="preserve">ORDENANZA QUE APRUEBA EL PROCESO INTEGRAL DE REGULARIZACION DEL </w:t>
      </w:r>
      <w:r w:rsidR="00596F5F" w:rsidRPr="00DA0286">
        <w:rPr>
          <w:b/>
        </w:rPr>
        <w:t xml:space="preserve">ASENTAMIENTO HUMANO DE HECHO Y CONSOLIDADO DE INTERÉS SOCIAL DENOMINADO </w:t>
      </w:r>
      <w:r w:rsidR="00162F82" w:rsidRPr="00DA0286">
        <w:rPr>
          <w:b/>
        </w:rPr>
        <w:t>COMITÉ BARRIAL “ABDÓN CALDERÓN NÚMERO DOS”</w:t>
      </w:r>
      <w:r w:rsidR="004A5CAC" w:rsidRPr="00DA0286">
        <w:rPr>
          <w:b/>
        </w:rPr>
        <w:t xml:space="preserve">, </w:t>
      </w:r>
      <w:r w:rsidR="00596F5F" w:rsidRPr="00DA0286">
        <w:rPr>
          <w:b/>
        </w:rPr>
        <w:t>A FAVOR DE SUS SOCIOS</w:t>
      </w:r>
      <w:r w:rsidR="004A5CAC" w:rsidRPr="00DA0286">
        <w:rPr>
          <w:b/>
        </w:rPr>
        <w:t>.</w:t>
      </w:r>
    </w:p>
    <w:p w14:paraId="7033C080" w14:textId="188933D9" w:rsidR="00596F5F" w:rsidRPr="00DA0286" w:rsidRDefault="00000402" w:rsidP="00000402">
      <w:pPr>
        <w:spacing w:after="240" w:line="276" w:lineRule="auto"/>
        <w:jc w:val="both"/>
      </w:pPr>
      <w:r w:rsidRPr="00DA0286">
        <w:rPr>
          <w:b/>
        </w:rPr>
        <w:t xml:space="preserve">Articulo 1.- </w:t>
      </w:r>
      <w:r w:rsidR="004A5CAC" w:rsidRPr="00DA0286">
        <w:rPr>
          <w:b/>
        </w:rPr>
        <w:t>Objeto. -</w:t>
      </w:r>
      <w:r w:rsidRPr="00DA0286">
        <w:rPr>
          <w:b/>
        </w:rPr>
        <w:t xml:space="preserve"> </w:t>
      </w:r>
      <w:r w:rsidRPr="00DA0286">
        <w:t>La presente ordenanza tiene por objeto</w:t>
      </w:r>
      <w:r w:rsidRPr="00DA0286">
        <w:rPr>
          <w:b/>
        </w:rPr>
        <w:t xml:space="preserve"> </w:t>
      </w:r>
      <w:r w:rsidRPr="00DA0286">
        <w:t>reconocer y a</w:t>
      </w:r>
      <w:r w:rsidR="0000627F" w:rsidRPr="00DA0286">
        <w:t>probar el fraccionamiento del predio</w:t>
      </w:r>
      <w:r w:rsidRPr="00DA0286">
        <w:t xml:space="preserve"> No. </w:t>
      </w:r>
      <w:r w:rsidR="004A5CAC" w:rsidRPr="00DA0286">
        <w:t xml:space="preserve">252228, </w:t>
      </w:r>
      <w:r w:rsidR="006C4C26" w:rsidRPr="00DA0286">
        <w:t xml:space="preserve">sus pasajes y escalinatas, </w:t>
      </w:r>
      <w:r w:rsidR="004A5CAC" w:rsidRPr="00DA0286">
        <w:t xml:space="preserve">transferencia </w:t>
      </w:r>
      <w:r w:rsidR="006035C2" w:rsidRPr="00DA0286">
        <w:t>del área bajo el borde superior de quebrada y</w:t>
      </w:r>
      <w:r w:rsidRPr="00DA0286">
        <w:t xml:space="preserve"> mantener su zonificación</w:t>
      </w:r>
      <w:r w:rsidR="009673F9" w:rsidRPr="00DA0286">
        <w:t xml:space="preserve">; sobre el </w:t>
      </w:r>
      <w:r w:rsidRPr="00DA0286">
        <w:t xml:space="preserve">que se encuentra el </w:t>
      </w:r>
      <w:r w:rsidR="00596F5F" w:rsidRPr="00DA0286">
        <w:t xml:space="preserve">asentamiento humano de hecho y consolidado de interés social denominado </w:t>
      </w:r>
      <w:r w:rsidR="00162F82" w:rsidRPr="00DA0286">
        <w:t>Comité Barrial “Abdón Calderón Número Dos”</w:t>
      </w:r>
      <w:r w:rsidR="009673F9" w:rsidRPr="00DA0286">
        <w:t xml:space="preserve">, ubicado en la parroquia El Condado, </w:t>
      </w:r>
      <w:r w:rsidR="00596F5F" w:rsidRPr="00DA0286">
        <w:t>a favor de sus socios.</w:t>
      </w:r>
    </w:p>
    <w:p w14:paraId="0C6CEDE2" w14:textId="6296B8B6" w:rsidR="00FC3268" w:rsidRPr="00DA0286" w:rsidRDefault="007171AF" w:rsidP="00FC3268">
      <w:pPr>
        <w:spacing w:after="240" w:line="276" w:lineRule="auto"/>
        <w:jc w:val="both"/>
      </w:pPr>
      <w:commentRangeStart w:id="4"/>
      <w:r w:rsidRPr="00DA0286">
        <w:rPr>
          <w:b/>
          <w:bCs/>
        </w:rPr>
        <w:t xml:space="preserve">Artículo 2.- De los planos y documentos presentados. - </w:t>
      </w:r>
      <w:r w:rsidRPr="00DA0286">
        <w:t xml:space="preserve">Los planos y documentos presentados para la aprobación del presente acto normativo son de exclusiva responsabilidad del proyectista y de los copropietarios del </w:t>
      </w:r>
      <w:r w:rsidR="00596F5F" w:rsidRPr="00DA0286">
        <w:t xml:space="preserve">asentamiento humano de hecho y consolidado de interés social denominado </w:t>
      </w:r>
      <w:r w:rsidR="00F6068F" w:rsidRPr="00DA0286">
        <w:t>Comité Barri</w:t>
      </w:r>
      <w:r w:rsidR="006035C2" w:rsidRPr="00DA0286">
        <w:t>al</w:t>
      </w:r>
      <w:r w:rsidR="00F6068F" w:rsidRPr="00DA0286">
        <w:t xml:space="preserve"> “Abdón Calderón Número Dos”</w:t>
      </w:r>
      <w:r w:rsidR="00596F5F" w:rsidRPr="00DA0286">
        <w:t xml:space="preserve">, </w:t>
      </w:r>
      <w:r w:rsidRPr="00DA0286">
        <w:t xml:space="preserve">ubicado en la parroquia El Condado, </w:t>
      </w:r>
      <w:r w:rsidR="00FC3268" w:rsidRPr="00DA0286">
        <w:t xml:space="preserve">y de los funcionarios </w:t>
      </w:r>
      <w:r w:rsidR="00E3004A" w:rsidRPr="00DA0286">
        <w:t>públicos</w:t>
      </w:r>
      <w:r w:rsidR="00FC3268" w:rsidRPr="00DA0286">
        <w:t xml:space="preserve"> que emitieron los informes </w:t>
      </w:r>
      <w:r w:rsidR="00E3004A" w:rsidRPr="00DA0286">
        <w:t>habilitantes de este procedimiento de</w:t>
      </w:r>
      <w:r w:rsidR="00FC3268" w:rsidRPr="00DA0286">
        <w:t xml:space="preserve"> regularización, salvo que estos hayan sido inducidos a</w:t>
      </w:r>
      <w:r w:rsidR="009673F9" w:rsidRPr="00DA0286">
        <w:t>l</w:t>
      </w:r>
      <w:r w:rsidR="00FC3268" w:rsidRPr="00DA0286">
        <w:t xml:space="preserve"> engaño o al error.</w:t>
      </w:r>
      <w:commentRangeEnd w:id="4"/>
      <w:r w:rsidR="00E3004A" w:rsidRPr="00DA0286">
        <w:rPr>
          <w:rStyle w:val="Refdecomentario"/>
          <w:sz w:val="20"/>
          <w:szCs w:val="20"/>
        </w:rPr>
        <w:commentReference w:id="4"/>
      </w:r>
    </w:p>
    <w:p w14:paraId="49EEA27C" w14:textId="4B3916C0" w:rsidR="00654CE7" w:rsidRPr="00DA0286" w:rsidRDefault="00654CE7" w:rsidP="00654CE7">
      <w:pPr>
        <w:spacing w:after="240" w:line="276" w:lineRule="auto"/>
        <w:jc w:val="both"/>
      </w:pPr>
      <w:r w:rsidRPr="00DA0286">
        <w:t xml:space="preserve">En caso de comprobarse ocultación o falsedad en planos, datos, documentos, o de existir reclamos de terceros afectados, son de exclusiva responsabilidad del técnico y de los propietarios del predio.  </w:t>
      </w:r>
    </w:p>
    <w:p w14:paraId="62DC4F67" w14:textId="48761E4D" w:rsidR="00654CE7" w:rsidRPr="00DA0286" w:rsidRDefault="00654CE7" w:rsidP="00654CE7">
      <w:pPr>
        <w:ind w:left="703" w:hanging="703"/>
        <w:jc w:val="both"/>
      </w:pPr>
      <w:r w:rsidRPr="00DA0286">
        <w:t>Las dimensi</w:t>
      </w:r>
      <w:r w:rsidR="009673F9" w:rsidRPr="00DA0286">
        <w:t>ones y superficies de los lotes</w:t>
      </w:r>
      <w:r w:rsidRPr="00DA0286">
        <w:t xml:space="preserve"> son las determinadas en el plano aprobatorio que forma</w:t>
      </w:r>
    </w:p>
    <w:p w14:paraId="38DF12E3" w14:textId="77777777" w:rsidR="0009071F" w:rsidRPr="00DA0286" w:rsidRDefault="00654CE7" w:rsidP="006035C2">
      <w:pPr>
        <w:spacing w:after="240"/>
        <w:ind w:left="703" w:hanging="703"/>
        <w:jc w:val="both"/>
      </w:pPr>
      <w:r w:rsidRPr="00DA0286">
        <w:t>parte integrante de esta Ordenanza.</w:t>
      </w:r>
    </w:p>
    <w:p w14:paraId="60E45A97" w14:textId="35A28579" w:rsidR="00735E7E" w:rsidRPr="00DA0286" w:rsidRDefault="00735E7E" w:rsidP="00735E7E">
      <w:pPr>
        <w:spacing w:after="240" w:line="276" w:lineRule="auto"/>
        <w:jc w:val="both"/>
      </w:pPr>
      <w:r w:rsidRPr="00DA0286">
        <w:t xml:space="preserve">Los </w:t>
      </w:r>
      <w:r w:rsidR="006035C2" w:rsidRPr="00DA0286">
        <w:t>socios</w:t>
      </w:r>
      <w:r w:rsidRPr="00DA0286">
        <w:t xml:space="preserve"> del</w:t>
      </w:r>
      <w:r w:rsidR="0009071F" w:rsidRPr="00DA0286">
        <w:t xml:space="preserve"> asentamiento humano de hecho y consolidado de interés social denominado </w:t>
      </w:r>
      <w:r w:rsidR="00162F82" w:rsidRPr="00DA0286">
        <w:t>Comité Barrial “Abdón Calderón Número Dos”</w:t>
      </w:r>
      <w:r w:rsidR="0009071F" w:rsidRPr="00DA0286">
        <w:t xml:space="preserve">, </w:t>
      </w:r>
      <w:r w:rsidR="009673F9" w:rsidRPr="00DA0286">
        <w:t xml:space="preserve">ubicado en la parroquia El Condado, </w:t>
      </w:r>
      <w:r w:rsidRPr="00DA0286">
        <w:t>se comprometen a respetar las características d</w:t>
      </w:r>
      <w:r w:rsidR="006C4C26" w:rsidRPr="00DA0286">
        <w:t xml:space="preserve">e los lotes establecidas en el </w:t>
      </w:r>
      <w:r w:rsidR="009673F9" w:rsidRPr="00DA0286">
        <w:t>P</w:t>
      </w:r>
      <w:r w:rsidRPr="00DA0286">
        <w:t xml:space="preserve">lano y en este instrumento; </w:t>
      </w:r>
      <w:r w:rsidR="009673F9" w:rsidRPr="00DA0286">
        <w:t>por tanto</w:t>
      </w:r>
      <w:r w:rsidRPr="00DA0286">
        <w:t xml:space="preserve">, no podrán fraccionarlos o dividirlos. </w:t>
      </w:r>
    </w:p>
    <w:p w14:paraId="337441AD" w14:textId="77777777" w:rsidR="00735E7E" w:rsidRPr="00DA0286" w:rsidRDefault="00735E7E" w:rsidP="00735E7E">
      <w:pPr>
        <w:spacing w:after="240" w:line="276" w:lineRule="auto"/>
        <w:jc w:val="both"/>
      </w:pPr>
      <w:r w:rsidRPr="00DA0286">
        <w:t>El incumplimiento de los dispuesto en la presente Ordenanza y en la normativa metropolitana nacional vigente al respecto, dará lugar a la imposición de las sanciones correspondientes.</w:t>
      </w:r>
    </w:p>
    <w:p w14:paraId="0E085621" w14:textId="77777777" w:rsidR="003A0F8B" w:rsidRPr="00DA0286" w:rsidRDefault="003A0F8B" w:rsidP="003A0F8B">
      <w:pPr>
        <w:pStyle w:val="Textoindependiente"/>
        <w:spacing w:line="276" w:lineRule="auto"/>
        <w:jc w:val="both"/>
      </w:pPr>
      <w:r w:rsidRPr="00DA0286">
        <w:rPr>
          <w:b/>
          <w:bCs/>
        </w:rPr>
        <w:t xml:space="preserve">Artículo 3.- Declaratoria de Interés </w:t>
      </w:r>
      <w:r w:rsidR="005D070B" w:rsidRPr="00DA0286">
        <w:rPr>
          <w:b/>
          <w:bCs/>
        </w:rPr>
        <w:t>Social. -</w:t>
      </w:r>
      <w:r w:rsidRPr="00DA0286">
        <w:rPr>
          <w:b/>
          <w:bCs/>
        </w:rPr>
        <w:t xml:space="preserve"> </w:t>
      </w:r>
      <w:r w:rsidRPr="00DA0286">
        <w:t>Por las condiciones del asentamiento humano de hecho y consolidado, s</w:t>
      </w:r>
      <w:r w:rsidR="005D070B" w:rsidRPr="00DA0286">
        <w:t>e lo aprueba considerándolo de interés s</w:t>
      </w:r>
      <w:r w:rsidRPr="00DA0286">
        <w:t>ocial de conformidad con la normativa vigente.</w:t>
      </w:r>
    </w:p>
    <w:p w14:paraId="70DCE004" w14:textId="77777777" w:rsidR="002A219C" w:rsidRPr="00DA0286" w:rsidRDefault="002A219C" w:rsidP="002A219C">
      <w:pPr>
        <w:spacing w:after="240" w:line="276" w:lineRule="auto"/>
        <w:jc w:val="both"/>
        <w:rPr>
          <w:b/>
          <w:bCs/>
        </w:rPr>
      </w:pPr>
      <w:r w:rsidRPr="00DA0286">
        <w:rPr>
          <w:b/>
          <w:bCs/>
        </w:rPr>
        <w:lastRenderedPageBreak/>
        <w:t xml:space="preserve">Artículo 4.- Especificaciones </w:t>
      </w:r>
      <w:r w:rsidR="00554D19" w:rsidRPr="00DA0286">
        <w:rPr>
          <w:b/>
          <w:bCs/>
        </w:rPr>
        <w:t>técnicas. -</w:t>
      </w:r>
    </w:p>
    <w:tbl>
      <w:tblPr>
        <w:tblW w:w="5000" w:type="pct"/>
        <w:tblCellMar>
          <w:left w:w="70" w:type="dxa"/>
          <w:right w:w="70" w:type="dxa"/>
        </w:tblCellMar>
        <w:tblLook w:val="04A0" w:firstRow="1" w:lastRow="0" w:firstColumn="1" w:lastColumn="0" w:noHBand="0" w:noVBand="1"/>
      </w:tblPr>
      <w:tblGrid>
        <w:gridCol w:w="2830"/>
        <w:gridCol w:w="2127"/>
        <w:gridCol w:w="3537"/>
      </w:tblGrid>
      <w:tr w:rsidR="002A219C" w:rsidRPr="00DA0286" w14:paraId="13913B9A" w14:textId="77777777" w:rsidTr="006C4C26">
        <w:trPr>
          <w:trHeight w:val="330"/>
        </w:trPr>
        <w:tc>
          <w:tcPr>
            <w:tcW w:w="1666" w:type="pct"/>
            <w:tcBorders>
              <w:top w:val="single" w:sz="4" w:space="0" w:color="000000"/>
              <w:left w:val="single" w:sz="4" w:space="0" w:color="000000"/>
              <w:bottom w:val="single" w:sz="4" w:space="0" w:color="000000"/>
              <w:right w:val="single" w:sz="4" w:space="0" w:color="000000"/>
            </w:tcBorders>
            <w:shd w:val="clear" w:color="auto" w:fill="auto"/>
            <w:hideMark/>
          </w:tcPr>
          <w:p w14:paraId="648AE3D9" w14:textId="77777777" w:rsidR="002A219C" w:rsidRPr="00DA0286" w:rsidRDefault="002A219C" w:rsidP="002F19BA">
            <w:pPr>
              <w:rPr>
                <w:b/>
                <w:bCs/>
                <w:color w:val="000000"/>
                <w:lang w:val="es-EC" w:eastAsia="es-EC"/>
              </w:rPr>
            </w:pPr>
            <w:r w:rsidRPr="00DA0286">
              <w:rPr>
                <w:b/>
                <w:bCs/>
                <w:color w:val="000000"/>
                <w:lang w:eastAsia="es-EC"/>
              </w:rPr>
              <w:t>Predios:</w:t>
            </w:r>
          </w:p>
        </w:tc>
        <w:tc>
          <w:tcPr>
            <w:tcW w:w="3334" w:type="pct"/>
            <w:gridSpan w:val="2"/>
            <w:tcBorders>
              <w:top w:val="single" w:sz="4" w:space="0" w:color="000000"/>
              <w:left w:val="nil"/>
              <w:bottom w:val="single" w:sz="4" w:space="0" w:color="000000"/>
              <w:right w:val="single" w:sz="4" w:space="0" w:color="000000"/>
            </w:tcBorders>
            <w:shd w:val="clear" w:color="auto" w:fill="auto"/>
            <w:hideMark/>
          </w:tcPr>
          <w:p w14:paraId="3F53F956" w14:textId="77777777" w:rsidR="002A219C" w:rsidRPr="00DA0286" w:rsidRDefault="002A219C" w:rsidP="002F19BA">
            <w:pPr>
              <w:rPr>
                <w:color w:val="000000"/>
                <w:lang w:val="es-EC" w:eastAsia="es-EC"/>
              </w:rPr>
            </w:pPr>
            <w:r w:rsidRPr="00DA0286">
              <w:rPr>
                <w:color w:val="000000"/>
                <w:lang w:val="es-EC" w:eastAsia="es-EC"/>
              </w:rPr>
              <w:t xml:space="preserve">252228  </w:t>
            </w:r>
          </w:p>
        </w:tc>
      </w:tr>
      <w:tr w:rsidR="006C4C26" w:rsidRPr="00DA0286" w14:paraId="13EF7CB5" w14:textId="77777777"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14:paraId="45A830E0" w14:textId="77777777" w:rsidR="006C4C26" w:rsidRPr="00DA0286" w:rsidRDefault="006C4C26" w:rsidP="002F19BA">
            <w:pPr>
              <w:rPr>
                <w:b/>
                <w:bCs/>
                <w:color w:val="000000"/>
                <w:lang w:val="es-EC" w:eastAsia="es-EC"/>
              </w:rPr>
            </w:pPr>
            <w:r w:rsidRPr="00DA0286">
              <w:rPr>
                <w:b/>
                <w:bCs/>
                <w:color w:val="000000"/>
                <w:lang w:eastAsia="es-EC"/>
              </w:rPr>
              <w:t>Zonificación:</w:t>
            </w:r>
          </w:p>
        </w:tc>
        <w:tc>
          <w:tcPr>
            <w:tcW w:w="1252" w:type="pct"/>
            <w:tcBorders>
              <w:top w:val="nil"/>
              <w:left w:val="nil"/>
              <w:bottom w:val="single" w:sz="4" w:space="0" w:color="000000"/>
              <w:right w:val="single" w:sz="4" w:space="0" w:color="000000"/>
            </w:tcBorders>
            <w:shd w:val="clear" w:color="auto" w:fill="auto"/>
            <w:hideMark/>
          </w:tcPr>
          <w:p w14:paraId="6067E87A" w14:textId="77777777" w:rsidR="006C4C26" w:rsidRPr="00DA0286" w:rsidRDefault="006C4C26" w:rsidP="006C4C26">
            <w:pPr>
              <w:rPr>
                <w:color w:val="000000"/>
                <w:lang w:val="es-EC" w:eastAsia="es-EC"/>
              </w:rPr>
            </w:pPr>
            <w:r w:rsidRPr="00DA0286">
              <w:t xml:space="preserve">D3 (D203-80) </w:t>
            </w:r>
          </w:p>
        </w:tc>
        <w:tc>
          <w:tcPr>
            <w:tcW w:w="2082" w:type="pct"/>
            <w:tcBorders>
              <w:top w:val="nil"/>
              <w:left w:val="nil"/>
              <w:bottom w:val="single" w:sz="4" w:space="0" w:color="000000"/>
              <w:right w:val="single" w:sz="4" w:space="0" w:color="000000"/>
            </w:tcBorders>
            <w:shd w:val="clear" w:color="auto" w:fill="auto"/>
          </w:tcPr>
          <w:p w14:paraId="0D4E67C4" w14:textId="77777777" w:rsidR="006C4C26" w:rsidRPr="00DA0286" w:rsidRDefault="006C4C26" w:rsidP="002F19BA">
            <w:pPr>
              <w:rPr>
                <w:color w:val="000000"/>
                <w:lang w:val="es-EC" w:eastAsia="es-EC"/>
              </w:rPr>
            </w:pPr>
            <w:r w:rsidRPr="00DA0286">
              <w:t>A31 (PQ)</w:t>
            </w:r>
          </w:p>
        </w:tc>
      </w:tr>
      <w:tr w:rsidR="002A219C" w:rsidRPr="00DA0286" w14:paraId="67948D5C"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14:paraId="658FEF90" w14:textId="77777777" w:rsidR="002A219C" w:rsidRPr="00DA0286" w:rsidRDefault="002A219C" w:rsidP="002F19BA">
            <w:pPr>
              <w:rPr>
                <w:b/>
                <w:bCs/>
                <w:color w:val="000000"/>
                <w:lang w:val="es-EC" w:eastAsia="es-EC"/>
              </w:rPr>
            </w:pPr>
            <w:r w:rsidRPr="00DA0286">
              <w:rPr>
                <w:b/>
                <w:bCs/>
                <w:color w:val="000000"/>
                <w:lang w:eastAsia="es-EC"/>
              </w:rPr>
              <w:t>Lote mínimo:</w:t>
            </w:r>
          </w:p>
        </w:tc>
        <w:tc>
          <w:tcPr>
            <w:tcW w:w="3334" w:type="pct"/>
            <w:gridSpan w:val="2"/>
            <w:tcBorders>
              <w:top w:val="nil"/>
              <w:left w:val="nil"/>
              <w:bottom w:val="single" w:sz="4" w:space="0" w:color="000000"/>
              <w:right w:val="single" w:sz="4" w:space="0" w:color="000000"/>
            </w:tcBorders>
            <w:shd w:val="clear" w:color="auto" w:fill="auto"/>
            <w:hideMark/>
          </w:tcPr>
          <w:p w14:paraId="5DE64FE9" w14:textId="77777777" w:rsidR="002A219C" w:rsidRPr="00DA0286" w:rsidRDefault="002A219C" w:rsidP="002F19BA">
            <w:pPr>
              <w:rPr>
                <w:color w:val="000000"/>
                <w:lang w:val="es-EC" w:eastAsia="es-EC"/>
              </w:rPr>
            </w:pPr>
            <w:r w:rsidRPr="00DA0286">
              <w:rPr>
                <w:color w:val="000000"/>
                <w:lang w:eastAsia="es-EC"/>
              </w:rPr>
              <w:t>200 m2</w:t>
            </w:r>
          </w:p>
        </w:tc>
      </w:tr>
      <w:tr w:rsidR="006C4C26" w:rsidRPr="00DA0286" w14:paraId="499266AE"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14:paraId="48FFFBF5" w14:textId="77777777" w:rsidR="006C4C26" w:rsidRPr="00DA0286" w:rsidRDefault="006C4C26" w:rsidP="002F19BA">
            <w:pPr>
              <w:rPr>
                <w:b/>
                <w:bCs/>
                <w:color w:val="000000"/>
                <w:lang w:val="es-EC" w:eastAsia="es-EC"/>
              </w:rPr>
            </w:pPr>
            <w:r w:rsidRPr="00DA0286">
              <w:rPr>
                <w:b/>
                <w:bCs/>
                <w:color w:val="000000"/>
                <w:lang w:eastAsia="es-EC"/>
              </w:rPr>
              <w:t>Forma de Ocupación del suelo:</w:t>
            </w:r>
          </w:p>
        </w:tc>
        <w:tc>
          <w:tcPr>
            <w:tcW w:w="1252" w:type="pct"/>
            <w:tcBorders>
              <w:top w:val="nil"/>
              <w:left w:val="nil"/>
              <w:bottom w:val="single" w:sz="4" w:space="0" w:color="000000"/>
              <w:right w:val="single" w:sz="4" w:space="0" w:color="000000"/>
            </w:tcBorders>
            <w:shd w:val="clear" w:color="auto" w:fill="auto"/>
            <w:hideMark/>
          </w:tcPr>
          <w:p w14:paraId="1F71B14F" w14:textId="77777777" w:rsidR="006C4C26" w:rsidRPr="00DA0286" w:rsidRDefault="006C4C26" w:rsidP="006C4C26">
            <w:pPr>
              <w:tabs>
                <w:tab w:val="left" w:pos="1410"/>
              </w:tabs>
              <w:rPr>
                <w:color w:val="000000"/>
                <w:lang w:val="es-EC" w:eastAsia="es-EC"/>
              </w:rPr>
            </w:pPr>
            <w:r w:rsidRPr="00DA0286">
              <w:rPr>
                <w:color w:val="000000"/>
                <w:lang w:val="es-EC" w:eastAsia="es-EC"/>
              </w:rPr>
              <w:t xml:space="preserve">(D) Sobre línea de fábrica </w:t>
            </w:r>
          </w:p>
        </w:tc>
        <w:tc>
          <w:tcPr>
            <w:tcW w:w="2082" w:type="pct"/>
            <w:tcBorders>
              <w:top w:val="nil"/>
              <w:left w:val="nil"/>
              <w:bottom w:val="single" w:sz="4" w:space="0" w:color="000000"/>
              <w:right w:val="single" w:sz="4" w:space="0" w:color="000000"/>
            </w:tcBorders>
            <w:shd w:val="clear" w:color="auto" w:fill="auto"/>
          </w:tcPr>
          <w:p w14:paraId="67ABEC3A" w14:textId="77777777" w:rsidR="006C4C26" w:rsidRPr="00DA0286" w:rsidRDefault="006C4C26" w:rsidP="002A219C">
            <w:pPr>
              <w:tabs>
                <w:tab w:val="left" w:pos="1410"/>
              </w:tabs>
              <w:rPr>
                <w:color w:val="000000"/>
                <w:lang w:val="es-EC" w:eastAsia="es-EC"/>
              </w:rPr>
            </w:pPr>
            <w:r w:rsidRPr="00DA0286">
              <w:rPr>
                <w:color w:val="000000"/>
                <w:lang w:val="es-EC" w:eastAsia="es-EC"/>
              </w:rPr>
              <w:t>(A) Aislada</w:t>
            </w:r>
          </w:p>
        </w:tc>
      </w:tr>
      <w:tr w:rsidR="006C4C26" w:rsidRPr="00DA0286" w14:paraId="2F4CA660" w14:textId="77777777" w:rsidTr="006C4C26">
        <w:trPr>
          <w:trHeight w:val="570"/>
        </w:trPr>
        <w:tc>
          <w:tcPr>
            <w:tcW w:w="1666" w:type="pct"/>
            <w:tcBorders>
              <w:top w:val="nil"/>
              <w:left w:val="single" w:sz="4" w:space="0" w:color="000000"/>
              <w:bottom w:val="single" w:sz="4" w:space="0" w:color="000000"/>
              <w:right w:val="single" w:sz="4" w:space="0" w:color="000000"/>
            </w:tcBorders>
            <w:shd w:val="clear" w:color="auto" w:fill="auto"/>
            <w:hideMark/>
          </w:tcPr>
          <w:p w14:paraId="1079F37C" w14:textId="77777777" w:rsidR="006C4C26" w:rsidRPr="00DA0286" w:rsidRDefault="006C4C26" w:rsidP="002F19BA">
            <w:pPr>
              <w:rPr>
                <w:b/>
                <w:bCs/>
                <w:color w:val="000000"/>
                <w:lang w:val="es-EC" w:eastAsia="es-EC"/>
              </w:rPr>
            </w:pPr>
            <w:r w:rsidRPr="00DA0286">
              <w:rPr>
                <w:b/>
                <w:bCs/>
                <w:color w:val="000000"/>
                <w:lang w:eastAsia="es-EC"/>
              </w:rPr>
              <w:t>Uso principal del suelo:</w:t>
            </w:r>
          </w:p>
        </w:tc>
        <w:tc>
          <w:tcPr>
            <w:tcW w:w="1252" w:type="pct"/>
            <w:tcBorders>
              <w:top w:val="nil"/>
              <w:left w:val="nil"/>
              <w:bottom w:val="single" w:sz="4" w:space="0" w:color="000000"/>
              <w:right w:val="single" w:sz="4" w:space="0" w:color="000000"/>
            </w:tcBorders>
            <w:shd w:val="clear" w:color="auto" w:fill="auto"/>
            <w:hideMark/>
          </w:tcPr>
          <w:p w14:paraId="317EA075" w14:textId="77777777" w:rsidR="006C4C26" w:rsidRPr="00DA0286" w:rsidRDefault="006C4C26" w:rsidP="006C4C26">
            <w:pPr>
              <w:rPr>
                <w:color w:val="000000"/>
                <w:lang w:val="es-EC" w:eastAsia="es-EC"/>
              </w:rPr>
            </w:pPr>
            <w:r w:rsidRPr="00DA0286">
              <w:rPr>
                <w:color w:val="000000"/>
                <w:lang w:val="es-EC" w:eastAsia="es-EC"/>
              </w:rPr>
              <w:t xml:space="preserve">(RU2) Residencial Urbano 2 </w:t>
            </w:r>
          </w:p>
        </w:tc>
        <w:tc>
          <w:tcPr>
            <w:tcW w:w="2082" w:type="pct"/>
            <w:tcBorders>
              <w:top w:val="nil"/>
              <w:left w:val="nil"/>
              <w:bottom w:val="single" w:sz="4" w:space="0" w:color="000000"/>
              <w:right w:val="single" w:sz="4" w:space="0" w:color="000000"/>
            </w:tcBorders>
            <w:shd w:val="clear" w:color="auto" w:fill="auto"/>
          </w:tcPr>
          <w:p w14:paraId="61DE7C1F" w14:textId="77777777" w:rsidR="006C4C26" w:rsidRPr="00DA0286" w:rsidRDefault="006C4C26" w:rsidP="002A219C">
            <w:pPr>
              <w:rPr>
                <w:color w:val="000000"/>
                <w:lang w:val="es-EC" w:eastAsia="es-EC"/>
              </w:rPr>
            </w:pPr>
            <w:r w:rsidRPr="00DA0286">
              <w:rPr>
                <w:color w:val="000000"/>
                <w:lang w:val="es-EC" w:eastAsia="es-EC"/>
              </w:rPr>
              <w:t>(PE/CPN) Protección Ecológica Conservación del Patrimonio Natural</w:t>
            </w:r>
          </w:p>
        </w:tc>
      </w:tr>
      <w:tr w:rsidR="002A219C" w:rsidRPr="00DA0286" w14:paraId="1E484CEB" w14:textId="77777777"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14:paraId="2A97870B" w14:textId="77777777" w:rsidR="002A219C" w:rsidRPr="00DA0286" w:rsidRDefault="002A219C" w:rsidP="002F19BA">
            <w:pPr>
              <w:rPr>
                <w:b/>
                <w:bCs/>
                <w:color w:val="000000"/>
                <w:lang w:val="es-EC" w:eastAsia="es-EC"/>
              </w:rPr>
            </w:pPr>
            <w:r w:rsidRPr="00DA0286">
              <w:rPr>
                <w:b/>
                <w:bCs/>
                <w:color w:val="000000"/>
                <w:lang w:eastAsia="es-EC"/>
              </w:rPr>
              <w:t>Clasificación del Suelo:</w:t>
            </w:r>
          </w:p>
        </w:tc>
        <w:tc>
          <w:tcPr>
            <w:tcW w:w="3334" w:type="pct"/>
            <w:gridSpan w:val="2"/>
            <w:tcBorders>
              <w:top w:val="nil"/>
              <w:left w:val="nil"/>
              <w:bottom w:val="single" w:sz="4" w:space="0" w:color="000000"/>
              <w:right w:val="single" w:sz="4" w:space="0" w:color="000000"/>
            </w:tcBorders>
            <w:shd w:val="clear" w:color="auto" w:fill="auto"/>
            <w:hideMark/>
          </w:tcPr>
          <w:p w14:paraId="1224867E" w14:textId="77777777" w:rsidR="002A219C" w:rsidRPr="00DA0286" w:rsidRDefault="002A219C" w:rsidP="002F19BA">
            <w:pPr>
              <w:rPr>
                <w:color w:val="000000"/>
                <w:lang w:val="es-EC" w:eastAsia="es-EC"/>
              </w:rPr>
            </w:pPr>
            <w:r w:rsidRPr="00DA0286">
              <w:rPr>
                <w:color w:val="000000"/>
                <w:lang w:val="es-EC" w:eastAsia="es-EC"/>
              </w:rPr>
              <w:t>(SU) Suelo Urbano</w:t>
            </w:r>
          </w:p>
        </w:tc>
      </w:tr>
      <w:tr w:rsidR="002A219C" w:rsidRPr="00DA0286" w14:paraId="7954F601" w14:textId="77777777" w:rsidTr="006C4C26">
        <w:trPr>
          <w:trHeight w:val="330"/>
        </w:trPr>
        <w:tc>
          <w:tcPr>
            <w:tcW w:w="1666" w:type="pct"/>
            <w:tcBorders>
              <w:top w:val="nil"/>
              <w:left w:val="single" w:sz="4" w:space="0" w:color="000000"/>
              <w:bottom w:val="single" w:sz="4" w:space="0" w:color="000000"/>
              <w:right w:val="single" w:sz="4" w:space="0" w:color="000000"/>
            </w:tcBorders>
            <w:shd w:val="clear" w:color="auto" w:fill="auto"/>
            <w:noWrap/>
            <w:hideMark/>
          </w:tcPr>
          <w:p w14:paraId="56BB8F3D" w14:textId="77777777" w:rsidR="002A219C" w:rsidRPr="00DA0286" w:rsidRDefault="002A219C" w:rsidP="002F19BA">
            <w:pPr>
              <w:rPr>
                <w:b/>
                <w:bCs/>
                <w:color w:val="000000"/>
                <w:lang w:val="es-EC" w:eastAsia="es-EC"/>
              </w:rPr>
            </w:pPr>
            <w:r w:rsidRPr="00DA0286">
              <w:rPr>
                <w:b/>
                <w:bCs/>
                <w:color w:val="000000"/>
                <w:lang w:val="es-EC" w:eastAsia="es-EC"/>
              </w:rPr>
              <w:t xml:space="preserve">Número de lotes: </w:t>
            </w:r>
          </w:p>
        </w:tc>
        <w:tc>
          <w:tcPr>
            <w:tcW w:w="3334" w:type="pct"/>
            <w:gridSpan w:val="2"/>
            <w:tcBorders>
              <w:top w:val="nil"/>
              <w:left w:val="nil"/>
              <w:bottom w:val="single" w:sz="4" w:space="0" w:color="000000"/>
              <w:right w:val="single" w:sz="4" w:space="0" w:color="000000"/>
            </w:tcBorders>
            <w:shd w:val="clear" w:color="auto" w:fill="auto"/>
            <w:noWrap/>
            <w:hideMark/>
          </w:tcPr>
          <w:p w14:paraId="7472F604" w14:textId="77777777" w:rsidR="002A219C" w:rsidRPr="00DA0286" w:rsidRDefault="002A219C" w:rsidP="002F19BA">
            <w:pPr>
              <w:rPr>
                <w:color w:val="000000"/>
                <w:lang w:val="es-EC" w:eastAsia="es-EC"/>
              </w:rPr>
            </w:pPr>
            <w:r w:rsidRPr="00DA0286">
              <w:rPr>
                <w:color w:val="000000"/>
                <w:lang w:val="es-EC" w:eastAsia="es-EC"/>
              </w:rPr>
              <w:t>50</w:t>
            </w:r>
          </w:p>
        </w:tc>
      </w:tr>
      <w:tr w:rsidR="002A219C" w:rsidRPr="00DA0286" w14:paraId="3B83B72F" w14:textId="77777777" w:rsidTr="006C4C26">
        <w:trPr>
          <w:trHeight w:val="300"/>
        </w:trPr>
        <w:tc>
          <w:tcPr>
            <w:tcW w:w="1666" w:type="pct"/>
            <w:tcBorders>
              <w:top w:val="nil"/>
              <w:left w:val="single" w:sz="4" w:space="0" w:color="000000"/>
              <w:bottom w:val="single" w:sz="4" w:space="0" w:color="000000"/>
              <w:right w:val="single" w:sz="4" w:space="0" w:color="000000"/>
            </w:tcBorders>
            <w:shd w:val="clear" w:color="000000" w:fill="FFFFFF"/>
            <w:hideMark/>
          </w:tcPr>
          <w:p w14:paraId="4B6E7C9F" w14:textId="77777777" w:rsidR="002A219C" w:rsidRPr="00DA0286" w:rsidRDefault="002A219C" w:rsidP="002F19BA">
            <w:pPr>
              <w:rPr>
                <w:b/>
                <w:bCs/>
                <w:color w:val="000000"/>
                <w:lang w:val="es-EC" w:eastAsia="es-EC"/>
              </w:rPr>
            </w:pPr>
            <w:r w:rsidRPr="00DA0286">
              <w:rPr>
                <w:b/>
                <w:bCs/>
                <w:color w:val="000000"/>
                <w:lang w:eastAsia="es-EC"/>
              </w:rPr>
              <w:t>Área Útil de Lotes:</w:t>
            </w:r>
          </w:p>
        </w:tc>
        <w:tc>
          <w:tcPr>
            <w:tcW w:w="3334" w:type="pct"/>
            <w:gridSpan w:val="2"/>
            <w:tcBorders>
              <w:top w:val="nil"/>
              <w:left w:val="nil"/>
              <w:bottom w:val="single" w:sz="4" w:space="0" w:color="000000"/>
              <w:right w:val="single" w:sz="4" w:space="0" w:color="000000"/>
            </w:tcBorders>
            <w:shd w:val="clear" w:color="000000" w:fill="FFFFFF"/>
            <w:hideMark/>
          </w:tcPr>
          <w:p w14:paraId="68AFCE21" w14:textId="77777777" w:rsidR="002A219C" w:rsidRPr="00DA0286" w:rsidRDefault="00E473D4" w:rsidP="002F19BA">
            <w:pPr>
              <w:rPr>
                <w:color w:val="000000"/>
                <w:highlight w:val="yellow"/>
                <w:lang w:val="es-EC" w:eastAsia="es-EC"/>
              </w:rPr>
            </w:pPr>
            <w:r w:rsidRPr="00DA0286">
              <w:rPr>
                <w:color w:val="000000"/>
                <w:lang w:val="es-EC" w:eastAsia="es-EC"/>
              </w:rPr>
              <w:t>8340,88 m2</w:t>
            </w:r>
          </w:p>
        </w:tc>
      </w:tr>
      <w:tr w:rsidR="002A219C" w:rsidRPr="00DA0286" w14:paraId="53DE4E87"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hideMark/>
          </w:tcPr>
          <w:p w14:paraId="47174ED4" w14:textId="77777777" w:rsidR="002A219C" w:rsidRPr="00DA0286" w:rsidRDefault="00E473D4" w:rsidP="00E473D4">
            <w:pPr>
              <w:rPr>
                <w:b/>
                <w:bCs/>
                <w:color w:val="000000"/>
                <w:lang w:val="es-EC" w:eastAsia="es-EC"/>
              </w:rPr>
            </w:pPr>
            <w:r w:rsidRPr="00DA0286">
              <w:rPr>
                <w:b/>
              </w:rPr>
              <w:t>Área Franja  de Protección por BSQ en Lotes:</w:t>
            </w:r>
          </w:p>
        </w:tc>
        <w:tc>
          <w:tcPr>
            <w:tcW w:w="3334" w:type="pct"/>
            <w:gridSpan w:val="2"/>
            <w:tcBorders>
              <w:top w:val="nil"/>
              <w:left w:val="nil"/>
              <w:bottom w:val="single" w:sz="4" w:space="0" w:color="000000"/>
              <w:right w:val="single" w:sz="4" w:space="0" w:color="000000"/>
            </w:tcBorders>
            <w:shd w:val="clear" w:color="000000" w:fill="FFFFFF"/>
            <w:hideMark/>
          </w:tcPr>
          <w:p w14:paraId="6438032A" w14:textId="77777777" w:rsidR="002A219C" w:rsidRPr="00DA0286" w:rsidRDefault="00E473D4" w:rsidP="002F19BA">
            <w:pPr>
              <w:rPr>
                <w:color w:val="000000"/>
                <w:highlight w:val="yellow"/>
                <w:lang w:val="es-EC" w:eastAsia="es-EC"/>
              </w:rPr>
            </w:pPr>
            <w:r w:rsidRPr="00DA0286">
              <w:rPr>
                <w:color w:val="000000"/>
                <w:lang w:val="es-EC" w:eastAsia="es-EC"/>
              </w:rPr>
              <w:t>581,03 m2</w:t>
            </w:r>
          </w:p>
        </w:tc>
      </w:tr>
      <w:tr w:rsidR="00E473D4" w:rsidRPr="00DA0286" w14:paraId="786801F7"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14:paraId="12777CF1" w14:textId="77777777" w:rsidR="00E473D4" w:rsidRPr="00DA0286" w:rsidRDefault="00E473D4" w:rsidP="00E473D4">
            <w:pPr>
              <w:rPr>
                <w:b/>
              </w:rPr>
            </w:pPr>
            <w:r w:rsidRPr="00DA0286">
              <w:rPr>
                <w:b/>
              </w:rPr>
              <w:t>Área Bajo el BSQ</w:t>
            </w:r>
          </w:p>
        </w:tc>
        <w:tc>
          <w:tcPr>
            <w:tcW w:w="3334" w:type="pct"/>
            <w:gridSpan w:val="2"/>
            <w:tcBorders>
              <w:top w:val="nil"/>
              <w:left w:val="nil"/>
              <w:bottom w:val="single" w:sz="4" w:space="0" w:color="000000"/>
              <w:right w:val="single" w:sz="4" w:space="0" w:color="000000"/>
            </w:tcBorders>
            <w:shd w:val="clear" w:color="000000" w:fill="FFFFFF"/>
          </w:tcPr>
          <w:p w14:paraId="0D00F29C" w14:textId="77777777" w:rsidR="00E473D4" w:rsidRPr="00DA0286" w:rsidRDefault="00E473D4" w:rsidP="002F19BA">
            <w:pPr>
              <w:rPr>
                <w:color w:val="000000"/>
                <w:lang w:val="es-EC" w:eastAsia="es-EC"/>
              </w:rPr>
            </w:pPr>
            <w:r w:rsidRPr="00DA0286">
              <w:rPr>
                <w:color w:val="000000"/>
                <w:lang w:val="es-EC" w:eastAsia="es-EC"/>
              </w:rPr>
              <w:t>819,81 m2</w:t>
            </w:r>
          </w:p>
        </w:tc>
      </w:tr>
      <w:tr w:rsidR="002A219C" w:rsidRPr="00DA0286" w14:paraId="584BBC8E"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000000" w:fill="FFFFFF"/>
          </w:tcPr>
          <w:p w14:paraId="492062E1" w14:textId="77777777" w:rsidR="002A219C" w:rsidRPr="00DA0286" w:rsidRDefault="006C4C26" w:rsidP="002F19BA">
            <w:pPr>
              <w:rPr>
                <w:b/>
                <w:bCs/>
                <w:color w:val="000000"/>
                <w:lang w:val="es-EC" w:eastAsia="es-EC"/>
              </w:rPr>
            </w:pPr>
            <w:r w:rsidRPr="00DA0286">
              <w:rPr>
                <w:b/>
              </w:rPr>
              <w:t>Área de pasajes y e</w:t>
            </w:r>
            <w:r w:rsidR="00E473D4" w:rsidRPr="00DA0286">
              <w:rPr>
                <w:b/>
              </w:rPr>
              <w:t xml:space="preserve">scalinatas </w:t>
            </w:r>
          </w:p>
        </w:tc>
        <w:tc>
          <w:tcPr>
            <w:tcW w:w="3334" w:type="pct"/>
            <w:gridSpan w:val="2"/>
            <w:tcBorders>
              <w:top w:val="nil"/>
              <w:left w:val="nil"/>
              <w:bottom w:val="single" w:sz="4" w:space="0" w:color="000000"/>
              <w:right w:val="single" w:sz="4" w:space="0" w:color="000000"/>
            </w:tcBorders>
            <w:shd w:val="clear" w:color="000000" w:fill="FFFFFF"/>
          </w:tcPr>
          <w:p w14:paraId="7A7E3F35" w14:textId="77777777" w:rsidR="002A219C" w:rsidRPr="00DA0286" w:rsidRDefault="00E473D4" w:rsidP="002F19BA">
            <w:pPr>
              <w:rPr>
                <w:color w:val="000000"/>
                <w:highlight w:val="yellow"/>
                <w:lang w:val="es-EC" w:eastAsia="es-EC"/>
              </w:rPr>
            </w:pPr>
            <w:r w:rsidRPr="00DA0286">
              <w:rPr>
                <w:color w:val="000000"/>
                <w:lang w:val="es-EC" w:eastAsia="es-EC"/>
              </w:rPr>
              <w:t>1255, 71 m2</w:t>
            </w:r>
          </w:p>
        </w:tc>
      </w:tr>
      <w:tr w:rsidR="002A219C" w:rsidRPr="00DA0286" w14:paraId="49FAD95A"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14:paraId="6C8D676E" w14:textId="77777777" w:rsidR="002A219C" w:rsidRPr="00DA0286" w:rsidRDefault="00E473D4" w:rsidP="002F19BA">
            <w:pPr>
              <w:rPr>
                <w:b/>
                <w:bCs/>
                <w:color w:val="000000"/>
                <w:lang w:val="es-EC" w:eastAsia="es-EC"/>
              </w:rPr>
            </w:pPr>
            <w:r w:rsidRPr="00DA0286">
              <w:rPr>
                <w:b/>
                <w:bCs/>
                <w:color w:val="000000"/>
                <w:lang w:val="es-EC" w:eastAsia="es-EC"/>
              </w:rPr>
              <w:t>Área Bruta (Área Total)</w:t>
            </w:r>
          </w:p>
        </w:tc>
        <w:tc>
          <w:tcPr>
            <w:tcW w:w="3334" w:type="pct"/>
            <w:gridSpan w:val="2"/>
            <w:tcBorders>
              <w:top w:val="nil"/>
              <w:left w:val="nil"/>
              <w:bottom w:val="single" w:sz="4" w:space="0" w:color="000000"/>
              <w:right w:val="single" w:sz="4" w:space="0" w:color="000000"/>
            </w:tcBorders>
            <w:shd w:val="clear" w:color="000000" w:fill="FFFFFF"/>
          </w:tcPr>
          <w:p w14:paraId="07C5CA9F" w14:textId="77777777" w:rsidR="002A219C" w:rsidRPr="00DA0286" w:rsidRDefault="00E473D4" w:rsidP="002F19BA">
            <w:pPr>
              <w:rPr>
                <w:color w:val="000000"/>
                <w:highlight w:val="yellow"/>
                <w:lang w:val="es-EC" w:eastAsia="es-EC"/>
              </w:rPr>
            </w:pPr>
            <w:r w:rsidRPr="00DA0286">
              <w:rPr>
                <w:color w:val="000000"/>
                <w:lang w:val="es-EC" w:eastAsia="es-EC"/>
              </w:rPr>
              <w:t>10997,43 m2</w:t>
            </w:r>
          </w:p>
        </w:tc>
      </w:tr>
    </w:tbl>
    <w:p w14:paraId="37713640" w14:textId="77777777" w:rsidR="00735E7E" w:rsidRPr="00DA0286" w:rsidRDefault="00735E7E" w:rsidP="00BE341A">
      <w:pPr>
        <w:spacing w:after="240"/>
        <w:ind w:left="705" w:hanging="705"/>
        <w:jc w:val="both"/>
        <w:rPr>
          <w:i/>
          <w:lang w:val="es-EC" w:eastAsia="es-ES_tradnl"/>
        </w:rPr>
      </w:pPr>
    </w:p>
    <w:p w14:paraId="0D3B05F4" w14:textId="18D80A8C" w:rsidR="006A3E24" w:rsidRPr="00DA0286" w:rsidRDefault="006A3E24" w:rsidP="006A3E24">
      <w:pPr>
        <w:spacing w:after="240" w:line="276" w:lineRule="auto"/>
        <w:jc w:val="both"/>
      </w:pPr>
      <w:r w:rsidRPr="00DA0286">
        <w:t>El número total de lotes, producto del fraccionamiento</w:t>
      </w:r>
      <w:r w:rsidR="009673F9" w:rsidRPr="00DA0286">
        <w:t>,</w:t>
      </w:r>
      <w:r w:rsidRPr="00DA0286">
        <w:t xml:space="preserve"> es de 50 signados del uno (1) al cincuenta (50), cuyo detalle es el que consta en los planos aprobatorios que forman parte de la presente Ordenanza. </w:t>
      </w:r>
    </w:p>
    <w:p w14:paraId="2C6006CE" w14:textId="166B7167" w:rsidR="0051527D" w:rsidRPr="00DA0286" w:rsidRDefault="006A3E24" w:rsidP="0051527D">
      <w:pPr>
        <w:spacing w:after="240" w:line="276" w:lineRule="auto"/>
        <w:jc w:val="both"/>
      </w:pPr>
      <w:r w:rsidRPr="00DA0286">
        <w:t xml:space="preserve">El área total del </w:t>
      </w:r>
      <w:r w:rsidR="005C0F8D" w:rsidRPr="00DA0286">
        <w:t xml:space="preserve">predio </w:t>
      </w:r>
      <w:r w:rsidRPr="00DA0286">
        <w:t xml:space="preserve">No. 252228 es la que consta en la </w:t>
      </w:r>
      <w:r w:rsidR="0051527D" w:rsidRPr="00DA0286">
        <w:t>Resolución Nro. GADDMQ-STHV-DMC-2022-0092-R</w:t>
      </w:r>
      <w:r w:rsidR="006C4C26" w:rsidRPr="00DA0286">
        <w:t xml:space="preserve">, emitida por la Dirección Metropolitana de Catastro, </w:t>
      </w:r>
      <w:r w:rsidR="0051527D" w:rsidRPr="00DA0286">
        <w:t>e</w:t>
      </w:r>
      <w:r w:rsidR="006C4C26" w:rsidRPr="00DA0286">
        <w:t>l</w:t>
      </w:r>
      <w:r w:rsidR="0051527D" w:rsidRPr="00DA0286">
        <w:t xml:space="preserve"> 26 de mayo de 2022</w:t>
      </w:r>
      <w:r w:rsidR="00E3004A" w:rsidRPr="00DA0286">
        <w:t xml:space="preserve">, inscrita en el Registro de la Propiedad el </w:t>
      </w:r>
      <w:r w:rsidR="009673F9" w:rsidRPr="00DA0286">
        <w:t>12 de junio de 2022</w:t>
      </w:r>
      <w:r w:rsidR="00E3004A" w:rsidRPr="00DA0286">
        <w:t xml:space="preserve"> y se encuentra rectificada y regulari</w:t>
      </w:r>
      <w:r w:rsidR="009673F9" w:rsidRPr="00DA0286">
        <w:t>zada de conformidad al Art. 2256</w:t>
      </w:r>
      <w:r w:rsidR="00E3004A" w:rsidRPr="00DA0286">
        <w:t xml:space="preserve"> </w:t>
      </w:r>
      <w:r w:rsidR="00E3004A" w:rsidRPr="00DA0286">
        <w:rPr>
          <w:bCs/>
        </w:rPr>
        <w:t>del Código Municipal para el Distrito Metropolitano de Quito</w:t>
      </w:r>
      <w:r w:rsidR="0051527D" w:rsidRPr="00DA0286">
        <w:t>.</w:t>
      </w:r>
    </w:p>
    <w:p w14:paraId="2DB54650" w14:textId="7C78EB1E" w:rsidR="00AA19BD" w:rsidRDefault="005C0F8D" w:rsidP="005C0F8D">
      <w:pPr>
        <w:spacing w:after="240" w:line="276" w:lineRule="auto"/>
        <w:jc w:val="both"/>
      </w:pPr>
      <w:r w:rsidRPr="00DA0286">
        <w:rPr>
          <w:b/>
          <w:bCs/>
        </w:rPr>
        <w:t xml:space="preserve">Artículo 5.- Zonificación de los lotes. - </w:t>
      </w:r>
      <w:r w:rsidRPr="00DA0286">
        <w:rPr>
          <w:color w:val="000000" w:themeColor="text1"/>
        </w:rPr>
        <w:t>L</w:t>
      </w:r>
      <w:r w:rsidRPr="00DA0286">
        <w:t xml:space="preserve">os lotes </w:t>
      </w:r>
      <w:r w:rsidR="001A00F0">
        <w:t xml:space="preserve">1, 2, 3, 4, 5, 6, 7, 8, 9, 10, 11, 12, 13, 14, 15, 16, 17, 18, 19, 20, 21, 22, 23, 24, 25, 26, 27, 28, 29, 30, 31, 32, 33, 34, 35, 36, 37, 38, 39, 40, 41, 42, 43 y 44; </w:t>
      </w:r>
      <w:r w:rsidRPr="00DA0286">
        <w:t xml:space="preserve"> </w:t>
      </w:r>
      <w:r w:rsidR="006C6D55" w:rsidRPr="00DA0286">
        <w:t xml:space="preserve">mantendrán </w:t>
      </w:r>
      <w:r w:rsidRPr="00DA0286">
        <w:t xml:space="preserve">la zonificación vigente </w:t>
      </w:r>
      <w:r w:rsidR="006C6D55" w:rsidRPr="00DA0286">
        <w:t>esto es a</w:t>
      </w:r>
      <w:r w:rsidRPr="00DA0286">
        <w:t>:</w:t>
      </w:r>
      <w:r w:rsidR="006C6D55" w:rsidRPr="00DA0286">
        <w:t xml:space="preserve"> </w:t>
      </w:r>
      <w:r w:rsidR="006D2192" w:rsidRPr="00DA0286">
        <w:t>D3 (D203-80)</w:t>
      </w:r>
      <w:r w:rsidR="001A00F0">
        <w:t xml:space="preserve">, </w:t>
      </w:r>
      <w:r w:rsidR="00FD664F" w:rsidRPr="00DA0286">
        <w:t xml:space="preserve"> </w:t>
      </w:r>
      <w:r w:rsidR="00AA19BD" w:rsidRPr="00DA0286">
        <w:t>forma de ocupación:</w:t>
      </w:r>
      <w:r w:rsidR="006D2192" w:rsidRPr="00DA0286">
        <w:t xml:space="preserve"> (D) sobre línea de fábrica, </w:t>
      </w:r>
      <w:r w:rsidR="009673F9" w:rsidRPr="00DA0286">
        <w:t>l</w:t>
      </w:r>
      <w:r w:rsidR="00AA19BD" w:rsidRPr="00DA0286">
        <w:t xml:space="preserve">ote mínimo: </w:t>
      </w:r>
      <w:r w:rsidR="009673F9" w:rsidRPr="00DA0286">
        <w:t>200 m2, n</w:t>
      </w:r>
      <w:r w:rsidR="006D2192" w:rsidRPr="00DA0286">
        <w:t>úmero de pisos: 3</w:t>
      </w:r>
      <w:r w:rsidR="00AA19BD" w:rsidRPr="00DA0286">
        <w:t xml:space="preserve">, COS </w:t>
      </w:r>
      <w:r w:rsidR="006D2192" w:rsidRPr="00DA0286">
        <w:t xml:space="preserve">en </w:t>
      </w:r>
      <w:r w:rsidR="00AA19BD" w:rsidRPr="00DA0286">
        <w:t xml:space="preserve">planta baja: </w:t>
      </w:r>
      <w:r w:rsidR="006D2192" w:rsidRPr="00DA0286">
        <w:t>80%, COS total: 240</w:t>
      </w:r>
      <w:r w:rsidR="00AA19BD" w:rsidRPr="00DA0286">
        <w:t xml:space="preserve">%, Uso principal: </w:t>
      </w:r>
      <w:r w:rsidR="009673F9" w:rsidRPr="00DA0286">
        <w:t>(RU2) Residencial U</w:t>
      </w:r>
      <w:r w:rsidR="004171A3" w:rsidRPr="00DA0286">
        <w:t>rbano 2</w:t>
      </w:r>
      <w:r w:rsidR="001A00F0">
        <w:t>.</w:t>
      </w:r>
    </w:p>
    <w:p w14:paraId="20AA1971" w14:textId="13606B72" w:rsidR="001A00F0" w:rsidRPr="00DA0286" w:rsidRDefault="001A00F0" w:rsidP="001A00F0">
      <w:pPr>
        <w:spacing w:after="240" w:line="276" w:lineRule="auto"/>
        <w:jc w:val="both"/>
      </w:pPr>
      <w:r>
        <w:t xml:space="preserve">Y para los lotes 45, 46, 47, 48, 49 y 50; </w:t>
      </w:r>
      <w:r w:rsidRPr="00DA0286">
        <w:t>mantendrán la zonificación vigente esto es a:</w:t>
      </w:r>
      <w:r>
        <w:t xml:space="preserve"> </w:t>
      </w:r>
      <w:r w:rsidRPr="00DA0286">
        <w:t xml:space="preserve">D3 (D203-80) /A31 (PQ), forma de ocupación: (D) sobre línea de fábrica / (A) Aislada, lote mínimo: 200 m2, número de pisos: 3, COS en planta baja: 80%, COS total: 240%, Uso principal: (RU2) Residencial Urbano 2 / </w:t>
      </w:r>
      <w:r w:rsidRPr="00DA0286">
        <w:rPr>
          <w:color w:val="000000"/>
          <w:lang w:val="es-EC" w:eastAsia="es-EC"/>
        </w:rPr>
        <w:t>(PE/CPN) Protección Ecológica Conservación del Patrimonio Natural</w:t>
      </w:r>
      <w:r w:rsidRPr="00DA0286">
        <w:t>.</w:t>
      </w:r>
    </w:p>
    <w:p w14:paraId="1E573E9C" w14:textId="77777777" w:rsidR="006A3E24" w:rsidRPr="00DA0286" w:rsidRDefault="00F51F18" w:rsidP="00F51F18">
      <w:pPr>
        <w:spacing w:after="240" w:line="276" w:lineRule="auto"/>
        <w:jc w:val="both"/>
        <w:rPr>
          <w:lang w:val="es-EC" w:eastAsia="es-ES_tradnl"/>
        </w:rPr>
      </w:pPr>
      <w:r w:rsidRPr="00DA0286">
        <w:rPr>
          <w:b/>
        </w:rPr>
        <w:t xml:space="preserve">Artículo 6.- Clasificación del Suelo. - </w:t>
      </w:r>
      <w:r w:rsidRPr="00DA0286">
        <w:t xml:space="preserve">Los lotes fraccionados mantendrán la clasificación vigente esto es (SU) Suelo Urbano. </w:t>
      </w:r>
    </w:p>
    <w:p w14:paraId="1409AE75" w14:textId="35BDE57D" w:rsidR="004B5809" w:rsidRPr="00DA0286" w:rsidRDefault="004B5809" w:rsidP="004B5809">
      <w:pPr>
        <w:spacing w:after="240" w:line="276" w:lineRule="auto"/>
        <w:jc w:val="both"/>
        <w:rPr>
          <w:highlight w:val="yellow"/>
        </w:rPr>
      </w:pPr>
      <w:r w:rsidRPr="00DA0286">
        <w:rPr>
          <w:b/>
        </w:rPr>
        <w:t>Artículo 7.- Lotes por Excepción. -</w:t>
      </w:r>
      <w:r w:rsidRPr="00DA0286">
        <w:rPr>
          <w:b/>
          <w:bCs/>
        </w:rPr>
        <w:t xml:space="preserve"> </w:t>
      </w:r>
      <w:r w:rsidRPr="00DA0286">
        <w:t>Por tratarse de un asentamiento humano de hecho y consolidado de interés social, se aprueban por excepción</w:t>
      </w:r>
      <w:r w:rsidR="00FD664F" w:rsidRPr="00DA0286">
        <w:t>,</w:t>
      </w:r>
      <w:r w:rsidRPr="00DA0286">
        <w:t xml:space="preserve"> esto es, con áreas inferiores a las mínimas establec</w:t>
      </w:r>
      <w:r w:rsidR="006C6D55" w:rsidRPr="00DA0286">
        <w:t>idas en la zonificación vigente, l</w:t>
      </w:r>
      <w:r w:rsidRPr="00DA0286">
        <w:t>os lotes</w:t>
      </w:r>
      <w:r w:rsidR="006C6D55" w:rsidRPr="00DA0286">
        <w:t>:</w:t>
      </w:r>
      <w:r w:rsidRPr="00DA0286">
        <w:t xml:space="preserve"> 1, </w:t>
      </w:r>
      <w:r w:rsidR="006B176F" w:rsidRPr="00DA0286">
        <w:t xml:space="preserve">2, 3, 4, 5, 6, 7, 8, 9, 10, 11, 12, 13, 14, 15, 16, </w:t>
      </w:r>
      <w:r w:rsidR="006C6D55" w:rsidRPr="00DA0286">
        <w:t>17,</w:t>
      </w:r>
      <w:r w:rsidR="006B176F" w:rsidRPr="00DA0286">
        <w:t xml:space="preserve"> 18, 19, 20, 21, 22, 23, 26, 27, 28, 29, 30, 31, 34, 35, 36, 37, 38, 39, 41, 42, 43, 44, 46, 47, 49 y 50. </w:t>
      </w:r>
      <w:r w:rsidRPr="00DA0286">
        <w:rPr>
          <w:highlight w:val="yellow"/>
        </w:rPr>
        <w:t xml:space="preserve"> </w:t>
      </w:r>
    </w:p>
    <w:p w14:paraId="5276726E" w14:textId="5119CBCB" w:rsidR="00A57836" w:rsidRPr="00DA0286" w:rsidRDefault="007B3042" w:rsidP="00A57836">
      <w:pPr>
        <w:autoSpaceDE w:val="0"/>
        <w:autoSpaceDN w:val="0"/>
        <w:adjustRightInd w:val="0"/>
        <w:jc w:val="both"/>
      </w:pPr>
      <w:r w:rsidRPr="00DA0286">
        <w:rPr>
          <w:b/>
        </w:rPr>
        <w:lastRenderedPageBreak/>
        <w:t>Artículo 8</w:t>
      </w:r>
      <w:r w:rsidR="00AA240C" w:rsidRPr="00DA0286">
        <w:rPr>
          <w:b/>
        </w:rPr>
        <w:t xml:space="preserve">.- </w:t>
      </w:r>
      <w:r w:rsidRPr="00DA0286">
        <w:rPr>
          <w:b/>
        </w:rPr>
        <w:t xml:space="preserve">Del </w:t>
      </w:r>
      <w:r w:rsidR="00A415F1" w:rsidRPr="00DA0286">
        <w:rPr>
          <w:b/>
        </w:rPr>
        <w:t>área bajo</w:t>
      </w:r>
      <w:r w:rsidR="00A57836" w:rsidRPr="00DA0286">
        <w:rPr>
          <w:b/>
        </w:rPr>
        <w:t xml:space="preserve"> el borde superior de quebrada</w:t>
      </w:r>
      <w:r w:rsidR="00AA240C" w:rsidRPr="00DA0286">
        <w:rPr>
          <w:b/>
        </w:rPr>
        <w:t xml:space="preserve">. </w:t>
      </w:r>
      <w:r w:rsidR="00A57836" w:rsidRPr="00DA0286">
        <w:rPr>
          <w:b/>
        </w:rPr>
        <w:t>–</w:t>
      </w:r>
      <w:r w:rsidR="00AA240C" w:rsidRPr="00DA0286">
        <w:t xml:space="preserve"> </w:t>
      </w:r>
      <w:r w:rsidR="006C6D55" w:rsidRPr="00DA0286">
        <w:t xml:space="preserve">El propietario </w:t>
      </w:r>
      <w:r w:rsidR="00A57836" w:rsidRPr="00DA0286">
        <w:t xml:space="preserve">del inmueble sobre el cual se encuentra </w:t>
      </w:r>
      <w:r w:rsidR="003F59B2" w:rsidRPr="00DA0286">
        <w:t xml:space="preserve">el asentamiento humano de hecho y consolidado de interés social denominado </w:t>
      </w:r>
      <w:r w:rsidR="00162F82" w:rsidRPr="00DA0286">
        <w:t>Comité Barrial “Abdón Calderón Número Dos”</w:t>
      </w:r>
      <w:r w:rsidR="006C6D55" w:rsidRPr="00DA0286">
        <w:t xml:space="preserve">, </w:t>
      </w:r>
      <w:r w:rsidR="00A57836" w:rsidRPr="00DA0286">
        <w:t>transfieren al Municipio del Distrito Metropolitano de Quito como contribución de área bajo el borde superior de quebrada la superficie total de 819, 81 m2, esta contribución la efectúan en forma libre y voluntaria</w:t>
      </w:r>
      <w:r w:rsidR="00FD664F" w:rsidRPr="00DA0286">
        <w:t>,</w:t>
      </w:r>
      <w:r w:rsidR="00A57836" w:rsidRPr="00DA0286">
        <w:t xml:space="preserve"> el área de quebrada está distribuida de la siguiente manera:</w:t>
      </w:r>
    </w:p>
    <w:p w14:paraId="2510BB15" w14:textId="77777777" w:rsidR="00A57836" w:rsidRPr="00DA0286" w:rsidRDefault="00A57836" w:rsidP="00A57836">
      <w:pPr>
        <w:autoSpaceDE w:val="0"/>
        <w:autoSpaceDN w:val="0"/>
        <w:adjustRightInd w:val="0"/>
        <w:jc w:val="both"/>
      </w:pPr>
    </w:p>
    <w:tbl>
      <w:tblPr>
        <w:tblStyle w:val="Tablaconcuadrcula"/>
        <w:tblW w:w="0" w:type="auto"/>
        <w:tblLook w:val="04A0" w:firstRow="1" w:lastRow="0" w:firstColumn="1" w:lastColumn="0" w:noHBand="0" w:noVBand="1"/>
      </w:tblPr>
      <w:tblGrid>
        <w:gridCol w:w="1872"/>
        <w:gridCol w:w="772"/>
        <w:gridCol w:w="2723"/>
        <w:gridCol w:w="987"/>
        <w:gridCol w:w="990"/>
        <w:gridCol w:w="1150"/>
      </w:tblGrid>
      <w:tr w:rsidR="00A57836" w:rsidRPr="00DA0286" w14:paraId="45346EB8" w14:textId="77777777" w:rsidTr="00D12830">
        <w:trPr>
          <w:trHeight w:val="71"/>
        </w:trPr>
        <w:tc>
          <w:tcPr>
            <w:tcW w:w="0" w:type="auto"/>
            <w:gridSpan w:val="6"/>
            <w:shd w:val="clear" w:color="auto" w:fill="auto"/>
            <w:vAlign w:val="center"/>
          </w:tcPr>
          <w:p w14:paraId="0DE5D54C" w14:textId="77777777" w:rsidR="00A57836" w:rsidRPr="00DA0286" w:rsidRDefault="00A57836" w:rsidP="00B65D4D">
            <w:pPr>
              <w:jc w:val="center"/>
              <w:rPr>
                <w:b/>
                <w:bCs/>
                <w:lang w:eastAsia="es-EC"/>
              </w:rPr>
            </w:pPr>
            <w:r w:rsidRPr="00DA0286">
              <w:rPr>
                <w:b/>
              </w:rPr>
              <w:t>ÁREA BAJO EL BSQ</w:t>
            </w:r>
          </w:p>
        </w:tc>
      </w:tr>
      <w:tr w:rsidR="00D12830" w:rsidRPr="00DA0286" w14:paraId="22A561D3" w14:textId="77777777" w:rsidTr="00D12830">
        <w:trPr>
          <w:trHeight w:val="135"/>
        </w:trPr>
        <w:tc>
          <w:tcPr>
            <w:tcW w:w="0" w:type="auto"/>
            <w:vMerge w:val="restart"/>
            <w:shd w:val="clear" w:color="auto" w:fill="auto"/>
            <w:vAlign w:val="center"/>
          </w:tcPr>
          <w:p w14:paraId="078865D5" w14:textId="77777777" w:rsidR="00A57836" w:rsidRPr="00DA0286" w:rsidRDefault="00A57836" w:rsidP="00B65D4D">
            <w:pPr>
              <w:jc w:val="center"/>
              <w:rPr>
                <w:b/>
                <w:bCs/>
                <w:lang w:eastAsia="es-EC"/>
              </w:rPr>
            </w:pPr>
            <w:r w:rsidRPr="00DA0286">
              <w:rPr>
                <w:b/>
              </w:rPr>
              <w:t>ÁREA BAJO EL BSQ</w:t>
            </w:r>
          </w:p>
        </w:tc>
        <w:tc>
          <w:tcPr>
            <w:tcW w:w="0" w:type="auto"/>
            <w:shd w:val="clear" w:color="auto" w:fill="auto"/>
            <w:vAlign w:val="center"/>
          </w:tcPr>
          <w:p w14:paraId="16B75FD1" w14:textId="77777777" w:rsidR="00A57836" w:rsidRPr="00DA0286" w:rsidRDefault="00A57836" w:rsidP="00B65D4D">
            <w:pPr>
              <w:jc w:val="center"/>
              <w:rPr>
                <w:b/>
                <w:bCs/>
                <w:lang w:eastAsia="es-EC"/>
              </w:rPr>
            </w:pPr>
          </w:p>
        </w:tc>
        <w:tc>
          <w:tcPr>
            <w:tcW w:w="0" w:type="auto"/>
            <w:shd w:val="clear" w:color="auto" w:fill="auto"/>
            <w:vAlign w:val="center"/>
          </w:tcPr>
          <w:p w14:paraId="13E39AB0" w14:textId="77777777" w:rsidR="00A57836" w:rsidRPr="00DA0286" w:rsidRDefault="00A57836" w:rsidP="00B65D4D">
            <w:pPr>
              <w:jc w:val="center"/>
              <w:rPr>
                <w:b/>
                <w:bCs/>
                <w:lang w:eastAsia="es-EC"/>
              </w:rPr>
            </w:pPr>
            <w:r w:rsidRPr="00DA0286">
              <w:rPr>
                <w:b/>
                <w:bCs/>
                <w:lang w:eastAsia="es-EC"/>
              </w:rPr>
              <w:t>Lindero:</w:t>
            </w:r>
          </w:p>
        </w:tc>
        <w:tc>
          <w:tcPr>
            <w:tcW w:w="0" w:type="auto"/>
            <w:shd w:val="clear" w:color="auto" w:fill="auto"/>
            <w:vAlign w:val="center"/>
          </w:tcPr>
          <w:p w14:paraId="1DB20989" w14:textId="77777777" w:rsidR="00A57836" w:rsidRPr="00DA0286" w:rsidRDefault="00A57836" w:rsidP="00B65D4D">
            <w:pPr>
              <w:jc w:val="center"/>
              <w:rPr>
                <w:b/>
                <w:bCs/>
                <w:lang w:eastAsia="es-EC"/>
              </w:rPr>
            </w:pPr>
            <w:r w:rsidRPr="00DA0286">
              <w:rPr>
                <w:b/>
                <w:bCs/>
                <w:lang w:eastAsia="es-EC"/>
              </w:rPr>
              <w:t>En Parte:</w:t>
            </w:r>
          </w:p>
        </w:tc>
        <w:tc>
          <w:tcPr>
            <w:tcW w:w="0" w:type="auto"/>
            <w:shd w:val="clear" w:color="auto" w:fill="auto"/>
            <w:vAlign w:val="center"/>
          </w:tcPr>
          <w:p w14:paraId="52249E11" w14:textId="77777777" w:rsidR="00A57836" w:rsidRPr="00DA0286" w:rsidRDefault="00A57836" w:rsidP="00B65D4D">
            <w:pPr>
              <w:jc w:val="center"/>
              <w:rPr>
                <w:b/>
                <w:bCs/>
                <w:lang w:eastAsia="es-EC"/>
              </w:rPr>
            </w:pPr>
            <w:r w:rsidRPr="00DA0286">
              <w:rPr>
                <w:b/>
                <w:bCs/>
                <w:lang w:eastAsia="es-EC"/>
              </w:rPr>
              <w:t>Total:</w:t>
            </w:r>
          </w:p>
        </w:tc>
        <w:tc>
          <w:tcPr>
            <w:tcW w:w="0" w:type="auto"/>
            <w:shd w:val="clear" w:color="auto" w:fill="auto"/>
            <w:vAlign w:val="center"/>
          </w:tcPr>
          <w:p w14:paraId="61D0CF16" w14:textId="77777777" w:rsidR="00A57836" w:rsidRPr="00DA0286" w:rsidRDefault="00A57836" w:rsidP="00B65D4D">
            <w:pPr>
              <w:jc w:val="center"/>
              <w:rPr>
                <w:b/>
                <w:bCs/>
                <w:lang w:eastAsia="es-EC"/>
              </w:rPr>
            </w:pPr>
            <w:r w:rsidRPr="00DA0286">
              <w:rPr>
                <w:b/>
                <w:bCs/>
                <w:lang w:eastAsia="es-EC"/>
              </w:rPr>
              <w:t>Superficie:</w:t>
            </w:r>
          </w:p>
        </w:tc>
      </w:tr>
      <w:tr w:rsidR="00D12830" w:rsidRPr="00DA0286" w14:paraId="5D09AA8A" w14:textId="77777777" w:rsidTr="00D12830">
        <w:trPr>
          <w:trHeight w:val="289"/>
        </w:trPr>
        <w:tc>
          <w:tcPr>
            <w:tcW w:w="0" w:type="auto"/>
            <w:vMerge/>
            <w:shd w:val="clear" w:color="auto" w:fill="auto"/>
            <w:vAlign w:val="center"/>
          </w:tcPr>
          <w:p w14:paraId="3DA6A588" w14:textId="77777777" w:rsidR="00A57836" w:rsidRPr="00DA0286" w:rsidRDefault="00A57836" w:rsidP="00B65D4D">
            <w:pPr>
              <w:jc w:val="center"/>
              <w:rPr>
                <w:b/>
                <w:bCs/>
                <w:lang w:eastAsia="es-EC"/>
              </w:rPr>
            </w:pPr>
          </w:p>
        </w:tc>
        <w:tc>
          <w:tcPr>
            <w:tcW w:w="0" w:type="auto"/>
            <w:shd w:val="clear" w:color="auto" w:fill="auto"/>
            <w:vAlign w:val="center"/>
          </w:tcPr>
          <w:p w14:paraId="3D292FFE" w14:textId="77777777" w:rsidR="00A57836" w:rsidRPr="00DA0286" w:rsidRDefault="00A57836" w:rsidP="00B65D4D">
            <w:pPr>
              <w:jc w:val="center"/>
              <w:rPr>
                <w:b/>
                <w:bCs/>
                <w:lang w:eastAsia="es-EC"/>
              </w:rPr>
            </w:pPr>
            <w:r w:rsidRPr="00DA0286">
              <w:rPr>
                <w:b/>
                <w:bCs/>
                <w:lang w:eastAsia="es-EC"/>
              </w:rPr>
              <w:t>Norte:</w:t>
            </w:r>
          </w:p>
        </w:tc>
        <w:tc>
          <w:tcPr>
            <w:tcW w:w="0" w:type="auto"/>
            <w:shd w:val="clear" w:color="auto" w:fill="auto"/>
            <w:vAlign w:val="center"/>
          </w:tcPr>
          <w:p w14:paraId="7022F817" w14:textId="77777777" w:rsidR="00A57836" w:rsidRPr="00DA0286" w:rsidRDefault="00A57836" w:rsidP="00B65D4D">
            <w:pPr>
              <w:jc w:val="center"/>
              <w:rPr>
                <w:lang w:eastAsia="es-EC"/>
              </w:rPr>
            </w:pPr>
            <w:r w:rsidRPr="00DA0286">
              <w:rPr>
                <w:lang w:eastAsia="es-EC"/>
              </w:rPr>
              <w:t>Propiedad privada</w:t>
            </w:r>
          </w:p>
        </w:tc>
        <w:tc>
          <w:tcPr>
            <w:tcW w:w="0" w:type="auto"/>
            <w:shd w:val="clear" w:color="auto" w:fill="auto"/>
            <w:vAlign w:val="center"/>
          </w:tcPr>
          <w:p w14:paraId="08947BE0" w14:textId="77777777" w:rsidR="00A57836" w:rsidRPr="00DA0286" w:rsidRDefault="00A57836" w:rsidP="00B65D4D">
            <w:pPr>
              <w:jc w:val="center"/>
              <w:rPr>
                <w:lang w:eastAsia="es-EC"/>
              </w:rPr>
            </w:pPr>
            <w:r w:rsidRPr="00DA0286">
              <w:rPr>
                <w:lang w:eastAsia="es-EC"/>
              </w:rPr>
              <w:t>-</w:t>
            </w:r>
          </w:p>
        </w:tc>
        <w:tc>
          <w:tcPr>
            <w:tcW w:w="0" w:type="auto"/>
            <w:shd w:val="clear" w:color="auto" w:fill="auto"/>
            <w:vAlign w:val="center"/>
          </w:tcPr>
          <w:p w14:paraId="4360FB0B" w14:textId="77777777" w:rsidR="00A57836" w:rsidRPr="00DA0286" w:rsidRDefault="00A57836" w:rsidP="00B65D4D">
            <w:pPr>
              <w:jc w:val="center"/>
              <w:rPr>
                <w:lang w:eastAsia="es-EC"/>
              </w:rPr>
            </w:pPr>
            <w:r w:rsidRPr="00DA0286">
              <w:rPr>
                <w:lang w:eastAsia="es-EC"/>
              </w:rPr>
              <w:t>2.91 m</w:t>
            </w:r>
          </w:p>
        </w:tc>
        <w:tc>
          <w:tcPr>
            <w:tcW w:w="0" w:type="auto"/>
            <w:vMerge w:val="restart"/>
            <w:shd w:val="clear" w:color="auto" w:fill="auto"/>
            <w:vAlign w:val="center"/>
          </w:tcPr>
          <w:p w14:paraId="7A8BB773" w14:textId="77777777" w:rsidR="00A57836" w:rsidRPr="00DA0286" w:rsidRDefault="00A57836" w:rsidP="00B65D4D">
            <w:pPr>
              <w:jc w:val="center"/>
              <w:rPr>
                <w:b/>
                <w:bCs/>
                <w:lang w:eastAsia="es-EC"/>
              </w:rPr>
            </w:pPr>
            <w:r w:rsidRPr="00DA0286">
              <w:rPr>
                <w:b/>
              </w:rPr>
              <w:t xml:space="preserve">819.81 </w:t>
            </w:r>
            <w:r w:rsidRPr="00DA0286">
              <w:rPr>
                <w:b/>
                <w:bCs/>
                <w:lang w:eastAsia="es-EC"/>
              </w:rPr>
              <w:t>m2</w:t>
            </w:r>
          </w:p>
        </w:tc>
      </w:tr>
      <w:tr w:rsidR="00D12830" w:rsidRPr="00DA0286" w14:paraId="2B412222" w14:textId="77777777" w:rsidTr="00D12830">
        <w:trPr>
          <w:trHeight w:val="75"/>
        </w:trPr>
        <w:tc>
          <w:tcPr>
            <w:tcW w:w="0" w:type="auto"/>
            <w:vMerge/>
            <w:shd w:val="clear" w:color="auto" w:fill="auto"/>
            <w:vAlign w:val="center"/>
          </w:tcPr>
          <w:p w14:paraId="56E06266" w14:textId="77777777" w:rsidR="00A57836" w:rsidRPr="00DA0286" w:rsidRDefault="00A57836" w:rsidP="00B65D4D">
            <w:pPr>
              <w:jc w:val="center"/>
              <w:rPr>
                <w:b/>
                <w:bCs/>
                <w:lang w:eastAsia="es-EC"/>
              </w:rPr>
            </w:pPr>
          </w:p>
        </w:tc>
        <w:tc>
          <w:tcPr>
            <w:tcW w:w="0" w:type="auto"/>
            <w:shd w:val="clear" w:color="auto" w:fill="auto"/>
            <w:vAlign w:val="center"/>
          </w:tcPr>
          <w:p w14:paraId="792BBCF7" w14:textId="77777777" w:rsidR="00A57836" w:rsidRPr="00DA0286" w:rsidRDefault="00A57836" w:rsidP="00B65D4D">
            <w:pPr>
              <w:jc w:val="center"/>
              <w:rPr>
                <w:b/>
                <w:bCs/>
                <w:lang w:eastAsia="es-EC"/>
              </w:rPr>
            </w:pPr>
            <w:r w:rsidRPr="00DA0286">
              <w:rPr>
                <w:b/>
                <w:bCs/>
                <w:lang w:eastAsia="es-EC"/>
              </w:rPr>
              <w:t>Sur:</w:t>
            </w:r>
          </w:p>
        </w:tc>
        <w:tc>
          <w:tcPr>
            <w:tcW w:w="0" w:type="auto"/>
            <w:shd w:val="clear" w:color="auto" w:fill="auto"/>
            <w:vAlign w:val="center"/>
          </w:tcPr>
          <w:p w14:paraId="1DFD4EBD" w14:textId="77777777" w:rsidR="00A57836" w:rsidRPr="00DA0286" w:rsidRDefault="00A57836" w:rsidP="00B65D4D">
            <w:pPr>
              <w:jc w:val="center"/>
              <w:rPr>
                <w:lang w:eastAsia="es-EC"/>
              </w:rPr>
            </w:pPr>
            <w:r w:rsidRPr="00DA0286">
              <w:rPr>
                <w:lang w:eastAsia="es-EC"/>
              </w:rPr>
              <w:t>Propiedad Municipal</w:t>
            </w:r>
          </w:p>
        </w:tc>
        <w:tc>
          <w:tcPr>
            <w:tcW w:w="0" w:type="auto"/>
            <w:shd w:val="clear" w:color="auto" w:fill="auto"/>
            <w:vAlign w:val="center"/>
          </w:tcPr>
          <w:p w14:paraId="19C257A5" w14:textId="77777777" w:rsidR="00A57836" w:rsidRPr="00DA0286" w:rsidRDefault="00A57836" w:rsidP="00B65D4D">
            <w:pPr>
              <w:jc w:val="center"/>
              <w:rPr>
                <w:lang w:eastAsia="es-EC"/>
              </w:rPr>
            </w:pPr>
            <w:r w:rsidRPr="00DA0286">
              <w:rPr>
                <w:lang w:eastAsia="es-EC"/>
              </w:rPr>
              <w:t>24.81 m</w:t>
            </w:r>
          </w:p>
          <w:p w14:paraId="4FA90425" w14:textId="77777777" w:rsidR="00A57836" w:rsidRPr="00DA0286" w:rsidRDefault="00A57836" w:rsidP="00B65D4D">
            <w:pPr>
              <w:jc w:val="center"/>
              <w:rPr>
                <w:lang w:eastAsia="es-EC"/>
              </w:rPr>
            </w:pPr>
            <w:r w:rsidRPr="00DA0286">
              <w:rPr>
                <w:lang w:eastAsia="es-EC"/>
              </w:rPr>
              <w:t>6.97 m</w:t>
            </w:r>
          </w:p>
        </w:tc>
        <w:tc>
          <w:tcPr>
            <w:tcW w:w="0" w:type="auto"/>
            <w:shd w:val="clear" w:color="auto" w:fill="auto"/>
            <w:vAlign w:val="center"/>
          </w:tcPr>
          <w:p w14:paraId="2210E9EB" w14:textId="77777777" w:rsidR="00A57836" w:rsidRPr="00DA0286" w:rsidRDefault="00A57836" w:rsidP="00B65D4D">
            <w:pPr>
              <w:jc w:val="center"/>
              <w:rPr>
                <w:lang w:eastAsia="es-EC"/>
              </w:rPr>
            </w:pPr>
            <w:r w:rsidRPr="00DA0286">
              <w:rPr>
                <w:lang w:eastAsia="es-EC"/>
              </w:rPr>
              <w:t>31.78 m</w:t>
            </w:r>
          </w:p>
        </w:tc>
        <w:tc>
          <w:tcPr>
            <w:tcW w:w="0" w:type="auto"/>
            <w:vMerge/>
            <w:shd w:val="clear" w:color="auto" w:fill="auto"/>
            <w:vAlign w:val="center"/>
          </w:tcPr>
          <w:p w14:paraId="7DEA941D" w14:textId="77777777" w:rsidR="00A57836" w:rsidRPr="00DA0286" w:rsidRDefault="00A57836" w:rsidP="00B65D4D">
            <w:pPr>
              <w:jc w:val="center"/>
              <w:rPr>
                <w:b/>
                <w:bCs/>
                <w:lang w:eastAsia="es-EC"/>
              </w:rPr>
            </w:pPr>
          </w:p>
        </w:tc>
      </w:tr>
      <w:tr w:rsidR="00D12830" w:rsidRPr="00DA0286" w14:paraId="464D6429" w14:textId="77777777" w:rsidTr="00D12830">
        <w:trPr>
          <w:trHeight w:val="70"/>
        </w:trPr>
        <w:tc>
          <w:tcPr>
            <w:tcW w:w="0" w:type="auto"/>
            <w:vMerge/>
            <w:shd w:val="clear" w:color="auto" w:fill="auto"/>
            <w:vAlign w:val="center"/>
          </w:tcPr>
          <w:p w14:paraId="7CC74718" w14:textId="77777777" w:rsidR="00A57836" w:rsidRPr="00DA0286" w:rsidRDefault="00A57836" w:rsidP="00B65D4D">
            <w:pPr>
              <w:jc w:val="center"/>
              <w:rPr>
                <w:b/>
                <w:bCs/>
                <w:lang w:eastAsia="es-EC"/>
              </w:rPr>
            </w:pPr>
          </w:p>
        </w:tc>
        <w:tc>
          <w:tcPr>
            <w:tcW w:w="0" w:type="auto"/>
            <w:shd w:val="clear" w:color="auto" w:fill="auto"/>
            <w:vAlign w:val="center"/>
          </w:tcPr>
          <w:p w14:paraId="03FF4E45" w14:textId="77777777" w:rsidR="00A57836" w:rsidRPr="00DA0286" w:rsidRDefault="00A57836" w:rsidP="00B65D4D">
            <w:pPr>
              <w:jc w:val="center"/>
              <w:rPr>
                <w:b/>
                <w:bCs/>
                <w:lang w:eastAsia="es-EC"/>
              </w:rPr>
            </w:pPr>
            <w:r w:rsidRPr="00DA0286">
              <w:rPr>
                <w:b/>
                <w:bCs/>
                <w:lang w:eastAsia="es-EC"/>
              </w:rPr>
              <w:t>Este:</w:t>
            </w:r>
          </w:p>
        </w:tc>
        <w:tc>
          <w:tcPr>
            <w:tcW w:w="0" w:type="auto"/>
            <w:shd w:val="clear" w:color="auto" w:fill="auto"/>
            <w:vAlign w:val="center"/>
          </w:tcPr>
          <w:p w14:paraId="746A6BEE" w14:textId="77777777" w:rsidR="00A57836" w:rsidRPr="00DA0286" w:rsidRDefault="00A57836" w:rsidP="00B65D4D">
            <w:pPr>
              <w:jc w:val="center"/>
              <w:rPr>
                <w:lang w:eastAsia="es-EC"/>
              </w:rPr>
            </w:pPr>
            <w:r w:rsidRPr="00DA0286">
              <w:rPr>
                <w:lang w:eastAsia="es-EC"/>
              </w:rPr>
              <w:t>Lote 49</w:t>
            </w:r>
          </w:p>
          <w:p w14:paraId="31BB7283" w14:textId="77777777" w:rsidR="00A57836" w:rsidRPr="00DA0286" w:rsidRDefault="00A57836" w:rsidP="00B65D4D">
            <w:pPr>
              <w:jc w:val="center"/>
              <w:rPr>
                <w:lang w:eastAsia="es-EC"/>
              </w:rPr>
            </w:pPr>
            <w:r w:rsidRPr="00DA0286">
              <w:rPr>
                <w:lang w:eastAsia="es-EC"/>
              </w:rPr>
              <w:t>Lote 50</w:t>
            </w:r>
          </w:p>
          <w:p w14:paraId="7F24D88A" w14:textId="77777777" w:rsidR="00A57836" w:rsidRPr="00DA0286" w:rsidRDefault="00A57836" w:rsidP="00B65D4D">
            <w:pPr>
              <w:jc w:val="center"/>
              <w:rPr>
                <w:lang w:eastAsia="es-EC"/>
              </w:rPr>
            </w:pPr>
            <w:r w:rsidRPr="00DA0286">
              <w:rPr>
                <w:lang w:eastAsia="es-EC"/>
              </w:rPr>
              <w:t>Pasaje N68C</w:t>
            </w:r>
          </w:p>
        </w:tc>
        <w:tc>
          <w:tcPr>
            <w:tcW w:w="0" w:type="auto"/>
            <w:shd w:val="clear" w:color="auto" w:fill="auto"/>
            <w:vAlign w:val="center"/>
          </w:tcPr>
          <w:p w14:paraId="439414E0" w14:textId="77777777" w:rsidR="00A57836" w:rsidRPr="00DA0286" w:rsidRDefault="00A57836" w:rsidP="00B65D4D">
            <w:pPr>
              <w:jc w:val="center"/>
              <w:rPr>
                <w:lang w:eastAsia="es-EC"/>
              </w:rPr>
            </w:pPr>
            <w:r w:rsidRPr="00DA0286">
              <w:rPr>
                <w:lang w:eastAsia="es-EC"/>
              </w:rPr>
              <w:t>6.12 m</w:t>
            </w:r>
          </w:p>
          <w:p w14:paraId="22F1C133" w14:textId="77777777" w:rsidR="00A57836" w:rsidRPr="00DA0286" w:rsidRDefault="00A57836" w:rsidP="00B65D4D">
            <w:pPr>
              <w:jc w:val="center"/>
              <w:rPr>
                <w:lang w:eastAsia="es-EC"/>
              </w:rPr>
            </w:pPr>
            <w:r w:rsidRPr="00DA0286">
              <w:rPr>
                <w:lang w:eastAsia="es-EC"/>
              </w:rPr>
              <w:t>19.41 m</w:t>
            </w:r>
          </w:p>
          <w:p w14:paraId="2F8D839E" w14:textId="77777777" w:rsidR="00A57836" w:rsidRPr="00DA0286" w:rsidRDefault="00A57836" w:rsidP="00B65D4D">
            <w:pPr>
              <w:jc w:val="center"/>
              <w:rPr>
                <w:lang w:eastAsia="es-EC"/>
              </w:rPr>
            </w:pPr>
            <w:r w:rsidRPr="00DA0286">
              <w:rPr>
                <w:lang w:eastAsia="es-EC"/>
              </w:rPr>
              <w:t>25.81 m</w:t>
            </w:r>
          </w:p>
        </w:tc>
        <w:tc>
          <w:tcPr>
            <w:tcW w:w="0" w:type="auto"/>
            <w:shd w:val="clear" w:color="auto" w:fill="auto"/>
            <w:vAlign w:val="center"/>
          </w:tcPr>
          <w:p w14:paraId="62FEFFD1" w14:textId="77777777" w:rsidR="00A57836" w:rsidRPr="00DA0286" w:rsidRDefault="00A57836" w:rsidP="00B65D4D">
            <w:pPr>
              <w:jc w:val="center"/>
              <w:rPr>
                <w:lang w:eastAsia="es-EC"/>
              </w:rPr>
            </w:pPr>
            <w:r w:rsidRPr="00DA0286">
              <w:rPr>
                <w:lang w:eastAsia="es-EC"/>
              </w:rPr>
              <w:t>51.34 m</w:t>
            </w:r>
          </w:p>
        </w:tc>
        <w:tc>
          <w:tcPr>
            <w:tcW w:w="0" w:type="auto"/>
            <w:vMerge/>
            <w:shd w:val="clear" w:color="auto" w:fill="auto"/>
            <w:vAlign w:val="center"/>
          </w:tcPr>
          <w:p w14:paraId="6BA8D056" w14:textId="77777777" w:rsidR="00A57836" w:rsidRPr="00DA0286" w:rsidRDefault="00A57836" w:rsidP="00B65D4D">
            <w:pPr>
              <w:jc w:val="center"/>
              <w:rPr>
                <w:b/>
                <w:bCs/>
                <w:lang w:eastAsia="es-EC"/>
              </w:rPr>
            </w:pPr>
          </w:p>
        </w:tc>
      </w:tr>
      <w:tr w:rsidR="00D12830" w:rsidRPr="00DA0286" w14:paraId="2A81C79A" w14:textId="77777777" w:rsidTr="00D12830">
        <w:trPr>
          <w:trHeight w:val="70"/>
        </w:trPr>
        <w:tc>
          <w:tcPr>
            <w:tcW w:w="0" w:type="auto"/>
            <w:vMerge/>
            <w:shd w:val="clear" w:color="auto" w:fill="auto"/>
            <w:vAlign w:val="center"/>
          </w:tcPr>
          <w:p w14:paraId="2208488C" w14:textId="77777777" w:rsidR="00A57836" w:rsidRPr="00DA0286" w:rsidRDefault="00A57836" w:rsidP="00B65D4D">
            <w:pPr>
              <w:jc w:val="center"/>
              <w:rPr>
                <w:b/>
                <w:bCs/>
                <w:lang w:eastAsia="es-EC"/>
              </w:rPr>
            </w:pPr>
          </w:p>
        </w:tc>
        <w:tc>
          <w:tcPr>
            <w:tcW w:w="0" w:type="auto"/>
            <w:shd w:val="clear" w:color="auto" w:fill="auto"/>
            <w:vAlign w:val="center"/>
          </w:tcPr>
          <w:p w14:paraId="32D3D98F" w14:textId="77777777" w:rsidR="00A57836" w:rsidRPr="00DA0286" w:rsidRDefault="00A57836" w:rsidP="00B65D4D">
            <w:pPr>
              <w:jc w:val="center"/>
              <w:rPr>
                <w:b/>
                <w:bCs/>
                <w:lang w:eastAsia="es-EC"/>
              </w:rPr>
            </w:pPr>
            <w:r w:rsidRPr="00DA0286">
              <w:rPr>
                <w:b/>
                <w:bCs/>
                <w:lang w:eastAsia="es-EC"/>
              </w:rPr>
              <w:t>Oeste:</w:t>
            </w:r>
          </w:p>
        </w:tc>
        <w:tc>
          <w:tcPr>
            <w:tcW w:w="0" w:type="auto"/>
            <w:shd w:val="clear" w:color="auto" w:fill="auto"/>
            <w:vAlign w:val="center"/>
          </w:tcPr>
          <w:p w14:paraId="044E0D5B" w14:textId="77777777" w:rsidR="00A57836" w:rsidRPr="00DA0286" w:rsidRDefault="00A57836" w:rsidP="00B65D4D">
            <w:pPr>
              <w:jc w:val="center"/>
              <w:rPr>
                <w:lang w:eastAsia="es-EC"/>
              </w:rPr>
            </w:pPr>
            <w:r w:rsidRPr="00DA0286">
              <w:rPr>
                <w:lang w:eastAsia="es-EC"/>
              </w:rPr>
              <w:t>Camino que Conduce de Cotocollao</w:t>
            </w:r>
          </w:p>
        </w:tc>
        <w:tc>
          <w:tcPr>
            <w:tcW w:w="0" w:type="auto"/>
            <w:shd w:val="clear" w:color="auto" w:fill="auto"/>
            <w:vAlign w:val="center"/>
          </w:tcPr>
          <w:p w14:paraId="41631DB2" w14:textId="77777777" w:rsidR="00A57836" w:rsidRPr="00DA0286" w:rsidRDefault="00A57836" w:rsidP="00B65D4D">
            <w:pPr>
              <w:jc w:val="center"/>
              <w:rPr>
                <w:lang w:eastAsia="es-EC"/>
              </w:rPr>
            </w:pPr>
            <w:r w:rsidRPr="00DA0286">
              <w:rPr>
                <w:lang w:eastAsia="es-EC"/>
              </w:rPr>
              <w:t>-</w:t>
            </w:r>
          </w:p>
        </w:tc>
        <w:tc>
          <w:tcPr>
            <w:tcW w:w="0" w:type="auto"/>
            <w:shd w:val="clear" w:color="auto" w:fill="auto"/>
            <w:vAlign w:val="center"/>
          </w:tcPr>
          <w:p w14:paraId="12771400" w14:textId="77777777" w:rsidR="00A57836" w:rsidRPr="00DA0286" w:rsidRDefault="00A57836" w:rsidP="00B65D4D">
            <w:pPr>
              <w:jc w:val="center"/>
              <w:rPr>
                <w:lang w:eastAsia="es-EC"/>
              </w:rPr>
            </w:pPr>
            <w:r w:rsidRPr="00DA0286">
              <w:rPr>
                <w:lang w:eastAsia="es-EC"/>
              </w:rPr>
              <w:t>Ld= 50.30</w:t>
            </w:r>
          </w:p>
        </w:tc>
        <w:tc>
          <w:tcPr>
            <w:tcW w:w="0" w:type="auto"/>
            <w:vMerge/>
            <w:shd w:val="clear" w:color="auto" w:fill="auto"/>
            <w:vAlign w:val="center"/>
          </w:tcPr>
          <w:p w14:paraId="7D4711C6" w14:textId="77777777" w:rsidR="00A57836" w:rsidRPr="00DA0286" w:rsidRDefault="00A57836" w:rsidP="00B65D4D">
            <w:pPr>
              <w:jc w:val="center"/>
              <w:rPr>
                <w:b/>
                <w:bCs/>
                <w:lang w:eastAsia="es-EC"/>
              </w:rPr>
            </w:pPr>
          </w:p>
        </w:tc>
      </w:tr>
    </w:tbl>
    <w:p w14:paraId="4FD31D5C" w14:textId="77777777" w:rsidR="00A57836" w:rsidRPr="00DA0286" w:rsidRDefault="00A57836" w:rsidP="00A57836">
      <w:pPr>
        <w:autoSpaceDE w:val="0"/>
        <w:autoSpaceDN w:val="0"/>
        <w:adjustRightInd w:val="0"/>
        <w:jc w:val="both"/>
      </w:pPr>
    </w:p>
    <w:p w14:paraId="711A3806" w14:textId="4CDED555" w:rsidR="004D39B6" w:rsidRPr="00DA0286" w:rsidRDefault="004D39B6" w:rsidP="00870916">
      <w:pPr>
        <w:jc w:val="both"/>
        <w:rPr>
          <w:lang w:val="es-EC"/>
        </w:rPr>
      </w:pPr>
      <w:r w:rsidRPr="00DA0286">
        <w:rPr>
          <w:b/>
          <w:lang w:val="es-EC"/>
        </w:rPr>
        <w:t>Articulado 9.- Lotes con afectación por franja de protección por BSQ</w:t>
      </w:r>
      <w:r w:rsidR="00870916" w:rsidRPr="00DA0286">
        <w:rPr>
          <w:lang w:val="es-EC"/>
        </w:rPr>
        <w:t xml:space="preserve"> .- Los lo</w:t>
      </w:r>
      <w:r w:rsidR="00870916" w:rsidRPr="00DA0286">
        <w:t>tes</w:t>
      </w:r>
      <w:r w:rsidRPr="00DA0286">
        <w:rPr>
          <w:lang w:val="es-EC"/>
        </w:rPr>
        <w:t xml:space="preserve">: 45, 46, 47, 48 49 y 50, se encuentran afectados por franja de protección por BSQ, de conformidad al Informe Técnico No. STHV-DMC-USIGC-2022-00272-AG </w:t>
      </w:r>
      <w:r w:rsidR="00A557D0" w:rsidRPr="00DA0286">
        <w:rPr>
          <w:lang w:val="es-EC"/>
        </w:rPr>
        <w:t xml:space="preserve">de 03 de febrero de 2022, remitido </w:t>
      </w:r>
      <w:r w:rsidRPr="00DA0286">
        <w:rPr>
          <w:bCs/>
        </w:rPr>
        <w:t xml:space="preserve">mediante </w:t>
      </w:r>
      <w:r w:rsidRPr="00DA0286">
        <w:rPr>
          <w:bCs/>
          <w:color w:val="000000" w:themeColor="text1"/>
        </w:rPr>
        <w:t xml:space="preserve">Oficio Nro. </w:t>
      </w:r>
      <w:r w:rsidRPr="00DA0286">
        <w:rPr>
          <w:rFonts w:eastAsiaTheme="minorHAnsi"/>
          <w:bCs/>
          <w:lang w:val="es-EC" w:eastAsia="en-US"/>
        </w:rPr>
        <w:t>GADDMQ-STHV-DMC-USIGC-2022-0259-O de 08 de febrero de 2022</w:t>
      </w:r>
      <w:r w:rsidR="00870916" w:rsidRPr="00DA0286">
        <w:rPr>
          <w:rFonts w:eastAsiaTheme="minorHAnsi"/>
          <w:bCs/>
          <w:lang w:val="es-EC" w:eastAsia="en-US"/>
        </w:rPr>
        <w:t xml:space="preserve"> suscrito </w:t>
      </w:r>
      <w:r w:rsidRPr="00DA0286">
        <w:rPr>
          <w:bCs/>
          <w:color w:val="000000" w:themeColor="text1"/>
        </w:rPr>
        <w:t xml:space="preserve"> </w:t>
      </w:r>
      <w:r w:rsidRPr="00DA0286">
        <w:rPr>
          <w:bCs/>
        </w:rPr>
        <w:t xml:space="preserve">por </w:t>
      </w:r>
      <w:r w:rsidRPr="00DA0286">
        <w:rPr>
          <w:lang w:val="es-EC"/>
        </w:rPr>
        <w:t>la Dirección Metropolitana de Catastro, por lo tanto deberán seguir el proceso correspondiente</w:t>
      </w:r>
      <w:r w:rsidR="00FD664F" w:rsidRPr="00DA0286">
        <w:rPr>
          <w:lang w:val="es-EC"/>
        </w:rPr>
        <w:t>,</w:t>
      </w:r>
      <w:r w:rsidRPr="00DA0286">
        <w:rPr>
          <w:lang w:val="es-EC"/>
        </w:rPr>
        <w:t xml:space="preserve"> dispuesto en la normativa municipal para el Distrito Metropolitano de Quito.</w:t>
      </w:r>
    </w:p>
    <w:p w14:paraId="15E423B6" w14:textId="77777777" w:rsidR="004D39B6" w:rsidRPr="00DA0286" w:rsidRDefault="004D39B6" w:rsidP="00A57836">
      <w:pPr>
        <w:autoSpaceDE w:val="0"/>
        <w:autoSpaceDN w:val="0"/>
        <w:adjustRightInd w:val="0"/>
        <w:jc w:val="both"/>
        <w:rPr>
          <w:b/>
          <w:highlight w:val="yellow"/>
        </w:rPr>
      </w:pPr>
    </w:p>
    <w:p w14:paraId="0C9BEFDA" w14:textId="750B2E04" w:rsidR="00F45412" w:rsidRPr="00DA0286" w:rsidRDefault="009C672D" w:rsidP="00F45412">
      <w:pPr>
        <w:spacing w:after="240" w:line="276" w:lineRule="auto"/>
        <w:contextualSpacing/>
        <w:jc w:val="both"/>
        <w:rPr>
          <w:bCs/>
        </w:rPr>
      </w:pPr>
      <w:r w:rsidRPr="00DA0286">
        <w:rPr>
          <w:b/>
          <w:color w:val="000000" w:themeColor="text1"/>
        </w:rPr>
        <w:t>Artículo</w:t>
      </w:r>
      <w:r w:rsidR="007B3042" w:rsidRPr="00DA0286">
        <w:rPr>
          <w:b/>
          <w:color w:val="000000" w:themeColor="text1"/>
        </w:rPr>
        <w:t xml:space="preserve"> </w:t>
      </w:r>
      <w:r w:rsidR="00CC578B" w:rsidRPr="00DA0286">
        <w:rPr>
          <w:b/>
          <w:color w:val="000000" w:themeColor="text1"/>
        </w:rPr>
        <w:t>10</w:t>
      </w:r>
      <w:r w:rsidR="007B3042" w:rsidRPr="00DA0286">
        <w:rPr>
          <w:b/>
          <w:bCs/>
        </w:rPr>
        <w:t xml:space="preserve">.- Calificación de Riesgos. - </w:t>
      </w:r>
      <w:r w:rsidR="007B3042" w:rsidRPr="00DA0286">
        <w:t xml:space="preserve">El </w:t>
      </w:r>
      <w:r w:rsidR="0045793B" w:rsidRPr="00DA0286">
        <w:t xml:space="preserve">asentamiento humano de hecho y consolidado de interés social denominado </w:t>
      </w:r>
      <w:r w:rsidR="00162F82" w:rsidRPr="00DA0286">
        <w:t>Comité Barrial “Abdón Calderón Número Dos</w:t>
      </w:r>
      <w:r w:rsidR="00A415F1" w:rsidRPr="00DA0286">
        <w:t xml:space="preserve">, </w:t>
      </w:r>
      <w:r w:rsidR="007B3042" w:rsidRPr="00DA0286">
        <w:t xml:space="preserve">deberá cumplir y acatar las recomendaciones </w:t>
      </w:r>
      <w:r w:rsidR="007B3042" w:rsidRPr="00DA0286">
        <w:rPr>
          <w:bCs/>
          <w:color w:val="000000" w:themeColor="text1"/>
        </w:rPr>
        <w:t xml:space="preserve">que se encuentran determinadas en el </w:t>
      </w:r>
      <w:r w:rsidR="00F45412" w:rsidRPr="00DA0286">
        <w:rPr>
          <w:lang w:val="es-EC" w:eastAsia="es-ES_tradnl"/>
        </w:rPr>
        <w:t xml:space="preserve">Informe </w:t>
      </w:r>
      <w:r w:rsidR="00F45412" w:rsidRPr="00DA0286">
        <w:t xml:space="preserve">de la Dirección Metropolitana de Gestión de Riesgos </w:t>
      </w:r>
      <w:r w:rsidR="00F45412" w:rsidRPr="00DA0286">
        <w:rPr>
          <w:lang w:val="es-EC" w:eastAsia="es-ES_tradnl"/>
        </w:rPr>
        <w:t xml:space="preserve">No. </w:t>
      </w:r>
      <w:r w:rsidR="00F45412" w:rsidRPr="00DA0286">
        <w:rPr>
          <w:bCs/>
        </w:rPr>
        <w:t xml:space="preserve">I-0004-EAH-AT-DMGR-2022, de 5 de abril de 2022, </w:t>
      </w:r>
      <w:r w:rsidR="00482217">
        <w:rPr>
          <w:bCs/>
        </w:rPr>
        <w:t xml:space="preserve">y su alcance, remitido mediante Oficio No. </w:t>
      </w:r>
      <w:r w:rsidR="00482217" w:rsidRPr="00482217">
        <w:rPr>
          <w:bCs/>
        </w:rPr>
        <w:t>GADDMQ-SGSG-DMGR-2023-0019-OF</w:t>
      </w:r>
      <w:r w:rsidR="00482217">
        <w:rPr>
          <w:bCs/>
        </w:rPr>
        <w:t xml:space="preserve"> del 05 de enero de 2023, en los</w:t>
      </w:r>
      <w:r w:rsidR="00F45412" w:rsidRPr="00DA0286">
        <w:rPr>
          <w:bCs/>
        </w:rPr>
        <w:t xml:space="preserve"> cual</w:t>
      </w:r>
      <w:r w:rsidR="00482217">
        <w:rPr>
          <w:bCs/>
        </w:rPr>
        <w:t xml:space="preserve">es. Manifiestan que: </w:t>
      </w:r>
    </w:p>
    <w:p w14:paraId="5B2FDBA3" w14:textId="77777777" w:rsidR="00F45412" w:rsidRPr="00DA0286" w:rsidRDefault="00F45412" w:rsidP="00F45412">
      <w:pPr>
        <w:spacing w:after="240" w:line="276" w:lineRule="auto"/>
        <w:contextualSpacing/>
        <w:jc w:val="both"/>
        <w:rPr>
          <w:bCs/>
        </w:rPr>
      </w:pPr>
    </w:p>
    <w:p w14:paraId="0334180F" w14:textId="77777777" w:rsidR="00482217" w:rsidRPr="00482217" w:rsidRDefault="00482217" w:rsidP="00482217">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008BB292" w14:textId="48F13D39" w:rsidR="00482217" w:rsidRDefault="00482217" w:rsidP="00482217">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Pr>
          <w:rFonts w:eastAsiaTheme="minorHAnsi"/>
          <w:b/>
          <w:bCs/>
          <w:lang w:val="es-EC" w:eastAsia="en-US"/>
        </w:rPr>
        <w:tab/>
      </w:r>
      <w:r w:rsidRPr="00482217">
        <w:rPr>
          <w:rFonts w:eastAsiaTheme="minorHAnsi"/>
          <w:b/>
          <w:bCs/>
          <w:i/>
          <w:lang w:val="es-EC" w:eastAsia="en-US"/>
        </w:rPr>
        <w:t xml:space="preserve">Movimientos en masa: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 y 50</w:t>
      </w:r>
      <w:r w:rsidRPr="00482217">
        <w:rPr>
          <w:rFonts w:eastAsiaTheme="minorHAnsi"/>
          <w:i/>
          <w:lang w:val="es-EC" w:eastAsia="en-US"/>
        </w:rPr>
        <w:t>.”.</w:t>
      </w:r>
    </w:p>
    <w:p w14:paraId="64B34823" w14:textId="77777777" w:rsidR="00482217" w:rsidRPr="001A00F0" w:rsidRDefault="00482217"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69C69197" w14:textId="1C609C1F" w:rsidR="00482217" w:rsidRDefault="00482217" w:rsidP="00482217">
      <w:pPr>
        <w:spacing w:after="240" w:line="276" w:lineRule="auto"/>
        <w:ind w:left="705"/>
        <w:jc w:val="both"/>
        <w:rPr>
          <w:rFonts w:eastAsiaTheme="minorHAnsi"/>
          <w:i/>
          <w:lang w:val="es-EC" w:eastAsia="en-US"/>
        </w:rPr>
      </w:pPr>
      <w:r>
        <w:rPr>
          <w:rFonts w:eastAsiaTheme="minorHAnsi"/>
          <w:i/>
          <w:lang w:val="es-EC" w:eastAsia="en-US"/>
        </w:rPr>
        <w:t>“</w:t>
      </w:r>
      <w:r w:rsidRPr="00482217">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482217">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482217">
        <w:rPr>
          <w:rFonts w:eastAsiaTheme="minorHAnsi"/>
          <w:i/>
          <w:lang w:val="es-EC" w:eastAsia="en-US"/>
        </w:rPr>
        <w:t>lo manifestado por parte de la entidad encargada de catastros</w:t>
      </w:r>
      <w:r>
        <w:rPr>
          <w:rFonts w:eastAsiaTheme="minorHAnsi"/>
          <w:i/>
          <w:lang w:val="es-EC" w:eastAsia="en-US"/>
        </w:rPr>
        <w:t>.”</w:t>
      </w:r>
      <w:r w:rsidRPr="00482217">
        <w:rPr>
          <w:rFonts w:eastAsiaTheme="minorHAnsi"/>
          <w:i/>
          <w:lang w:val="es-EC" w:eastAsia="en-US"/>
        </w:rPr>
        <w:t>.</w:t>
      </w:r>
    </w:p>
    <w:p w14:paraId="4152196B" w14:textId="27CC5B0A"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criterios de las otras 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r>
        <w:rPr>
          <w:rFonts w:eastAsiaTheme="minorHAnsi"/>
          <w:i/>
          <w:lang w:val="es-EC" w:eastAsia="en-US"/>
        </w:rPr>
        <w:t>”.</w:t>
      </w:r>
    </w:p>
    <w:p w14:paraId="6B70B620" w14:textId="75DB1608" w:rsidR="00420985" w:rsidRPr="00DA0286" w:rsidRDefault="009C672D" w:rsidP="00420985">
      <w:pPr>
        <w:spacing w:after="120" w:line="276" w:lineRule="auto"/>
        <w:jc w:val="both"/>
      </w:pPr>
      <w:r w:rsidRPr="00DA0286">
        <w:rPr>
          <w:b/>
          <w:color w:val="000000" w:themeColor="text1"/>
        </w:rPr>
        <w:lastRenderedPageBreak/>
        <w:t>Articulo</w:t>
      </w:r>
      <w:r w:rsidR="00172DF8" w:rsidRPr="00DA0286">
        <w:rPr>
          <w:b/>
          <w:color w:val="000000" w:themeColor="text1"/>
        </w:rPr>
        <w:t xml:space="preserve"> </w:t>
      </w:r>
      <w:r w:rsidR="00172DF8" w:rsidRPr="00DA0286">
        <w:rPr>
          <w:b/>
        </w:rPr>
        <w:t>1</w:t>
      </w:r>
      <w:r w:rsidR="00CC578B" w:rsidRPr="00DA0286">
        <w:rPr>
          <w:b/>
        </w:rPr>
        <w:t>1</w:t>
      </w:r>
      <w:r w:rsidRPr="00DA0286">
        <w:rPr>
          <w:b/>
        </w:rPr>
        <w:t>.-</w:t>
      </w:r>
      <w:r w:rsidR="00420985" w:rsidRPr="00DA0286">
        <w:rPr>
          <w:color w:val="000000" w:themeColor="text1"/>
        </w:rPr>
        <w:t xml:space="preserve"> </w:t>
      </w:r>
      <w:r w:rsidR="00420985" w:rsidRPr="00DA0286">
        <w:rPr>
          <w:b/>
          <w:bCs/>
          <w:color w:val="000000" w:themeColor="text1"/>
        </w:rPr>
        <w:t>De l</w:t>
      </w:r>
      <w:r w:rsidR="001A00F0">
        <w:rPr>
          <w:b/>
          <w:bCs/>
          <w:color w:val="000000" w:themeColor="text1"/>
        </w:rPr>
        <w:t>os Pasajes y escalinatas</w:t>
      </w:r>
      <w:r w:rsidR="00420985" w:rsidRPr="00DA0286">
        <w:rPr>
          <w:b/>
          <w:bCs/>
          <w:color w:val="000000" w:themeColor="text1"/>
        </w:rPr>
        <w:t xml:space="preserve">. - </w:t>
      </w:r>
      <w:r w:rsidR="00420985" w:rsidRPr="00DA0286">
        <w:rPr>
          <w:color w:val="000000" w:themeColor="text1"/>
        </w:rPr>
        <w:t>El asentamiento humano de hecho y consolidado de interés social</w:t>
      </w:r>
      <w:r w:rsidR="00420985" w:rsidRPr="00DA0286">
        <w:rPr>
          <w:bCs/>
          <w:iCs/>
          <w:color w:val="000000" w:themeColor="text1"/>
        </w:rPr>
        <w:t xml:space="preserve"> denominado </w:t>
      </w:r>
      <w:r w:rsidR="00956C33" w:rsidRPr="00DA0286">
        <w:rPr>
          <w:bCs/>
          <w:iCs/>
          <w:color w:val="000000" w:themeColor="text1"/>
        </w:rPr>
        <w:t>Comité</w:t>
      </w:r>
      <w:r w:rsidR="00420985" w:rsidRPr="00DA0286">
        <w:rPr>
          <w:bCs/>
          <w:iCs/>
          <w:color w:val="000000" w:themeColor="text1"/>
        </w:rPr>
        <w:t xml:space="preserve"> </w:t>
      </w:r>
      <w:r w:rsidR="00420985" w:rsidRPr="00DA0286">
        <w:t xml:space="preserve">Barrial “Abdón Calderón Número Dos”, </w:t>
      </w:r>
      <w:r w:rsidR="00420985" w:rsidRPr="00DA0286">
        <w:rPr>
          <w:color w:val="000000" w:themeColor="text1"/>
        </w:rPr>
        <w:t>contempla un sistema vial de uso público, debido a que éste es un asentamiento humano de hecho y consolidado de interés social de 2</w:t>
      </w:r>
      <w:r w:rsidR="00F62512" w:rsidRPr="00DA0286">
        <w:rPr>
          <w:color w:val="000000" w:themeColor="text1"/>
        </w:rPr>
        <w:t>4</w:t>
      </w:r>
      <w:r w:rsidR="00420985" w:rsidRPr="00DA0286">
        <w:rPr>
          <w:color w:val="000000" w:themeColor="text1"/>
        </w:rPr>
        <w:t xml:space="preserve"> años de existencia, </w:t>
      </w:r>
      <w:r w:rsidR="00B25198" w:rsidRPr="00DA0286">
        <w:rPr>
          <w:color w:val="000000" w:themeColor="text1"/>
        </w:rPr>
        <w:t>con 92</w:t>
      </w:r>
      <w:r w:rsidR="00420985" w:rsidRPr="00DA0286">
        <w:rPr>
          <w:color w:val="000000" w:themeColor="text1"/>
        </w:rPr>
        <w:t>% de consolidación de viviendas</w:t>
      </w:r>
      <w:r w:rsidR="00F62512" w:rsidRPr="00DA0286">
        <w:rPr>
          <w:color w:val="000000" w:themeColor="text1"/>
        </w:rPr>
        <w:t xml:space="preserve"> </w:t>
      </w:r>
      <w:r w:rsidR="00F62512" w:rsidRPr="00DA0286">
        <w:t>y se encuentra ejecutando obras civiles,</w:t>
      </w:r>
      <w:r w:rsidR="00420985" w:rsidRPr="00DA0286">
        <w:rPr>
          <w:color w:val="000000" w:themeColor="text1"/>
        </w:rPr>
        <w:t xml:space="preserve"> </w:t>
      </w:r>
      <w:r w:rsidR="00420985" w:rsidRPr="00DA0286">
        <w:t xml:space="preserve">razón por la cual los anchos viales se sujetarán al plano adjunto a la presente </w:t>
      </w:r>
      <w:r w:rsidR="00F62512" w:rsidRPr="00DA0286">
        <w:t>O</w:t>
      </w:r>
      <w:r w:rsidR="00420985" w:rsidRPr="00DA0286">
        <w:t xml:space="preserve">rdenanza. </w:t>
      </w:r>
    </w:p>
    <w:p w14:paraId="5E07CCFA" w14:textId="77777777" w:rsidR="00420985" w:rsidRPr="00DA0286" w:rsidRDefault="00420985" w:rsidP="00420985">
      <w:pPr>
        <w:pStyle w:val="Sinespaciado"/>
        <w:rPr>
          <w:rFonts w:ascii="Times New Roman" w:hAnsi="Times New Roman"/>
          <w:sz w:val="20"/>
          <w:szCs w:val="20"/>
        </w:rPr>
      </w:pPr>
      <w:r w:rsidRPr="00DA0286">
        <w:rPr>
          <w:rFonts w:ascii="Times New Roman" w:hAnsi="Times New Roman"/>
          <w:sz w:val="20"/>
          <w:szCs w:val="20"/>
        </w:rPr>
        <w:t>Se regularizan los pasajes con los siguientes anchos:</w:t>
      </w:r>
    </w:p>
    <w:p w14:paraId="6C4F8DA0" w14:textId="77777777" w:rsidR="00420985" w:rsidRPr="00DA0286" w:rsidRDefault="00420985" w:rsidP="00420985">
      <w:pPr>
        <w:pStyle w:val="Sinespaciado"/>
        <w:rPr>
          <w:rFonts w:ascii="Times New Roman" w:hAnsi="Times New Roman"/>
          <w:sz w:val="20"/>
          <w:szCs w:val="20"/>
        </w:rPr>
      </w:pPr>
    </w:p>
    <w:tbl>
      <w:tblPr>
        <w:tblW w:w="5000" w:type="pct"/>
        <w:tblCellMar>
          <w:left w:w="70" w:type="dxa"/>
          <w:right w:w="70" w:type="dxa"/>
        </w:tblCellMar>
        <w:tblLook w:val="04A0" w:firstRow="1" w:lastRow="0" w:firstColumn="1" w:lastColumn="0" w:noHBand="0" w:noVBand="1"/>
      </w:tblPr>
      <w:tblGrid>
        <w:gridCol w:w="6124"/>
        <w:gridCol w:w="2370"/>
      </w:tblGrid>
      <w:tr w:rsidR="00C618C8" w:rsidRPr="00DA0286" w14:paraId="2718FBDD" w14:textId="77777777" w:rsidTr="00C618C8">
        <w:trPr>
          <w:trHeight w:val="300"/>
        </w:trPr>
        <w:tc>
          <w:tcPr>
            <w:tcW w:w="3605" w:type="pct"/>
            <w:tcBorders>
              <w:top w:val="single" w:sz="4" w:space="0" w:color="auto"/>
              <w:left w:val="single" w:sz="4" w:space="0" w:color="auto"/>
              <w:bottom w:val="single" w:sz="4" w:space="0" w:color="auto"/>
              <w:right w:val="single" w:sz="4" w:space="0" w:color="auto"/>
            </w:tcBorders>
            <w:shd w:val="clear" w:color="auto" w:fill="auto"/>
            <w:hideMark/>
          </w:tcPr>
          <w:p w14:paraId="42F9282A" w14:textId="77777777" w:rsidR="00C618C8" w:rsidRPr="00DA0286" w:rsidRDefault="00C618C8" w:rsidP="00C618C8">
            <w:pPr>
              <w:rPr>
                <w:color w:val="000000"/>
                <w:lang w:val="es-EC" w:eastAsia="es-EC"/>
              </w:rPr>
            </w:pPr>
            <w:r w:rsidRPr="00DA0286">
              <w:rPr>
                <w:color w:val="000000"/>
                <w:lang w:eastAsia="es-EC"/>
              </w:rPr>
              <w:t>Pasaje N68C</w:t>
            </w:r>
            <w:r w:rsidR="008F3CDE" w:rsidRPr="00DA0286">
              <w:rPr>
                <w:color w:val="000000"/>
                <w:lang w:eastAsia="es-EC"/>
              </w:rPr>
              <w:t xml:space="preserve"> (peatonal)</w:t>
            </w:r>
            <w:r w:rsidRPr="00DA0286">
              <w:rPr>
                <w:color w:val="000000"/>
                <w:lang w:eastAsia="es-EC"/>
              </w:rPr>
              <w:t xml:space="preserve">                              </w:t>
            </w:r>
          </w:p>
        </w:tc>
        <w:tc>
          <w:tcPr>
            <w:tcW w:w="1395" w:type="pct"/>
            <w:tcBorders>
              <w:top w:val="single" w:sz="4" w:space="0" w:color="auto"/>
              <w:left w:val="nil"/>
              <w:bottom w:val="single" w:sz="4" w:space="0" w:color="auto"/>
              <w:right w:val="single" w:sz="4" w:space="0" w:color="auto"/>
            </w:tcBorders>
            <w:shd w:val="clear" w:color="auto" w:fill="auto"/>
            <w:noWrap/>
            <w:hideMark/>
          </w:tcPr>
          <w:p w14:paraId="6B86A29B"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5D23BB3A"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048301F7" w14:textId="77777777" w:rsidR="00C618C8" w:rsidRPr="00DA0286" w:rsidRDefault="00C618C8" w:rsidP="00C618C8">
            <w:pPr>
              <w:rPr>
                <w:color w:val="000000"/>
                <w:lang w:val="es-EC" w:eastAsia="es-EC"/>
              </w:rPr>
            </w:pPr>
            <w:r w:rsidRPr="00DA0286">
              <w:rPr>
                <w:color w:val="000000"/>
                <w:lang w:eastAsia="es-EC"/>
              </w:rPr>
              <w:t>Pasaje N68B</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30EF0872"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4D210C09"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3ED29AA7" w14:textId="77777777" w:rsidR="00C618C8" w:rsidRPr="00DA0286" w:rsidRDefault="00C618C8" w:rsidP="00C618C8">
            <w:pPr>
              <w:rPr>
                <w:color w:val="000000"/>
                <w:lang w:val="es-EC" w:eastAsia="es-EC"/>
              </w:rPr>
            </w:pPr>
            <w:r w:rsidRPr="00DA0286">
              <w:rPr>
                <w:color w:val="000000"/>
                <w:lang w:eastAsia="es-EC"/>
              </w:rPr>
              <w:t xml:space="preserve">N64O  </w:t>
            </w:r>
            <w:r w:rsidR="008F3CDE" w:rsidRPr="00DA0286">
              <w:rPr>
                <w:color w:val="000000"/>
                <w:lang w:eastAsia="es-EC"/>
              </w:rPr>
              <w:t>(peatonal)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3083D8CD"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33AC23D4"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07D78DC3" w14:textId="77777777" w:rsidR="00C618C8" w:rsidRPr="00DA0286" w:rsidRDefault="00C618C8" w:rsidP="00C618C8">
            <w:pPr>
              <w:rPr>
                <w:color w:val="000000"/>
                <w:lang w:val="es-EC" w:eastAsia="es-EC"/>
              </w:rPr>
            </w:pPr>
            <w:r w:rsidRPr="00DA0286">
              <w:rPr>
                <w:color w:val="000000"/>
                <w:lang w:eastAsia="es-EC"/>
              </w:rPr>
              <w:t>N64L</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7366392B"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2521B7A7"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6DE74392" w14:textId="77777777" w:rsidR="00C618C8" w:rsidRPr="00DA0286" w:rsidRDefault="00C618C8" w:rsidP="00C618C8">
            <w:pPr>
              <w:rPr>
                <w:color w:val="000000"/>
                <w:lang w:val="es-EC" w:eastAsia="es-EC"/>
              </w:rPr>
            </w:pPr>
            <w:r w:rsidRPr="00DA0286">
              <w:rPr>
                <w:color w:val="000000"/>
                <w:lang w:eastAsia="es-EC"/>
              </w:rPr>
              <w:t xml:space="preserve">Escalinata Oe17                                                </w:t>
            </w:r>
          </w:p>
        </w:tc>
        <w:tc>
          <w:tcPr>
            <w:tcW w:w="1395" w:type="pct"/>
            <w:tcBorders>
              <w:top w:val="nil"/>
              <w:left w:val="nil"/>
              <w:bottom w:val="single" w:sz="4" w:space="0" w:color="auto"/>
              <w:right w:val="single" w:sz="4" w:space="0" w:color="auto"/>
            </w:tcBorders>
            <w:shd w:val="clear" w:color="auto" w:fill="auto"/>
            <w:noWrap/>
            <w:hideMark/>
          </w:tcPr>
          <w:p w14:paraId="5C1823C9"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7A8E1FFB"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noWrap/>
            <w:hideMark/>
          </w:tcPr>
          <w:p w14:paraId="198F4F26" w14:textId="77777777" w:rsidR="00C618C8" w:rsidRPr="00DA0286" w:rsidRDefault="00C618C8" w:rsidP="00C618C8">
            <w:pPr>
              <w:rPr>
                <w:color w:val="000000"/>
                <w:lang w:val="es-EC" w:eastAsia="es-EC"/>
              </w:rPr>
            </w:pPr>
            <w:r w:rsidRPr="00DA0286">
              <w:rPr>
                <w:color w:val="000000"/>
                <w:lang w:eastAsia="es-EC"/>
              </w:rPr>
              <w:t>Calle N64H</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29DC113D" w14:textId="77777777" w:rsidR="00C618C8" w:rsidRPr="00DA0286" w:rsidRDefault="00C618C8" w:rsidP="00C618C8">
            <w:pPr>
              <w:rPr>
                <w:color w:val="000000"/>
                <w:lang w:val="es-EC" w:eastAsia="es-EC"/>
              </w:rPr>
            </w:pPr>
            <w:r w:rsidRPr="00DA0286">
              <w:rPr>
                <w:color w:val="000000"/>
                <w:lang w:val="es-EC" w:eastAsia="es-EC"/>
              </w:rPr>
              <w:t>5.00 m</w:t>
            </w:r>
          </w:p>
        </w:tc>
      </w:tr>
    </w:tbl>
    <w:p w14:paraId="396DE3AF" w14:textId="77777777" w:rsidR="00420985" w:rsidRPr="00DA0286" w:rsidRDefault="00420985" w:rsidP="00420985">
      <w:pPr>
        <w:pStyle w:val="Sinespaciado"/>
        <w:rPr>
          <w:rFonts w:ascii="Times New Roman" w:hAnsi="Times New Roman"/>
          <w:sz w:val="20"/>
          <w:szCs w:val="20"/>
        </w:rPr>
      </w:pPr>
    </w:p>
    <w:p w14:paraId="47C48205" w14:textId="1E536929" w:rsidR="00172DF8" w:rsidRPr="00DA0286" w:rsidRDefault="00172DF8" w:rsidP="00172DF8">
      <w:pPr>
        <w:spacing w:line="276" w:lineRule="auto"/>
        <w:jc w:val="both"/>
      </w:pPr>
      <w:r w:rsidRPr="00DA0286">
        <w:rPr>
          <w:b/>
          <w:bCs/>
        </w:rPr>
        <w:t xml:space="preserve">Artículo </w:t>
      </w:r>
      <w:r w:rsidR="00CC578B" w:rsidRPr="00DA0286">
        <w:rPr>
          <w:b/>
          <w:bCs/>
        </w:rPr>
        <w:t>12</w:t>
      </w:r>
      <w:r w:rsidRPr="00DA0286">
        <w:rPr>
          <w:b/>
          <w:bCs/>
        </w:rPr>
        <w:t xml:space="preserve">.- De las obras a ejecutarse. - </w:t>
      </w:r>
      <w:r w:rsidRPr="00DA0286">
        <w:t xml:space="preserve">La obra </w:t>
      </w:r>
      <w:r w:rsidR="00F62512" w:rsidRPr="00DA0286">
        <w:t xml:space="preserve">civil </w:t>
      </w:r>
      <w:r w:rsidRPr="00DA0286">
        <w:t xml:space="preserve">a ejecutarse en el asentamiento humano de hecho y consolidado de interés social, </w:t>
      </w:r>
      <w:r w:rsidR="008F3CDE" w:rsidRPr="00DA0286">
        <w:t>es</w:t>
      </w:r>
      <w:r w:rsidRPr="00DA0286">
        <w:t xml:space="preserve"> la siguiente: </w:t>
      </w:r>
    </w:p>
    <w:p w14:paraId="58BCE4AA" w14:textId="77777777" w:rsidR="00172DF8" w:rsidRPr="00DA0286" w:rsidRDefault="00172DF8" w:rsidP="00172DF8">
      <w:pPr>
        <w:spacing w:line="276" w:lineRule="auto"/>
        <w:jc w:val="both"/>
      </w:pPr>
    </w:p>
    <w:tbl>
      <w:tblPr>
        <w:tblStyle w:val="Tablaconcuadrcula"/>
        <w:tblW w:w="0" w:type="auto"/>
        <w:tblLook w:val="04A0" w:firstRow="1" w:lastRow="0" w:firstColumn="1" w:lastColumn="0" w:noHBand="0" w:noVBand="1"/>
      </w:tblPr>
      <w:tblGrid>
        <w:gridCol w:w="3437"/>
        <w:gridCol w:w="5057"/>
      </w:tblGrid>
      <w:tr w:rsidR="003B2291" w:rsidRPr="00DA0286" w14:paraId="575BBBE9" w14:textId="77777777" w:rsidTr="002F19BA">
        <w:tc>
          <w:tcPr>
            <w:tcW w:w="3437" w:type="dxa"/>
          </w:tcPr>
          <w:p w14:paraId="619D2858" w14:textId="77777777" w:rsidR="003B2291" w:rsidRPr="00DA0286" w:rsidRDefault="003B2291" w:rsidP="002F19BA">
            <w:pPr>
              <w:spacing w:line="276" w:lineRule="auto"/>
              <w:jc w:val="both"/>
            </w:pPr>
            <w:r w:rsidRPr="00DA0286">
              <w:t>Calzadas</w:t>
            </w:r>
            <w:r w:rsidRPr="00DA0286">
              <w:tab/>
            </w:r>
          </w:p>
        </w:tc>
        <w:tc>
          <w:tcPr>
            <w:tcW w:w="5057" w:type="dxa"/>
          </w:tcPr>
          <w:p w14:paraId="6521A8F5" w14:textId="77777777" w:rsidR="003B2291" w:rsidRPr="00DA0286" w:rsidRDefault="008F3CDE" w:rsidP="002F19BA">
            <w:pPr>
              <w:spacing w:line="276" w:lineRule="auto"/>
              <w:jc w:val="both"/>
            </w:pPr>
            <w:r w:rsidRPr="00DA0286">
              <w:t>10</w:t>
            </w:r>
            <w:r w:rsidR="003B2291" w:rsidRPr="00DA0286">
              <w:t>0%</w:t>
            </w:r>
          </w:p>
        </w:tc>
      </w:tr>
    </w:tbl>
    <w:p w14:paraId="7544AB9D" w14:textId="77777777" w:rsidR="00966BDD" w:rsidRPr="00DA0286" w:rsidRDefault="00966BDD" w:rsidP="008F3CDE">
      <w:pPr>
        <w:ind w:left="705" w:hanging="705"/>
        <w:jc w:val="both"/>
        <w:rPr>
          <w:lang w:val="es-EC" w:eastAsia="es-ES_tradnl"/>
        </w:rPr>
      </w:pPr>
    </w:p>
    <w:p w14:paraId="66789B4C" w14:textId="7914BD67" w:rsidR="00E3004A" w:rsidRPr="00DA0286" w:rsidRDefault="00CC578B" w:rsidP="00666252">
      <w:pPr>
        <w:pStyle w:val="Textoindependiente"/>
        <w:spacing w:line="276" w:lineRule="auto"/>
        <w:jc w:val="both"/>
      </w:pPr>
      <w:commentRangeStart w:id="5"/>
      <w:r w:rsidRPr="00DA0286">
        <w:rPr>
          <w:b/>
          <w:bCs/>
        </w:rPr>
        <w:t>Artículo 13</w:t>
      </w:r>
      <w:r w:rsidR="006841CB" w:rsidRPr="00DA0286">
        <w:rPr>
          <w:b/>
          <w:bCs/>
        </w:rPr>
        <w:t>.- Del plazo de ejecución de las obras.-</w:t>
      </w:r>
      <w:r w:rsidR="006841CB" w:rsidRPr="00DA0286">
        <w:t xml:space="preserve"> </w:t>
      </w:r>
      <w:r w:rsidR="00E3004A" w:rsidRPr="00DA0286">
        <w:t>Para la</w:t>
      </w:r>
      <w:r w:rsidR="00F62512" w:rsidRPr="00DA0286">
        <w:t xml:space="preserve"> ejecución de las obras civiles, </w:t>
      </w:r>
      <w:r w:rsidR="00E3004A" w:rsidRPr="00DA0286">
        <w:t xml:space="preserve">podrán ser realizadas, </w:t>
      </w:r>
      <w:r w:rsidR="00E3004A" w:rsidRPr="00DA0286">
        <w:rPr>
          <w:iCs/>
        </w:rPr>
        <w:t>bajo las siguientes modalidades: gestión municipal o pública, gestión directa o cogestión</w:t>
      </w:r>
      <w:r w:rsidR="00E3004A" w:rsidRPr="00DA0286">
        <w:t>.</w:t>
      </w:r>
    </w:p>
    <w:p w14:paraId="3BEA96CA" w14:textId="7113D495" w:rsidR="006841CB" w:rsidRPr="00DA0286" w:rsidRDefault="00F62512" w:rsidP="00F62512">
      <w:pPr>
        <w:pStyle w:val="Textoindependiente"/>
        <w:spacing w:line="276" w:lineRule="auto"/>
        <w:jc w:val="both"/>
        <w:rPr>
          <w:iCs/>
        </w:rPr>
      </w:pPr>
      <w:r w:rsidRPr="00DA0286">
        <w:t xml:space="preserve">Para la ejecución de las obras civiles (calzadas) en el </w:t>
      </w:r>
      <w:r w:rsidRPr="00DA0286">
        <w:rPr>
          <w:color w:val="000000" w:themeColor="text1"/>
        </w:rPr>
        <w:t>asentamiento humano de hecho y consolidado de interés social</w:t>
      </w:r>
      <w:r w:rsidRPr="00DA0286">
        <w:rPr>
          <w:bCs/>
          <w:iCs/>
          <w:color w:val="000000" w:themeColor="text1"/>
        </w:rPr>
        <w:t xml:space="preserve"> denominado Comité </w:t>
      </w:r>
      <w:r w:rsidRPr="00DA0286">
        <w:t xml:space="preserve">Barrial “Abdón Calderón Número Dos”, el plazo será de cinco (5) años, </w:t>
      </w:r>
      <w:r w:rsidR="006841CB" w:rsidRPr="00DA0286">
        <w:rPr>
          <w:iCs/>
        </w:rPr>
        <w:t xml:space="preserve">de conformidad al cronograma de obras presentado por </w:t>
      </w:r>
      <w:r w:rsidR="0003308F" w:rsidRPr="00DA0286">
        <w:rPr>
          <w:iCs/>
        </w:rPr>
        <w:t xml:space="preserve">el </w:t>
      </w:r>
      <w:r w:rsidR="001A2900" w:rsidRPr="00DA0286">
        <w:rPr>
          <w:bCs/>
          <w:color w:val="000000" w:themeColor="text1"/>
        </w:rPr>
        <w:t>propietario del predio y/o socios del Comité Barrial “Abdón Calderón Número Dos”,</w:t>
      </w:r>
      <w:r w:rsidR="0003308F" w:rsidRPr="00DA0286">
        <w:rPr>
          <w:iCs/>
        </w:rPr>
        <w:t xml:space="preserve"> </w:t>
      </w:r>
      <w:r w:rsidR="006841CB" w:rsidRPr="00DA0286">
        <w:t xml:space="preserve">del inmueble </w:t>
      </w:r>
      <w:r w:rsidRPr="00DA0286">
        <w:t xml:space="preserve">regularizado, </w:t>
      </w:r>
      <w:r w:rsidR="006841CB" w:rsidRPr="00DA0286">
        <w:rPr>
          <w:iCs/>
        </w:rPr>
        <w:t>plazo que se contará a partir de la fecha de inscripción de la presente Ordenanza en el Registro de la Propiedad del Distrito Metropolitano de Quito.</w:t>
      </w:r>
    </w:p>
    <w:commentRangeEnd w:id="5"/>
    <w:p w14:paraId="545428AB" w14:textId="33D0D351" w:rsidR="00F62512" w:rsidRPr="00DA0286" w:rsidRDefault="00E3004A" w:rsidP="0003308F">
      <w:pPr>
        <w:pStyle w:val="Textoindependiente"/>
        <w:spacing w:line="276" w:lineRule="auto"/>
        <w:jc w:val="both"/>
        <w:rPr>
          <w:bCs/>
        </w:rPr>
      </w:pPr>
      <w:r w:rsidRPr="00DA0286">
        <w:rPr>
          <w:rStyle w:val="Refdecomentario"/>
          <w:sz w:val="20"/>
          <w:szCs w:val="20"/>
        </w:rPr>
        <w:commentReference w:id="5"/>
      </w:r>
      <w:r w:rsidR="00F62512" w:rsidRPr="00DA0286">
        <w:rPr>
          <w:bCs/>
        </w:rPr>
        <w:t>E</w:t>
      </w:r>
      <w:r w:rsidR="00F62512" w:rsidRPr="00DA0286">
        <w:rPr>
          <w:iCs/>
        </w:rPr>
        <w:t>l valor por contribución especial a mejoras se aplicará conforme la modalidad ejecutada.</w:t>
      </w:r>
    </w:p>
    <w:p w14:paraId="056FCF15" w14:textId="6D892CC8" w:rsidR="006841CB" w:rsidRPr="00DA0286" w:rsidRDefault="00CC578B" w:rsidP="00666252">
      <w:pPr>
        <w:pStyle w:val="Textoindependiente"/>
        <w:spacing w:before="240" w:after="0" w:line="276" w:lineRule="auto"/>
        <w:jc w:val="both"/>
        <w:rPr>
          <w:bCs/>
          <w:lang w:val="es-ES_tradnl"/>
        </w:rPr>
      </w:pPr>
      <w:r w:rsidRPr="00DA0286">
        <w:rPr>
          <w:b/>
          <w:bCs/>
        </w:rPr>
        <w:t>Artículo 14</w:t>
      </w:r>
      <w:r w:rsidR="006841CB" w:rsidRPr="00DA0286">
        <w:rPr>
          <w:b/>
          <w:bCs/>
        </w:rPr>
        <w:t xml:space="preserve">.- </w:t>
      </w:r>
      <w:r w:rsidR="006841CB" w:rsidRPr="00DA0286">
        <w:rPr>
          <w:b/>
          <w:bCs/>
          <w:lang w:val="es-ES_tradnl"/>
        </w:rPr>
        <w:t>Del control de ejecución de las obras. -</w:t>
      </w:r>
      <w:r w:rsidR="006841CB" w:rsidRPr="00DA0286">
        <w:rPr>
          <w:bCs/>
          <w:lang w:val="es-ES_tradnl"/>
        </w:rPr>
        <w:t xml:space="preserve"> La Administración Zonal La Delicia 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14:paraId="2D680DD4" w14:textId="77777777" w:rsidR="00CF61F4" w:rsidRPr="00DA0286" w:rsidRDefault="00CF61F4" w:rsidP="006841CB">
      <w:pPr>
        <w:pStyle w:val="Textoindependiente"/>
        <w:jc w:val="both"/>
        <w:rPr>
          <w:b/>
          <w:bCs/>
          <w:lang w:val="es-ES_tradnl"/>
        </w:rPr>
      </w:pPr>
    </w:p>
    <w:p w14:paraId="0BE75682" w14:textId="50A602DB" w:rsidR="006841CB" w:rsidRPr="00DA0286" w:rsidRDefault="006841CB" w:rsidP="00666252">
      <w:pPr>
        <w:pStyle w:val="Textoindependiente"/>
        <w:spacing w:line="276" w:lineRule="auto"/>
        <w:jc w:val="both"/>
        <w:rPr>
          <w:bCs/>
        </w:rPr>
      </w:pPr>
      <w:r w:rsidRPr="00DA0286">
        <w:rPr>
          <w:b/>
          <w:bCs/>
          <w:lang w:val="es-ES_tradnl"/>
        </w:rPr>
        <w:t>Artículo 1</w:t>
      </w:r>
      <w:r w:rsidR="00CC578B" w:rsidRPr="00DA0286">
        <w:rPr>
          <w:b/>
          <w:bCs/>
          <w:lang w:val="es-ES_tradnl"/>
        </w:rPr>
        <w:t>5</w:t>
      </w:r>
      <w:r w:rsidRPr="00DA0286">
        <w:rPr>
          <w:b/>
          <w:bCs/>
          <w:lang w:val="es-ES_tradnl"/>
        </w:rPr>
        <w:t xml:space="preserve">.- De la multa por retraso en ejecución de obras. - </w:t>
      </w:r>
      <w:r w:rsidRPr="00DA0286">
        <w:rPr>
          <w:lang w:val="es-ES_tradnl"/>
        </w:rPr>
        <w:t>En</w:t>
      </w:r>
      <w:r w:rsidRPr="00DA0286">
        <w:rPr>
          <w:bCs/>
        </w:rPr>
        <w:t xml:space="preserve"> caso de retraso en l</w:t>
      </w:r>
      <w:r w:rsidR="0003308F" w:rsidRPr="00DA0286">
        <w:rPr>
          <w:bCs/>
        </w:rPr>
        <w:t>a ejecución de la obra civil</w:t>
      </w:r>
      <w:r w:rsidRPr="00DA0286">
        <w:rPr>
          <w:bCs/>
        </w:rPr>
        <w:t xml:space="preserve">, </w:t>
      </w:r>
      <w:r w:rsidR="0003308F" w:rsidRPr="00DA0286">
        <w:rPr>
          <w:bCs/>
        </w:rPr>
        <w:t>el propietario</w:t>
      </w:r>
      <w:r w:rsidRPr="00DA0286">
        <w:rPr>
          <w:bCs/>
        </w:rPr>
        <w:t xml:space="preserve"> del inmueble sobre el cual se ubica </w:t>
      </w:r>
      <w:r w:rsidR="00666252" w:rsidRPr="00DA0286">
        <w:rPr>
          <w:bCs/>
        </w:rPr>
        <w:t xml:space="preserve">el </w:t>
      </w:r>
      <w:r w:rsidR="00666252" w:rsidRPr="00DA0286">
        <w:t>asentamiento</w:t>
      </w:r>
      <w:r w:rsidR="00CF61F4" w:rsidRPr="00DA0286">
        <w:t xml:space="preserve"> humano de hec</w:t>
      </w:r>
      <w:bookmarkStart w:id="6" w:name="_GoBack"/>
      <w:bookmarkEnd w:id="6"/>
      <w:r w:rsidR="00CF61F4" w:rsidRPr="00DA0286">
        <w:t xml:space="preserve">ho y consolidado de interés social denominado </w:t>
      </w:r>
      <w:r w:rsidR="00162F82" w:rsidRPr="00DA0286">
        <w:t>Comité Barrial “Abdón Calderón Número Dos”</w:t>
      </w:r>
      <w:r w:rsidR="00CF61F4" w:rsidRPr="00DA0286">
        <w:t>,</w:t>
      </w:r>
      <w:r w:rsidR="00CF61F4" w:rsidRPr="00DA0286">
        <w:rPr>
          <w:bCs/>
        </w:rPr>
        <w:t xml:space="preserve"> </w:t>
      </w:r>
      <w:r w:rsidRPr="00DA0286">
        <w:rPr>
          <w:bCs/>
        </w:rPr>
        <w:t>se sujetarán a las sanciones contempladas en el Ordenamiento Jurídico Nacional y Metropolitano.</w:t>
      </w:r>
    </w:p>
    <w:p w14:paraId="44EE808F" w14:textId="37DA0E2D" w:rsidR="001C7AFA" w:rsidRPr="00DA0286" w:rsidRDefault="001C7AFA" w:rsidP="00666252">
      <w:pPr>
        <w:pStyle w:val="Textoindependiente"/>
        <w:spacing w:before="240" w:line="276" w:lineRule="auto"/>
        <w:jc w:val="both"/>
      </w:pPr>
      <w:r w:rsidRPr="00DA0286">
        <w:rPr>
          <w:b/>
        </w:rPr>
        <w:t>Artículo 1</w:t>
      </w:r>
      <w:r w:rsidR="00CC578B" w:rsidRPr="00DA0286">
        <w:rPr>
          <w:b/>
        </w:rPr>
        <w:t>6</w:t>
      </w:r>
      <w:r w:rsidRPr="00DA0286">
        <w:rPr>
          <w:b/>
        </w:rPr>
        <w:t xml:space="preserve">.- </w:t>
      </w:r>
      <w:r w:rsidRPr="00DA0286">
        <w:rPr>
          <w:b/>
          <w:bCs/>
          <w:iCs/>
        </w:rPr>
        <w:t xml:space="preserve">De la garantía de ejecución de las obras.- </w:t>
      </w:r>
      <w:r w:rsidRPr="00DA0286">
        <w:t>Los lotes producto del fraccionamiento donde se encuentra ubicado el</w:t>
      </w:r>
      <w:r w:rsidR="007A793D" w:rsidRPr="00DA0286">
        <w:t xml:space="preserve"> asentamiento humano de hecho y consolidado de interés social denominado </w:t>
      </w:r>
      <w:r w:rsidR="00162F82" w:rsidRPr="00DA0286">
        <w:t>Comité Barrial “Abdón Calderón Número Dos”</w:t>
      </w:r>
      <w:r w:rsidR="007A793D" w:rsidRPr="00DA0286">
        <w:t xml:space="preserve">, </w:t>
      </w:r>
      <w:r w:rsidRPr="00DA0286">
        <w:t>quedan gravados con primera, especial y preferente hipoteca a favor del Municipio del Distrito Metropolitano de Quito, gravamen que regirá una vez que se adjudiquen los lotes a sus respectivos beneficiarios y que podrá levantar</w:t>
      </w:r>
      <w:r w:rsidR="0003308F" w:rsidRPr="00DA0286">
        <w:t>se</w:t>
      </w:r>
      <w:r w:rsidRPr="00DA0286">
        <w:t xml:space="preserve"> con el cumplimiento de las obras civiles y de infraestructura conforme a la normativa vigente, sin perjuicio de que se continúe con el trámite de </w:t>
      </w:r>
      <w:r w:rsidRPr="00DA0286">
        <w:lastRenderedPageBreak/>
        <w:t>ejecución de multas. El gravamen constituido a favor de la Municipalidad deberá constar en cada escritura individualizada.</w:t>
      </w:r>
    </w:p>
    <w:p w14:paraId="0CC6C4CB" w14:textId="4E098D10" w:rsidR="00E0721E" w:rsidRPr="00DA0286" w:rsidRDefault="00CC578B" w:rsidP="00666252">
      <w:pPr>
        <w:pStyle w:val="Textoindependiente"/>
        <w:spacing w:before="240" w:line="276" w:lineRule="auto"/>
        <w:jc w:val="both"/>
        <w:rPr>
          <w:lang w:val="es-ES_tradnl"/>
        </w:rPr>
      </w:pPr>
      <w:r w:rsidRPr="00DA0286">
        <w:rPr>
          <w:b/>
          <w:bCs/>
          <w:lang w:val="es-ES_tradnl"/>
        </w:rPr>
        <w:t>Artículo 17</w:t>
      </w:r>
      <w:r w:rsidR="002E58DF" w:rsidRPr="00DA0286">
        <w:rPr>
          <w:b/>
          <w:bCs/>
          <w:lang w:val="es-ES_tradnl"/>
        </w:rPr>
        <w:t>.- Solicitud</w:t>
      </w:r>
      <w:r w:rsidR="00E0721E" w:rsidRPr="00DA0286">
        <w:rPr>
          <w:b/>
          <w:bCs/>
          <w:lang w:val="es-ES_tradnl"/>
        </w:rPr>
        <w:t xml:space="preserve"> de ampliación de plazo. - </w:t>
      </w:r>
      <w:r w:rsidR="00E0721E" w:rsidRPr="00DA0286">
        <w:rPr>
          <w:bCs/>
          <w:lang w:val="es-ES_tradnl"/>
        </w:rPr>
        <w:t xml:space="preserve">Las solicitudes </w:t>
      </w:r>
      <w:r w:rsidR="00E0721E" w:rsidRPr="00DA0286">
        <w:rPr>
          <w:lang w:val="es-ES_tradnl"/>
        </w:rPr>
        <w:t xml:space="preserve">de ampliación de plazo para ejecución de </w:t>
      </w:r>
      <w:r w:rsidR="001A00F0">
        <w:rPr>
          <w:lang w:val="es-ES_tradnl"/>
        </w:rPr>
        <w:t xml:space="preserve">la </w:t>
      </w:r>
      <w:r w:rsidR="00E0721E" w:rsidRPr="00DA0286">
        <w:rPr>
          <w:lang w:val="es-ES_tradnl"/>
        </w:rPr>
        <w:t>obra civil, serán resueltas por la Admin</w:t>
      </w:r>
      <w:r w:rsidR="00233509" w:rsidRPr="00DA0286">
        <w:rPr>
          <w:lang w:val="es-ES_tradnl"/>
        </w:rPr>
        <w:t>istración Zonal correspondiente, a petición de parte o de oficio debidamente motivado.</w:t>
      </w:r>
    </w:p>
    <w:p w14:paraId="4078673A" w14:textId="77777777" w:rsidR="00E0721E" w:rsidRPr="00DA0286" w:rsidRDefault="00E0721E" w:rsidP="00666252">
      <w:pPr>
        <w:pStyle w:val="Textoindependiente"/>
        <w:spacing w:line="276" w:lineRule="auto"/>
        <w:jc w:val="both"/>
        <w:rPr>
          <w:bCs/>
          <w:lang w:val="es-ES_tradnl"/>
        </w:rPr>
      </w:pPr>
      <w:r w:rsidRPr="00DA0286">
        <w:rPr>
          <w:bCs/>
          <w:lang w:val="es-ES_tradnl"/>
        </w:rPr>
        <w:t>La Administración Zonal La Delicia, deberá notificar a los copropietarios del asentamiento 6 meses antes de la conclusión del plazo establecido.</w:t>
      </w:r>
    </w:p>
    <w:p w14:paraId="01B66A70" w14:textId="77777777" w:rsidR="00EB463D" w:rsidRPr="00DA0286" w:rsidRDefault="00EB463D" w:rsidP="00666252">
      <w:pPr>
        <w:spacing w:after="240" w:line="276" w:lineRule="auto"/>
        <w:jc w:val="both"/>
        <w:rPr>
          <w:bCs/>
          <w:lang w:val="es-ES_tradnl"/>
        </w:rPr>
      </w:pPr>
      <w:r w:rsidRPr="00DA0286">
        <w:rPr>
          <w:bCs/>
          <w:lang w:val="es-ES_tradnl"/>
        </w:rPr>
        <w:t>Dichas solicitudes para ser evaluadas, deberán ser presentadas con al menos tres meses de anticipación a la conclusión del plazo establecido para la ejecución de las obras referidas y debidamente justificadas.</w:t>
      </w:r>
    </w:p>
    <w:p w14:paraId="4E1E09DA" w14:textId="77777777" w:rsidR="00E0721E" w:rsidRPr="00DA0286" w:rsidRDefault="00E0721E" w:rsidP="00666252">
      <w:pPr>
        <w:spacing w:line="276" w:lineRule="auto"/>
        <w:jc w:val="both"/>
        <w:rPr>
          <w:lang w:val="es-EC"/>
        </w:rPr>
      </w:pPr>
      <w:r w:rsidRPr="00DA0286">
        <w:rPr>
          <w:b/>
          <w:bCs/>
        </w:rPr>
        <w:t>Artículo</w:t>
      </w:r>
      <w:r w:rsidRPr="00DA0286">
        <w:rPr>
          <w:b/>
          <w:bCs/>
          <w:lang w:val="es-ES_tradnl"/>
        </w:rPr>
        <w:t xml:space="preserve"> 1</w:t>
      </w:r>
      <w:r w:rsidR="00CC578B" w:rsidRPr="00DA0286">
        <w:rPr>
          <w:b/>
          <w:bCs/>
          <w:lang w:val="es-ES_tradnl"/>
        </w:rPr>
        <w:t>8</w:t>
      </w:r>
      <w:r w:rsidRPr="00DA0286">
        <w:rPr>
          <w:b/>
          <w:bCs/>
          <w:lang w:val="es-ES_tradnl"/>
        </w:rPr>
        <w:t xml:space="preserve">.- De la Protocolización e inscripción de la Ordenanza. -  </w:t>
      </w:r>
      <w:r w:rsidR="00666252" w:rsidRPr="00DA0286">
        <w:rPr>
          <w:lang w:val="es-ES_tradnl"/>
        </w:rPr>
        <w:t xml:space="preserve">El propietario del predio en el que se encuentra el asentamiento humano de hecho y consolidado de interés social denominado Comité </w:t>
      </w:r>
      <w:r w:rsidR="00162F82" w:rsidRPr="00DA0286">
        <w:rPr>
          <w:lang w:val="es-ES_tradnl"/>
        </w:rPr>
        <w:t>Barrial “Abdón Calderón Número Dos”</w:t>
      </w:r>
      <w:r w:rsidR="00666252" w:rsidRPr="00DA0286">
        <w:rPr>
          <w:lang w:val="es-ES_tradnl"/>
        </w:rPr>
        <w:t xml:space="preserve">, y/o los socios </w:t>
      </w:r>
      <w:r w:rsidR="00E22552" w:rsidRPr="00DA0286">
        <w:rPr>
          <w:lang w:val="es-ES_tradnl"/>
        </w:rPr>
        <w:t>Comité Barrial “Abdón Calderón Número Dos”</w:t>
      </w:r>
      <w:r w:rsidR="007A793D" w:rsidRPr="00DA0286">
        <w:rPr>
          <w:lang w:val="es-ES_tradnl"/>
        </w:rPr>
        <w:t xml:space="preserve">, </w:t>
      </w:r>
      <w:r w:rsidRPr="00DA0286">
        <w:rPr>
          <w:lang w:val="es-ES_tradnl"/>
        </w:rPr>
        <w:t>deberán protocolizar la presente Ordenanza ante Notario Público e inscribirla en el Registro de la Propiedad del Distrito Metropolitano de</w:t>
      </w:r>
      <w:r w:rsidRPr="00DA0286">
        <w:rPr>
          <w:lang w:val="es-EC"/>
        </w:rPr>
        <w:t xml:space="preserve"> Quito, </w:t>
      </w:r>
      <w:r w:rsidRPr="00DA0286">
        <w:rPr>
          <w:lang w:val="es-ES_tradnl"/>
        </w:rPr>
        <w:t>con todos sus documentos habilitantes</w:t>
      </w:r>
      <w:bookmarkStart w:id="7" w:name="_Hlk80222422"/>
      <w:r w:rsidR="00E22552" w:rsidRPr="00DA0286">
        <w:rPr>
          <w:lang w:val="es-EC"/>
        </w:rPr>
        <w:t>.</w:t>
      </w:r>
    </w:p>
    <w:p w14:paraId="716CCEC1" w14:textId="77777777" w:rsidR="00E0721E" w:rsidRPr="00DA0286" w:rsidRDefault="00E0721E" w:rsidP="00666252">
      <w:pPr>
        <w:spacing w:line="276" w:lineRule="auto"/>
        <w:jc w:val="both"/>
        <w:rPr>
          <w:lang w:val="es-ES_tradnl"/>
        </w:rPr>
      </w:pPr>
    </w:p>
    <w:p w14:paraId="7644BBCB" w14:textId="497FDB2D" w:rsidR="006D121C" w:rsidRPr="00DA0286" w:rsidRDefault="00233509" w:rsidP="00666252">
      <w:pPr>
        <w:spacing w:after="360" w:line="276" w:lineRule="auto"/>
        <w:jc w:val="both"/>
        <w:rPr>
          <w:bCs/>
        </w:rPr>
      </w:pPr>
      <w:r w:rsidRPr="00DA0286">
        <w:rPr>
          <w:bCs/>
          <w:lang w:val="es-ES_tradnl"/>
        </w:rPr>
        <w:t xml:space="preserve">En caso de no legalizar </w:t>
      </w:r>
      <w:r w:rsidR="00E0721E" w:rsidRPr="00DA0286">
        <w:rPr>
          <w:bCs/>
          <w:lang w:val="es-ES_tradnl"/>
        </w:rPr>
        <w:t xml:space="preserve">la presente ordenanza, ésta caducará en el plazo de tres (03) años de conformidad con lo dispuesto en el artículo </w:t>
      </w:r>
      <w:r w:rsidR="00E0721E" w:rsidRPr="001A00F0">
        <w:rPr>
          <w:bCs/>
          <w:lang w:val="es-ES_tradnl"/>
        </w:rPr>
        <w:t>No. 37</w:t>
      </w:r>
      <w:r w:rsidR="006D121C" w:rsidRPr="001A00F0">
        <w:rPr>
          <w:bCs/>
          <w:lang w:val="es-ES_tradnl"/>
        </w:rPr>
        <w:t>49</w:t>
      </w:r>
      <w:r w:rsidR="0003308F" w:rsidRPr="001A00F0">
        <w:rPr>
          <w:bCs/>
          <w:lang w:val="es-ES_tradnl"/>
        </w:rPr>
        <w:t xml:space="preserve"> </w:t>
      </w:r>
      <w:r w:rsidR="00E0721E" w:rsidRPr="00DA0286">
        <w:rPr>
          <w:bCs/>
        </w:rPr>
        <w:t>del Código Municipal para el Distrito Metropolitano de Quito</w:t>
      </w:r>
    </w:p>
    <w:p w14:paraId="45E55A59" w14:textId="4CD152BE" w:rsidR="00E0721E" w:rsidRPr="00DA0286" w:rsidRDefault="00E0721E" w:rsidP="00666252">
      <w:pPr>
        <w:spacing w:after="360" w:line="276" w:lineRule="auto"/>
        <w:jc w:val="both"/>
        <w:rPr>
          <w:bCs/>
          <w:lang w:val="es-ES_tradnl"/>
        </w:rPr>
      </w:pPr>
      <w:r w:rsidRPr="00DA0286">
        <w:rPr>
          <w:lang w:val="es-EC"/>
        </w:rPr>
        <w:t>La inscripción de la presente ordenanza en el Registro de la Propiedad servirá como título de dominio para efectos de la transferencia del</w:t>
      </w:r>
      <w:r w:rsidRPr="00DA0286">
        <w:t xml:space="preserve"> área</w:t>
      </w:r>
      <w:r w:rsidR="0003308F" w:rsidRPr="00DA0286">
        <w:t xml:space="preserve"> bajo borde superior de quebrada </w:t>
      </w:r>
      <w:r w:rsidRPr="00DA0286">
        <w:rPr>
          <w:lang w:val="es-EC"/>
        </w:rPr>
        <w:t>a favor del Municipio</w:t>
      </w:r>
      <w:r w:rsidR="0003308F" w:rsidRPr="00DA0286">
        <w:rPr>
          <w:lang w:val="es-EC"/>
        </w:rPr>
        <w:t xml:space="preserve"> del Distrito Metropolitano de Quito</w:t>
      </w:r>
      <w:r w:rsidRPr="00DA0286">
        <w:rPr>
          <w:lang w:val="es-EC"/>
        </w:rPr>
        <w:t>.</w:t>
      </w:r>
    </w:p>
    <w:bookmarkEnd w:id="7"/>
    <w:p w14:paraId="0AC7EF10" w14:textId="77777777" w:rsidR="00BC477D" w:rsidRPr="00DA0286" w:rsidRDefault="00AF273D" w:rsidP="00E22552">
      <w:pPr>
        <w:spacing w:after="360" w:line="276" w:lineRule="auto"/>
        <w:jc w:val="both"/>
        <w:rPr>
          <w:lang w:val="es-ES_tradnl"/>
        </w:rPr>
      </w:pPr>
      <w:r w:rsidRPr="00DA0286">
        <w:rPr>
          <w:b/>
          <w:lang w:val="es-ES_tradnl"/>
        </w:rPr>
        <w:t>Artículo 1</w:t>
      </w:r>
      <w:r w:rsidR="00CC578B" w:rsidRPr="00DA0286">
        <w:rPr>
          <w:b/>
          <w:lang w:val="es-ES_tradnl"/>
        </w:rPr>
        <w:t>9</w:t>
      </w:r>
      <w:r w:rsidRPr="00DA0286">
        <w:rPr>
          <w:b/>
          <w:lang w:val="es-ES_tradnl"/>
        </w:rPr>
        <w:t>.</w:t>
      </w:r>
      <w:r w:rsidR="00BC477D" w:rsidRPr="00DA0286">
        <w:rPr>
          <w:b/>
          <w:lang w:val="es-ES_tradnl"/>
        </w:rPr>
        <w:t>-</w:t>
      </w:r>
      <w:r w:rsidRPr="00DA0286">
        <w:rPr>
          <w:lang w:val="es-ES_tradnl"/>
        </w:rPr>
        <w:t xml:space="preserve"> </w:t>
      </w:r>
      <w:r w:rsidR="00BC477D" w:rsidRPr="00DA0286">
        <w:rPr>
          <w:b/>
          <w:lang w:val="es-ES_tradnl"/>
        </w:rPr>
        <w:t>De la entrega de escrituras individuales</w:t>
      </w:r>
      <w:r w:rsidR="00BC477D" w:rsidRPr="00DA0286">
        <w:rPr>
          <w:lang w:val="es-ES_tradnl"/>
        </w:rPr>
        <w:t>. - El Representante legal del Comité Barri</w:t>
      </w:r>
      <w:r w:rsidR="006035C2" w:rsidRPr="00DA0286">
        <w:rPr>
          <w:lang w:val="es-ES_tradnl"/>
        </w:rPr>
        <w:t>al “</w:t>
      </w:r>
      <w:r w:rsidR="00BC477D" w:rsidRPr="00DA0286">
        <w:rPr>
          <w:lang w:val="es-ES_tradnl"/>
        </w:rPr>
        <w:t>Abdón Calderón Número Dos”, deberá entregar las respectivas escrituras individuales de adjudicación de los lotes producto del presente fraccionamiento y que constan en el plano habilitante de esta Ordenanza, a favor de sus socios, bajo eventual responsabilidad civil y penal de su representante en caso de incumplimiento.</w:t>
      </w:r>
    </w:p>
    <w:p w14:paraId="332AED6A" w14:textId="77777777" w:rsidR="00AF273D" w:rsidRPr="00DA0286" w:rsidRDefault="00CC578B" w:rsidP="00E22552">
      <w:pPr>
        <w:spacing w:after="360" w:line="276" w:lineRule="auto"/>
        <w:jc w:val="both"/>
        <w:rPr>
          <w:bCs/>
          <w:lang w:val="es-ES_tradnl"/>
        </w:rPr>
      </w:pPr>
      <w:commentRangeStart w:id="8"/>
      <w:r w:rsidRPr="00DA0286">
        <w:rPr>
          <w:b/>
          <w:bCs/>
          <w:lang w:val="es-ES_tradnl"/>
        </w:rPr>
        <w:t>Artículo 20</w:t>
      </w:r>
      <w:r w:rsidR="00AF273D" w:rsidRPr="00DA0286">
        <w:rPr>
          <w:b/>
          <w:bCs/>
          <w:lang w:val="es-ES_tradnl"/>
        </w:rPr>
        <w:t>.-</w:t>
      </w:r>
      <w:r w:rsidR="00AF273D" w:rsidRPr="00DA0286">
        <w:rPr>
          <w:bCs/>
          <w:lang w:val="es-ES_tradnl"/>
        </w:rPr>
        <w:t xml:space="preserve"> </w:t>
      </w:r>
      <w:r w:rsidR="00AF273D" w:rsidRPr="00DA0286">
        <w:rPr>
          <w:b/>
          <w:bCs/>
          <w:lang w:val="es-ES_tradnl"/>
        </w:rPr>
        <w:t>Potestad de ejecución</w:t>
      </w:r>
      <w:r w:rsidR="00AF273D" w:rsidRPr="00DA0286">
        <w:rPr>
          <w:bCs/>
          <w:lang w:val="es-ES_tradnl"/>
        </w:rPr>
        <w:t xml:space="preserve">. - Para el fiel cumplimiento de las disposiciones de esta Ordenanza, y en caso de que no se hayan cumplido los plazos establecidos, se podrá ejecutar en forma subsidiaria, los actos que el obligado no hubiere cumplido, a costa de estos. En este evento, se podrá recuperar los valores invertidos por la vía coactiva, con un recargo del veinte por ciento (20%) más los intereses correspondientes. </w:t>
      </w:r>
      <w:commentRangeEnd w:id="8"/>
      <w:r w:rsidR="00A75E06" w:rsidRPr="00DA0286">
        <w:rPr>
          <w:rStyle w:val="Refdecomentario"/>
          <w:sz w:val="20"/>
          <w:szCs w:val="20"/>
        </w:rPr>
        <w:commentReference w:id="8"/>
      </w:r>
    </w:p>
    <w:p w14:paraId="10E2C29E" w14:textId="77777777" w:rsidR="00AF273D" w:rsidRPr="00DA0286" w:rsidRDefault="00AF273D" w:rsidP="00AF273D">
      <w:pPr>
        <w:spacing w:after="360"/>
        <w:jc w:val="center"/>
        <w:rPr>
          <w:b/>
          <w:bCs/>
          <w:lang w:val="es-ES_tradnl"/>
        </w:rPr>
      </w:pPr>
      <w:r w:rsidRPr="00DA0286">
        <w:rPr>
          <w:b/>
          <w:bCs/>
          <w:lang w:val="es-ES_tradnl"/>
        </w:rPr>
        <w:t>Disposiciones Generales</w:t>
      </w:r>
    </w:p>
    <w:p w14:paraId="6650E955" w14:textId="77777777" w:rsidR="00AF273D" w:rsidRPr="00DA0286" w:rsidRDefault="00AF273D" w:rsidP="00AF273D">
      <w:pPr>
        <w:spacing w:after="240" w:line="276" w:lineRule="auto"/>
        <w:jc w:val="both"/>
        <w:rPr>
          <w:lang w:val="es-ES_tradnl"/>
        </w:rPr>
      </w:pPr>
      <w:r w:rsidRPr="00DA0286">
        <w:rPr>
          <w:b/>
          <w:lang w:val="es-ES_tradnl"/>
        </w:rPr>
        <w:t xml:space="preserve">Primera. - </w:t>
      </w:r>
      <w:r w:rsidRPr="00DA0286">
        <w:rPr>
          <w:lang w:val="es-ES_tradnl"/>
        </w:rPr>
        <w:t>Todos los anexos adjuntos al proyecto de regularización son documentos habilitantes de esta Ordenanza.</w:t>
      </w:r>
    </w:p>
    <w:p w14:paraId="49145C16" w14:textId="15F88B19" w:rsidR="00956C33" w:rsidRPr="00DA0286" w:rsidRDefault="001974D4" w:rsidP="00956C33">
      <w:pPr>
        <w:spacing w:after="240" w:line="276" w:lineRule="auto"/>
        <w:jc w:val="both"/>
        <w:rPr>
          <w:color w:val="000000" w:themeColor="text1"/>
        </w:rPr>
      </w:pPr>
      <w:r w:rsidRPr="00DA0286">
        <w:rPr>
          <w:b/>
        </w:rPr>
        <w:t>Segunda. -</w:t>
      </w:r>
      <w:r w:rsidR="00BC477D" w:rsidRPr="00DA0286">
        <w:t xml:space="preserve"> </w:t>
      </w:r>
      <w:r w:rsidR="00D66D8D" w:rsidRPr="00DA0286">
        <w:t xml:space="preserve">De acuerdo al </w:t>
      </w:r>
      <w:r w:rsidR="00BC477D" w:rsidRPr="00DA0286">
        <w:t>I</w:t>
      </w:r>
      <w:r w:rsidR="00D66D8D" w:rsidRPr="00DA0286">
        <w:t xml:space="preserve">nforme </w:t>
      </w:r>
      <w:r w:rsidR="0003308F" w:rsidRPr="00DA0286">
        <w:t xml:space="preserve">de la Dirección Metropolitana de Gestión de Riesgos </w:t>
      </w:r>
      <w:r w:rsidR="0003308F" w:rsidRPr="00DA0286">
        <w:rPr>
          <w:bCs/>
        </w:rPr>
        <w:t xml:space="preserve">No. </w:t>
      </w:r>
      <w:r w:rsidR="00D66D8D" w:rsidRPr="00DA0286">
        <w:rPr>
          <w:lang w:val="es-ES_tradnl"/>
        </w:rPr>
        <w:t>I-0004-EAH-AT-DMGR-2022</w:t>
      </w:r>
      <w:r w:rsidR="0003308F" w:rsidRPr="00DA0286">
        <w:rPr>
          <w:lang w:val="es-ES_tradnl"/>
        </w:rPr>
        <w:t>,</w:t>
      </w:r>
      <w:r w:rsidR="00956C33" w:rsidRPr="00DA0286">
        <w:rPr>
          <w:lang w:val="es-ES_tradnl"/>
        </w:rPr>
        <w:t xml:space="preserve"> de </w:t>
      </w:r>
      <w:r w:rsidR="00956C33" w:rsidRPr="00DA0286">
        <w:rPr>
          <w:bCs/>
          <w:color w:val="000000" w:themeColor="text1"/>
        </w:rPr>
        <w:t xml:space="preserve">5 de abril de 2022, </w:t>
      </w:r>
      <w:r w:rsidR="00047540" w:rsidRPr="00DA0286">
        <w:rPr>
          <w:bCs/>
          <w:color w:val="000000" w:themeColor="text1"/>
        </w:rPr>
        <w:t xml:space="preserve">el propietario del predio y/o socios del Comité Barrial “Abdón Calderón Número Dos”, en donde se encuentra </w:t>
      </w:r>
      <w:r w:rsidR="00956C33" w:rsidRPr="00DA0286">
        <w:rPr>
          <w:lang w:val="es-ES_tradnl"/>
        </w:rPr>
        <w:t>el asentamiento humano deberán cumplir las siguientes disposiciones</w:t>
      </w:r>
      <w:r w:rsidR="00047540" w:rsidRPr="00DA0286">
        <w:rPr>
          <w:color w:val="000000" w:themeColor="text1"/>
        </w:rPr>
        <w:t>:</w:t>
      </w:r>
    </w:p>
    <w:p w14:paraId="140BAD30" w14:textId="5501F1CC" w:rsidR="001A2900" w:rsidRPr="00DA0286" w:rsidRDefault="00F770ED" w:rsidP="001A2900">
      <w:pPr>
        <w:pStyle w:val="Prrafodelista"/>
        <w:numPr>
          <w:ilvl w:val="0"/>
          <w:numId w:val="3"/>
        </w:numPr>
        <w:tabs>
          <w:tab w:val="left" w:pos="7470"/>
        </w:tabs>
        <w:spacing w:after="240"/>
        <w:jc w:val="both"/>
        <w:rPr>
          <w:rFonts w:ascii="Times New Roman" w:hAnsi="Times New Roman"/>
          <w:sz w:val="20"/>
          <w:szCs w:val="20"/>
          <w:lang w:val="es-ES_tradnl"/>
        </w:rPr>
      </w:pPr>
      <w:r w:rsidRPr="00DA0286">
        <w:rPr>
          <w:rFonts w:ascii="Times New Roman" w:hAnsi="Times New Roman"/>
          <w:sz w:val="20"/>
          <w:szCs w:val="20"/>
          <w:lang w:val="es-ES_tradnl"/>
        </w:rPr>
        <w:lastRenderedPageBreak/>
        <w:t>Se dispone que, el</w:t>
      </w:r>
      <w:r w:rsidR="00956C33" w:rsidRPr="00DA0286">
        <w:rPr>
          <w:rFonts w:ascii="Times New Roman" w:hAnsi="Times New Roman"/>
          <w:sz w:val="20"/>
          <w:szCs w:val="20"/>
          <w:lang w:val="es-ES_tradnl"/>
        </w:rPr>
        <w:t xml:space="preserve"> propietario</w:t>
      </w:r>
      <w:r w:rsidR="001A2900" w:rsidRPr="00DA0286">
        <w:rPr>
          <w:rFonts w:ascii="Times New Roman" w:hAnsi="Times New Roman"/>
          <w:sz w:val="20"/>
          <w:szCs w:val="20"/>
          <w:lang w:val="es-ES_tradnl"/>
        </w:rPr>
        <w:t xml:space="preserve"> y/o los socios del Comité Barrial “Abdón Calderón Número Dos”</w:t>
      </w:r>
      <w:r w:rsidR="00BC477D" w:rsidRPr="00DA0286">
        <w:rPr>
          <w:rFonts w:ascii="Times New Roman" w:hAnsi="Times New Roman"/>
          <w:sz w:val="20"/>
          <w:szCs w:val="20"/>
          <w:lang w:val="es-ES_tradnl"/>
        </w:rPr>
        <w:t>,</w:t>
      </w:r>
      <w:r w:rsidR="00956C33" w:rsidRPr="00DA0286">
        <w:rPr>
          <w:rFonts w:ascii="Times New Roman" w:hAnsi="Times New Roman"/>
          <w:sz w:val="20"/>
          <w:szCs w:val="20"/>
          <w:lang w:val="es-ES_tradnl"/>
        </w:rPr>
        <w:t xml:space="preserve"> </w:t>
      </w:r>
      <w:r w:rsidR="001A2900" w:rsidRPr="00DA0286">
        <w:rPr>
          <w:rFonts w:ascii="Times New Roman" w:hAnsi="Times New Roman"/>
          <w:sz w:val="20"/>
          <w:szCs w:val="20"/>
          <w:lang w:val="es-ES_tradnl"/>
        </w:rPr>
        <w:t>debe realizar el acondicionamiento de las vías internas y la canalización adecuada hacia redes públicas a fin de evitar procesos de erosión superficial.</w:t>
      </w:r>
    </w:p>
    <w:p w14:paraId="2B67D6B9" w14:textId="77777777" w:rsidR="001A2900" w:rsidRPr="00DA0286" w:rsidRDefault="001A2900" w:rsidP="001A2900">
      <w:pPr>
        <w:pStyle w:val="Prrafodelista"/>
        <w:tabs>
          <w:tab w:val="left" w:pos="7470"/>
        </w:tabs>
        <w:spacing w:after="240"/>
        <w:jc w:val="both"/>
        <w:rPr>
          <w:rFonts w:ascii="Times New Roman" w:hAnsi="Times New Roman"/>
          <w:sz w:val="20"/>
          <w:szCs w:val="20"/>
        </w:rPr>
      </w:pPr>
    </w:p>
    <w:p w14:paraId="15AD4E9C" w14:textId="351AA225" w:rsidR="001A2900" w:rsidRPr="00DA0286" w:rsidRDefault="00956C33" w:rsidP="006C12AA">
      <w:pPr>
        <w:pStyle w:val="Prrafodelista"/>
        <w:numPr>
          <w:ilvl w:val="0"/>
          <w:numId w:val="3"/>
        </w:numPr>
        <w:tabs>
          <w:tab w:val="left" w:pos="7470"/>
        </w:tabs>
        <w:spacing w:after="240"/>
        <w:jc w:val="both"/>
        <w:rPr>
          <w:rFonts w:ascii="Times New Roman" w:hAnsi="Times New Roman"/>
          <w:sz w:val="20"/>
          <w:szCs w:val="20"/>
          <w:lang w:val="es-ES_tradnl"/>
        </w:rPr>
      </w:pPr>
      <w:r w:rsidRPr="00DA0286">
        <w:rPr>
          <w:rFonts w:ascii="Times New Roman" w:hAnsi="Times New Roman"/>
          <w:sz w:val="20"/>
          <w:szCs w:val="20"/>
          <w:lang w:val="es-ES_tradnl"/>
        </w:rPr>
        <w:t>Se dispone que,</w:t>
      </w:r>
      <w:r w:rsidR="00961B20" w:rsidRPr="00DA0286">
        <w:rPr>
          <w:rFonts w:ascii="Times New Roman" w:hAnsi="Times New Roman"/>
          <w:sz w:val="20"/>
          <w:szCs w:val="20"/>
          <w:lang w:val="es-ES_tradnl"/>
        </w:rPr>
        <w:t xml:space="preserve"> </w:t>
      </w:r>
      <w:r w:rsidR="00F770ED" w:rsidRPr="00DA0286">
        <w:rPr>
          <w:rFonts w:ascii="Times New Roman" w:hAnsi="Times New Roman"/>
          <w:sz w:val="20"/>
          <w:szCs w:val="20"/>
          <w:lang w:val="es-ES_tradnl"/>
        </w:rPr>
        <w:t>el</w:t>
      </w:r>
      <w:r w:rsidR="00961B20" w:rsidRPr="00DA0286">
        <w:rPr>
          <w:rFonts w:ascii="Times New Roman" w:hAnsi="Times New Roman"/>
          <w:sz w:val="20"/>
          <w:szCs w:val="20"/>
          <w:lang w:val="es-ES_tradnl"/>
        </w:rPr>
        <w:t xml:space="preserve"> propietario</w:t>
      </w:r>
      <w:r w:rsidR="00F770ED" w:rsidRPr="00DA0286">
        <w:rPr>
          <w:rFonts w:ascii="Times New Roman" w:hAnsi="Times New Roman"/>
          <w:sz w:val="20"/>
          <w:szCs w:val="20"/>
          <w:lang w:val="es-ES_tradnl"/>
        </w:rPr>
        <w:t xml:space="preserve"> y/o </w:t>
      </w:r>
      <w:r w:rsidR="001A2900" w:rsidRPr="00DA0286">
        <w:rPr>
          <w:rFonts w:ascii="Times New Roman" w:hAnsi="Times New Roman"/>
          <w:sz w:val="20"/>
          <w:szCs w:val="20"/>
          <w:lang w:val="es-ES_tradnl"/>
        </w:rPr>
        <w:t>socios propietarios</w:t>
      </w:r>
      <w:r w:rsidR="00961B20" w:rsidRPr="00DA0286">
        <w:rPr>
          <w:rFonts w:ascii="Times New Roman" w:hAnsi="Times New Roman"/>
          <w:sz w:val="20"/>
          <w:szCs w:val="20"/>
          <w:lang w:val="es-ES_tradnl"/>
        </w:rPr>
        <w:t xml:space="preserve"> de los lotes </w:t>
      </w:r>
      <w:r w:rsidR="001A2900" w:rsidRPr="00DA0286">
        <w:rPr>
          <w:rFonts w:ascii="Times New Roman" w:hAnsi="Times New Roman"/>
          <w:sz w:val="20"/>
          <w:szCs w:val="20"/>
          <w:lang w:val="es-ES_tradnl"/>
        </w:rPr>
        <w:t>12, 13, 14, 19 y 21, como medida de mitigación del riesgo deben realizar los muros de protección y/o estabilización conforme así lo determine un profesional competente y posterior al respectivo estudio y análisis técnico de estabilidad de terreno.</w:t>
      </w:r>
    </w:p>
    <w:p w14:paraId="64AF25AE" w14:textId="77777777" w:rsidR="001A2900" w:rsidRPr="00DA0286" w:rsidRDefault="001A2900" w:rsidP="001A2900">
      <w:pPr>
        <w:pStyle w:val="Prrafodelista"/>
        <w:rPr>
          <w:rFonts w:ascii="Times New Roman" w:hAnsi="Times New Roman"/>
          <w:sz w:val="20"/>
          <w:szCs w:val="20"/>
          <w:lang w:val="es-ES_tradnl"/>
        </w:rPr>
      </w:pPr>
    </w:p>
    <w:p w14:paraId="6F387E8C" w14:textId="09867188" w:rsidR="001A2900" w:rsidRPr="00DA0286" w:rsidRDefault="001A2900" w:rsidP="001A2900">
      <w:pPr>
        <w:pStyle w:val="Prrafodelista"/>
        <w:numPr>
          <w:ilvl w:val="0"/>
          <w:numId w:val="3"/>
        </w:numPr>
        <w:tabs>
          <w:tab w:val="left" w:pos="7470"/>
        </w:tabs>
        <w:spacing w:after="240"/>
        <w:jc w:val="both"/>
        <w:rPr>
          <w:rFonts w:ascii="Times New Roman" w:hAnsi="Times New Roman"/>
          <w:sz w:val="20"/>
          <w:szCs w:val="20"/>
        </w:rPr>
      </w:pPr>
      <w:r w:rsidRPr="00DA0286">
        <w:rPr>
          <w:rFonts w:ascii="Times New Roman" w:hAnsi="Times New Roman"/>
          <w:sz w:val="20"/>
          <w:szCs w:val="20"/>
        </w:rPr>
        <w:t xml:space="preserve">Se recomiendan que los lotes 49, 50 y 51 al encontrarse colindantes y, en algunos casos, dentro de la quebrada no deberían ser susceptibles de regularización, sin perjuicio de lo manifestado por parte de la entidad encargada de catastros. </w:t>
      </w:r>
    </w:p>
    <w:p w14:paraId="6B7CBD62" w14:textId="77777777" w:rsidR="001A2900" w:rsidRPr="00DA0286" w:rsidRDefault="001A2900" w:rsidP="001A2900">
      <w:pPr>
        <w:pStyle w:val="Prrafodelista"/>
        <w:rPr>
          <w:rFonts w:ascii="Times New Roman" w:hAnsi="Times New Roman"/>
          <w:sz w:val="20"/>
          <w:szCs w:val="20"/>
        </w:rPr>
      </w:pPr>
    </w:p>
    <w:p w14:paraId="655BB047" w14:textId="57010083" w:rsidR="001A2900" w:rsidRDefault="001A2900" w:rsidP="001A2900">
      <w:pPr>
        <w:pStyle w:val="Prrafodelista"/>
        <w:numPr>
          <w:ilvl w:val="0"/>
          <w:numId w:val="3"/>
        </w:numPr>
        <w:tabs>
          <w:tab w:val="left" w:pos="7470"/>
        </w:tabs>
        <w:spacing w:after="240"/>
        <w:jc w:val="both"/>
        <w:rPr>
          <w:rFonts w:ascii="Times New Roman" w:hAnsi="Times New Roman"/>
          <w:sz w:val="20"/>
          <w:szCs w:val="20"/>
        </w:rPr>
      </w:pPr>
      <w:r w:rsidRPr="00DA0286">
        <w:rPr>
          <w:rFonts w:ascii="Times New Roman" w:hAnsi="Times New Roman"/>
          <w:sz w:val="20"/>
          <w:szCs w:val="20"/>
        </w:rPr>
        <w:t xml:space="preserve">Se recomienda que los propietarios y/o </w:t>
      </w:r>
      <w:r w:rsidRPr="00DA0286">
        <w:rPr>
          <w:rFonts w:ascii="Times New Roman" w:hAnsi="Times New Roman"/>
          <w:sz w:val="20"/>
          <w:szCs w:val="20"/>
          <w:lang w:val="es-ES_tradnl"/>
        </w:rPr>
        <w:t>los socios del Comité Barrial “Abdón Calderón Número Dos”</w:t>
      </w:r>
      <w:r w:rsidRPr="00DA0286">
        <w:rPr>
          <w:rFonts w:ascii="Times New Roman" w:hAnsi="Times New Roman"/>
          <w:sz w:val="20"/>
          <w:szCs w:val="20"/>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7C34233" w14:textId="220B765A" w:rsidR="001A00F0" w:rsidRPr="00DA0286" w:rsidRDefault="001A00F0" w:rsidP="001A00F0">
      <w:pPr>
        <w:spacing w:after="240" w:line="276" w:lineRule="auto"/>
        <w:contextualSpacing/>
        <w:jc w:val="both"/>
        <w:rPr>
          <w:bCs/>
        </w:rPr>
      </w:pPr>
      <w:r>
        <w:rPr>
          <w:bCs/>
        </w:rPr>
        <w:t>Y</w:t>
      </w:r>
      <w:r>
        <w:rPr>
          <w:bCs/>
        </w:rPr>
        <w:t xml:space="preserve"> su alcance, remitido mediante Oficio No. </w:t>
      </w:r>
      <w:r w:rsidRPr="00482217">
        <w:rPr>
          <w:bCs/>
        </w:rPr>
        <w:t>GADDMQ-SGSG-DMGR-2023-0019-OF</w:t>
      </w:r>
      <w:r>
        <w:rPr>
          <w:bCs/>
        </w:rPr>
        <w:t xml:space="preserve"> del 05 de enero de 2023, en los</w:t>
      </w:r>
      <w:r w:rsidRPr="00DA0286">
        <w:rPr>
          <w:bCs/>
        </w:rPr>
        <w:t xml:space="preserve"> cual</w:t>
      </w:r>
      <w:r>
        <w:rPr>
          <w:bCs/>
        </w:rPr>
        <w:t xml:space="preserve">es. Manifiestan que: </w:t>
      </w:r>
    </w:p>
    <w:p w14:paraId="68CF5F0A" w14:textId="77777777" w:rsidR="001A00F0" w:rsidRPr="00DA0286" w:rsidRDefault="001A00F0" w:rsidP="001A00F0">
      <w:pPr>
        <w:spacing w:after="240" w:line="276" w:lineRule="auto"/>
        <w:contextualSpacing/>
        <w:jc w:val="both"/>
        <w:rPr>
          <w:bCs/>
        </w:rPr>
      </w:pPr>
    </w:p>
    <w:p w14:paraId="767DEB88" w14:textId="77777777" w:rsidR="001A00F0" w:rsidRPr="00482217" w:rsidRDefault="001A00F0" w:rsidP="001A00F0">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57C1A5A2" w14:textId="77777777" w:rsidR="001A00F0" w:rsidRDefault="001A00F0" w:rsidP="001A00F0">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Pr>
          <w:rFonts w:eastAsiaTheme="minorHAnsi"/>
          <w:b/>
          <w:bCs/>
          <w:lang w:val="es-EC" w:eastAsia="en-US"/>
        </w:rPr>
        <w:tab/>
      </w:r>
      <w:r w:rsidRPr="00482217">
        <w:rPr>
          <w:rFonts w:eastAsiaTheme="minorHAnsi"/>
          <w:b/>
          <w:bCs/>
          <w:i/>
          <w:lang w:val="es-EC" w:eastAsia="en-US"/>
        </w:rPr>
        <w:t xml:space="preserve">Movimientos en masa: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 y 50</w:t>
      </w:r>
      <w:r w:rsidRPr="00482217">
        <w:rPr>
          <w:rFonts w:eastAsiaTheme="minorHAnsi"/>
          <w:i/>
          <w:lang w:val="es-EC" w:eastAsia="en-US"/>
        </w:rPr>
        <w:t>.”.</w:t>
      </w:r>
    </w:p>
    <w:p w14:paraId="3AFC20FA" w14:textId="77777777"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7589EA96" w14:textId="77777777" w:rsidR="001A00F0" w:rsidRDefault="001A00F0" w:rsidP="001A00F0">
      <w:pPr>
        <w:spacing w:after="240" w:line="276" w:lineRule="auto"/>
        <w:ind w:left="705"/>
        <w:jc w:val="both"/>
        <w:rPr>
          <w:rFonts w:eastAsiaTheme="minorHAnsi"/>
          <w:i/>
          <w:lang w:val="es-EC" w:eastAsia="en-US"/>
        </w:rPr>
      </w:pPr>
      <w:r>
        <w:rPr>
          <w:rFonts w:eastAsiaTheme="minorHAnsi"/>
          <w:i/>
          <w:lang w:val="es-EC" w:eastAsia="en-US"/>
        </w:rPr>
        <w:t>“</w:t>
      </w:r>
      <w:r w:rsidRPr="00482217">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482217">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482217">
        <w:rPr>
          <w:rFonts w:eastAsiaTheme="minorHAnsi"/>
          <w:i/>
          <w:lang w:val="es-EC" w:eastAsia="en-US"/>
        </w:rPr>
        <w:t>lo manifestado por parte de la entidad encargada de catastros</w:t>
      </w:r>
      <w:r>
        <w:rPr>
          <w:rFonts w:eastAsiaTheme="minorHAnsi"/>
          <w:i/>
          <w:lang w:val="es-EC" w:eastAsia="en-US"/>
        </w:rPr>
        <w:t>.”</w:t>
      </w:r>
      <w:r w:rsidRPr="00482217">
        <w:rPr>
          <w:rFonts w:eastAsiaTheme="minorHAnsi"/>
          <w:i/>
          <w:lang w:val="es-EC" w:eastAsia="en-US"/>
        </w:rPr>
        <w:t>.</w:t>
      </w:r>
    </w:p>
    <w:p w14:paraId="46F97F8B" w14:textId="77777777"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criterios de las otras 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r>
        <w:rPr>
          <w:rFonts w:eastAsiaTheme="minorHAnsi"/>
          <w:i/>
          <w:lang w:val="es-EC" w:eastAsia="en-US"/>
        </w:rPr>
        <w:t>”.</w:t>
      </w:r>
    </w:p>
    <w:p w14:paraId="212FAC03" w14:textId="77777777" w:rsidR="003C7306" w:rsidRPr="00DA0286" w:rsidRDefault="00AF3118" w:rsidP="001A2900">
      <w:pPr>
        <w:tabs>
          <w:tab w:val="left" w:pos="7470"/>
        </w:tabs>
        <w:spacing w:after="240"/>
        <w:jc w:val="both"/>
      </w:pPr>
      <w:r w:rsidRPr="00DA0286">
        <w:t>La Unidad Especial Regula t</w:t>
      </w:r>
      <w:r w:rsidR="003C7306" w:rsidRPr="00DA0286">
        <w:t xml:space="preserve">u Barrio deberá comunicar a la comunidad del AHHYC </w:t>
      </w:r>
      <w:r w:rsidR="003C7306" w:rsidRPr="00DA0286">
        <w:rPr>
          <w:lang w:val="es-ES_tradnl"/>
        </w:rPr>
        <w:t>Comité Barrial “Abdón Calderón Número Dos”</w:t>
      </w:r>
      <w:r w:rsidR="003C7306" w:rsidRPr="00DA0286">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52B66CB3" w14:textId="77777777" w:rsidR="0079447F" w:rsidRPr="00DA0286" w:rsidRDefault="00EC5653" w:rsidP="0079447F">
      <w:pPr>
        <w:pBdr>
          <w:top w:val="nil"/>
          <w:left w:val="nil"/>
          <w:bottom w:val="nil"/>
          <w:right w:val="nil"/>
          <w:between w:val="nil"/>
        </w:pBdr>
        <w:jc w:val="both"/>
        <w:rPr>
          <w:rFonts w:eastAsiaTheme="minorHAnsi"/>
          <w:color w:val="FF0000"/>
          <w:lang w:val="es-ES_tradnl" w:eastAsia="en-US"/>
        </w:rPr>
      </w:pPr>
      <w:r w:rsidRPr="00DA0286">
        <w:rPr>
          <w:b/>
        </w:rPr>
        <w:lastRenderedPageBreak/>
        <w:t>Tercera. -</w:t>
      </w:r>
      <w:r w:rsidR="00D67C2F" w:rsidRPr="00DA0286">
        <w:rPr>
          <w:b/>
        </w:rPr>
        <w:t xml:space="preserve">  </w:t>
      </w:r>
      <w:r w:rsidR="0079447F" w:rsidRPr="00DA0286">
        <w:rPr>
          <w:rFonts w:eastAsiaTheme="minorHAnsi"/>
          <w:lang w:val="es-ES_tradnl"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14:paraId="0EE86065" w14:textId="77777777" w:rsidR="0079447F" w:rsidRPr="00DA0286" w:rsidRDefault="0079447F" w:rsidP="0079447F">
      <w:pPr>
        <w:pBdr>
          <w:top w:val="nil"/>
          <w:left w:val="nil"/>
          <w:bottom w:val="nil"/>
          <w:right w:val="nil"/>
          <w:between w:val="nil"/>
        </w:pBdr>
        <w:jc w:val="both"/>
        <w:rPr>
          <w:rFonts w:eastAsiaTheme="minorHAnsi"/>
          <w:color w:val="FF0000"/>
          <w:lang w:val="es-ES_tradnl" w:eastAsia="en-US"/>
        </w:rPr>
      </w:pPr>
    </w:p>
    <w:p w14:paraId="22C5FEA2" w14:textId="55B8BDFB" w:rsidR="0079447F" w:rsidRPr="00DA0286" w:rsidRDefault="0079447F" w:rsidP="0079447F">
      <w:pPr>
        <w:pBdr>
          <w:top w:val="nil"/>
          <w:left w:val="nil"/>
          <w:bottom w:val="nil"/>
          <w:right w:val="nil"/>
          <w:between w:val="nil"/>
        </w:pBdr>
        <w:jc w:val="both"/>
      </w:pPr>
      <w:r w:rsidRPr="00DA0286">
        <w:rPr>
          <w:b/>
        </w:rPr>
        <w:t>Cuarta. -</w:t>
      </w:r>
      <w:r w:rsidRPr="00DA0286">
        <w:t xml:space="preserve">  La presente Ordenanza se aprueba en base a los informes que son de exclusiva responsabilidad de los funcionarios que lo suscriben y realizan.</w:t>
      </w:r>
    </w:p>
    <w:p w14:paraId="2B5D36E1" w14:textId="77777777" w:rsidR="009517EB" w:rsidRPr="00DA0286" w:rsidRDefault="009517EB" w:rsidP="0079447F">
      <w:pPr>
        <w:pBdr>
          <w:top w:val="nil"/>
          <w:left w:val="nil"/>
          <w:bottom w:val="nil"/>
          <w:right w:val="nil"/>
          <w:between w:val="nil"/>
        </w:pBdr>
        <w:jc w:val="both"/>
        <w:rPr>
          <w:color w:val="FF0000"/>
        </w:rPr>
      </w:pPr>
    </w:p>
    <w:p w14:paraId="21FAE370" w14:textId="77777777" w:rsidR="00FA4D07" w:rsidRDefault="0079447F" w:rsidP="00FA4D07">
      <w:pPr>
        <w:pBdr>
          <w:top w:val="nil"/>
          <w:left w:val="nil"/>
          <w:bottom w:val="nil"/>
          <w:right w:val="nil"/>
          <w:between w:val="nil"/>
        </w:pBdr>
        <w:jc w:val="both"/>
        <w:rPr>
          <w:color w:val="242424"/>
          <w:shd w:val="clear" w:color="auto" w:fill="FFFFFF"/>
        </w:rPr>
      </w:pPr>
      <w:r w:rsidRPr="00DA0286">
        <w:rPr>
          <w:b/>
        </w:rPr>
        <w:t xml:space="preserve">Quinta.- </w:t>
      </w:r>
      <w:r w:rsidR="00EC5653" w:rsidRPr="00DA0286">
        <w:rPr>
          <w:color w:val="242424"/>
          <w:shd w:val="clear" w:color="auto" w:fill="FFFFFF"/>
        </w:rPr>
        <w:t xml:space="preserve">Conforme </w:t>
      </w:r>
      <w:r w:rsidR="009517EB" w:rsidRPr="00DA0286">
        <w:rPr>
          <w:color w:val="242424"/>
          <w:shd w:val="clear" w:color="auto" w:fill="FFFFFF"/>
        </w:rPr>
        <w:t xml:space="preserve">a lo establecido en </w:t>
      </w:r>
      <w:r w:rsidR="00EC5653" w:rsidRPr="00DA0286">
        <w:rPr>
          <w:color w:val="242424"/>
          <w:shd w:val="clear" w:color="auto" w:fill="FFFFFF"/>
        </w:rPr>
        <w:t xml:space="preserve">el Código Municipal para el Distrito Metropolitano de Quito, los </w:t>
      </w:r>
      <w:r w:rsidR="009517EB" w:rsidRPr="00DA0286">
        <w:rPr>
          <w:color w:val="242424"/>
          <w:shd w:val="clear" w:color="auto" w:fill="FFFFFF"/>
        </w:rPr>
        <w:t xml:space="preserve">socios </w:t>
      </w:r>
      <w:r w:rsidR="00EC5653" w:rsidRPr="00DA0286">
        <w:rPr>
          <w:color w:val="242424"/>
          <w:shd w:val="clear" w:color="auto" w:fill="FFFFFF"/>
        </w:rPr>
        <w:t xml:space="preserve">del </w:t>
      </w:r>
      <w:r w:rsidR="00EC5653" w:rsidRPr="00DA0286">
        <w:t>asentamiento humano de hecho y consolidado de interés social denominado Comité Barrial “Abdón Calderón Número Dos”</w:t>
      </w:r>
      <w:r w:rsidR="00EC5653" w:rsidRPr="00DA0286">
        <w:rPr>
          <w:color w:val="242424"/>
          <w:shd w:val="clear" w:color="auto" w:fill="FFFFFF"/>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1B203449" w14:textId="77777777" w:rsidR="00FA4D07" w:rsidRDefault="00FA4D07" w:rsidP="00FA4D07">
      <w:pPr>
        <w:pBdr>
          <w:top w:val="nil"/>
          <w:left w:val="nil"/>
          <w:bottom w:val="nil"/>
          <w:right w:val="nil"/>
          <w:between w:val="nil"/>
        </w:pBdr>
        <w:jc w:val="both"/>
        <w:rPr>
          <w:color w:val="242424"/>
          <w:shd w:val="clear" w:color="auto" w:fill="FFFFFF"/>
        </w:rPr>
      </w:pPr>
    </w:p>
    <w:p w14:paraId="60E865FA" w14:textId="30F3FC3B" w:rsidR="00A23FEC" w:rsidRPr="00FA4D07" w:rsidRDefault="00A23FEC" w:rsidP="00FA4D07">
      <w:pPr>
        <w:pBdr>
          <w:top w:val="nil"/>
          <w:left w:val="nil"/>
          <w:bottom w:val="nil"/>
          <w:right w:val="nil"/>
          <w:between w:val="nil"/>
        </w:pBdr>
        <w:jc w:val="both"/>
        <w:rPr>
          <w:color w:val="242424"/>
          <w:shd w:val="clear" w:color="auto" w:fill="FFFFFF"/>
        </w:rPr>
      </w:pPr>
      <w:r w:rsidRPr="00DA0286">
        <w:rPr>
          <w:b/>
          <w:lang w:val="es-ES_tradnl"/>
        </w:rPr>
        <w:t xml:space="preserve">Disposición Final. – </w:t>
      </w:r>
      <w:r w:rsidRPr="00DA0286">
        <w:rPr>
          <w:bCs/>
          <w:lang w:val="es-ES_tradnl"/>
        </w:rPr>
        <w:t>Esta Ordenanza entrará en vigencia a partir de la fecha de su sanción, sin perjuicio de su publicación en la página web institucional de la Municipalidad.</w:t>
      </w:r>
    </w:p>
    <w:p w14:paraId="5399B3F4" w14:textId="77777777" w:rsidR="00FA4D07" w:rsidRDefault="00FA4D07" w:rsidP="00A23FEC">
      <w:pPr>
        <w:jc w:val="both"/>
      </w:pPr>
    </w:p>
    <w:p w14:paraId="4E9D0555" w14:textId="3D82879F" w:rsidR="00A23FEC" w:rsidRPr="00DA0286" w:rsidRDefault="00A23FEC" w:rsidP="00A23FEC">
      <w:pPr>
        <w:jc w:val="both"/>
      </w:pPr>
      <w:r w:rsidRPr="00DA0286">
        <w:t>Dada, en la Sala de Sesiones del Concejo Metropolitano de Quito, el .…… de …………. del 202</w:t>
      </w:r>
      <w:r w:rsidR="009517EB" w:rsidRPr="00DA0286">
        <w:t>3</w:t>
      </w:r>
    </w:p>
    <w:p w14:paraId="78E25BBA" w14:textId="77777777" w:rsidR="00A23FEC" w:rsidRPr="00DA0286" w:rsidRDefault="00A23FEC" w:rsidP="00A23FEC">
      <w:pPr>
        <w:pStyle w:val="Textopredeterminado"/>
        <w:shd w:val="clear" w:color="auto" w:fill="FFFFFF"/>
        <w:jc w:val="both"/>
        <w:rPr>
          <w:sz w:val="20"/>
          <w:lang w:val="es-ES"/>
        </w:rPr>
      </w:pPr>
    </w:p>
    <w:p w14:paraId="1EE5E436" w14:textId="77777777" w:rsidR="00A23FEC" w:rsidRPr="00DA0286" w:rsidRDefault="00A23FEC" w:rsidP="00A23FEC">
      <w:pPr>
        <w:jc w:val="both"/>
      </w:pPr>
    </w:p>
    <w:p w14:paraId="7470A5FC" w14:textId="77777777" w:rsidR="00A23FEC" w:rsidRPr="00DA0286" w:rsidRDefault="00A23FEC" w:rsidP="00A23FEC">
      <w:pPr>
        <w:jc w:val="both"/>
      </w:pPr>
    </w:p>
    <w:p w14:paraId="209CA17F" w14:textId="77777777" w:rsidR="00A23FEC" w:rsidRPr="00DA0286" w:rsidRDefault="00A23FEC" w:rsidP="00A23FEC">
      <w:pPr>
        <w:jc w:val="both"/>
      </w:pPr>
    </w:p>
    <w:p w14:paraId="33EC3CCF" w14:textId="77777777" w:rsidR="00A23FEC" w:rsidRPr="00DA0286" w:rsidRDefault="00A23FEC" w:rsidP="00A23FEC">
      <w:pPr>
        <w:pStyle w:val="Textopredeterminado"/>
        <w:shd w:val="clear" w:color="auto" w:fill="FFFFFF"/>
        <w:jc w:val="both"/>
        <w:rPr>
          <w:sz w:val="20"/>
          <w:lang w:val="es-ES"/>
        </w:rPr>
      </w:pPr>
    </w:p>
    <w:p w14:paraId="08E5A978"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Abg. Pablo Antonio Santillán Paredes</w:t>
      </w:r>
    </w:p>
    <w:p w14:paraId="6DA31305" w14:textId="77777777" w:rsidR="00A23FEC" w:rsidRPr="00DA0286" w:rsidRDefault="00A23FEC" w:rsidP="00A23FEC">
      <w:pPr>
        <w:pStyle w:val="Textosinformato"/>
        <w:spacing w:after="240"/>
        <w:jc w:val="center"/>
        <w:rPr>
          <w:rFonts w:ascii="Times New Roman" w:eastAsia="MS Mincho" w:hAnsi="Times New Roman"/>
          <w:b/>
          <w:bCs/>
        </w:rPr>
      </w:pPr>
      <w:r w:rsidRPr="00DA0286">
        <w:rPr>
          <w:rFonts w:ascii="Times New Roman" w:eastAsia="MS Mincho" w:hAnsi="Times New Roman"/>
          <w:b/>
          <w:bCs/>
        </w:rPr>
        <w:t xml:space="preserve">SECRETARIO GENERAL DEL CONCEJO METROPOLITANO DE QUITO </w:t>
      </w:r>
    </w:p>
    <w:p w14:paraId="241D8A06" w14:textId="77777777" w:rsidR="00A23FEC" w:rsidRPr="00DA0286" w:rsidRDefault="00A23FEC" w:rsidP="00A23FEC">
      <w:pPr>
        <w:pStyle w:val="Textosinformato"/>
        <w:spacing w:after="240"/>
        <w:jc w:val="center"/>
        <w:rPr>
          <w:rFonts w:ascii="Times New Roman" w:eastAsia="MS Mincho" w:hAnsi="Times New Roman"/>
          <w:b/>
          <w:bCs/>
        </w:rPr>
      </w:pPr>
    </w:p>
    <w:p w14:paraId="1C44CE8A" w14:textId="77777777" w:rsidR="00A23FEC" w:rsidRPr="00DA0286" w:rsidRDefault="00A23FEC" w:rsidP="00A23FEC">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rPr>
      </w:pPr>
      <w:r w:rsidRPr="00DA0286">
        <w:rPr>
          <w:rFonts w:ascii="Times New Roman" w:eastAsia="MS Mincho" w:hAnsi="Times New Roman"/>
          <w:b/>
          <w:bCs/>
        </w:rPr>
        <w:t>CERTIFICADO DE DISCUSIÓN</w:t>
      </w:r>
    </w:p>
    <w:p w14:paraId="16B44D1E" w14:textId="77777777" w:rsidR="00A23FEC" w:rsidRPr="00DA0286" w:rsidRDefault="00A23FEC" w:rsidP="00A23FEC">
      <w:pPr>
        <w:pStyle w:val="Textosinformato"/>
        <w:jc w:val="center"/>
        <w:rPr>
          <w:rFonts w:ascii="Times New Roman" w:eastAsia="MS Mincho" w:hAnsi="Times New Roman"/>
        </w:rPr>
      </w:pPr>
    </w:p>
    <w:p w14:paraId="1DFF283B" w14:textId="77777777" w:rsidR="00A23FEC" w:rsidRPr="00DA0286" w:rsidRDefault="00A23FEC" w:rsidP="00A23FEC">
      <w:pPr>
        <w:pStyle w:val="Textosinformato"/>
        <w:spacing w:line="276" w:lineRule="auto"/>
        <w:jc w:val="center"/>
        <w:rPr>
          <w:rFonts w:ascii="Times New Roman" w:eastAsia="MS Mincho" w:hAnsi="Times New Roman"/>
        </w:rPr>
      </w:pPr>
    </w:p>
    <w:p w14:paraId="60B718FA" w14:textId="54DACF91" w:rsidR="00A23FEC" w:rsidRPr="00DA0286" w:rsidRDefault="00A23FEC" w:rsidP="00A23FEC">
      <w:pPr>
        <w:pStyle w:val="Textosinformato"/>
        <w:spacing w:line="276" w:lineRule="auto"/>
        <w:jc w:val="center"/>
        <w:rPr>
          <w:rFonts w:ascii="Times New Roman" w:eastAsia="MS Mincho" w:hAnsi="Times New Roman"/>
        </w:rPr>
      </w:pPr>
      <w:r w:rsidRPr="00DA0286">
        <w:rPr>
          <w:rFonts w:ascii="Times New Roman" w:eastAsia="MS Mincho" w:hAnsi="Times New Roman"/>
        </w:rPr>
        <w:t>La infrascrita Secretaria General del Concejo Metropolitano de Quito, certifica que la presente ordenanza fue discutida y aprobada en dos debates, en sesiones de …..de ……..  y ….. de …………. de 202</w:t>
      </w:r>
      <w:r w:rsidR="00DA0286" w:rsidRPr="00DA0286">
        <w:rPr>
          <w:rFonts w:ascii="Times New Roman" w:eastAsia="MS Mincho" w:hAnsi="Times New Roman"/>
        </w:rPr>
        <w:t>3</w:t>
      </w:r>
      <w:r w:rsidRPr="00DA0286">
        <w:rPr>
          <w:rFonts w:ascii="Times New Roman" w:eastAsia="MS Mincho" w:hAnsi="Times New Roman"/>
        </w:rPr>
        <w:t xml:space="preserve"> - Quito,</w:t>
      </w:r>
    </w:p>
    <w:p w14:paraId="6B461BD7" w14:textId="77777777" w:rsidR="00A23FEC" w:rsidRPr="00DA0286" w:rsidRDefault="00A23FEC" w:rsidP="00A23FEC">
      <w:pPr>
        <w:pStyle w:val="Textosinformato"/>
        <w:jc w:val="center"/>
        <w:rPr>
          <w:rFonts w:ascii="Times New Roman" w:eastAsia="MS Mincho" w:hAnsi="Times New Roman"/>
        </w:rPr>
      </w:pPr>
    </w:p>
    <w:p w14:paraId="7BA6EBF5" w14:textId="77777777" w:rsidR="00A23FEC" w:rsidRPr="00DA0286" w:rsidRDefault="00A23FEC" w:rsidP="00A23FEC">
      <w:pPr>
        <w:pStyle w:val="Textosinformato"/>
        <w:rPr>
          <w:rFonts w:ascii="Times New Roman" w:eastAsia="MS Mincho" w:hAnsi="Times New Roman"/>
        </w:rPr>
      </w:pPr>
    </w:p>
    <w:p w14:paraId="4DB702B9" w14:textId="77777777" w:rsidR="00A23FEC" w:rsidRPr="00DA0286" w:rsidRDefault="00A23FEC" w:rsidP="00A23FEC">
      <w:pPr>
        <w:pStyle w:val="Textosinformato"/>
        <w:rPr>
          <w:rFonts w:ascii="Times New Roman" w:eastAsia="MS Mincho" w:hAnsi="Times New Roman"/>
        </w:rPr>
      </w:pPr>
    </w:p>
    <w:p w14:paraId="00F062A1" w14:textId="77777777" w:rsidR="00A23FEC" w:rsidRPr="00DA0286" w:rsidRDefault="00A23FEC" w:rsidP="00A23FEC">
      <w:pPr>
        <w:pStyle w:val="Textosinformato"/>
        <w:jc w:val="center"/>
        <w:rPr>
          <w:rFonts w:ascii="Times New Roman" w:eastAsia="MS Mincho" w:hAnsi="Times New Roman"/>
        </w:rPr>
      </w:pPr>
    </w:p>
    <w:p w14:paraId="210471CA" w14:textId="77777777" w:rsidR="00A23FEC" w:rsidRPr="00DA0286" w:rsidRDefault="00A23FEC" w:rsidP="00A23FEC">
      <w:pPr>
        <w:pStyle w:val="Textosinformato"/>
        <w:jc w:val="center"/>
        <w:rPr>
          <w:rFonts w:ascii="Times New Roman" w:eastAsia="MS Mincho" w:hAnsi="Times New Roman"/>
        </w:rPr>
      </w:pPr>
    </w:p>
    <w:p w14:paraId="428E07CF"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Abg. Pablo Antonio Santillán Paredes</w:t>
      </w:r>
    </w:p>
    <w:p w14:paraId="5DCE62BB" w14:textId="77777777" w:rsidR="00A23FEC" w:rsidRPr="00DA0286" w:rsidRDefault="00A23FEC" w:rsidP="00A23FEC">
      <w:pPr>
        <w:pStyle w:val="Textosinformato"/>
        <w:spacing w:after="240"/>
        <w:jc w:val="center"/>
        <w:rPr>
          <w:rFonts w:ascii="Times New Roman" w:eastAsia="MS Mincho" w:hAnsi="Times New Roman"/>
          <w:b/>
          <w:bCs/>
        </w:rPr>
      </w:pPr>
      <w:r w:rsidRPr="00DA0286">
        <w:rPr>
          <w:rFonts w:ascii="Times New Roman" w:eastAsia="MS Mincho" w:hAnsi="Times New Roman"/>
          <w:b/>
          <w:bCs/>
        </w:rPr>
        <w:t xml:space="preserve">SECRETARIO GENERAL DEL CONCEJO METROPOLITANO DE QUITO </w:t>
      </w:r>
    </w:p>
    <w:p w14:paraId="51AE8FE0" w14:textId="77777777" w:rsidR="00A23FEC" w:rsidRPr="00DA0286" w:rsidRDefault="00A23FEC" w:rsidP="00A23FEC">
      <w:pPr>
        <w:pStyle w:val="Textosinformato"/>
        <w:jc w:val="center"/>
        <w:rPr>
          <w:rFonts w:ascii="Times New Roman" w:eastAsia="MS Mincho" w:hAnsi="Times New Roman"/>
        </w:rPr>
      </w:pPr>
    </w:p>
    <w:p w14:paraId="30D26C74"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b/>
          <w:bCs/>
        </w:rPr>
        <w:t>ALCALDÍA DEL DISTRITO METROPOLITANO. -</w:t>
      </w:r>
      <w:r w:rsidRPr="00DA0286">
        <w:rPr>
          <w:rFonts w:ascii="Times New Roman" w:eastAsia="MS Mincho" w:hAnsi="Times New Roman"/>
        </w:rPr>
        <w:t xml:space="preserve">  Distrito Metropolitano de Quito,</w:t>
      </w:r>
    </w:p>
    <w:p w14:paraId="13975D15" w14:textId="77777777" w:rsidR="00A23FEC" w:rsidRPr="00DA0286" w:rsidRDefault="00A23FEC" w:rsidP="00A23FEC">
      <w:pPr>
        <w:pStyle w:val="Textosinformato"/>
        <w:jc w:val="center"/>
        <w:rPr>
          <w:rFonts w:ascii="Times New Roman" w:eastAsia="MS Mincho" w:hAnsi="Times New Roman"/>
          <w:b/>
        </w:rPr>
      </w:pPr>
    </w:p>
    <w:p w14:paraId="30DAB849" w14:textId="77777777" w:rsidR="00A23FEC" w:rsidRPr="00DA0286" w:rsidRDefault="00A23FEC" w:rsidP="00A23FEC">
      <w:pPr>
        <w:pStyle w:val="Textosinformato"/>
        <w:spacing w:after="480"/>
        <w:jc w:val="center"/>
        <w:rPr>
          <w:rFonts w:ascii="Times New Roman" w:eastAsia="MS Mincho" w:hAnsi="Times New Roman"/>
          <w:b/>
        </w:rPr>
      </w:pPr>
      <w:r w:rsidRPr="00DA0286">
        <w:rPr>
          <w:rFonts w:ascii="Times New Roman" w:eastAsia="MS Mincho" w:hAnsi="Times New Roman"/>
          <w:b/>
        </w:rPr>
        <w:t>EJECÚTESE:</w:t>
      </w:r>
    </w:p>
    <w:p w14:paraId="51DC9133" w14:textId="77777777" w:rsidR="00A23FEC" w:rsidRPr="00DA0286" w:rsidRDefault="00A23FEC" w:rsidP="00A23FEC">
      <w:pPr>
        <w:pStyle w:val="Textosinformato"/>
        <w:spacing w:after="480"/>
        <w:jc w:val="center"/>
        <w:rPr>
          <w:rFonts w:ascii="Times New Roman" w:eastAsia="MS Mincho" w:hAnsi="Times New Roman"/>
          <w:b/>
        </w:rPr>
      </w:pPr>
    </w:p>
    <w:p w14:paraId="15BB32B6" w14:textId="77777777" w:rsidR="00A23FEC" w:rsidRPr="00DA0286" w:rsidRDefault="00A23FEC" w:rsidP="00A23FEC">
      <w:pPr>
        <w:pStyle w:val="Textosinformato"/>
        <w:jc w:val="center"/>
        <w:rPr>
          <w:rFonts w:ascii="Times New Roman" w:eastAsia="MS Mincho" w:hAnsi="Times New Roman"/>
        </w:rPr>
      </w:pPr>
    </w:p>
    <w:p w14:paraId="49953A25"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Dr. Santiago Mauricio Guarderas Izquierdo</w:t>
      </w:r>
    </w:p>
    <w:p w14:paraId="7CE488F6" w14:textId="77777777" w:rsidR="00A23FEC" w:rsidRPr="00DA0286" w:rsidRDefault="00A23FEC" w:rsidP="00A23FEC">
      <w:pPr>
        <w:pStyle w:val="Textosinformato"/>
        <w:jc w:val="center"/>
        <w:rPr>
          <w:rFonts w:ascii="Times New Roman" w:eastAsia="MS Mincho" w:hAnsi="Times New Roman"/>
          <w:b/>
          <w:bCs/>
        </w:rPr>
      </w:pPr>
      <w:r w:rsidRPr="00DA0286">
        <w:rPr>
          <w:rFonts w:ascii="Times New Roman" w:eastAsia="MS Mincho" w:hAnsi="Times New Roman"/>
          <w:b/>
          <w:bCs/>
        </w:rPr>
        <w:t>ALCALDE DEL DISTRITO METROPOLITANO DE QUITO</w:t>
      </w:r>
    </w:p>
    <w:p w14:paraId="6667384E" w14:textId="77777777" w:rsidR="00A23FEC" w:rsidRPr="00DA0286" w:rsidRDefault="00A23FEC" w:rsidP="00A23FEC">
      <w:pPr>
        <w:pStyle w:val="Textosinformato"/>
        <w:jc w:val="center"/>
        <w:rPr>
          <w:rFonts w:ascii="Times New Roman" w:eastAsia="MS Mincho" w:hAnsi="Times New Roman"/>
        </w:rPr>
      </w:pPr>
    </w:p>
    <w:p w14:paraId="20E7FAC1"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b/>
          <w:bCs/>
        </w:rPr>
        <w:t>CERTIFICO,</w:t>
      </w:r>
      <w:r w:rsidRPr="00DA0286">
        <w:rPr>
          <w:rFonts w:ascii="Times New Roman" w:eastAsia="MS Mincho" w:hAnsi="Times New Roman"/>
        </w:rPr>
        <w:t xml:space="preserve"> que la presente ordenanza fue sancionada por el Dr. Santiago Mauricio Guarderas Izquierdo, Alcalde del Distrito Metropolitano de Quito, el</w:t>
      </w:r>
    </w:p>
    <w:p w14:paraId="7E8B7F99" w14:textId="77777777" w:rsidR="003B06A9" w:rsidRPr="00DA0286" w:rsidRDefault="00A23FEC" w:rsidP="00927F3E">
      <w:pPr>
        <w:pStyle w:val="Textosinformato"/>
        <w:tabs>
          <w:tab w:val="right" w:pos="8504"/>
        </w:tabs>
        <w:spacing w:line="276" w:lineRule="auto"/>
        <w:jc w:val="center"/>
        <w:rPr>
          <w:rFonts w:ascii="Times New Roman" w:hAnsi="Times New Roman"/>
        </w:rPr>
      </w:pPr>
      <w:r w:rsidRPr="00DA0286">
        <w:rPr>
          <w:rFonts w:ascii="Times New Roman" w:eastAsia="MS Mincho" w:hAnsi="Times New Roman"/>
        </w:rPr>
        <w:t>.- Distrito Metropolitano de Quito</w:t>
      </w:r>
    </w:p>
    <w:sectPr w:rsidR="003B06A9" w:rsidRPr="00DA0286">
      <w:headerReference w:type="even" r:id="rId10"/>
      <w:headerReference w:type="default" r:id="rId11"/>
      <w:footerReference w:type="default" r:id="rId12"/>
      <w:headerReference w:type="firs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nia Fernanda Duran Garcia" w:date="2023-02-15T09:41:00Z" w:initials="SFDG">
    <w:p w14:paraId="0F95D04E" w14:textId="77777777" w:rsidR="00E3004A" w:rsidRDefault="00E3004A" w:rsidP="00E3004A">
      <w:pPr>
        <w:pStyle w:val="Textocomentario"/>
      </w:pPr>
      <w:r>
        <w:rPr>
          <w:rStyle w:val="Refdecomentario"/>
        </w:rPr>
        <w:annotationRef/>
      </w:r>
      <w:r>
        <w:t xml:space="preserve">Incluir las nuevas disposiciones legales con la aprobación del PUGS </w:t>
      </w:r>
    </w:p>
    <w:p w14:paraId="0164FFA8" w14:textId="77777777" w:rsidR="00E3004A" w:rsidRDefault="00E3004A" w:rsidP="00E3004A">
      <w:pPr>
        <w:pStyle w:val="Textocomentario"/>
      </w:pPr>
      <w:r>
        <w:t xml:space="preserve">Despacho Concejal René Bedón; y, </w:t>
      </w:r>
    </w:p>
    <w:p w14:paraId="1AB06FCE" w14:textId="77777777" w:rsidR="00E3004A" w:rsidRDefault="00E3004A" w:rsidP="00E3004A">
      <w:pPr>
        <w:pStyle w:val="Textocomentario"/>
      </w:pPr>
      <w:r>
        <w:t>Despacho Concejal Luis Robles</w:t>
      </w:r>
    </w:p>
  </w:comment>
  <w:comment w:id="1" w:author="Sonia Fernanda Duran Garcia" w:date="2023-02-15T09:42:00Z" w:initials="SFDG">
    <w:p w14:paraId="7DBDE5E9" w14:textId="77777777" w:rsidR="00E3004A" w:rsidRDefault="00E3004A" w:rsidP="00E3004A">
      <w:pPr>
        <w:pStyle w:val="Textocomentario"/>
      </w:pPr>
      <w:r>
        <w:rPr>
          <w:rStyle w:val="Refdecomentario"/>
        </w:rPr>
        <w:annotationRef/>
      </w:r>
      <w:r>
        <w:t>Incluir las nuevas disposiciones legales con la aprobación del PUGS sobre los AHHYC que se acogen a los procesos de regularización anterior.</w:t>
      </w:r>
    </w:p>
    <w:p w14:paraId="792A0A33" w14:textId="77777777" w:rsidR="00E3004A" w:rsidRDefault="00E3004A" w:rsidP="00E3004A">
      <w:pPr>
        <w:pStyle w:val="Textocomentario"/>
      </w:pPr>
      <w:r>
        <w:t>Despacho Concejal René Bedón</w:t>
      </w:r>
    </w:p>
  </w:comment>
  <w:comment w:id="2" w:author="Sonia Fernanda Duran Garcia" w:date="2023-02-15T09:47:00Z" w:initials="SFDG">
    <w:p w14:paraId="4F7C8F7A" w14:textId="77777777" w:rsidR="0031166C" w:rsidRDefault="0031166C" w:rsidP="0031166C">
      <w:pPr>
        <w:pStyle w:val="Textocomentario"/>
      </w:pPr>
      <w:r>
        <w:rPr>
          <w:rStyle w:val="Refdecomentario"/>
        </w:rPr>
        <w:annotationRef/>
      </w:r>
      <w:r>
        <w:t xml:space="preserve">Incluir en considerandos los criterios de la UERB para la consideración de la declaratoria de interés social del AHHYC </w:t>
      </w:r>
    </w:p>
    <w:p w14:paraId="78992D95" w14:textId="77777777" w:rsidR="0031166C" w:rsidRDefault="0031166C" w:rsidP="0031166C">
      <w:pPr>
        <w:pStyle w:val="Textocomentario"/>
      </w:pPr>
      <w:r>
        <w:t>Despacho Concejal René Bedón</w:t>
      </w:r>
    </w:p>
  </w:comment>
  <w:comment w:id="3" w:author="Sonia Fernanda Duran Garcia" w:date="2023-02-17T11:36:00Z" w:initials="SFDG">
    <w:p w14:paraId="2776AD68" w14:textId="77777777" w:rsidR="0031166C" w:rsidRDefault="0031166C" w:rsidP="0031166C">
      <w:pPr>
        <w:pStyle w:val="Textocomentario"/>
      </w:pPr>
      <w:r>
        <w:rPr>
          <w:rStyle w:val="Refdecomentario"/>
        </w:rPr>
        <w:annotationRef/>
      </w:r>
      <w:r>
        <w:t xml:space="preserve">Incluir observación al texto. </w:t>
      </w:r>
    </w:p>
    <w:p w14:paraId="0EE7476D" w14:textId="77777777" w:rsidR="0031166C" w:rsidRDefault="0031166C" w:rsidP="0031166C">
      <w:pPr>
        <w:pStyle w:val="Textocomentario"/>
      </w:pPr>
      <w:r>
        <w:t>Despacho señor Alcalde Dr. Santiago Guarderas</w:t>
      </w:r>
    </w:p>
  </w:comment>
  <w:comment w:id="4" w:author="Sonia Fernanda Duran Garcia" w:date="2023-02-17T11:39:00Z" w:initials="SFDG">
    <w:p w14:paraId="449C4589" w14:textId="77777777" w:rsidR="00E3004A" w:rsidRDefault="00E3004A" w:rsidP="00E3004A">
      <w:pPr>
        <w:pStyle w:val="Textocomentario"/>
      </w:pPr>
      <w:r>
        <w:rPr>
          <w:rStyle w:val="Refdecomentario"/>
        </w:rPr>
        <w:annotationRef/>
      </w:r>
      <w:r>
        <w:t>Modificación de texto</w:t>
      </w:r>
    </w:p>
    <w:p w14:paraId="3A2462E0" w14:textId="77777777" w:rsidR="00E3004A" w:rsidRDefault="00E3004A" w:rsidP="00E3004A">
      <w:pPr>
        <w:pStyle w:val="Textocomentario"/>
      </w:pPr>
      <w:r>
        <w:t>-Despacho Concejal René Bedón</w:t>
      </w:r>
    </w:p>
  </w:comment>
  <w:comment w:id="5" w:author="Sonia Fernanda Duran Garcia" w:date="2023-02-17T11:41:00Z" w:initials="SFDG">
    <w:p w14:paraId="7DB0D851" w14:textId="77777777" w:rsidR="00E3004A" w:rsidRDefault="00E3004A" w:rsidP="00E3004A">
      <w:pPr>
        <w:pStyle w:val="Textocomentario"/>
      </w:pPr>
      <w:r>
        <w:rPr>
          <w:rStyle w:val="Refdecomentario"/>
        </w:rPr>
        <w:annotationRef/>
      </w:r>
      <w:r>
        <w:t>Texto modificado por la UERB de acuerdo a la propuesta de los despachos</w:t>
      </w:r>
    </w:p>
    <w:p w14:paraId="04678E12" w14:textId="77777777" w:rsidR="00E3004A" w:rsidRDefault="00E3004A" w:rsidP="00E3004A">
      <w:pPr>
        <w:pStyle w:val="Textocomentario"/>
        <w:numPr>
          <w:ilvl w:val="0"/>
          <w:numId w:val="4"/>
        </w:numPr>
      </w:pPr>
      <w:r>
        <w:t>Despacho Concejal Luis Robles</w:t>
      </w:r>
    </w:p>
    <w:p w14:paraId="13C1F8B9" w14:textId="77777777" w:rsidR="00E3004A" w:rsidRDefault="00E3004A" w:rsidP="00E3004A">
      <w:pPr>
        <w:pStyle w:val="Textocomentario"/>
      </w:pPr>
      <w:r>
        <w:t>Despacho Concejal René Bedón</w:t>
      </w:r>
    </w:p>
  </w:comment>
  <w:comment w:id="8" w:author="Sonia Fernanda Duran Garcia" w:date="2023-02-17T11:43:00Z" w:initials="SFDG">
    <w:p w14:paraId="136F7CD1" w14:textId="77777777" w:rsidR="00A75E06" w:rsidRDefault="00A75E06" w:rsidP="00A75E06">
      <w:pPr>
        <w:pStyle w:val="Textocomentario"/>
        <w:rPr>
          <w:bCs/>
          <w:sz w:val="24"/>
          <w:szCs w:val="24"/>
          <w:u w:val="single"/>
        </w:rPr>
      </w:pPr>
      <w:r>
        <w:rPr>
          <w:rStyle w:val="Refdecomentario"/>
        </w:rPr>
        <w:annotationRef/>
      </w:r>
      <w:r>
        <w:t xml:space="preserve">Eliminar el texto: </w:t>
      </w:r>
      <w:r w:rsidRPr="00921EDC">
        <w:rPr>
          <w:i/>
        </w:rPr>
        <w:t>“</w:t>
      </w:r>
      <w:r w:rsidRPr="00921EDC">
        <w:rPr>
          <w:bCs/>
          <w:i/>
          <w:sz w:val="24"/>
          <w:szCs w:val="24"/>
        </w:rPr>
        <w:t>solicitar el auxilio de la policía nacional”</w:t>
      </w:r>
      <w:r>
        <w:rPr>
          <w:bCs/>
          <w:i/>
          <w:sz w:val="24"/>
          <w:szCs w:val="24"/>
        </w:rPr>
        <w:t xml:space="preserve"> </w:t>
      </w:r>
      <w:r w:rsidRPr="00921EDC">
        <w:rPr>
          <w:bCs/>
          <w:sz w:val="24"/>
          <w:szCs w:val="24"/>
          <w:u w:val="single"/>
        </w:rPr>
        <w:t>por ser improcedente</w:t>
      </w:r>
    </w:p>
    <w:p w14:paraId="37142CD3" w14:textId="77777777" w:rsidR="00A75E06" w:rsidRDefault="00A75E06" w:rsidP="00A75E06">
      <w:pPr>
        <w:pStyle w:val="Textocomentario"/>
      </w:pPr>
      <w:r>
        <w:rPr>
          <w:bCs/>
          <w:sz w:val="24"/>
          <w:szCs w:val="24"/>
        </w:rPr>
        <w:t>Despacho Concejal René Bedón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B06FCE" w15:done="0"/>
  <w15:commentEx w15:paraId="792A0A33" w15:done="0"/>
  <w15:commentEx w15:paraId="78992D95" w15:done="0"/>
  <w15:commentEx w15:paraId="0EE7476D" w15:done="0"/>
  <w15:commentEx w15:paraId="3A2462E0" w15:done="0"/>
  <w15:commentEx w15:paraId="13C1F8B9" w15:done="0"/>
  <w15:commentEx w15:paraId="37142CD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2AE0" w14:textId="77777777" w:rsidR="00392F67" w:rsidRDefault="00392F67" w:rsidP="00DB15C7">
      <w:r>
        <w:separator/>
      </w:r>
    </w:p>
  </w:endnote>
  <w:endnote w:type="continuationSeparator" w:id="0">
    <w:p w14:paraId="04D171A3" w14:textId="77777777" w:rsidR="00392F67" w:rsidRDefault="00392F67" w:rsidP="00D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020"/>
      <w:docPartObj>
        <w:docPartGallery w:val="Page Numbers (Bottom of Page)"/>
        <w:docPartUnique/>
      </w:docPartObj>
    </w:sdtPr>
    <w:sdtContent>
      <w:sdt>
        <w:sdtPr>
          <w:id w:val="-1769616900"/>
          <w:docPartObj>
            <w:docPartGallery w:val="Page Numbers (Top of Page)"/>
            <w:docPartUnique/>
          </w:docPartObj>
        </w:sdtPr>
        <w:sdtContent>
          <w:p w14:paraId="7DC33DBC" w14:textId="5E3EA801" w:rsidR="00FA4D07" w:rsidRDefault="00FA4D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C1724">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C1724">
              <w:rPr>
                <w:b/>
                <w:bCs/>
                <w:noProof/>
              </w:rPr>
              <w:t>14</w:t>
            </w:r>
            <w:r>
              <w:rPr>
                <w:b/>
                <w:bCs/>
                <w:sz w:val="24"/>
                <w:szCs w:val="24"/>
              </w:rPr>
              <w:fldChar w:fldCharType="end"/>
            </w:r>
          </w:p>
        </w:sdtContent>
      </w:sdt>
    </w:sdtContent>
  </w:sdt>
  <w:p w14:paraId="79297DC3" w14:textId="77777777" w:rsidR="00757B70" w:rsidRDefault="00757B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D701" w14:textId="77777777" w:rsidR="00392F67" w:rsidRDefault="00392F67" w:rsidP="00DB15C7">
      <w:r>
        <w:separator/>
      </w:r>
    </w:p>
  </w:footnote>
  <w:footnote w:type="continuationSeparator" w:id="0">
    <w:p w14:paraId="2BA7BB57" w14:textId="77777777" w:rsidR="00392F67" w:rsidRDefault="00392F67" w:rsidP="00DB1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2AEE" w14:textId="77777777" w:rsidR="00757B70" w:rsidRDefault="00392F67">
    <w:pPr>
      <w:pStyle w:val="Encabezado"/>
    </w:pPr>
    <w:r>
      <w:rPr>
        <w:noProof/>
      </w:rPr>
      <w:pict w14:anchorId="703A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1" o:spid="_x0000_s2050" type="#_x0000_t136" style="position:absolute;margin-left:0;margin-top:0;width:548.25pt;height:41.25pt;rotation:315;z-index:-251655168;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467B" w14:textId="77777777" w:rsidR="00DB15C7" w:rsidRDefault="00392F67" w:rsidP="00DB15C7">
    <w:pPr>
      <w:pStyle w:val="Encabezado"/>
      <w:jc w:val="center"/>
      <w:rPr>
        <w:rFonts w:ascii="Times New Roman" w:hAnsi="Times New Roman" w:cs="Times New Roman"/>
      </w:rPr>
    </w:pPr>
    <w:r>
      <w:rPr>
        <w:noProof/>
      </w:rPr>
      <w:pict w14:anchorId="0DF64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2" o:spid="_x0000_s2051" type="#_x0000_t136" style="position:absolute;left:0;text-align:left;margin-left:0;margin-top:0;width:548.25pt;height:41.25pt;rotation:315;z-index:-251653120;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p w14:paraId="78E0DAB6" w14:textId="77777777" w:rsidR="00DB15C7" w:rsidRDefault="00DB15C7" w:rsidP="00DB15C7">
    <w:pPr>
      <w:pStyle w:val="Encabezado"/>
      <w:jc w:val="center"/>
      <w:rPr>
        <w:rFonts w:ascii="Times New Roman" w:hAnsi="Times New Roman" w:cs="Times New Roman"/>
      </w:rPr>
    </w:pPr>
  </w:p>
  <w:p w14:paraId="653365E3" w14:textId="77777777" w:rsidR="00DB15C7" w:rsidRDefault="00DB15C7" w:rsidP="00DB15C7">
    <w:pPr>
      <w:pStyle w:val="Encabezado"/>
      <w:jc w:val="center"/>
      <w:rPr>
        <w:rFonts w:ascii="Times New Roman" w:hAnsi="Times New Roman" w:cs="Times New Roman"/>
      </w:rPr>
    </w:pPr>
  </w:p>
  <w:p w14:paraId="7FD89359" w14:textId="77777777" w:rsidR="00DB15C7" w:rsidRDefault="00DB15C7" w:rsidP="00DB15C7">
    <w:pPr>
      <w:pStyle w:val="Encabezado"/>
      <w:jc w:val="center"/>
      <w:rPr>
        <w:rFonts w:ascii="Times New Roman" w:hAnsi="Times New Roman" w:cs="Times New Roman"/>
      </w:rPr>
    </w:pPr>
  </w:p>
  <w:p w14:paraId="3299AE06" w14:textId="77777777" w:rsidR="00DB15C7" w:rsidRDefault="00DB15C7" w:rsidP="00DB15C7">
    <w:pPr>
      <w:pStyle w:val="Encabezado"/>
      <w:jc w:val="center"/>
      <w:rPr>
        <w:rFonts w:ascii="Times New Roman" w:hAnsi="Times New Roman" w:cs="Times New Roman"/>
      </w:rPr>
    </w:pPr>
  </w:p>
  <w:p w14:paraId="4CB5FD36" w14:textId="77777777" w:rsidR="00DB15C7" w:rsidRDefault="00DB15C7" w:rsidP="00DB15C7">
    <w:pPr>
      <w:pStyle w:val="Encabezado"/>
      <w:jc w:val="center"/>
      <w:rPr>
        <w:rFonts w:ascii="Times New Roman" w:hAnsi="Times New Roman" w:cs="Times New Roman"/>
      </w:rPr>
    </w:pPr>
  </w:p>
  <w:p w14:paraId="7CBFE312" w14:textId="77777777" w:rsidR="00DB15C7" w:rsidRPr="00DB15C7" w:rsidRDefault="00DB15C7" w:rsidP="00DB15C7">
    <w:pPr>
      <w:pStyle w:val="Encabezado"/>
      <w:jc w:val="center"/>
      <w:rPr>
        <w:rFonts w:ascii="Times New Roman" w:hAnsi="Times New Roman" w:cs="Times New Roman"/>
      </w:rPr>
    </w:pPr>
    <w:r w:rsidRPr="00DB15C7">
      <w:rPr>
        <w:rFonts w:ascii="Times New Roman" w:hAnsi="Times New Roman" w:cs="Times New Roman"/>
      </w:rPr>
      <w:t>ORDENANZA No.</w:t>
    </w:r>
  </w:p>
  <w:p w14:paraId="68771D4D" w14:textId="77777777" w:rsidR="00DB15C7" w:rsidRPr="00DB15C7" w:rsidRDefault="00DB15C7" w:rsidP="00DB15C7">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2524" w14:textId="77777777" w:rsidR="00757B70" w:rsidRDefault="00392F67">
    <w:pPr>
      <w:pStyle w:val="Encabezado"/>
    </w:pPr>
    <w:r>
      <w:rPr>
        <w:noProof/>
      </w:rPr>
      <w:pict w14:anchorId="3CA7F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334500" o:spid="_x0000_s2049" type="#_x0000_t136" style="position:absolute;margin-left:0;margin-top:0;width:548.25pt;height:41.25pt;rotation:315;z-index:-251657216;mso-position-horizontal:center;mso-position-horizontal-relative:margin;mso-position-vertical:center;mso-position-vertical-relative:margin" o:allowincell="f" fillcolor="#7f7f7f [1612]" stroked="f">
          <v:fill opacity=".5"/>
          <v:textpath style="font-family:&quot;Arial&quot;" string="Ordenanza de mesa de Asesores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8A1"/>
    <w:multiLevelType w:val="hybridMultilevel"/>
    <w:tmpl w:val="1DA6D78E"/>
    <w:lvl w:ilvl="0" w:tplc="254EA1F0">
      <w:start w:val="1"/>
      <w:numFmt w:val="bullet"/>
      <w:lvlText w:val=""/>
      <w:lvlJc w:val="left"/>
      <w:pPr>
        <w:ind w:left="360" w:hanging="360"/>
      </w:pPr>
      <w:rPr>
        <w:rFonts w:ascii="Symbol" w:hAnsi="Symbol" w:hint="default"/>
        <w:color w:val="auto"/>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6508232A"/>
    <w:multiLevelType w:val="hybridMultilevel"/>
    <w:tmpl w:val="8E607A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53C3D47"/>
    <w:multiLevelType w:val="hybridMultilevel"/>
    <w:tmpl w:val="31A8433C"/>
    <w:lvl w:ilvl="0" w:tplc="E95CF73A">
      <w:numFmt w:val="bullet"/>
      <w:lvlText w:val="-"/>
      <w:lvlJc w:val="left"/>
      <w:pPr>
        <w:ind w:left="720" w:hanging="36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7F1B0E67"/>
    <w:multiLevelType w:val="hybridMultilevel"/>
    <w:tmpl w:val="8B3AA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a Fernanda Duran Garcia">
    <w15:presenceInfo w15:providerId="None" w15:userId="Sonia Fernanda Duran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3"/>
    <w:rsid w:val="00000402"/>
    <w:rsid w:val="0000627F"/>
    <w:rsid w:val="00022F63"/>
    <w:rsid w:val="0002305D"/>
    <w:rsid w:val="0003308F"/>
    <w:rsid w:val="00036A0E"/>
    <w:rsid w:val="00047540"/>
    <w:rsid w:val="0005487E"/>
    <w:rsid w:val="00054919"/>
    <w:rsid w:val="00072FC8"/>
    <w:rsid w:val="0009071F"/>
    <w:rsid w:val="000921E4"/>
    <w:rsid w:val="000A5CE1"/>
    <w:rsid w:val="000B02AE"/>
    <w:rsid w:val="000F73A8"/>
    <w:rsid w:val="0011696C"/>
    <w:rsid w:val="00141263"/>
    <w:rsid w:val="00162F82"/>
    <w:rsid w:val="00172DF8"/>
    <w:rsid w:val="001806CB"/>
    <w:rsid w:val="001974D4"/>
    <w:rsid w:val="001A00F0"/>
    <w:rsid w:val="001A0257"/>
    <w:rsid w:val="001A2900"/>
    <w:rsid w:val="001C7AFA"/>
    <w:rsid w:val="001D3C06"/>
    <w:rsid w:val="001E71D6"/>
    <w:rsid w:val="00206F3C"/>
    <w:rsid w:val="00233509"/>
    <w:rsid w:val="00271E7A"/>
    <w:rsid w:val="002A219C"/>
    <w:rsid w:val="002D4C6A"/>
    <w:rsid w:val="002E58DF"/>
    <w:rsid w:val="002E6C83"/>
    <w:rsid w:val="002F2EEB"/>
    <w:rsid w:val="002F3E93"/>
    <w:rsid w:val="00307385"/>
    <w:rsid w:val="0031166C"/>
    <w:rsid w:val="00347917"/>
    <w:rsid w:val="00360932"/>
    <w:rsid w:val="003626D4"/>
    <w:rsid w:val="00391AA0"/>
    <w:rsid w:val="00392F67"/>
    <w:rsid w:val="003A0F8B"/>
    <w:rsid w:val="003B2291"/>
    <w:rsid w:val="003C7306"/>
    <w:rsid w:val="003F59B2"/>
    <w:rsid w:val="004171A3"/>
    <w:rsid w:val="00420985"/>
    <w:rsid w:val="004273D4"/>
    <w:rsid w:val="0043393D"/>
    <w:rsid w:val="00442698"/>
    <w:rsid w:val="0045793B"/>
    <w:rsid w:val="00482217"/>
    <w:rsid w:val="00493BEC"/>
    <w:rsid w:val="004A5404"/>
    <w:rsid w:val="004A5CAC"/>
    <w:rsid w:val="004B5809"/>
    <w:rsid w:val="004D39B6"/>
    <w:rsid w:val="004E75EE"/>
    <w:rsid w:val="0051527D"/>
    <w:rsid w:val="00553C5F"/>
    <w:rsid w:val="00554D19"/>
    <w:rsid w:val="005940B0"/>
    <w:rsid w:val="00596F5F"/>
    <w:rsid w:val="005A5B08"/>
    <w:rsid w:val="005C0F8D"/>
    <w:rsid w:val="005D070B"/>
    <w:rsid w:val="006035C2"/>
    <w:rsid w:val="0061655C"/>
    <w:rsid w:val="00620245"/>
    <w:rsid w:val="00654CE7"/>
    <w:rsid w:val="00666252"/>
    <w:rsid w:val="00666A8E"/>
    <w:rsid w:val="00681406"/>
    <w:rsid w:val="006841CB"/>
    <w:rsid w:val="006A18B0"/>
    <w:rsid w:val="006A3E24"/>
    <w:rsid w:val="006B176F"/>
    <w:rsid w:val="006C4C26"/>
    <w:rsid w:val="006C6D55"/>
    <w:rsid w:val="006D121C"/>
    <w:rsid w:val="006D2192"/>
    <w:rsid w:val="006E78B3"/>
    <w:rsid w:val="0071150C"/>
    <w:rsid w:val="007131EF"/>
    <w:rsid w:val="007171AF"/>
    <w:rsid w:val="00721D3F"/>
    <w:rsid w:val="00735E7E"/>
    <w:rsid w:val="00757B70"/>
    <w:rsid w:val="00773909"/>
    <w:rsid w:val="007770C4"/>
    <w:rsid w:val="007843B6"/>
    <w:rsid w:val="0079447F"/>
    <w:rsid w:val="007A793D"/>
    <w:rsid w:val="007B3042"/>
    <w:rsid w:val="007E024B"/>
    <w:rsid w:val="008228BB"/>
    <w:rsid w:val="008436D8"/>
    <w:rsid w:val="00855F1A"/>
    <w:rsid w:val="00870916"/>
    <w:rsid w:val="0089011F"/>
    <w:rsid w:val="008A01A5"/>
    <w:rsid w:val="008C5F63"/>
    <w:rsid w:val="008D0AAB"/>
    <w:rsid w:val="008E65D1"/>
    <w:rsid w:val="008E6C36"/>
    <w:rsid w:val="008F0D78"/>
    <w:rsid w:val="008F3CDE"/>
    <w:rsid w:val="00910916"/>
    <w:rsid w:val="00927F3E"/>
    <w:rsid w:val="009517EB"/>
    <w:rsid w:val="00956C33"/>
    <w:rsid w:val="00961B20"/>
    <w:rsid w:val="00966BDD"/>
    <w:rsid w:val="009673F9"/>
    <w:rsid w:val="00974670"/>
    <w:rsid w:val="009751D7"/>
    <w:rsid w:val="009849D0"/>
    <w:rsid w:val="00996205"/>
    <w:rsid w:val="009A4974"/>
    <w:rsid w:val="009B2D64"/>
    <w:rsid w:val="009C672D"/>
    <w:rsid w:val="009E2A1D"/>
    <w:rsid w:val="009E4A5B"/>
    <w:rsid w:val="00A107B0"/>
    <w:rsid w:val="00A23FEC"/>
    <w:rsid w:val="00A2574B"/>
    <w:rsid w:val="00A415F1"/>
    <w:rsid w:val="00A41A0C"/>
    <w:rsid w:val="00A44E25"/>
    <w:rsid w:val="00A557D0"/>
    <w:rsid w:val="00A57836"/>
    <w:rsid w:val="00A75E06"/>
    <w:rsid w:val="00A879A4"/>
    <w:rsid w:val="00A96003"/>
    <w:rsid w:val="00AA19BD"/>
    <w:rsid w:val="00AA240C"/>
    <w:rsid w:val="00AB6CA5"/>
    <w:rsid w:val="00AC3987"/>
    <w:rsid w:val="00AF273D"/>
    <w:rsid w:val="00AF3118"/>
    <w:rsid w:val="00B25198"/>
    <w:rsid w:val="00B45106"/>
    <w:rsid w:val="00B62BB6"/>
    <w:rsid w:val="00B63E8C"/>
    <w:rsid w:val="00B65D11"/>
    <w:rsid w:val="00B756C0"/>
    <w:rsid w:val="00B93062"/>
    <w:rsid w:val="00BA2D2A"/>
    <w:rsid w:val="00BC1724"/>
    <w:rsid w:val="00BC477D"/>
    <w:rsid w:val="00BE341A"/>
    <w:rsid w:val="00BF718D"/>
    <w:rsid w:val="00BF7466"/>
    <w:rsid w:val="00C16B91"/>
    <w:rsid w:val="00C53103"/>
    <w:rsid w:val="00C618C8"/>
    <w:rsid w:val="00C925E6"/>
    <w:rsid w:val="00CC578B"/>
    <w:rsid w:val="00CE246D"/>
    <w:rsid w:val="00CF61F4"/>
    <w:rsid w:val="00CF7745"/>
    <w:rsid w:val="00D02002"/>
    <w:rsid w:val="00D04CFC"/>
    <w:rsid w:val="00D12830"/>
    <w:rsid w:val="00D438FF"/>
    <w:rsid w:val="00D47C45"/>
    <w:rsid w:val="00D66D8D"/>
    <w:rsid w:val="00D67C2F"/>
    <w:rsid w:val="00D72E6B"/>
    <w:rsid w:val="00D80BF6"/>
    <w:rsid w:val="00D9733D"/>
    <w:rsid w:val="00DA0286"/>
    <w:rsid w:val="00DA163C"/>
    <w:rsid w:val="00DB15C7"/>
    <w:rsid w:val="00DC2231"/>
    <w:rsid w:val="00DC5A20"/>
    <w:rsid w:val="00E0721E"/>
    <w:rsid w:val="00E22552"/>
    <w:rsid w:val="00E3004A"/>
    <w:rsid w:val="00E473D4"/>
    <w:rsid w:val="00E6497A"/>
    <w:rsid w:val="00E8773D"/>
    <w:rsid w:val="00E87A30"/>
    <w:rsid w:val="00E92030"/>
    <w:rsid w:val="00E95D15"/>
    <w:rsid w:val="00EB463D"/>
    <w:rsid w:val="00EC5653"/>
    <w:rsid w:val="00EF6877"/>
    <w:rsid w:val="00F20921"/>
    <w:rsid w:val="00F42840"/>
    <w:rsid w:val="00F45412"/>
    <w:rsid w:val="00F51F18"/>
    <w:rsid w:val="00F6068F"/>
    <w:rsid w:val="00F62512"/>
    <w:rsid w:val="00F770ED"/>
    <w:rsid w:val="00F77AE5"/>
    <w:rsid w:val="00FA3F6E"/>
    <w:rsid w:val="00FA4D07"/>
    <w:rsid w:val="00FC3268"/>
    <w:rsid w:val="00FD664F"/>
    <w:rsid w:val="00FE2142"/>
    <w:rsid w:val="00FF53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9C57B"/>
  <w15:chartTrackingRefBased/>
  <w15:docId w15:val="{F3F00639-6254-4449-835B-954CF473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EncabezadoCar">
    <w:name w:val="Encabezado Car"/>
    <w:basedOn w:val="Fuentedeprrafopredeter"/>
    <w:link w:val="Encabezado"/>
    <w:uiPriority w:val="99"/>
    <w:rsid w:val="00DB15C7"/>
  </w:style>
  <w:style w:type="paragraph" w:styleId="Piedepgina">
    <w:name w:val="footer"/>
    <w:basedOn w:val="Normal"/>
    <w:link w:val="Piedepgina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PiedepginaCar">
    <w:name w:val="Pie de página Car"/>
    <w:basedOn w:val="Fuentedeprrafopredeter"/>
    <w:link w:val="Piedepgina"/>
    <w:uiPriority w:val="99"/>
    <w:rsid w:val="00DB15C7"/>
  </w:style>
  <w:style w:type="paragraph" w:styleId="Sinespaciado">
    <w:name w:val="No Spacing"/>
    <w:link w:val="SinespaciadoCar"/>
    <w:uiPriority w:val="1"/>
    <w:qFormat/>
    <w:rsid w:val="00A879A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79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757B70"/>
    <w:pPr>
      <w:spacing w:after="120"/>
      <w:ind w:left="283"/>
    </w:pPr>
  </w:style>
  <w:style w:type="character" w:customStyle="1" w:styleId="SangradetextonormalCar">
    <w:name w:val="Sangría de texto normal Car"/>
    <w:basedOn w:val="Fuentedeprrafopredeter"/>
    <w:link w:val="Sangradetextonormal"/>
    <w:uiPriority w:val="99"/>
    <w:semiHidden/>
    <w:rsid w:val="00757B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7B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7B7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4510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locked/>
    <w:rsid w:val="00B45106"/>
    <w:rPr>
      <w:rFonts w:ascii="Calibri" w:eastAsia="Calibri" w:hAnsi="Calibri" w:cs="Times New Roman"/>
      <w:lang w:val="es-ES"/>
    </w:rPr>
  </w:style>
  <w:style w:type="paragraph" w:styleId="Textoindependiente">
    <w:name w:val="Body Text"/>
    <w:basedOn w:val="Normal"/>
    <w:link w:val="TextoindependienteCar"/>
    <w:rsid w:val="003A0F8B"/>
    <w:pPr>
      <w:spacing w:after="120"/>
    </w:pPr>
  </w:style>
  <w:style w:type="character" w:customStyle="1" w:styleId="TextoindependienteCar">
    <w:name w:val="Texto independiente Car"/>
    <w:basedOn w:val="Fuentedeprrafopredeter"/>
    <w:link w:val="Textoindependiente"/>
    <w:rsid w:val="003A0F8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4209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A23FEC"/>
    <w:rPr>
      <w:rFonts w:ascii="Courier New" w:hAnsi="Courier New"/>
    </w:rPr>
  </w:style>
  <w:style w:type="character" w:customStyle="1" w:styleId="TextosinformatoCar">
    <w:name w:val="Texto sin formato Car"/>
    <w:basedOn w:val="Fuentedeprrafopredeter"/>
    <w:link w:val="Textosinformato"/>
    <w:rsid w:val="00A23FE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A23FEC"/>
    <w:rPr>
      <w:sz w:val="24"/>
      <w:lang w:val="es-ES_tradnl"/>
    </w:rPr>
  </w:style>
  <w:style w:type="character" w:customStyle="1" w:styleId="markedcontent">
    <w:name w:val="markedcontent"/>
    <w:basedOn w:val="Fuentedeprrafopredeter"/>
    <w:rsid w:val="00996205"/>
  </w:style>
  <w:style w:type="paragraph" w:customStyle="1" w:styleId="Default">
    <w:name w:val="Default"/>
    <w:rsid w:val="004D39B6"/>
    <w:pPr>
      <w:autoSpaceDE w:val="0"/>
      <w:autoSpaceDN w:val="0"/>
      <w:adjustRightInd w:val="0"/>
      <w:spacing w:after="0" w:line="240" w:lineRule="auto"/>
    </w:pPr>
    <w:rPr>
      <w:rFonts w:ascii="Calibri" w:hAnsi="Calibri" w:cs="Calibri"/>
      <w:color w:val="000000"/>
      <w:sz w:val="24"/>
      <w:szCs w:val="24"/>
    </w:rPr>
  </w:style>
  <w:style w:type="paragraph" w:customStyle="1" w:styleId="1">
    <w:name w:val="1"/>
    <w:basedOn w:val="Normal"/>
    <w:next w:val="Ttulo"/>
    <w:link w:val="TtuloCar"/>
    <w:qFormat/>
    <w:rsid w:val="00E3004A"/>
    <w:pPr>
      <w:jc w:val="center"/>
    </w:pPr>
    <w:rPr>
      <w:rFonts w:ascii="Calibri" w:eastAsia="Calibri" w:hAnsi="Calibri"/>
      <w:b/>
      <w:bCs/>
      <w:sz w:val="24"/>
      <w:szCs w:val="24"/>
    </w:rPr>
  </w:style>
  <w:style w:type="character" w:customStyle="1" w:styleId="TtuloCar">
    <w:name w:val="Título Car"/>
    <w:link w:val="1"/>
    <w:rsid w:val="00E3004A"/>
    <w:rPr>
      <w:rFonts w:ascii="Calibri" w:eastAsia="Calibri" w:hAnsi="Calibri" w:cs="Times New Roman"/>
      <w:b/>
      <w:bCs/>
      <w:sz w:val="24"/>
      <w:szCs w:val="24"/>
      <w:lang w:val="es-ES" w:eastAsia="es-ES"/>
    </w:rPr>
  </w:style>
  <w:style w:type="paragraph" w:styleId="Ttulo">
    <w:name w:val="Title"/>
    <w:basedOn w:val="Normal"/>
    <w:next w:val="Normal"/>
    <w:link w:val="TtuloCar1"/>
    <w:uiPriority w:val="10"/>
    <w:qFormat/>
    <w:rsid w:val="00E3004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3004A"/>
    <w:rPr>
      <w:rFonts w:asciiTheme="majorHAnsi" w:eastAsiaTheme="majorEastAsia" w:hAnsiTheme="majorHAnsi" w:cstheme="majorBidi"/>
      <w:spacing w:val="-10"/>
      <w:kern w:val="28"/>
      <w:sz w:val="56"/>
      <w:szCs w:val="56"/>
      <w:lang w:val="es-ES" w:eastAsia="es-ES"/>
    </w:rPr>
  </w:style>
  <w:style w:type="character" w:styleId="Refdecomentario">
    <w:name w:val="annotation reference"/>
    <w:uiPriority w:val="99"/>
    <w:rsid w:val="00E3004A"/>
    <w:rPr>
      <w:sz w:val="16"/>
      <w:szCs w:val="16"/>
    </w:rPr>
  </w:style>
  <w:style w:type="paragraph" w:styleId="Textocomentario">
    <w:name w:val="annotation text"/>
    <w:basedOn w:val="Normal"/>
    <w:link w:val="TextocomentarioCar"/>
    <w:uiPriority w:val="99"/>
    <w:rsid w:val="00E3004A"/>
  </w:style>
  <w:style w:type="character" w:customStyle="1" w:styleId="TextocomentarioCar">
    <w:name w:val="Texto comentario Car"/>
    <w:basedOn w:val="Fuentedeprrafopredeter"/>
    <w:link w:val="Textocomentario"/>
    <w:uiPriority w:val="99"/>
    <w:rsid w:val="00E3004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300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04A"/>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E3004A"/>
    <w:rPr>
      <w:b/>
      <w:bCs/>
    </w:rPr>
  </w:style>
  <w:style w:type="character" w:customStyle="1" w:styleId="AsuntodelcomentarioCar">
    <w:name w:val="Asunto del comentario Car"/>
    <w:basedOn w:val="TextocomentarioCar"/>
    <w:link w:val="Asuntodelcomentario"/>
    <w:uiPriority w:val="99"/>
    <w:semiHidden/>
    <w:rsid w:val="00E3004A"/>
    <w:rPr>
      <w:rFonts w:ascii="Times New Roman" w:eastAsia="Times New Roman" w:hAnsi="Times New Roman" w:cs="Times New Roman"/>
      <w:b/>
      <w:bCs/>
      <w:sz w:val="20"/>
      <w:szCs w:val="20"/>
      <w:lang w:val="es-ES" w:eastAsia="es-ES"/>
    </w:rPr>
  </w:style>
  <w:style w:type="character" w:customStyle="1" w:styleId="TtuloCar2">
    <w:name w:val="Título Car2"/>
    <w:basedOn w:val="Fuentedeprrafopredeter"/>
    <w:uiPriority w:val="10"/>
    <w:rsid w:val="00E3004A"/>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CD04-FAF0-4C25-8DA3-AE91EFBA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33412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Sonia Fernanda Duran Garcia</cp:lastModifiedBy>
  <cp:revision>2</cp:revision>
  <cp:lastPrinted>2023-02-22T19:53:00Z</cp:lastPrinted>
  <dcterms:created xsi:type="dcterms:W3CDTF">2023-02-22T20:12:00Z</dcterms:created>
  <dcterms:modified xsi:type="dcterms:W3CDTF">2023-02-22T20:12:00Z</dcterms:modified>
</cp:coreProperties>
</file>