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C7" w:rsidRDefault="00DB15C7"/>
    <w:p w:rsidR="00D04CFC" w:rsidRPr="00BC477D" w:rsidRDefault="00D04CFC" w:rsidP="00D04CFC">
      <w:pPr>
        <w:spacing w:after="240" w:line="276" w:lineRule="auto"/>
        <w:ind w:left="708" w:hanging="708"/>
        <w:jc w:val="center"/>
        <w:rPr>
          <w:b/>
          <w:sz w:val="22"/>
          <w:szCs w:val="22"/>
        </w:rPr>
      </w:pPr>
      <w:r w:rsidRPr="00BC477D">
        <w:rPr>
          <w:b/>
          <w:sz w:val="22"/>
          <w:szCs w:val="22"/>
        </w:rPr>
        <w:t>EXPOSICIÓN DE MOTIVOS</w:t>
      </w:r>
    </w:p>
    <w:p w:rsidR="00D04CFC" w:rsidRPr="00BC477D" w:rsidRDefault="00D04CFC" w:rsidP="00D04CFC">
      <w:pPr>
        <w:spacing w:after="240" w:line="276" w:lineRule="auto"/>
        <w:jc w:val="both"/>
        <w:rPr>
          <w:sz w:val="22"/>
          <w:szCs w:val="22"/>
        </w:rPr>
      </w:pPr>
      <w:r w:rsidRPr="00BC477D">
        <w:rPr>
          <w:sz w:val="22"/>
          <w:szCs w:val="22"/>
        </w:rPr>
        <w:t xml:space="preserve">La Constitución de la República del Ecuador, en su artículo 30, garantiza a las personas el </w:t>
      </w:r>
      <w:r w:rsidRPr="00BC477D">
        <w:rPr>
          <w:i/>
          <w:sz w:val="22"/>
          <w:szCs w:val="22"/>
        </w:rPr>
        <w:t>“derecho a un hábitat seguro y saludable, y a una vivienda adecuada y digna, con independencia de su situación social y económica”.</w:t>
      </w:r>
      <w:r w:rsidRPr="00BC477D">
        <w:rPr>
          <w:sz w:val="22"/>
          <w:szCs w:val="22"/>
        </w:rPr>
        <w:t xml:space="preserve"> </w:t>
      </w:r>
    </w:p>
    <w:p w:rsidR="00D04CFC" w:rsidRPr="00BC477D" w:rsidRDefault="00D04CFC" w:rsidP="00D04CFC">
      <w:pPr>
        <w:spacing w:after="240" w:line="276" w:lineRule="auto"/>
        <w:jc w:val="both"/>
        <w:rPr>
          <w:sz w:val="22"/>
          <w:szCs w:val="22"/>
        </w:rPr>
      </w:pPr>
      <w:r w:rsidRPr="00BC477D">
        <w:rPr>
          <w:sz w:val="22"/>
          <w:szCs w:val="22"/>
        </w:rPr>
        <w:t xml:space="preserve">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D04CFC" w:rsidRPr="00BC477D" w:rsidRDefault="00D04CFC" w:rsidP="00D04CFC">
      <w:pPr>
        <w:spacing w:after="240" w:line="276" w:lineRule="auto"/>
        <w:jc w:val="both"/>
        <w:rPr>
          <w:sz w:val="22"/>
          <w:szCs w:val="22"/>
        </w:rPr>
      </w:pPr>
      <w:r w:rsidRPr="00BC477D">
        <w:rPr>
          <w:sz w:val="22"/>
          <w:szCs w:val="22"/>
        </w:rPr>
        <w:t>El asentamiento humano de hecho y consolidado de interés social denominado</w:t>
      </w:r>
      <w:r w:rsidR="009E4A5B" w:rsidRPr="00BC477D">
        <w:rPr>
          <w:sz w:val="22"/>
          <w:szCs w:val="22"/>
        </w:rPr>
        <w:t xml:space="preserve"> </w:t>
      </w:r>
      <w:r w:rsidR="00F6068F">
        <w:rPr>
          <w:sz w:val="22"/>
          <w:szCs w:val="22"/>
        </w:rPr>
        <w:t>Comité Barri</w:t>
      </w:r>
      <w:r w:rsidR="00162F82">
        <w:rPr>
          <w:sz w:val="22"/>
          <w:szCs w:val="22"/>
        </w:rPr>
        <w:t xml:space="preserve">al </w:t>
      </w:r>
      <w:r w:rsidR="00F6068F">
        <w:rPr>
          <w:sz w:val="22"/>
          <w:szCs w:val="22"/>
        </w:rPr>
        <w:t>“Abdón Calderón Número Dos”</w:t>
      </w:r>
      <w:r w:rsidR="009E4A5B" w:rsidRPr="00BC477D">
        <w:rPr>
          <w:sz w:val="22"/>
          <w:szCs w:val="22"/>
        </w:rPr>
        <w:t>,</w:t>
      </w:r>
      <w:r w:rsidRPr="00BC477D">
        <w:rPr>
          <w:sz w:val="22"/>
          <w:szCs w:val="22"/>
        </w:rPr>
        <w:t xml:space="preserve"> ubicado en la parroquia</w:t>
      </w:r>
      <w:r w:rsidR="0043393D" w:rsidRPr="00BC477D">
        <w:rPr>
          <w:sz w:val="22"/>
          <w:szCs w:val="22"/>
        </w:rPr>
        <w:t xml:space="preserve"> El</w:t>
      </w:r>
      <w:r w:rsidRPr="00BC477D">
        <w:rPr>
          <w:sz w:val="22"/>
          <w:szCs w:val="22"/>
        </w:rPr>
        <w:t xml:space="preserve"> Co</w:t>
      </w:r>
      <w:r w:rsidR="000921E4" w:rsidRPr="00BC477D">
        <w:rPr>
          <w:sz w:val="22"/>
          <w:szCs w:val="22"/>
        </w:rPr>
        <w:t>ndado</w:t>
      </w:r>
      <w:r w:rsidRPr="00BC477D">
        <w:rPr>
          <w:sz w:val="22"/>
          <w:szCs w:val="22"/>
        </w:rPr>
        <w:t xml:space="preserve">, tiene una consolidación de </w:t>
      </w:r>
      <w:r w:rsidR="00B93062" w:rsidRPr="00BC477D">
        <w:rPr>
          <w:color w:val="000000" w:themeColor="text1"/>
          <w:sz w:val="22"/>
          <w:szCs w:val="22"/>
        </w:rPr>
        <w:t>92</w:t>
      </w:r>
      <w:r w:rsidRPr="00BC477D">
        <w:rPr>
          <w:color w:val="000000" w:themeColor="text1"/>
          <w:sz w:val="22"/>
          <w:szCs w:val="22"/>
        </w:rPr>
        <w:t xml:space="preserve">%, </w:t>
      </w:r>
      <w:r w:rsidRPr="00BC477D">
        <w:rPr>
          <w:sz w:val="22"/>
          <w:szCs w:val="22"/>
        </w:rPr>
        <w:t xml:space="preserve">al inicio del proceso de regularización contaba con </w:t>
      </w:r>
      <w:r w:rsidR="00B93062" w:rsidRPr="007770C4">
        <w:rPr>
          <w:sz w:val="22"/>
          <w:szCs w:val="22"/>
        </w:rPr>
        <w:t>23</w:t>
      </w:r>
      <w:r w:rsidR="00B93062" w:rsidRPr="00BC477D">
        <w:rPr>
          <w:b/>
          <w:sz w:val="22"/>
          <w:szCs w:val="22"/>
        </w:rPr>
        <w:t xml:space="preserve"> </w:t>
      </w:r>
      <w:r w:rsidRPr="00BC477D">
        <w:rPr>
          <w:sz w:val="22"/>
          <w:szCs w:val="22"/>
        </w:rPr>
        <w:t xml:space="preserve">años de existencia, </w:t>
      </w:r>
      <w:r w:rsidR="00B93062" w:rsidRPr="00BC477D">
        <w:rPr>
          <w:sz w:val="22"/>
          <w:szCs w:val="22"/>
        </w:rPr>
        <w:t>50</w:t>
      </w:r>
      <w:r w:rsidRPr="00BC477D">
        <w:rPr>
          <w:b/>
          <w:sz w:val="22"/>
          <w:szCs w:val="22"/>
        </w:rPr>
        <w:t xml:space="preserve"> </w:t>
      </w:r>
      <w:r w:rsidRPr="00BC477D">
        <w:rPr>
          <w:sz w:val="22"/>
          <w:szCs w:val="22"/>
        </w:rPr>
        <w:t xml:space="preserve">lotes a fraccionarse y </w:t>
      </w:r>
      <w:r w:rsidR="00B93062" w:rsidRPr="00BC477D">
        <w:rPr>
          <w:sz w:val="22"/>
          <w:szCs w:val="22"/>
        </w:rPr>
        <w:t>200</w:t>
      </w:r>
      <w:r w:rsidRPr="00BC477D">
        <w:rPr>
          <w:b/>
          <w:sz w:val="22"/>
          <w:szCs w:val="22"/>
        </w:rPr>
        <w:t xml:space="preserve"> </w:t>
      </w:r>
      <w:r w:rsidRPr="00BC477D">
        <w:rPr>
          <w:sz w:val="22"/>
          <w:szCs w:val="22"/>
        </w:rPr>
        <w:t xml:space="preserve">beneficiarios. </w:t>
      </w:r>
    </w:p>
    <w:p w:rsidR="0089011F" w:rsidRPr="00BC477D" w:rsidRDefault="0089011F" w:rsidP="0089011F">
      <w:pPr>
        <w:spacing w:after="240" w:line="276" w:lineRule="auto"/>
        <w:jc w:val="both"/>
        <w:rPr>
          <w:sz w:val="22"/>
          <w:szCs w:val="22"/>
        </w:rPr>
      </w:pPr>
      <w:r w:rsidRPr="00BC477D">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89011F" w:rsidRPr="00BC477D" w:rsidRDefault="0089011F" w:rsidP="0089011F">
      <w:pPr>
        <w:spacing w:after="240" w:line="276" w:lineRule="auto"/>
        <w:jc w:val="both"/>
        <w:rPr>
          <w:sz w:val="22"/>
          <w:szCs w:val="22"/>
        </w:rPr>
      </w:pPr>
      <w:r w:rsidRPr="00BC477D">
        <w:rPr>
          <w:sz w:val="22"/>
          <w:szCs w:val="22"/>
        </w:rPr>
        <w:t>En este sentido, la presente ordenanza contiene la normativa tendiente al fraccionamiento del predio donde se encuentra</w:t>
      </w:r>
      <w:r w:rsidR="00A41A0C" w:rsidRPr="00BC477D">
        <w:rPr>
          <w:sz w:val="22"/>
          <w:szCs w:val="22"/>
        </w:rPr>
        <w:t xml:space="preserve"> el</w:t>
      </w:r>
      <w:r w:rsidR="0043393D" w:rsidRPr="00BC477D">
        <w:rPr>
          <w:sz w:val="22"/>
          <w:szCs w:val="22"/>
        </w:rPr>
        <w:t xml:space="preserve"> asentamiento humano de hecho y consolidado de interés social</w:t>
      </w:r>
      <w:r w:rsidR="00F6068F">
        <w:rPr>
          <w:sz w:val="22"/>
          <w:szCs w:val="22"/>
        </w:rPr>
        <w:t xml:space="preserve"> denominado Comité </w:t>
      </w:r>
      <w:r w:rsidR="0043393D" w:rsidRPr="00BC477D">
        <w:rPr>
          <w:sz w:val="22"/>
          <w:szCs w:val="22"/>
        </w:rPr>
        <w:t>Barri</w:t>
      </w:r>
      <w:r w:rsidR="00162F82">
        <w:rPr>
          <w:sz w:val="22"/>
          <w:szCs w:val="22"/>
        </w:rPr>
        <w:t xml:space="preserve">al </w:t>
      </w:r>
      <w:r w:rsidR="0043393D" w:rsidRPr="00BC477D">
        <w:rPr>
          <w:sz w:val="22"/>
          <w:szCs w:val="22"/>
        </w:rPr>
        <w:t xml:space="preserve">“Abdón Calderón Número Dos”, </w:t>
      </w:r>
      <w:r w:rsidRPr="00BC477D">
        <w:rPr>
          <w:sz w:val="22"/>
          <w:szCs w:val="22"/>
        </w:rPr>
        <w:t>a fin de garantizar a los beneficiarios el ejercicio de su derecho a la vivienda y el acceso a servicios básicos de calidad.</w:t>
      </w: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89011F">
      <w:pPr>
        <w:spacing w:after="240" w:line="276" w:lineRule="auto"/>
        <w:jc w:val="both"/>
        <w:rPr>
          <w:sz w:val="22"/>
          <w:szCs w:val="22"/>
        </w:rPr>
      </w:pPr>
    </w:p>
    <w:p w:rsidR="009849D0" w:rsidRPr="00BC477D" w:rsidRDefault="009849D0" w:rsidP="009849D0">
      <w:pPr>
        <w:spacing w:after="240" w:line="276" w:lineRule="auto"/>
        <w:jc w:val="both"/>
        <w:rPr>
          <w:sz w:val="22"/>
          <w:szCs w:val="22"/>
        </w:rPr>
      </w:pPr>
    </w:p>
    <w:p w:rsidR="009849D0" w:rsidRPr="00BC477D" w:rsidRDefault="009849D0" w:rsidP="009849D0">
      <w:pPr>
        <w:spacing w:after="240" w:line="276" w:lineRule="auto"/>
        <w:jc w:val="both"/>
        <w:rPr>
          <w:sz w:val="22"/>
          <w:szCs w:val="22"/>
        </w:rPr>
      </w:pPr>
      <w:r w:rsidRPr="00BC477D">
        <w:rPr>
          <w:sz w:val="22"/>
          <w:szCs w:val="22"/>
        </w:rPr>
        <w:t xml:space="preserve">Visto el informe No. ………….. </w:t>
      </w:r>
      <w:proofErr w:type="gramStart"/>
      <w:r w:rsidRPr="00BC477D">
        <w:rPr>
          <w:sz w:val="22"/>
          <w:szCs w:val="22"/>
        </w:rPr>
        <w:t>de</w:t>
      </w:r>
      <w:proofErr w:type="gramEnd"/>
      <w:r w:rsidRPr="00BC477D">
        <w:rPr>
          <w:sz w:val="22"/>
          <w:szCs w:val="22"/>
        </w:rPr>
        <w:t xml:space="preserve"> …… de ….. </w:t>
      </w:r>
      <w:proofErr w:type="gramStart"/>
      <w:r w:rsidRPr="00BC477D">
        <w:rPr>
          <w:sz w:val="22"/>
          <w:szCs w:val="22"/>
        </w:rPr>
        <w:t>de</w:t>
      </w:r>
      <w:proofErr w:type="gramEnd"/>
      <w:r w:rsidRPr="00BC477D">
        <w:rPr>
          <w:sz w:val="22"/>
          <w:szCs w:val="22"/>
        </w:rPr>
        <w:t xml:space="preserve"> …., expedido por la Comisión de Ordenamiento Territorial.</w:t>
      </w:r>
    </w:p>
    <w:p w:rsidR="009849D0" w:rsidRPr="00BC477D" w:rsidRDefault="009849D0" w:rsidP="009849D0">
      <w:pPr>
        <w:spacing w:after="240" w:line="276" w:lineRule="auto"/>
        <w:jc w:val="center"/>
        <w:rPr>
          <w:b/>
          <w:sz w:val="22"/>
          <w:szCs w:val="22"/>
        </w:rPr>
      </w:pPr>
      <w:r w:rsidRPr="00BC477D">
        <w:rPr>
          <w:b/>
          <w:sz w:val="22"/>
          <w:szCs w:val="22"/>
        </w:rPr>
        <w:t>CONSIDERANDO:</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rPr>
        <w:t xml:space="preserve">Que, </w:t>
      </w:r>
      <w:r w:rsidRPr="00BC477D">
        <w:rPr>
          <w:rFonts w:ascii="Times New Roman" w:hAnsi="Times New Roman"/>
          <w:b/>
        </w:rPr>
        <w:tab/>
      </w:r>
      <w:r w:rsidRPr="00BC477D">
        <w:rPr>
          <w:rFonts w:ascii="Times New Roman" w:hAnsi="Times New Roman"/>
        </w:rPr>
        <w:t xml:space="preserve">el artículo 30 de la Constitución de la República del Ecuador (en adelante </w:t>
      </w:r>
      <w:r w:rsidRPr="00BC477D">
        <w:rPr>
          <w:rFonts w:ascii="Times New Roman" w:hAnsi="Times New Roman"/>
          <w:i/>
        </w:rPr>
        <w:t>“Constitución”)</w:t>
      </w:r>
      <w:r w:rsidRPr="00BC477D">
        <w:rPr>
          <w:rFonts w:ascii="Times New Roman" w:hAnsi="Times New Roman"/>
        </w:rPr>
        <w:t xml:space="preserve"> establece que: “</w:t>
      </w:r>
      <w:r w:rsidRPr="00BC477D">
        <w:rPr>
          <w:rFonts w:ascii="Times New Roman" w:hAnsi="Times New Roman"/>
          <w:i/>
        </w:rPr>
        <w:t>Las personas tienen derecho a un hábitat seguro y saludable, y a una vivienda adecuada y digna, con independencia de su situación social y económica.</w:t>
      </w:r>
      <w:r w:rsidRPr="00BC477D">
        <w:rPr>
          <w:rFonts w:ascii="Times New Roman" w:hAnsi="Times New Roman"/>
        </w:rPr>
        <w:t>”;</w:t>
      </w:r>
    </w:p>
    <w:p w:rsidR="00A879A4" w:rsidRPr="00BC477D" w:rsidRDefault="00A879A4" w:rsidP="00A879A4">
      <w:pPr>
        <w:pStyle w:val="Sinespaciado"/>
        <w:spacing w:after="240" w:line="276" w:lineRule="auto"/>
        <w:ind w:left="709" w:hanging="709"/>
        <w:jc w:val="both"/>
        <w:rPr>
          <w:rFonts w:ascii="Times New Roman" w:hAnsi="Times New Roman"/>
          <w:bCs/>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el artículo 31 de la Constitución dispone que: “</w:t>
      </w:r>
      <w:r w:rsidRPr="00BC477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C477D">
        <w:rPr>
          <w:rFonts w:ascii="Times New Roman" w:hAnsi="Times New Roman"/>
          <w:bCs/>
        </w:rPr>
        <w:t xml:space="preserve">”; </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rPr>
        <w:t>el artículo 240 de la Constitución establece que: “</w:t>
      </w:r>
      <w:r w:rsidRPr="00BC477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C477D">
        <w:rPr>
          <w:rFonts w:ascii="Times New Roman" w:hAnsi="Times New Roman"/>
        </w:rPr>
        <w:t>”;</w:t>
      </w:r>
    </w:p>
    <w:p w:rsidR="00A879A4" w:rsidRPr="00BC477D" w:rsidRDefault="00A879A4" w:rsidP="00A879A4">
      <w:pPr>
        <w:pStyle w:val="Sinespaciado"/>
        <w:spacing w:after="240" w:line="276" w:lineRule="auto"/>
        <w:ind w:left="709" w:hanging="709"/>
        <w:jc w:val="both"/>
        <w:rPr>
          <w:rFonts w:ascii="Times New Roman" w:hAnsi="Times New Roman"/>
          <w:i/>
        </w:rPr>
      </w:pPr>
      <w:r w:rsidRPr="00BC477D">
        <w:rPr>
          <w:rFonts w:ascii="Times New Roman" w:hAnsi="Times New Roman"/>
          <w:b/>
        </w:rPr>
        <w:t>Que,</w:t>
      </w:r>
      <w:r w:rsidRPr="00BC477D">
        <w:rPr>
          <w:rFonts w:ascii="Times New Roman" w:hAnsi="Times New Roman"/>
        </w:rPr>
        <w:tab/>
        <w:t>el artículo 266 de la Constitución establece que</w:t>
      </w:r>
      <w:r w:rsidRPr="00BC477D">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879A4" w:rsidRPr="00BC477D" w:rsidRDefault="00A879A4" w:rsidP="00A879A4">
      <w:pPr>
        <w:pStyle w:val="Sinespaciado"/>
        <w:spacing w:after="240" w:line="276" w:lineRule="auto"/>
        <w:ind w:left="709" w:hanging="1"/>
        <w:jc w:val="both"/>
        <w:rPr>
          <w:rFonts w:ascii="Times New Roman" w:hAnsi="Times New Roman"/>
          <w:i/>
        </w:rPr>
      </w:pPr>
      <w:r w:rsidRPr="00BC477D">
        <w:rPr>
          <w:rFonts w:ascii="Times New Roman" w:hAnsi="Times New Roman"/>
          <w:i/>
        </w:rPr>
        <w:t>En el ámbito de sus competencias y territorio, y en uso de sus facultades, expedirán ordenanzas distritales.”;</w:t>
      </w:r>
    </w:p>
    <w:p w:rsidR="00A879A4" w:rsidRPr="00BC477D" w:rsidRDefault="00A879A4" w:rsidP="00A879A4">
      <w:pPr>
        <w:pStyle w:val="Sinespaciado"/>
        <w:spacing w:after="240" w:line="276" w:lineRule="auto"/>
        <w:ind w:left="709" w:hanging="709"/>
        <w:jc w:val="both"/>
        <w:rPr>
          <w:rFonts w:ascii="Times New Roman" w:hAnsi="Times New Roman"/>
          <w:i/>
        </w:rPr>
      </w:pPr>
      <w:r w:rsidRPr="00BC477D">
        <w:rPr>
          <w:rFonts w:ascii="Times New Roman" w:hAnsi="Times New Roman"/>
          <w:b/>
          <w:bCs/>
        </w:rPr>
        <w:t>Que,</w:t>
      </w:r>
      <w:r w:rsidRPr="00BC477D">
        <w:rPr>
          <w:rFonts w:ascii="Times New Roman" w:hAnsi="Times New Roman"/>
        </w:rPr>
        <w:tab/>
      </w:r>
      <w:r w:rsidRPr="00BC477D">
        <w:rPr>
          <w:rFonts w:ascii="Times New Roman" w:hAnsi="Times New Roman"/>
          <w:bCs/>
        </w:rPr>
        <w:t xml:space="preserve">el literal c) del artículo 84 del Código Orgánico de Organización Territorial, Autonomía y Descentralización (en adelante “COOTAD”), establece las funciones del gobierno del distrito autónomo metropolitano, </w:t>
      </w:r>
      <w:r w:rsidRPr="00BC477D">
        <w:rPr>
          <w:rFonts w:ascii="Times New Roman" w:hAnsi="Times New Roman"/>
          <w:bCs/>
          <w:i/>
        </w:rPr>
        <w:t>“</w:t>
      </w:r>
      <w:r w:rsidRPr="00BC477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rPr>
        <w:t xml:space="preserve">el </w:t>
      </w:r>
      <w:r w:rsidRPr="00BC477D">
        <w:rPr>
          <w:rFonts w:ascii="Times New Roman" w:hAnsi="Times New Roman"/>
          <w:bCs/>
        </w:rPr>
        <w:t>literal a) d</w:t>
      </w:r>
      <w:r w:rsidRPr="00BC477D">
        <w:rPr>
          <w:rFonts w:ascii="Times New Roman" w:hAnsi="Times New Roman"/>
        </w:rPr>
        <w:t xml:space="preserve">el artículo 87 del COOTAD, establece que las funciones del Concejo Metropolitano, entre otras, son: </w:t>
      </w:r>
      <w:r w:rsidRPr="00BC477D">
        <w:rPr>
          <w:rFonts w:ascii="Times New Roman" w:hAnsi="Times New Roman"/>
          <w:i/>
          <w:iCs/>
        </w:rPr>
        <w:t>“</w:t>
      </w:r>
      <w:r w:rsidRPr="00BC477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BC477D">
        <w:rPr>
          <w:rFonts w:ascii="Times New Roman" w:hAnsi="Times New Roman"/>
          <w:i/>
          <w:iCs/>
        </w:rPr>
        <w:t xml:space="preserve">  </w:t>
      </w:r>
    </w:p>
    <w:p w:rsidR="00A879A4" w:rsidRPr="00BC477D" w:rsidRDefault="00A879A4" w:rsidP="00A879A4">
      <w:pPr>
        <w:pStyle w:val="Sinespaciado"/>
        <w:spacing w:after="240" w:line="276" w:lineRule="auto"/>
        <w:ind w:left="709" w:hanging="709"/>
        <w:jc w:val="both"/>
        <w:rPr>
          <w:rFonts w:ascii="Times New Roman" w:hAnsi="Times New Roman"/>
        </w:rPr>
      </w:pPr>
      <w:r w:rsidRPr="00BC477D">
        <w:rPr>
          <w:rFonts w:ascii="Times New Roman" w:hAnsi="Times New Roman"/>
          <w:b/>
          <w:bCs/>
        </w:rPr>
        <w:lastRenderedPageBreak/>
        <w:t xml:space="preserve">Que,  </w:t>
      </w:r>
      <w:r w:rsidRPr="00BC477D">
        <w:rPr>
          <w:rFonts w:ascii="Times New Roman" w:hAnsi="Times New Roman"/>
          <w:b/>
          <w:bCs/>
        </w:rPr>
        <w:tab/>
      </w:r>
      <w:r w:rsidRPr="00BC477D">
        <w:rPr>
          <w:rFonts w:ascii="Times New Roman" w:hAnsi="Times New Roman"/>
        </w:rPr>
        <w:t>el artículo 322 del COOTAD establece el procedimiento para la aprobación de las ordenanzas municipales;</w:t>
      </w:r>
    </w:p>
    <w:p w:rsidR="00A879A4" w:rsidRPr="00BC477D" w:rsidRDefault="00A879A4" w:rsidP="00A879A4">
      <w:pPr>
        <w:pStyle w:val="Sinespaciado"/>
        <w:spacing w:after="240" w:line="276" w:lineRule="auto"/>
        <w:ind w:left="709" w:hanging="709"/>
        <w:jc w:val="both"/>
        <w:rPr>
          <w:rFonts w:ascii="Times New Roman" w:hAnsi="Times New Roman"/>
          <w:bCs/>
        </w:rPr>
      </w:pPr>
      <w:r w:rsidRPr="00BC477D">
        <w:rPr>
          <w:rFonts w:ascii="Times New Roman" w:hAnsi="Times New Roman"/>
          <w:b/>
          <w:bCs/>
        </w:rPr>
        <w:t xml:space="preserve">Que,      </w:t>
      </w:r>
      <w:r w:rsidRPr="00BC477D">
        <w:rPr>
          <w:rFonts w:ascii="Times New Roman" w:hAnsi="Times New Roman"/>
          <w:bCs/>
        </w:rPr>
        <w:t xml:space="preserve">el artículo 424 del COOTAD establece que en el área verde, comunitaria y vías que: </w:t>
      </w:r>
      <w:r w:rsidRPr="00BC477D">
        <w:rPr>
          <w:rFonts w:ascii="Times New Roman" w:hAnsi="Times New Roman"/>
          <w:bCs/>
          <w:i/>
        </w:rPr>
        <w:t xml:space="preserve">“En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 </w:t>
      </w:r>
    </w:p>
    <w:p w:rsidR="00206F3C" w:rsidRPr="00BC477D" w:rsidRDefault="00206F3C" w:rsidP="00206F3C">
      <w:pPr>
        <w:pStyle w:val="Sinespaciado"/>
        <w:spacing w:before="240" w:after="240" w:line="276" w:lineRule="auto"/>
        <w:ind w:left="709" w:hanging="709"/>
        <w:jc w:val="both"/>
        <w:rPr>
          <w:rFonts w:ascii="Times New Roman" w:hAnsi="Times New Roman"/>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la Disposición Transitoria Décima Cuarta del COOTAD, señala: “</w:t>
      </w:r>
      <w:r w:rsidRPr="00BC477D">
        <w:rPr>
          <w:rFonts w:ascii="Times New Roman" w:hAnsi="Times New Roman"/>
          <w:bCs/>
          <w:i/>
        </w:rPr>
        <w:t xml:space="preserve">(…) </w:t>
      </w:r>
      <w:r w:rsidRPr="00BC477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BC477D">
        <w:rPr>
          <w:rFonts w:ascii="Times New Roman" w:hAnsi="Times New Roman"/>
        </w:rPr>
        <w:t>.”;</w:t>
      </w:r>
    </w:p>
    <w:p w:rsidR="00206F3C" w:rsidRPr="00BC477D" w:rsidRDefault="00206F3C" w:rsidP="00206F3C">
      <w:pPr>
        <w:pStyle w:val="Sinespaciado"/>
        <w:spacing w:after="240" w:line="276" w:lineRule="auto"/>
        <w:ind w:left="709" w:hanging="709"/>
        <w:jc w:val="both"/>
        <w:rPr>
          <w:rFonts w:ascii="Times New Roman" w:hAnsi="Times New Roman"/>
          <w:bCs/>
        </w:rPr>
      </w:pPr>
      <w:r w:rsidRPr="00BC477D">
        <w:rPr>
          <w:rFonts w:ascii="Times New Roman" w:hAnsi="Times New Roman"/>
          <w:b/>
          <w:bCs/>
        </w:rPr>
        <w:t>Que,</w:t>
      </w:r>
      <w:r w:rsidRPr="00BC477D">
        <w:rPr>
          <w:rFonts w:ascii="Times New Roman" w:hAnsi="Times New Roman"/>
          <w:b/>
          <w:bCs/>
        </w:rPr>
        <w:tab/>
      </w:r>
      <w:r w:rsidRPr="00BC477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F77AE5" w:rsidRPr="00BC477D" w:rsidRDefault="00F77AE5" w:rsidP="009751D7">
      <w:pPr>
        <w:spacing w:after="240" w:line="276" w:lineRule="auto"/>
        <w:ind w:left="709" w:hanging="709"/>
        <w:jc w:val="both"/>
        <w:rPr>
          <w:bCs/>
          <w:sz w:val="22"/>
          <w:szCs w:val="22"/>
        </w:rPr>
      </w:pPr>
      <w:r w:rsidRPr="00BC477D">
        <w:rPr>
          <w:b/>
          <w:bCs/>
          <w:sz w:val="22"/>
          <w:szCs w:val="22"/>
        </w:rPr>
        <w:t>Que,</w:t>
      </w:r>
      <w:r w:rsidRPr="00BC477D">
        <w:rPr>
          <w:b/>
          <w:bCs/>
          <w:sz w:val="22"/>
          <w:szCs w:val="22"/>
        </w:rPr>
        <w:tab/>
      </w:r>
      <w:r w:rsidRPr="00BC477D">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F77AE5" w:rsidRPr="00BC477D" w:rsidRDefault="00F77AE5" w:rsidP="009751D7">
      <w:pPr>
        <w:spacing w:after="240" w:line="276" w:lineRule="auto"/>
        <w:ind w:left="709" w:hanging="709"/>
        <w:jc w:val="both"/>
        <w:rPr>
          <w:rFonts w:eastAsia="Calibri"/>
          <w:sz w:val="22"/>
          <w:szCs w:val="22"/>
        </w:rPr>
      </w:pPr>
      <w:r w:rsidRPr="00BC477D">
        <w:rPr>
          <w:rFonts w:eastAsia="Calibri"/>
          <w:b/>
          <w:sz w:val="22"/>
          <w:szCs w:val="22"/>
        </w:rPr>
        <w:t>Que,</w:t>
      </w:r>
      <w:r w:rsidRPr="00BC477D">
        <w:rPr>
          <w:rFonts w:eastAsia="Calibri"/>
          <w:sz w:val="22"/>
          <w:szCs w:val="22"/>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rsidR="00757B70" w:rsidRPr="00BC477D" w:rsidRDefault="00757B70" w:rsidP="009751D7">
      <w:pPr>
        <w:spacing w:after="240" w:line="276" w:lineRule="auto"/>
        <w:ind w:left="705" w:hanging="705"/>
        <w:jc w:val="both"/>
        <w:rPr>
          <w:bCs/>
          <w:sz w:val="22"/>
          <w:szCs w:val="22"/>
        </w:rPr>
      </w:pPr>
      <w:r w:rsidRPr="00BC477D">
        <w:rPr>
          <w:b/>
          <w:bCs/>
          <w:sz w:val="22"/>
          <w:szCs w:val="22"/>
        </w:rPr>
        <w:t xml:space="preserve">Que, </w:t>
      </w:r>
      <w:r w:rsidRPr="00BC477D">
        <w:rPr>
          <w:b/>
          <w:bCs/>
          <w:sz w:val="22"/>
          <w:szCs w:val="22"/>
        </w:rPr>
        <w:tab/>
      </w:r>
      <w:r w:rsidRPr="00BC477D">
        <w:rPr>
          <w:bCs/>
          <w:sz w:val="22"/>
          <w:szCs w:val="22"/>
        </w:rPr>
        <w:t>el libro IV.7., título II del Código Municipal para el Distrito Metropolitano de Quito, publicado en la edición especial No. 1615, del Registro Oficial del 11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757B70" w:rsidRPr="00BC477D" w:rsidRDefault="00757B70" w:rsidP="009751D7">
      <w:pPr>
        <w:pStyle w:val="Textoindependienteprimerasangra2"/>
        <w:spacing w:line="276" w:lineRule="auto"/>
        <w:ind w:left="709" w:hanging="709"/>
        <w:jc w:val="both"/>
        <w:rPr>
          <w:bCs/>
          <w:sz w:val="22"/>
          <w:szCs w:val="22"/>
        </w:rPr>
      </w:pPr>
      <w:r w:rsidRPr="00BC477D">
        <w:rPr>
          <w:b/>
          <w:bCs/>
          <w:sz w:val="22"/>
          <w:szCs w:val="22"/>
        </w:rPr>
        <w:t>Que,</w:t>
      </w:r>
      <w:r w:rsidRPr="00BC477D">
        <w:rPr>
          <w:b/>
          <w:bCs/>
          <w:sz w:val="22"/>
          <w:szCs w:val="22"/>
        </w:rPr>
        <w:tab/>
      </w:r>
      <w:r w:rsidRPr="00BC477D">
        <w:rPr>
          <w:bCs/>
          <w:sz w:val="22"/>
          <w:szCs w:val="22"/>
        </w:rPr>
        <w:t xml:space="preserve">el artículo 3681, del Código Municipal para el Distrito Metropolitano de Quito, publicado en la edición especial No. 1615, del Registro Oficial del 11 de Julio de 2021, en su último párrafo, establece que, con la declaratoria de interés social del asentamiento humano de </w:t>
      </w:r>
      <w:r w:rsidRPr="00BC477D">
        <w:rPr>
          <w:bCs/>
          <w:sz w:val="22"/>
          <w:szCs w:val="22"/>
        </w:rPr>
        <w:lastRenderedPageBreak/>
        <w:t>hecho y consolidado dará lugar a la exoneración referentes a la contribución de áreas verdes;</w:t>
      </w:r>
    </w:p>
    <w:p w:rsidR="00757B70" w:rsidRPr="00BC477D" w:rsidRDefault="00757B70" w:rsidP="00757B70">
      <w:pPr>
        <w:pStyle w:val="Textoindependienteprimerasangra2"/>
        <w:ind w:left="709" w:hanging="709"/>
        <w:jc w:val="both"/>
        <w:rPr>
          <w:bCs/>
          <w:sz w:val="22"/>
          <w:szCs w:val="22"/>
        </w:rPr>
      </w:pPr>
    </w:p>
    <w:p w:rsidR="00757B70" w:rsidRPr="00BC477D" w:rsidRDefault="00757B70" w:rsidP="009751D7">
      <w:pPr>
        <w:spacing w:after="240" w:line="276" w:lineRule="auto"/>
        <w:ind w:left="705" w:hanging="705"/>
        <w:jc w:val="both"/>
        <w:rPr>
          <w:bCs/>
          <w:i/>
          <w:sz w:val="22"/>
          <w:szCs w:val="22"/>
        </w:rPr>
      </w:pPr>
      <w:r w:rsidRPr="00BC477D">
        <w:rPr>
          <w:b/>
          <w:bCs/>
          <w:sz w:val="22"/>
          <w:szCs w:val="22"/>
        </w:rPr>
        <w:t>Que,</w:t>
      </w:r>
      <w:r w:rsidRPr="00BC477D">
        <w:rPr>
          <w:b/>
          <w:bCs/>
          <w:color w:val="FF0000"/>
          <w:sz w:val="22"/>
          <w:szCs w:val="22"/>
        </w:rPr>
        <w:tab/>
      </w:r>
      <w:r w:rsidRPr="00BC477D">
        <w:rPr>
          <w:bCs/>
          <w:sz w:val="22"/>
          <w:szCs w:val="22"/>
        </w:rPr>
        <w:t>el artículo 3693 del Código Municipal para el Distrito Metropolitano de Quito, publicado en la edición especial No. 1615, del Registro Oficial del 11 de Julio de 2021, señala:</w:t>
      </w:r>
      <w:r w:rsidRPr="00BC477D">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757B70" w:rsidRPr="00BC477D" w:rsidRDefault="00757B70" w:rsidP="009751D7">
      <w:pPr>
        <w:spacing w:after="240" w:line="276" w:lineRule="auto"/>
        <w:ind w:left="705" w:hanging="705"/>
        <w:jc w:val="both"/>
        <w:rPr>
          <w:bCs/>
          <w:sz w:val="22"/>
          <w:szCs w:val="22"/>
        </w:rPr>
      </w:pPr>
      <w:r w:rsidRPr="00BC477D">
        <w:rPr>
          <w:b/>
          <w:bCs/>
          <w:sz w:val="22"/>
          <w:szCs w:val="22"/>
        </w:rPr>
        <w:t>Que,</w:t>
      </w:r>
      <w:r w:rsidRPr="00BC477D">
        <w:rPr>
          <w:b/>
          <w:bCs/>
          <w:sz w:val="22"/>
          <w:szCs w:val="22"/>
        </w:rPr>
        <w:tab/>
      </w:r>
      <w:r w:rsidRPr="00BC477D">
        <w:rPr>
          <w:bCs/>
          <w:sz w:val="22"/>
          <w:szCs w:val="22"/>
        </w:rPr>
        <w:t xml:space="preserve">el artículo 3695 del Código Municipal para el Distrito Metropolitano de Quito, publicado en la edición especial No. 1615, del Registro Oficial del 11 de Julio de 2021, en su parte pertinente de la excepción de las áreas verdes dispone: </w:t>
      </w:r>
      <w:r w:rsidRPr="00BC477D">
        <w:rPr>
          <w:bCs/>
          <w:i/>
          <w:sz w:val="22"/>
          <w:szCs w:val="22"/>
        </w:rPr>
        <w:t>“(…) El faltante de áreas verdes será compensado pecuniariamente con excepción de los asentamientos declarados de interés social (...)”</w:t>
      </w:r>
      <w:r w:rsidRPr="00BC477D">
        <w:rPr>
          <w:bCs/>
          <w:sz w:val="22"/>
          <w:szCs w:val="22"/>
        </w:rPr>
        <w:t>;</w:t>
      </w:r>
    </w:p>
    <w:p w:rsidR="00757B70" w:rsidRPr="00BC477D" w:rsidRDefault="00757B70" w:rsidP="009751D7">
      <w:pPr>
        <w:spacing w:after="240" w:line="276" w:lineRule="auto"/>
        <w:ind w:left="705" w:hanging="705"/>
        <w:jc w:val="both"/>
        <w:rPr>
          <w:bCs/>
          <w:i/>
          <w:sz w:val="22"/>
          <w:szCs w:val="22"/>
        </w:rPr>
      </w:pPr>
      <w:r w:rsidRPr="00BC477D">
        <w:rPr>
          <w:b/>
          <w:bCs/>
          <w:sz w:val="22"/>
          <w:szCs w:val="22"/>
        </w:rPr>
        <w:t>Que,</w:t>
      </w:r>
      <w:r w:rsidRPr="00BC477D">
        <w:rPr>
          <w:b/>
          <w:bCs/>
          <w:sz w:val="22"/>
          <w:szCs w:val="22"/>
        </w:rPr>
        <w:tab/>
      </w:r>
      <w:r w:rsidRPr="00BC477D">
        <w:rPr>
          <w:bCs/>
          <w:sz w:val="22"/>
          <w:szCs w:val="22"/>
        </w:rPr>
        <w:t xml:space="preserve">el artículo 3715 del Código Municipal para el Distrito Metropolitano de Quito, publicado en la edición especial No. 1615, del Registro Oficial del 11 de Julio de 2021, en su parte pertinente de la regularización de barrios ubicados en parroquias rurales dispone: </w:t>
      </w:r>
      <w:r w:rsidRPr="00BC477D">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rsidR="00757B70" w:rsidRPr="00BC477D" w:rsidRDefault="00757B70" w:rsidP="009751D7">
      <w:pPr>
        <w:pStyle w:val="Sinespaciado"/>
        <w:spacing w:after="240" w:line="276" w:lineRule="auto"/>
        <w:ind w:left="709" w:hanging="709"/>
        <w:jc w:val="both"/>
        <w:rPr>
          <w:rFonts w:ascii="Times New Roman" w:eastAsia="Times New Roman" w:hAnsi="Times New Roman"/>
          <w:bCs/>
          <w:lang w:val="es-ES" w:eastAsia="es-ES"/>
        </w:rPr>
      </w:pPr>
      <w:r w:rsidRPr="00BC477D">
        <w:rPr>
          <w:rFonts w:ascii="Times New Roman" w:eastAsia="Times New Roman" w:hAnsi="Times New Roman"/>
          <w:b/>
          <w:bCs/>
          <w:lang w:val="es-ES" w:eastAsia="es-ES"/>
        </w:rPr>
        <w:t>Que</w:t>
      </w:r>
      <w:r w:rsidRPr="00BC477D">
        <w:rPr>
          <w:rFonts w:ascii="Times New Roman" w:eastAsia="Times New Roman" w:hAnsi="Times New Roman"/>
          <w:bCs/>
          <w:lang w:val="es-ES" w:eastAsia="es-ES"/>
        </w:rPr>
        <w:t xml:space="preserve">, </w:t>
      </w:r>
      <w:r w:rsidRPr="00BC477D">
        <w:rPr>
          <w:rFonts w:ascii="Times New Roman" w:eastAsia="Times New Roman" w:hAnsi="Times New Roman"/>
          <w:bCs/>
          <w:lang w:val="es-ES" w:eastAsia="es-ES"/>
        </w:rPr>
        <w:tab/>
        <w:t>el Código Municipal para el Distrito Metropolitano de Quito, publicado en la edición especial No. 1615, del Registro Oficial del 11 de Julio de 2021,</w:t>
      </w:r>
      <w:r w:rsidRPr="00BC477D">
        <w:rPr>
          <w:rFonts w:ascii="Times New Roman" w:hAnsi="Times New Roman"/>
          <w:bCs/>
        </w:rPr>
        <w:t xml:space="preserve"> determina en su disposición derogatoria lo siguiente:</w:t>
      </w:r>
      <w:r w:rsidRPr="00BC477D">
        <w:rPr>
          <w:rFonts w:ascii="Times New Roman" w:eastAsia="Times New Roman" w:hAnsi="Times New Roman"/>
          <w:bCs/>
          <w:lang w:val="es-ES" w:eastAsia="es-ES"/>
        </w:rPr>
        <w:t xml:space="preserve"> “(…) </w:t>
      </w:r>
      <w:r w:rsidRPr="00BC477D">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 (…)</w:t>
      </w:r>
      <w:r w:rsidRPr="00BC477D">
        <w:rPr>
          <w:rFonts w:ascii="Times New Roman" w:eastAsia="Times New Roman" w:hAnsi="Times New Roman"/>
          <w:bCs/>
          <w:lang w:val="es-ES" w:eastAsia="es-ES"/>
        </w:rPr>
        <w:t>”;</w:t>
      </w:r>
    </w:p>
    <w:p w:rsidR="00757B70" w:rsidRPr="00BC477D" w:rsidRDefault="00757B70" w:rsidP="009751D7">
      <w:pPr>
        <w:pStyle w:val="Sinespaciado"/>
        <w:spacing w:after="240" w:line="276" w:lineRule="auto"/>
        <w:ind w:left="709" w:hanging="709"/>
        <w:jc w:val="both"/>
        <w:rPr>
          <w:rFonts w:ascii="Times New Roman" w:hAnsi="Times New Roman"/>
          <w:bCs/>
        </w:rPr>
      </w:pPr>
      <w:r w:rsidRPr="00BC477D">
        <w:rPr>
          <w:rFonts w:ascii="Times New Roman" w:eastAsia="Times New Roman" w:hAnsi="Times New Roman"/>
          <w:b/>
          <w:bCs/>
          <w:lang w:val="es-ES" w:eastAsia="es-ES"/>
        </w:rPr>
        <w:t>Que</w:t>
      </w:r>
      <w:r w:rsidRPr="00BC477D">
        <w:rPr>
          <w:rFonts w:ascii="Times New Roman" w:eastAsia="Times New Roman" w:hAnsi="Times New Roman"/>
          <w:bCs/>
          <w:lang w:val="es-ES" w:eastAsia="es-ES"/>
        </w:rPr>
        <w:t xml:space="preserve">, </w:t>
      </w:r>
      <w:r w:rsidRPr="00BC477D">
        <w:rPr>
          <w:rFonts w:ascii="Times New Roman" w:eastAsia="Times New Roman" w:hAnsi="Times New Roman"/>
          <w:bCs/>
          <w:lang w:val="es-ES" w:eastAsia="es-ES"/>
        </w:rPr>
        <w:tab/>
        <w:t>en concordancia con el considerando precedente, la Disposición Transitoria Segunda de la Ordenanza No. 0117 de 9 de diciembre de 2016, determina que en los procesos de regularización de</w:t>
      </w:r>
      <w:r w:rsidRPr="00F6068F">
        <w:rPr>
          <w:rFonts w:ascii="Times New Roman" w:eastAsia="Times New Roman" w:hAnsi="Times New Roman"/>
          <w:bCs/>
          <w:lang w:val="es-ES" w:eastAsia="es-ES"/>
        </w:rPr>
        <w:t xml:space="preserve"> asentamientos humanos de hecho y consolidados que se encuentren en trámite, se aplicará la norma más beneficiosa para la regularización del asentamiento;</w:t>
      </w:r>
      <w:r w:rsidRPr="00BC477D">
        <w:rPr>
          <w:rFonts w:ascii="Times New Roman" w:hAnsi="Times New Roman"/>
          <w:bCs/>
        </w:rPr>
        <w:t xml:space="preserve"> </w:t>
      </w:r>
    </w:p>
    <w:p w:rsidR="00054919" w:rsidRDefault="00E6497A" w:rsidP="00F6068F">
      <w:pPr>
        <w:spacing w:after="240" w:line="276" w:lineRule="auto"/>
        <w:ind w:left="705" w:hanging="705"/>
        <w:jc w:val="both"/>
        <w:rPr>
          <w:sz w:val="22"/>
          <w:szCs w:val="22"/>
        </w:rPr>
      </w:pPr>
      <w:r w:rsidRPr="00BC477D">
        <w:rPr>
          <w:b/>
          <w:bCs/>
          <w:sz w:val="22"/>
          <w:szCs w:val="22"/>
        </w:rPr>
        <w:t>Que,</w:t>
      </w:r>
      <w:r w:rsidR="00054919" w:rsidRPr="00BC477D">
        <w:rPr>
          <w:sz w:val="22"/>
          <w:szCs w:val="22"/>
        </w:rPr>
        <w:tab/>
      </w:r>
      <w:r w:rsidR="00054919" w:rsidRPr="00BC477D">
        <w:rPr>
          <w:sz w:val="22"/>
          <w:szCs w:val="22"/>
        </w:rPr>
        <w:tab/>
      </w:r>
      <w:r w:rsidRPr="00F6068F">
        <w:rPr>
          <w:bCs/>
          <w:sz w:val="22"/>
          <w:szCs w:val="22"/>
        </w:rPr>
        <w:t xml:space="preserve">la </w:t>
      </w:r>
      <w:r w:rsidRPr="00BC477D">
        <w:rPr>
          <w:bCs/>
          <w:sz w:val="22"/>
          <w:szCs w:val="22"/>
        </w:rPr>
        <w:t>Mesa Institucional, el</w:t>
      </w:r>
      <w:r w:rsidR="00054919" w:rsidRPr="00BC477D">
        <w:rPr>
          <w:bCs/>
          <w:sz w:val="22"/>
          <w:szCs w:val="22"/>
        </w:rPr>
        <w:t xml:space="preserve"> 31 de mayo de 2022</w:t>
      </w:r>
      <w:r w:rsidRPr="00BC477D">
        <w:rPr>
          <w:bCs/>
          <w:sz w:val="22"/>
          <w:szCs w:val="22"/>
        </w:rPr>
        <w:t>, la misma que se encontraba integrada por: Arq. Edison Cuical Cevallos Delegado de la Administración Zonal la Delicia</w:t>
      </w:r>
      <w:r w:rsidR="00054919" w:rsidRPr="00BC477D">
        <w:rPr>
          <w:bCs/>
          <w:sz w:val="22"/>
          <w:szCs w:val="22"/>
        </w:rPr>
        <w:t>, Arq. Cristina Paredes Delegada de la Dirección Metropolitana de Políticas y Planeamiento de Suelo de la secretaría de Territorio, Hábitat y Vivienda, Arq. Erika Pacheco de</w:t>
      </w:r>
      <w:r w:rsidR="00F6068F">
        <w:rPr>
          <w:bCs/>
          <w:sz w:val="22"/>
          <w:szCs w:val="22"/>
        </w:rPr>
        <w:t>legada de</w:t>
      </w:r>
      <w:r w:rsidR="00054919" w:rsidRPr="00BC477D">
        <w:rPr>
          <w:bCs/>
          <w:sz w:val="22"/>
          <w:szCs w:val="22"/>
        </w:rPr>
        <w:t xml:space="preserve"> la Dirección Metropolitana de Catastro de la Secretaría de Territorio, Hábitat y Vivienda, </w:t>
      </w:r>
      <w:r w:rsidR="00054919" w:rsidRPr="00BC477D">
        <w:rPr>
          <w:bCs/>
          <w:sz w:val="22"/>
          <w:szCs w:val="22"/>
        </w:rPr>
        <w:lastRenderedPageBreak/>
        <w:t>Arq. Marcia Leines  Delegad</w:t>
      </w:r>
      <w:r w:rsidR="00162F82">
        <w:rPr>
          <w:bCs/>
          <w:sz w:val="22"/>
          <w:szCs w:val="22"/>
        </w:rPr>
        <w:t>a</w:t>
      </w:r>
      <w:r w:rsidR="00054919" w:rsidRPr="00BC477D">
        <w:rPr>
          <w:bCs/>
          <w:sz w:val="22"/>
          <w:szCs w:val="22"/>
        </w:rPr>
        <w:t xml:space="preserve"> de la Dirección Metropolitana de Catastros de la Secretaría de</w:t>
      </w:r>
      <w:r w:rsidR="00162F82">
        <w:rPr>
          <w:bCs/>
          <w:sz w:val="22"/>
          <w:szCs w:val="22"/>
        </w:rPr>
        <w:t xml:space="preserve"> Territorio, </w:t>
      </w:r>
      <w:proofErr w:type="spellStart"/>
      <w:r w:rsidR="00162F82">
        <w:rPr>
          <w:bCs/>
          <w:sz w:val="22"/>
          <w:szCs w:val="22"/>
        </w:rPr>
        <w:t>Habita</w:t>
      </w:r>
      <w:r w:rsidR="009751D7">
        <w:rPr>
          <w:bCs/>
          <w:sz w:val="22"/>
          <w:szCs w:val="22"/>
        </w:rPr>
        <w:t>t</w:t>
      </w:r>
      <w:proofErr w:type="spellEnd"/>
      <w:r w:rsidR="00162F82">
        <w:rPr>
          <w:bCs/>
          <w:sz w:val="22"/>
          <w:szCs w:val="22"/>
        </w:rPr>
        <w:t xml:space="preserve"> y Vivienda; </w:t>
      </w:r>
      <w:r w:rsidR="00162F82" w:rsidRPr="00BC477D">
        <w:rPr>
          <w:bCs/>
          <w:sz w:val="22"/>
          <w:szCs w:val="22"/>
        </w:rPr>
        <w:t>Ing. Luis Albán Delegado de la Dirección Metr</w:t>
      </w:r>
      <w:r w:rsidR="00162F82">
        <w:rPr>
          <w:bCs/>
          <w:sz w:val="22"/>
          <w:szCs w:val="22"/>
        </w:rPr>
        <w:t>opolitana de Gestión de Riesgos;</w:t>
      </w:r>
      <w:r w:rsidR="00162F82" w:rsidRPr="00BC477D">
        <w:rPr>
          <w:bCs/>
          <w:sz w:val="22"/>
          <w:szCs w:val="22"/>
        </w:rPr>
        <w:t xml:space="preserve"> </w:t>
      </w:r>
      <w:r w:rsidR="00054919" w:rsidRPr="00BC477D">
        <w:rPr>
          <w:bCs/>
          <w:sz w:val="22"/>
          <w:szCs w:val="22"/>
        </w:rPr>
        <w:t xml:space="preserve"> </w:t>
      </w:r>
      <w:r w:rsidRPr="00BC477D">
        <w:rPr>
          <w:bCs/>
          <w:sz w:val="22"/>
          <w:szCs w:val="22"/>
        </w:rPr>
        <w:t xml:space="preserve">Abg. Lucia Jurado </w:t>
      </w:r>
      <w:r w:rsidR="009751D7" w:rsidRPr="00BC477D">
        <w:rPr>
          <w:bCs/>
          <w:sz w:val="22"/>
          <w:szCs w:val="22"/>
        </w:rPr>
        <w:t>Orna</w:t>
      </w:r>
      <w:r w:rsidR="00162F82">
        <w:rPr>
          <w:bCs/>
          <w:sz w:val="22"/>
          <w:szCs w:val="22"/>
        </w:rPr>
        <w:t>,</w:t>
      </w:r>
      <w:r w:rsidRPr="00BC477D">
        <w:rPr>
          <w:bCs/>
          <w:sz w:val="22"/>
          <w:szCs w:val="22"/>
        </w:rPr>
        <w:t xml:space="preserve"> Coordinadora de la Unidad Desconcentrada “Regula Tu Barrio” – La Delicia y Eugenio Espejo, Abg. Raquel Balladares Pico</w:t>
      </w:r>
      <w:r w:rsidR="00162F82">
        <w:rPr>
          <w:bCs/>
          <w:sz w:val="22"/>
          <w:szCs w:val="22"/>
        </w:rPr>
        <w:t>,</w:t>
      </w:r>
      <w:r w:rsidRPr="00BC477D">
        <w:rPr>
          <w:bCs/>
          <w:sz w:val="22"/>
          <w:szCs w:val="22"/>
        </w:rPr>
        <w:t xml:space="preserve"> Responsable Legal de la Unidad Desconcentrada  “Regula Tu Barrio” – La Delicia y Eugenio Espejo y Arq. Yessica Burbano Puebla, Responsable Técnica – Coordinación de la Unidad Desconcentrada “Regula Tu Barrio”; aprobaron el Informe Socio organizativo, Legal y Técnico (SOLT) </w:t>
      </w:r>
      <w:r w:rsidR="00054919" w:rsidRPr="00BC477D">
        <w:rPr>
          <w:bCs/>
          <w:sz w:val="22"/>
          <w:szCs w:val="22"/>
        </w:rPr>
        <w:t xml:space="preserve">No. 002-UERB-AZLD-SOLT-2022 de 31 de mayo de 2021, </w:t>
      </w:r>
      <w:r w:rsidRPr="00BC477D">
        <w:rPr>
          <w:bCs/>
          <w:sz w:val="22"/>
          <w:szCs w:val="22"/>
        </w:rPr>
        <w:t>habilitante para el proceso integral de regularización del</w:t>
      </w:r>
      <w:r w:rsidR="00054919" w:rsidRPr="00BC477D">
        <w:rPr>
          <w:bCs/>
          <w:sz w:val="22"/>
          <w:szCs w:val="22"/>
        </w:rPr>
        <w:t xml:space="preserve"> </w:t>
      </w:r>
      <w:r w:rsidR="00054919" w:rsidRPr="00BC477D">
        <w:rPr>
          <w:sz w:val="22"/>
          <w:szCs w:val="22"/>
        </w:rPr>
        <w:t xml:space="preserve">asentamiento humano de hecho y consolidado de interés social denominado </w:t>
      </w:r>
      <w:r w:rsidR="00162F82">
        <w:rPr>
          <w:sz w:val="22"/>
          <w:szCs w:val="22"/>
        </w:rPr>
        <w:t>Comité Barrial “Abdón Calderón Número Dos”</w:t>
      </w:r>
      <w:r w:rsidR="00054919" w:rsidRPr="00BC477D">
        <w:rPr>
          <w:sz w:val="22"/>
          <w:szCs w:val="22"/>
        </w:rPr>
        <w:t xml:space="preserve"> a favor de sus socios;</w:t>
      </w:r>
    </w:p>
    <w:p w:rsidR="00996205" w:rsidRDefault="00996205" w:rsidP="00996205">
      <w:pPr>
        <w:ind w:left="700" w:hanging="700"/>
        <w:jc w:val="both"/>
        <w:rPr>
          <w:sz w:val="22"/>
          <w:szCs w:val="22"/>
          <w:lang w:val="es-EC" w:eastAsia="es-ES_tradnl"/>
        </w:rPr>
      </w:pPr>
      <w:r w:rsidRPr="000C2943">
        <w:rPr>
          <w:b/>
          <w:sz w:val="22"/>
          <w:szCs w:val="22"/>
          <w:lang w:val="es-EC" w:eastAsia="es-ES_tradnl"/>
        </w:rPr>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996205" w:rsidRDefault="00996205" w:rsidP="00996205">
      <w:pPr>
        <w:ind w:left="700" w:hanging="700"/>
        <w:jc w:val="both"/>
        <w:rPr>
          <w:rStyle w:val="markedcontent"/>
          <w:rFonts w:ascii="Arial" w:hAnsi="Arial" w:cs="Arial"/>
          <w:sz w:val="25"/>
          <w:szCs w:val="25"/>
        </w:rPr>
      </w:pPr>
    </w:p>
    <w:p w:rsidR="00996205" w:rsidRDefault="00996205" w:rsidP="00996205">
      <w:pPr>
        <w:spacing w:after="240" w:line="276" w:lineRule="auto"/>
        <w:ind w:left="851" w:hanging="151"/>
        <w:jc w:val="both"/>
        <w:rPr>
          <w:sz w:val="22"/>
          <w:szCs w:val="22"/>
        </w:rPr>
      </w:pPr>
      <w:r w:rsidRPr="000C2943">
        <w:rPr>
          <w:rStyle w:val="markedcontent"/>
          <w:i/>
          <w:sz w:val="22"/>
          <w:szCs w:val="22"/>
        </w:rPr>
        <w:t xml:space="preserve">“En este sentido una vez que los barrios cuenten </w:t>
      </w:r>
      <w:r>
        <w:rPr>
          <w:rStyle w:val="markedcontent"/>
          <w:i/>
          <w:sz w:val="22"/>
          <w:szCs w:val="22"/>
        </w:rPr>
        <w:t xml:space="preserve">con la respectiva Ordenanza, la </w:t>
      </w:r>
      <w:r w:rsidRPr="000C2943">
        <w:rPr>
          <w:rStyle w:val="markedcontent"/>
          <w:i/>
          <w:sz w:val="22"/>
          <w:szCs w:val="22"/>
        </w:rPr>
        <w:t>EPMAPS procederá a realizar los estudios y diseños para la dotación de agua potable en los diferentes sectores de DMQ incluyendo la instalación de hidrantes.”</w:t>
      </w:r>
    </w:p>
    <w:p w:rsidR="009751D7" w:rsidRPr="00BC477D" w:rsidRDefault="009751D7" w:rsidP="00F6068F">
      <w:pPr>
        <w:spacing w:after="240" w:line="276" w:lineRule="auto"/>
        <w:ind w:left="705" w:hanging="705"/>
        <w:jc w:val="both"/>
        <w:rPr>
          <w:bCs/>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Pr="00685BBE">
        <w:rPr>
          <w:sz w:val="22"/>
          <w:szCs w:val="22"/>
        </w:rPr>
        <w:t>006</w:t>
      </w:r>
      <w:r>
        <w:rPr>
          <w:sz w:val="22"/>
          <w:szCs w:val="22"/>
        </w:rPr>
        <w:t>1</w:t>
      </w:r>
      <w:r w:rsidRPr="00685BBE">
        <w:rPr>
          <w:sz w:val="22"/>
          <w:szCs w:val="22"/>
        </w:rPr>
        <w:t>-EPMMOP-GP-2022-OF</w:t>
      </w:r>
      <w:r w:rsidRPr="0006239B">
        <w:rPr>
          <w:sz w:val="22"/>
          <w:szCs w:val="22"/>
        </w:rPr>
        <w:t xml:space="preserve"> de </w:t>
      </w:r>
      <w:r>
        <w:rPr>
          <w:sz w:val="22"/>
          <w:szCs w:val="22"/>
        </w:rPr>
        <w:t>19</w:t>
      </w:r>
      <w:r w:rsidRPr="0006239B">
        <w:rPr>
          <w:sz w:val="22"/>
          <w:szCs w:val="22"/>
        </w:rPr>
        <w:t xml:space="preserve"> de enero de 202</w:t>
      </w:r>
      <w:r>
        <w:rPr>
          <w:sz w:val="22"/>
          <w:szCs w:val="22"/>
        </w:rPr>
        <w:t>2</w:t>
      </w:r>
      <w:r w:rsidRPr="0006239B">
        <w:rPr>
          <w:sz w:val="22"/>
          <w:szCs w:val="22"/>
        </w:rPr>
        <w:t xml:space="preserve">, </w:t>
      </w:r>
      <w:r>
        <w:rPr>
          <w:sz w:val="22"/>
          <w:szCs w:val="22"/>
        </w:rPr>
        <w:t xml:space="preserve">la Empresa Pública Metropolitana de Movilidad y Obras Públicas, remite el </w:t>
      </w:r>
      <w:r w:rsidRPr="00685BBE">
        <w:rPr>
          <w:sz w:val="22"/>
          <w:szCs w:val="22"/>
        </w:rPr>
        <w:t xml:space="preserve">plano en archivo digital </w:t>
      </w:r>
      <w:r>
        <w:rPr>
          <w:sz w:val="22"/>
          <w:szCs w:val="22"/>
        </w:rPr>
        <w:t>de fecha 18 de enero de 2022, aprobado por el Arquitecto Hidalgo Núñez</w:t>
      </w:r>
      <w:r w:rsidRPr="00685BBE">
        <w:rPr>
          <w:sz w:val="22"/>
          <w:szCs w:val="22"/>
        </w:rPr>
        <w:t xml:space="preserve">, </w:t>
      </w:r>
      <w:r w:rsidR="00996205">
        <w:rPr>
          <w:sz w:val="22"/>
          <w:szCs w:val="22"/>
        </w:rPr>
        <w:t xml:space="preserve">Gerente de planificación de la EPMMOP, el mismo </w:t>
      </w:r>
      <w:r w:rsidRPr="00685BBE">
        <w:rPr>
          <w:sz w:val="22"/>
          <w:szCs w:val="22"/>
        </w:rPr>
        <w:t xml:space="preserve">que corresponde a la designación de nomenclatura vial del </w:t>
      </w:r>
      <w:r w:rsidR="00996205" w:rsidRPr="00BC477D">
        <w:rPr>
          <w:sz w:val="22"/>
          <w:szCs w:val="22"/>
        </w:rPr>
        <w:t xml:space="preserve">asentamiento humano de hecho y consolidado de interés social denominado </w:t>
      </w:r>
      <w:r w:rsidR="00996205">
        <w:rPr>
          <w:sz w:val="22"/>
          <w:szCs w:val="22"/>
        </w:rPr>
        <w:t>Comité Barrial “Abdón Calderón Número Dos”</w:t>
      </w:r>
      <w:r w:rsidRPr="00685BBE">
        <w:rPr>
          <w:sz w:val="22"/>
          <w:szCs w:val="22"/>
        </w:rPr>
        <w:t>.</w:t>
      </w:r>
    </w:p>
    <w:p w:rsidR="00072FC8" w:rsidRPr="00BC477D" w:rsidRDefault="002F3E93" w:rsidP="00162F82">
      <w:pPr>
        <w:spacing w:after="240" w:line="276" w:lineRule="auto"/>
        <w:ind w:left="705" w:hanging="705"/>
        <w:jc w:val="both"/>
        <w:rPr>
          <w:sz w:val="22"/>
          <w:szCs w:val="22"/>
          <w:lang w:val="es-EC" w:eastAsia="es-ES_tradnl"/>
        </w:rPr>
      </w:pPr>
      <w:r w:rsidRPr="00BC477D">
        <w:rPr>
          <w:b/>
          <w:bCs/>
          <w:sz w:val="22"/>
          <w:szCs w:val="22"/>
        </w:rPr>
        <w:t xml:space="preserve">Que, </w:t>
      </w:r>
      <w:r w:rsidRPr="00BC477D">
        <w:rPr>
          <w:b/>
          <w:bCs/>
          <w:sz w:val="22"/>
          <w:szCs w:val="22"/>
        </w:rPr>
        <w:tab/>
      </w:r>
      <w:r w:rsidRPr="00BC477D">
        <w:rPr>
          <w:sz w:val="22"/>
          <w:szCs w:val="22"/>
          <w:lang w:val="es-EC" w:eastAsia="es-ES_tradnl"/>
        </w:rPr>
        <w:t>mediante oficio Nro. GADDMQ-AZLD-2022-0202-O de 26 de enero de 2022, suscrito por la Abg. Laura Vanessa Flores Arias, Administrad</w:t>
      </w:r>
      <w:r w:rsidR="00996205">
        <w:rPr>
          <w:sz w:val="22"/>
          <w:szCs w:val="22"/>
          <w:lang w:val="es-EC" w:eastAsia="es-ES_tradnl"/>
        </w:rPr>
        <w:t>ora Zonal Administración Zonal l</w:t>
      </w:r>
      <w:r w:rsidRPr="00BC477D">
        <w:rPr>
          <w:sz w:val="22"/>
          <w:szCs w:val="22"/>
          <w:lang w:val="es-EC" w:eastAsia="es-ES_tradnl"/>
        </w:rPr>
        <w:t>a Delicia, remit</w:t>
      </w:r>
      <w:r w:rsidR="00162F82">
        <w:rPr>
          <w:sz w:val="22"/>
          <w:szCs w:val="22"/>
          <w:lang w:val="es-EC" w:eastAsia="es-ES_tradnl"/>
        </w:rPr>
        <w:t>e</w:t>
      </w:r>
      <w:r w:rsidRPr="00BC477D">
        <w:rPr>
          <w:sz w:val="22"/>
          <w:szCs w:val="22"/>
          <w:lang w:val="es-EC" w:eastAsia="es-ES_tradnl"/>
        </w:rPr>
        <w:t xml:space="preserve"> </w:t>
      </w:r>
      <w:r w:rsidR="00162F82">
        <w:rPr>
          <w:sz w:val="22"/>
          <w:szCs w:val="22"/>
          <w:lang w:val="es-EC" w:eastAsia="es-ES_tradnl"/>
        </w:rPr>
        <w:t>e</w:t>
      </w:r>
      <w:r w:rsidRPr="00BC477D">
        <w:rPr>
          <w:sz w:val="22"/>
          <w:szCs w:val="22"/>
          <w:lang w:val="es-EC" w:eastAsia="es-ES_tradnl"/>
        </w:rPr>
        <w:t xml:space="preserve">l </w:t>
      </w:r>
      <w:r w:rsidR="00072FC8" w:rsidRPr="00162F82">
        <w:rPr>
          <w:sz w:val="22"/>
          <w:szCs w:val="22"/>
          <w:lang w:val="es-EC" w:eastAsia="es-ES_tradnl"/>
        </w:rPr>
        <w:t>informe técnico N.- 015-UTYV-22 de 20 de enero de 2022</w:t>
      </w:r>
      <w:r w:rsidR="00162F82">
        <w:rPr>
          <w:sz w:val="22"/>
          <w:szCs w:val="22"/>
          <w:lang w:val="es-EC" w:eastAsia="es-ES_tradnl"/>
        </w:rPr>
        <w:t>, sobre la definición</w:t>
      </w:r>
      <w:r w:rsidR="00162F82" w:rsidRPr="00162F82">
        <w:rPr>
          <w:sz w:val="22"/>
          <w:szCs w:val="22"/>
          <w:lang w:val="es-EC" w:eastAsia="es-ES_tradnl"/>
        </w:rPr>
        <w:t xml:space="preserve"> y </w:t>
      </w:r>
      <w:r w:rsidR="00162F82">
        <w:rPr>
          <w:sz w:val="22"/>
          <w:szCs w:val="22"/>
          <w:lang w:val="es-EC" w:eastAsia="es-ES_tradnl"/>
        </w:rPr>
        <w:t>replanteo v</w:t>
      </w:r>
      <w:r w:rsidR="00162F82" w:rsidRPr="00162F82">
        <w:rPr>
          <w:sz w:val="22"/>
          <w:szCs w:val="22"/>
          <w:lang w:val="es-EC" w:eastAsia="es-ES_tradnl"/>
        </w:rPr>
        <w:t xml:space="preserve">ial del </w:t>
      </w:r>
      <w:r w:rsidR="00162F82">
        <w:rPr>
          <w:sz w:val="22"/>
          <w:szCs w:val="22"/>
          <w:lang w:val="es-EC" w:eastAsia="es-ES_tradnl"/>
        </w:rPr>
        <w:t>a</w:t>
      </w:r>
      <w:r w:rsidR="00162F82" w:rsidRPr="00162F82">
        <w:rPr>
          <w:sz w:val="22"/>
          <w:szCs w:val="22"/>
          <w:lang w:val="es-EC" w:eastAsia="es-ES_tradnl"/>
        </w:rPr>
        <w:t xml:space="preserve">sentamiento </w:t>
      </w:r>
      <w:r w:rsidR="00162F82">
        <w:rPr>
          <w:sz w:val="22"/>
          <w:szCs w:val="22"/>
          <w:lang w:val="es-EC" w:eastAsia="es-ES_tradnl"/>
        </w:rPr>
        <w:t>h</w:t>
      </w:r>
      <w:r w:rsidR="00162F82" w:rsidRPr="00162F82">
        <w:rPr>
          <w:sz w:val="22"/>
          <w:szCs w:val="22"/>
          <w:lang w:val="es-EC" w:eastAsia="es-ES_tradnl"/>
        </w:rPr>
        <w:t xml:space="preserve">umano de </w:t>
      </w:r>
      <w:r w:rsidR="00162F82">
        <w:rPr>
          <w:sz w:val="22"/>
          <w:szCs w:val="22"/>
          <w:lang w:val="es-EC" w:eastAsia="es-ES_tradnl"/>
        </w:rPr>
        <w:t>h</w:t>
      </w:r>
      <w:r w:rsidR="00162F82" w:rsidRPr="00162F82">
        <w:rPr>
          <w:sz w:val="22"/>
          <w:szCs w:val="22"/>
          <w:lang w:val="es-EC" w:eastAsia="es-ES_tradnl"/>
        </w:rPr>
        <w:t xml:space="preserve">echo y </w:t>
      </w:r>
      <w:r w:rsidR="00162F82">
        <w:rPr>
          <w:sz w:val="22"/>
          <w:szCs w:val="22"/>
          <w:lang w:val="es-EC" w:eastAsia="es-ES_tradnl"/>
        </w:rPr>
        <w:t>c</w:t>
      </w:r>
      <w:r w:rsidR="00162F82" w:rsidRPr="00162F82">
        <w:rPr>
          <w:sz w:val="22"/>
          <w:szCs w:val="22"/>
          <w:lang w:val="es-EC" w:eastAsia="es-ES_tradnl"/>
        </w:rPr>
        <w:t xml:space="preserve">onsolidado de </w:t>
      </w:r>
      <w:r w:rsidR="00162F82">
        <w:rPr>
          <w:sz w:val="22"/>
          <w:szCs w:val="22"/>
          <w:lang w:val="es-EC" w:eastAsia="es-ES_tradnl"/>
        </w:rPr>
        <w:t>interés s</w:t>
      </w:r>
      <w:r w:rsidR="00162F82" w:rsidRPr="00162F82">
        <w:rPr>
          <w:sz w:val="22"/>
          <w:szCs w:val="22"/>
          <w:lang w:val="es-EC" w:eastAsia="es-ES_tradnl"/>
        </w:rPr>
        <w:t xml:space="preserve">ocial </w:t>
      </w:r>
      <w:r w:rsidR="00162F82">
        <w:rPr>
          <w:sz w:val="22"/>
          <w:szCs w:val="22"/>
          <w:lang w:val="es-EC" w:eastAsia="es-ES_tradnl"/>
        </w:rPr>
        <w:t>d</w:t>
      </w:r>
      <w:r w:rsidR="00162F82" w:rsidRPr="00162F82">
        <w:rPr>
          <w:sz w:val="22"/>
          <w:szCs w:val="22"/>
          <w:lang w:val="es-EC" w:eastAsia="es-ES_tradnl"/>
        </w:rPr>
        <w:t xml:space="preserve">enominado Comité </w:t>
      </w:r>
      <w:r w:rsidR="00162F82">
        <w:rPr>
          <w:sz w:val="22"/>
          <w:szCs w:val="22"/>
          <w:lang w:val="es-EC" w:eastAsia="es-ES_tradnl"/>
        </w:rPr>
        <w:t>Barrial “</w:t>
      </w:r>
      <w:r w:rsidR="00162F82" w:rsidRPr="00162F82">
        <w:rPr>
          <w:sz w:val="22"/>
          <w:szCs w:val="22"/>
          <w:lang w:val="es-EC" w:eastAsia="es-ES_tradnl"/>
        </w:rPr>
        <w:t>Abdón Calderón</w:t>
      </w:r>
      <w:r w:rsidR="00162F82">
        <w:rPr>
          <w:sz w:val="22"/>
          <w:szCs w:val="22"/>
          <w:lang w:val="es-EC" w:eastAsia="es-ES_tradnl"/>
        </w:rPr>
        <w:t xml:space="preserve"> Número Dos”, </w:t>
      </w:r>
      <w:r w:rsidR="009751D7">
        <w:rPr>
          <w:sz w:val="22"/>
          <w:szCs w:val="22"/>
          <w:lang w:val="es-EC" w:eastAsia="es-ES_tradnl"/>
        </w:rPr>
        <w:t xml:space="preserve">ubicado en la </w:t>
      </w:r>
      <w:r w:rsidR="00162F82" w:rsidRPr="00162F82">
        <w:rPr>
          <w:sz w:val="22"/>
          <w:szCs w:val="22"/>
          <w:lang w:val="es-EC" w:eastAsia="es-ES_tradnl"/>
        </w:rPr>
        <w:t>parroquia El Condado</w:t>
      </w:r>
      <w:r w:rsidR="000A5CE1" w:rsidRPr="00BC477D">
        <w:rPr>
          <w:sz w:val="22"/>
          <w:szCs w:val="22"/>
          <w:lang w:val="es-EC" w:eastAsia="es-ES_tradnl"/>
        </w:rPr>
        <w:t>;</w:t>
      </w:r>
    </w:p>
    <w:p w:rsidR="00B45106" w:rsidRPr="00996205" w:rsidRDefault="000A5CE1" w:rsidP="00996205">
      <w:pPr>
        <w:spacing w:after="240" w:line="276" w:lineRule="auto"/>
        <w:ind w:left="705" w:hanging="705"/>
        <w:jc w:val="both"/>
        <w:rPr>
          <w:sz w:val="22"/>
          <w:szCs w:val="22"/>
        </w:rPr>
      </w:pPr>
      <w:r w:rsidRPr="00BC477D">
        <w:rPr>
          <w:b/>
          <w:bCs/>
          <w:sz w:val="22"/>
          <w:szCs w:val="22"/>
        </w:rPr>
        <w:t xml:space="preserve">Que, </w:t>
      </w:r>
      <w:r w:rsidRPr="00BC477D">
        <w:rPr>
          <w:b/>
          <w:bCs/>
          <w:sz w:val="22"/>
          <w:szCs w:val="22"/>
        </w:rPr>
        <w:tab/>
      </w:r>
      <w:r w:rsidRPr="00BC477D">
        <w:rPr>
          <w:sz w:val="22"/>
          <w:szCs w:val="22"/>
          <w:lang w:val="es-EC" w:eastAsia="es-ES_tradnl"/>
        </w:rPr>
        <w:t>mediante oficio No. GADDMQ-SGSG-DMGR-2022-0389-OF de 5 de abril de 2022</w:t>
      </w:r>
      <w:r w:rsidR="008228BB" w:rsidRPr="00BC477D">
        <w:rPr>
          <w:sz w:val="22"/>
          <w:szCs w:val="22"/>
          <w:lang w:val="es-EC" w:eastAsia="es-ES_tradnl"/>
        </w:rPr>
        <w:t xml:space="preserve"> suscrito por el Ing. Freddy Roberto Nieto Guayasamin Director de Riesgos (s) de la Secretaría General de Seguridad y Gobernabilidad – Dirección Metropolitana de Gestión de Riesgos</w:t>
      </w:r>
      <w:r w:rsidR="00996205">
        <w:rPr>
          <w:sz w:val="22"/>
          <w:szCs w:val="22"/>
          <w:lang w:val="es-EC" w:eastAsia="es-ES_tradnl"/>
        </w:rPr>
        <w:t xml:space="preserve">, </w:t>
      </w:r>
      <w:r w:rsidR="008228BB" w:rsidRPr="00BC477D">
        <w:rPr>
          <w:sz w:val="22"/>
          <w:szCs w:val="22"/>
          <w:lang w:val="es-EC" w:eastAsia="es-ES_tradnl"/>
        </w:rPr>
        <w:t xml:space="preserve">emite el informe de riesgos </w:t>
      </w:r>
      <w:r w:rsidR="00996205">
        <w:rPr>
          <w:sz w:val="22"/>
          <w:szCs w:val="22"/>
          <w:lang w:val="es-EC" w:eastAsia="es-ES_tradnl"/>
        </w:rPr>
        <w:t xml:space="preserve">No. </w:t>
      </w:r>
      <w:r w:rsidR="00996205" w:rsidRPr="00BC477D">
        <w:rPr>
          <w:bCs/>
          <w:sz w:val="22"/>
          <w:szCs w:val="22"/>
        </w:rPr>
        <w:t>I-0004-EAH-AT-DMGR-2022</w:t>
      </w:r>
      <w:r w:rsidR="00996205">
        <w:rPr>
          <w:bCs/>
          <w:sz w:val="22"/>
          <w:szCs w:val="22"/>
        </w:rPr>
        <w:t xml:space="preserve">, </w:t>
      </w:r>
      <w:r w:rsidR="00996205" w:rsidRPr="00BC477D">
        <w:rPr>
          <w:bCs/>
          <w:sz w:val="22"/>
          <w:szCs w:val="22"/>
        </w:rPr>
        <w:t>de 5 de abril de 2022</w:t>
      </w:r>
      <w:r w:rsidR="00996205">
        <w:rPr>
          <w:bCs/>
          <w:sz w:val="22"/>
          <w:szCs w:val="22"/>
        </w:rPr>
        <w:t xml:space="preserve">, el mismo que califica el riesgo por movimientos en masa para el </w:t>
      </w:r>
      <w:r w:rsidR="00B65D11" w:rsidRPr="00BC477D">
        <w:rPr>
          <w:sz w:val="22"/>
          <w:szCs w:val="22"/>
        </w:rPr>
        <w:t xml:space="preserve">asentamiento </w:t>
      </w:r>
      <w:r w:rsidR="00B65D11" w:rsidRPr="00BC477D">
        <w:rPr>
          <w:sz w:val="22"/>
          <w:szCs w:val="22"/>
        </w:rPr>
        <w:lastRenderedPageBreak/>
        <w:t xml:space="preserve">humano de hecho y consolidado de interés social denominado </w:t>
      </w:r>
      <w:r w:rsidR="00162F82">
        <w:rPr>
          <w:sz w:val="22"/>
          <w:szCs w:val="22"/>
        </w:rPr>
        <w:t>Comité Barrial “Abdón Calderón Número Dos”</w:t>
      </w:r>
      <w:r w:rsidR="00B65D11" w:rsidRPr="00BC477D">
        <w:rPr>
          <w:sz w:val="22"/>
          <w:szCs w:val="22"/>
        </w:rPr>
        <w:t>;</w:t>
      </w:r>
      <w:r w:rsidR="00996205">
        <w:rPr>
          <w:sz w:val="22"/>
          <w:szCs w:val="22"/>
        </w:rPr>
        <w:t xml:space="preserve"> con </w:t>
      </w:r>
      <w:r w:rsidR="00721D3F" w:rsidRPr="00996205">
        <w:rPr>
          <w:sz w:val="22"/>
          <w:szCs w:val="22"/>
        </w:rPr>
        <w:t xml:space="preserve">un </w:t>
      </w:r>
      <w:r w:rsidR="00996205">
        <w:rPr>
          <w:sz w:val="22"/>
          <w:szCs w:val="22"/>
        </w:rPr>
        <w:t>r</w:t>
      </w:r>
      <w:r w:rsidR="00721D3F" w:rsidRPr="00996205">
        <w:rPr>
          <w:sz w:val="22"/>
          <w:szCs w:val="22"/>
        </w:rPr>
        <w:t xml:space="preserve">iesgo </w:t>
      </w:r>
      <w:r w:rsidR="00996205">
        <w:rPr>
          <w:sz w:val="22"/>
          <w:szCs w:val="22"/>
        </w:rPr>
        <w:t>b</w:t>
      </w:r>
      <w:r w:rsidR="00721D3F" w:rsidRPr="00996205">
        <w:rPr>
          <w:sz w:val="22"/>
          <w:szCs w:val="22"/>
        </w:rPr>
        <w:t xml:space="preserve">ajo </w:t>
      </w:r>
      <w:r w:rsidR="00996205">
        <w:rPr>
          <w:sz w:val="22"/>
          <w:szCs w:val="22"/>
        </w:rPr>
        <w:t>m</w:t>
      </w:r>
      <w:r w:rsidR="00721D3F" w:rsidRPr="00996205">
        <w:rPr>
          <w:sz w:val="22"/>
          <w:szCs w:val="22"/>
        </w:rPr>
        <w:t xml:space="preserve">itigable para los 25, 26, 27, 28, 29 , 30, 31, 32, 33, 34, 35, 36, 37, 38, 39, 40, 41, 42, 43, 44 y 45; </w:t>
      </w:r>
      <w:r w:rsidR="00996205">
        <w:rPr>
          <w:sz w:val="22"/>
          <w:szCs w:val="22"/>
        </w:rPr>
        <w:t>r</w:t>
      </w:r>
      <w:r w:rsidR="00721D3F" w:rsidRPr="00996205">
        <w:rPr>
          <w:sz w:val="22"/>
          <w:szCs w:val="22"/>
        </w:rPr>
        <w:t xml:space="preserve">iesgo </w:t>
      </w:r>
      <w:r w:rsidR="00996205">
        <w:rPr>
          <w:sz w:val="22"/>
          <w:szCs w:val="22"/>
        </w:rPr>
        <w:t>m</w:t>
      </w:r>
      <w:r w:rsidR="00721D3F" w:rsidRPr="00996205">
        <w:rPr>
          <w:sz w:val="22"/>
          <w:szCs w:val="22"/>
        </w:rPr>
        <w:t xml:space="preserve">oderado </w:t>
      </w:r>
      <w:r w:rsidR="00996205">
        <w:rPr>
          <w:sz w:val="22"/>
          <w:szCs w:val="22"/>
        </w:rPr>
        <w:t>m</w:t>
      </w:r>
      <w:r w:rsidR="00721D3F" w:rsidRPr="00996205">
        <w:rPr>
          <w:sz w:val="22"/>
          <w:szCs w:val="22"/>
        </w:rPr>
        <w:t>itigable para los lotes 1, 2, 3, 4, 5, 6, 7, 8, 9, 10, 11, 15, 16, 17, 18 20, 22, 23, 24, 46, 4</w:t>
      </w:r>
      <w:r w:rsidR="00996205">
        <w:rPr>
          <w:sz w:val="22"/>
          <w:szCs w:val="22"/>
        </w:rPr>
        <w:t>7 y 48; y, riesgo m</w:t>
      </w:r>
      <w:r w:rsidR="00721D3F" w:rsidRPr="00996205">
        <w:rPr>
          <w:sz w:val="22"/>
          <w:szCs w:val="22"/>
        </w:rPr>
        <w:t xml:space="preserve">uy </w:t>
      </w:r>
      <w:r w:rsidR="00996205">
        <w:rPr>
          <w:sz w:val="22"/>
          <w:szCs w:val="22"/>
        </w:rPr>
        <w:t>a</w:t>
      </w:r>
      <w:r w:rsidR="00721D3F" w:rsidRPr="00996205">
        <w:rPr>
          <w:sz w:val="22"/>
          <w:szCs w:val="22"/>
        </w:rPr>
        <w:t xml:space="preserve">lto </w:t>
      </w:r>
      <w:r w:rsidR="00996205">
        <w:rPr>
          <w:sz w:val="22"/>
          <w:szCs w:val="22"/>
        </w:rPr>
        <w:t>m</w:t>
      </w:r>
      <w:r w:rsidR="00721D3F" w:rsidRPr="00996205">
        <w:rPr>
          <w:sz w:val="22"/>
          <w:szCs w:val="22"/>
        </w:rPr>
        <w:t>itigable para los lotes 12, 13, 14, 19, 21, 49, 50 y 51.</w:t>
      </w:r>
    </w:p>
    <w:p w:rsidR="000F73A8" w:rsidRPr="00BC477D" w:rsidRDefault="000F73A8" w:rsidP="000F73A8">
      <w:pPr>
        <w:spacing w:line="276" w:lineRule="auto"/>
        <w:jc w:val="both"/>
        <w:rPr>
          <w:b/>
          <w:sz w:val="22"/>
          <w:szCs w:val="22"/>
        </w:rPr>
      </w:pPr>
      <w:r w:rsidRPr="00BC477D">
        <w:rPr>
          <w:b/>
          <w:sz w:val="22"/>
          <w:szCs w:val="22"/>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rsidR="006035C2" w:rsidRDefault="006035C2" w:rsidP="000F73A8">
      <w:pPr>
        <w:spacing w:after="240" w:line="276" w:lineRule="auto"/>
        <w:jc w:val="center"/>
        <w:rPr>
          <w:b/>
          <w:sz w:val="22"/>
          <w:szCs w:val="22"/>
        </w:rPr>
      </w:pPr>
    </w:p>
    <w:p w:rsidR="000F73A8" w:rsidRPr="00BC477D" w:rsidRDefault="000F73A8" w:rsidP="000F73A8">
      <w:pPr>
        <w:spacing w:after="240" w:line="276" w:lineRule="auto"/>
        <w:jc w:val="center"/>
        <w:rPr>
          <w:b/>
          <w:sz w:val="22"/>
          <w:szCs w:val="22"/>
        </w:rPr>
      </w:pPr>
      <w:r w:rsidRPr="00BC477D">
        <w:rPr>
          <w:b/>
          <w:sz w:val="22"/>
          <w:szCs w:val="22"/>
        </w:rPr>
        <w:t>EXPIDE LA SIGUIENTE:</w:t>
      </w:r>
    </w:p>
    <w:p w:rsidR="000F73A8" w:rsidRPr="00BC477D" w:rsidRDefault="00596F5F" w:rsidP="000F73A8">
      <w:pPr>
        <w:spacing w:after="240" w:line="276" w:lineRule="auto"/>
        <w:jc w:val="center"/>
        <w:rPr>
          <w:b/>
          <w:sz w:val="22"/>
          <w:szCs w:val="22"/>
        </w:rPr>
      </w:pPr>
      <w:r w:rsidRPr="00BC477D">
        <w:rPr>
          <w:b/>
          <w:sz w:val="22"/>
          <w:szCs w:val="22"/>
        </w:rPr>
        <w:t>ORDENANZA</w:t>
      </w:r>
    </w:p>
    <w:p w:rsidR="00596F5F" w:rsidRPr="00BC477D" w:rsidRDefault="000F73A8" w:rsidP="000F73A8">
      <w:pPr>
        <w:spacing w:after="240" w:line="276" w:lineRule="auto"/>
        <w:jc w:val="both"/>
        <w:rPr>
          <w:b/>
          <w:bCs/>
          <w:sz w:val="22"/>
          <w:szCs w:val="22"/>
        </w:rPr>
      </w:pPr>
      <w:r w:rsidRPr="00BC477D">
        <w:rPr>
          <w:b/>
          <w:bCs/>
          <w:sz w:val="22"/>
          <w:szCs w:val="22"/>
        </w:rPr>
        <w:t xml:space="preserve">ORDENANZA QUE APRUEBA EL PROCESO INTEGRAL DE REGULARIZACION DEL </w:t>
      </w:r>
      <w:r w:rsidR="00596F5F" w:rsidRPr="00BC477D">
        <w:rPr>
          <w:b/>
          <w:sz w:val="22"/>
          <w:szCs w:val="22"/>
        </w:rPr>
        <w:t xml:space="preserve">ASENTAMIENTO HUMANO DE HECHO Y CONSOLIDADO DE INTERÉS SOCIAL DENOMINADO </w:t>
      </w:r>
      <w:r w:rsidR="00162F82">
        <w:rPr>
          <w:b/>
          <w:sz w:val="22"/>
          <w:szCs w:val="22"/>
        </w:rPr>
        <w:t>COMITÉ BARRIAL “ABDÓN CALDERÓN NÚMERO DOS”</w:t>
      </w:r>
      <w:r w:rsidR="004A5CAC">
        <w:rPr>
          <w:b/>
          <w:sz w:val="22"/>
          <w:szCs w:val="22"/>
        </w:rPr>
        <w:t xml:space="preserve">, </w:t>
      </w:r>
      <w:r w:rsidR="00596F5F" w:rsidRPr="00BC477D">
        <w:rPr>
          <w:b/>
          <w:sz w:val="22"/>
          <w:szCs w:val="22"/>
        </w:rPr>
        <w:t>A FAVOR DE SUS SOCIOS</w:t>
      </w:r>
      <w:r w:rsidR="004A5CAC">
        <w:rPr>
          <w:b/>
          <w:sz w:val="22"/>
          <w:szCs w:val="22"/>
        </w:rPr>
        <w:t>.</w:t>
      </w:r>
    </w:p>
    <w:p w:rsidR="00596F5F" w:rsidRPr="00BC477D" w:rsidRDefault="00000402" w:rsidP="00000402">
      <w:pPr>
        <w:spacing w:after="240" w:line="276" w:lineRule="auto"/>
        <w:jc w:val="both"/>
        <w:rPr>
          <w:sz w:val="22"/>
          <w:szCs w:val="22"/>
        </w:rPr>
      </w:pPr>
      <w:r w:rsidRPr="00BC477D">
        <w:rPr>
          <w:b/>
          <w:sz w:val="22"/>
          <w:szCs w:val="22"/>
        </w:rPr>
        <w:t xml:space="preserve">Articulo 1.- </w:t>
      </w:r>
      <w:r w:rsidR="004A5CAC" w:rsidRPr="00BC477D">
        <w:rPr>
          <w:b/>
          <w:sz w:val="22"/>
          <w:szCs w:val="22"/>
        </w:rPr>
        <w:t>Objeto. -</w:t>
      </w:r>
      <w:r w:rsidRPr="00BC477D">
        <w:rPr>
          <w:b/>
          <w:sz w:val="22"/>
          <w:szCs w:val="22"/>
        </w:rPr>
        <w:t xml:space="preserve"> </w:t>
      </w:r>
      <w:r w:rsidRPr="00BC477D">
        <w:rPr>
          <w:sz w:val="22"/>
          <w:szCs w:val="22"/>
        </w:rPr>
        <w:t>La presente ordenanza tiene por objeto</w:t>
      </w:r>
      <w:r w:rsidRPr="00BC477D">
        <w:rPr>
          <w:b/>
          <w:sz w:val="22"/>
          <w:szCs w:val="22"/>
        </w:rPr>
        <w:t xml:space="preserve"> </w:t>
      </w:r>
      <w:r w:rsidRPr="00BC477D">
        <w:rPr>
          <w:sz w:val="22"/>
          <w:szCs w:val="22"/>
        </w:rPr>
        <w:t xml:space="preserve">reconocer y aprobar el fraccionamiento de los predios No. </w:t>
      </w:r>
      <w:r w:rsidR="004A5CAC" w:rsidRPr="00BC477D">
        <w:rPr>
          <w:sz w:val="22"/>
          <w:szCs w:val="22"/>
        </w:rPr>
        <w:t>252228</w:t>
      </w:r>
      <w:r w:rsidR="004A5CAC">
        <w:rPr>
          <w:sz w:val="22"/>
          <w:szCs w:val="22"/>
        </w:rPr>
        <w:t xml:space="preserve">, </w:t>
      </w:r>
      <w:r w:rsidR="006C4C26">
        <w:rPr>
          <w:sz w:val="22"/>
          <w:szCs w:val="22"/>
        </w:rPr>
        <w:t xml:space="preserve">sus pasajes y escalinatas, </w:t>
      </w:r>
      <w:r w:rsidR="004A5CAC">
        <w:rPr>
          <w:sz w:val="22"/>
          <w:szCs w:val="22"/>
        </w:rPr>
        <w:t xml:space="preserve">transferencia </w:t>
      </w:r>
      <w:r w:rsidR="006035C2">
        <w:rPr>
          <w:sz w:val="22"/>
          <w:szCs w:val="22"/>
        </w:rPr>
        <w:t xml:space="preserve">del área bajo el borde superior de quebrada </w:t>
      </w:r>
      <w:r w:rsidR="006035C2" w:rsidRPr="00BC477D">
        <w:rPr>
          <w:sz w:val="22"/>
          <w:szCs w:val="22"/>
        </w:rPr>
        <w:t>y</w:t>
      </w:r>
      <w:r w:rsidRPr="00BC477D">
        <w:rPr>
          <w:sz w:val="22"/>
          <w:szCs w:val="22"/>
        </w:rPr>
        <w:t xml:space="preserve"> mantener su zonificación sobre la que se encuentra el </w:t>
      </w:r>
      <w:r w:rsidR="00596F5F" w:rsidRPr="00BC477D">
        <w:rPr>
          <w:sz w:val="22"/>
          <w:szCs w:val="22"/>
        </w:rPr>
        <w:t xml:space="preserve">asentamiento humano de hecho y consolidado de interés social denominado </w:t>
      </w:r>
      <w:r w:rsidR="00162F82">
        <w:rPr>
          <w:sz w:val="22"/>
          <w:szCs w:val="22"/>
        </w:rPr>
        <w:t>Comité Barrial “Abdón Calderón Número Dos”</w:t>
      </w:r>
      <w:r w:rsidR="00596F5F" w:rsidRPr="00BC477D">
        <w:rPr>
          <w:sz w:val="22"/>
          <w:szCs w:val="22"/>
        </w:rPr>
        <w:t xml:space="preserve"> a favor de sus socios.</w:t>
      </w:r>
    </w:p>
    <w:p w:rsidR="007171AF" w:rsidRPr="00BC477D" w:rsidRDefault="007171AF" w:rsidP="007171AF">
      <w:pPr>
        <w:spacing w:after="240" w:line="276" w:lineRule="auto"/>
        <w:jc w:val="both"/>
        <w:rPr>
          <w:sz w:val="22"/>
          <w:szCs w:val="22"/>
        </w:rPr>
      </w:pPr>
      <w:r w:rsidRPr="00BC477D">
        <w:rPr>
          <w:b/>
          <w:bCs/>
          <w:sz w:val="22"/>
          <w:szCs w:val="22"/>
        </w:rPr>
        <w:t xml:space="preserve">Artículo 2.- De los planos y documentos presentados. - </w:t>
      </w:r>
      <w:r w:rsidRPr="00BC477D">
        <w:rPr>
          <w:sz w:val="22"/>
          <w:szCs w:val="22"/>
        </w:rPr>
        <w:t xml:space="preserve">Los planos y documentos presentados para la aprobación del presente acto normativo son de exclusiva responsabilidad del proyectista y de los copropietarios del </w:t>
      </w:r>
      <w:r w:rsidR="00596F5F" w:rsidRPr="00BC477D">
        <w:rPr>
          <w:sz w:val="22"/>
          <w:szCs w:val="22"/>
        </w:rPr>
        <w:t xml:space="preserve">asentamiento humano de hecho y consolidado de interés social denominado </w:t>
      </w:r>
      <w:r w:rsidR="00F6068F">
        <w:rPr>
          <w:sz w:val="22"/>
          <w:szCs w:val="22"/>
        </w:rPr>
        <w:t>Comité Barri</w:t>
      </w:r>
      <w:r w:rsidR="006035C2">
        <w:rPr>
          <w:sz w:val="22"/>
          <w:szCs w:val="22"/>
        </w:rPr>
        <w:t>al</w:t>
      </w:r>
      <w:r w:rsidR="00F6068F">
        <w:rPr>
          <w:sz w:val="22"/>
          <w:szCs w:val="22"/>
        </w:rPr>
        <w:t xml:space="preserve"> “Abdón Calderón Número Dos”</w:t>
      </w:r>
      <w:r w:rsidR="00596F5F" w:rsidRPr="00BC477D">
        <w:rPr>
          <w:sz w:val="22"/>
          <w:szCs w:val="22"/>
        </w:rPr>
        <w:t xml:space="preserve">, </w:t>
      </w:r>
      <w:r w:rsidRPr="00BC477D">
        <w:rPr>
          <w:sz w:val="22"/>
          <w:szCs w:val="22"/>
        </w:rPr>
        <w:t xml:space="preserve">ubicado en la parroquia El Condado, </w:t>
      </w:r>
      <w:r w:rsidRPr="00BC477D">
        <w:rPr>
          <w:bCs/>
          <w:sz w:val="22"/>
          <w:szCs w:val="22"/>
        </w:rPr>
        <w:t xml:space="preserve">sin </w:t>
      </w:r>
      <w:r w:rsidRPr="00BC477D">
        <w:rPr>
          <w:sz w:val="22"/>
          <w:szCs w:val="22"/>
        </w:rPr>
        <w:t>perjuicio de la responsabilidad de quienes revisaron los planos y los documentos legales, excepto que hayan sido inducidos a engaño o al error.</w:t>
      </w:r>
    </w:p>
    <w:p w:rsidR="00654CE7" w:rsidRPr="00BC477D" w:rsidRDefault="00654CE7" w:rsidP="00654CE7">
      <w:pPr>
        <w:spacing w:after="240" w:line="276" w:lineRule="auto"/>
        <w:jc w:val="both"/>
        <w:rPr>
          <w:sz w:val="22"/>
          <w:szCs w:val="22"/>
        </w:rPr>
      </w:pPr>
      <w:r w:rsidRPr="00BC477D">
        <w:rPr>
          <w:sz w:val="22"/>
          <w:szCs w:val="22"/>
        </w:rPr>
        <w:t xml:space="preserve">En caso de comprobarse ocultación o falsedad en planos, datos, documentos, o de existir reclamos de terceros afectados, son de exclusiva responsabilidad del técnico contratado por el barrio y de los propietarios del predio.  </w:t>
      </w:r>
    </w:p>
    <w:p w:rsidR="00654CE7" w:rsidRPr="00BC477D" w:rsidRDefault="00654CE7" w:rsidP="00654CE7">
      <w:pPr>
        <w:ind w:left="703" w:hanging="703"/>
        <w:jc w:val="both"/>
        <w:rPr>
          <w:sz w:val="22"/>
          <w:szCs w:val="22"/>
        </w:rPr>
      </w:pPr>
      <w:r w:rsidRPr="00BC477D">
        <w:rPr>
          <w:sz w:val="22"/>
          <w:szCs w:val="22"/>
        </w:rPr>
        <w:t>Las dimensiones y superficies de los lotes, son las determinadas en el plano aprobatorio que forma</w:t>
      </w:r>
    </w:p>
    <w:p w:rsidR="0009071F" w:rsidRPr="00BC477D" w:rsidRDefault="00654CE7" w:rsidP="006035C2">
      <w:pPr>
        <w:spacing w:after="240"/>
        <w:ind w:left="703" w:hanging="703"/>
        <w:jc w:val="both"/>
        <w:rPr>
          <w:sz w:val="22"/>
          <w:szCs w:val="22"/>
        </w:rPr>
      </w:pPr>
      <w:r w:rsidRPr="00BC477D">
        <w:rPr>
          <w:sz w:val="22"/>
          <w:szCs w:val="22"/>
        </w:rPr>
        <w:t>parte integrante de esta Ordenanza.</w:t>
      </w:r>
    </w:p>
    <w:p w:rsidR="00735E7E" w:rsidRPr="00BC477D" w:rsidRDefault="00735E7E" w:rsidP="00735E7E">
      <w:pPr>
        <w:spacing w:after="240" w:line="276" w:lineRule="auto"/>
        <w:jc w:val="both"/>
        <w:rPr>
          <w:sz w:val="22"/>
          <w:szCs w:val="22"/>
        </w:rPr>
      </w:pPr>
      <w:r w:rsidRPr="00BC477D">
        <w:rPr>
          <w:sz w:val="22"/>
          <w:szCs w:val="22"/>
        </w:rPr>
        <w:t xml:space="preserve">Los </w:t>
      </w:r>
      <w:r w:rsidR="006035C2">
        <w:rPr>
          <w:sz w:val="22"/>
          <w:szCs w:val="22"/>
        </w:rPr>
        <w:t>socios</w:t>
      </w:r>
      <w:r w:rsidRPr="00BC477D">
        <w:rPr>
          <w:sz w:val="22"/>
          <w:szCs w:val="22"/>
        </w:rPr>
        <w:t xml:space="preserve"> del</w:t>
      </w:r>
      <w:r w:rsidR="0009071F" w:rsidRPr="00BC477D">
        <w:rPr>
          <w:sz w:val="22"/>
          <w:szCs w:val="22"/>
        </w:rPr>
        <w:t xml:space="preserve"> asentamiento humano de hecho y consolidado de interés social denominado </w:t>
      </w:r>
      <w:r w:rsidR="00162F82">
        <w:rPr>
          <w:sz w:val="22"/>
          <w:szCs w:val="22"/>
        </w:rPr>
        <w:t>Comité Barrial “Abdón Calderón Número Dos”</w:t>
      </w:r>
      <w:r w:rsidR="0009071F" w:rsidRPr="00BC477D">
        <w:rPr>
          <w:sz w:val="22"/>
          <w:szCs w:val="22"/>
        </w:rPr>
        <w:t xml:space="preserve">, </w:t>
      </w:r>
      <w:r w:rsidRPr="00BC477D">
        <w:rPr>
          <w:sz w:val="22"/>
          <w:szCs w:val="22"/>
        </w:rPr>
        <w:t>se comprometen a respetar las características d</w:t>
      </w:r>
      <w:r w:rsidR="006C4C26">
        <w:rPr>
          <w:sz w:val="22"/>
          <w:szCs w:val="22"/>
        </w:rPr>
        <w:t>e los lotes establecidas en el p</w:t>
      </w:r>
      <w:r w:rsidRPr="00BC477D">
        <w:rPr>
          <w:sz w:val="22"/>
          <w:szCs w:val="22"/>
        </w:rPr>
        <w:t xml:space="preserve">lano y en este instrumento; en ese sentido, no podrán fraccionarlos o dividirlos. </w:t>
      </w:r>
    </w:p>
    <w:p w:rsidR="00735E7E" w:rsidRPr="00BC477D" w:rsidRDefault="00735E7E" w:rsidP="00735E7E">
      <w:pPr>
        <w:spacing w:after="240" w:line="276" w:lineRule="auto"/>
        <w:jc w:val="both"/>
        <w:rPr>
          <w:sz w:val="22"/>
          <w:szCs w:val="22"/>
        </w:rPr>
      </w:pPr>
      <w:r w:rsidRPr="00BC477D">
        <w:rPr>
          <w:sz w:val="22"/>
          <w:szCs w:val="22"/>
        </w:rPr>
        <w:lastRenderedPageBreak/>
        <w:t>El incumplimiento de los dispuesto en la presente Ordenanza y en la normativa metropolitana nacional vigente al respecto, dará lugar a la imposición de las sanciones correspondientes.</w:t>
      </w:r>
    </w:p>
    <w:p w:rsidR="003A0F8B" w:rsidRPr="00BC477D" w:rsidRDefault="003A0F8B" w:rsidP="003A0F8B">
      <w:pPr>
        <w:pStyle w:val="Textoindependiente"/>
        <w:spacing w:line="276" w:lineRule="auto"/>
        <w:jc w:val="both"/>
        <w:rPr>
          <w:sz w:val="22"/>
          <w:szCs w:val="22"/>
        </w:rPr>
      </w:pPr>
      <w:r w:rsidRPr="00BC477D">
        <w:rPr>
          <w:b/>
          <w:bCs/>
          <w:sz w:val="22"/>
          <w:szCs w:val="22"/>
        </w:rPr>
        <w:t xml:space="preserve">Artículo 3.- Declaratoria de Interés Social.- </w:t>
      </w:r>
      <w:r w:rsidRPr="00BC477D">
        <w:rPr>
          <w:sz w:val="22"/>
          <w:szCs w:val="22"/>
        </w:rPr>
        <w:t>Por las condiciones del asentamiento humano de hecho y consolidado, se lo aprueba considerándolo de Interés Social de conformidad con la normativa vigente.</w:t>
      </w:r>
    </w:p>
    <w:p w:rsidR="002A219C" w:rsidRPr="00BC477D" w:rsidRDefault="002A219C" w:rsidP="002A219C">
      <w:pPr>
        <w:spacing w:after="240" w:line="276" w:lineRule="auto"/>
        <w:jc w:val="both"/>
        <w:rPr>
          <w:b/>
          <w:bCs/>
          <w:sz w:val="22"/>
          <w:szCs w:val="22"/>
        </w:rPr>
      </w:pPr>
      <w:r w:rsidRPr="00BC477D">
        <w:rPr>
          <w:b/>
          <w:bCs/>
          <w:sz w:val="22"/>
          <w:szCs w:val="22"/>
        </w:rPr>
        <w:t>Artículo 4.- Especificaciones Técnicas.-</w:t>
      </w:r>
    </w:p>
    <w:tbl>
      <w:tblPr>
        <w:tblW w:w="5000" w:type="pct"/>
        <w:tblCellMar>
          <w:left w:w="70" w:type="dxa"/>
          <w:right w:w="70" w:type="dxa"/>
        </w:tblCellMar>
        <w:tblLook w:val="04A0" w:firstRow="1" w:lastRow="0" w:firstColumn="1" w:lastColumn="0" w:noHBand="0" w:noVBand="1"/>
      </w:tblPr>
      <w:tblGrid>
        <w:gridCol w:w="2830"/>
        <w:gridCol w:w="2127"/>
        <w:gridCol w:w="3537"/>
      </w:tblGrid>
      <w:tr w:rsidR="002A219C" w:rsidRPr="00BC477D" w:rsidTr="006C4C26">
        <w:trPr>
          <w:trHeight w:val="330"/>
        </w:trPr>
        <w:tc>
          <w:tcPr>
            <w:tcW w:w="1666" w:type="pct"/>
            <w:tcBorders>
              <w:top w:val="single" w:sz="4" w:space="0" w:color="000000"/>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Predios:</w:t>
            </w:r>
          </w:p>
        </w:tc>
        <w:tc>
          <w:tcPr>
            <w:tcW w:w="3334" w:type="pct"/>
            <w:gridSpan w:val="2"/>
            <w:tcBorders>
              <w:top w:val="single" w:sz="4" w:space="0" w:color="000000"/>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 xml:space="preserve">252228  </w:t>
            </w:r>
          </w:p>
        </w:tc>
      </w:tr>
      <w:tr w:rsidR="006C4C26" w:rsidRPr="00BC477D"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Zonificación:</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rPr>
                <w:color w:val="000000"/>
                <w:sz w:val="22"/>
                <w:szCs w:val="22"/>
                <w:lang w:val="es-EC" w:eastAsia="es-EC"/>
              </w:rPr>
            </w:pPr>
            <w:r>
              <w:rPr>
                <w:sz w:val="22"/>
                <w:szCs w:val="22"/>
              </w:rPr>
              <w:t xml:space="preserve">D3 (D203-80)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F19BA">
            <w:pPr>
              <w:rPr>
                <w:color w:val="000000"/>
                <w:sz w:val="22"/>
                <w:szCs w:val="22"/>
                <w:lang w:val="es-EC" w:eastAsia="es-EC"/>
              </w:rPr>
            </w:pPr>
            <w:r w:rsidRPr="00BC477D">
              <w:rPr>
                <w:sz w:val="22"/>
                <w:szCs w:val="22"/>
              </w:rPr>
              <w:t>A31 (PQ)</w:t>
            </w:r>
          </w:p>
        </w:tc>
      </w:tr>
      <w:tr w:rsidR="002A219C"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Lote mínimo:</w:t>
            </w:r>
          </w:p>
        </w:tc>
        <w:tc>
          <w:tcPr>
            <w:tcW w:w="3334" w:type="pct"/>
            <w:gridSpan w:val="2"/>
            <w:tcBorders>
              <w:top w:val="nil"/>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eastAsia="es-EC"/>
              </w:rPr>
              <w:t>200 m2</w:t>
            </w:r>
          </w:p>
        </w:tc>
      </w:tr>
      <w:tr w:rsidR="006C4C26"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Forma de Ocupación del suelo:</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tabs>
                <w:tab w:val="left" w:pos="1410"/>
              </w:tabs>
              <w:rPr>
                <w:color w:val="000000"/>
                <w:sz w:val="22"/>
                <w:szCs w:val="22"/>
                <w:lang w:val="es-EC" w:eastAsia="es-EC"/>
              </w:rPr>
            </w:pPr>
            <w:r>
              <w:rPr>
                <w:color w:val="000000"/>
                <w:sz w:val="22"/>
                <w:szCs w:val="22"/>
                <w:lang w:val="es-EC" w:eastAsia="es-EC"/>
              </w:rPr>
              <w:t xml:space="preserve">(D) Sobre línea de fábrica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A219C">
            <w:pPr>
              <w:tabs>
                <w:tab w:val="left" w:pos="1410"/>
              </w:tabs>
              <w:rPr>
                <w:color w:val="000000"/>
                <w:sz w:val="22"/>
                <w:szCs w:val="22"/>
                <w:lang w:val="es-EC" w:eastAsia="es-EC"/>
              </w:rPr>
            </w:pPr>
            <w:r w:rsidRPr="00BC477D">
              <w:rPr>
                <w:color w:val="000000"/>
                <w:sz w:val="22"/>
                <w:szCs w:val="22"/>
                <w:lang w:val="es-EC" w:eastAsia="es-EC"/>
              </w:rPr>
              <w:t>(A) Aislada</w:t>
            </w:r>
          </w:p>
        </w:tc>
      </w:tr>
      <w:tr w:rsidR="006C4C26" w:rsidRPr="00BC477D" w:rsidTr="006C4C26">
        <w:trPr>
          <w:trHeight w:val="570"/>
        </w:trPr>
        <w:tc>
          <w:tcPr>
            <w:tcW w:w="1666" w:type="pct"/>
            <w:tcBorders>
              <w:top w:val="nil"/>
              <w:left w:val="single" w:sz="4" w:space="0" w:color="000000"/>
              <w:bottom w:val="single" w:sz="4" w:space="0" w:color="000000"/>
              <w:right w:val="single" w:sz="4" w:space="0" w:color="000000"/>
            </w:tcBorders>
            <w:shd w:val="clear" w:color="auto" w:fill="auto"/>
            <w:hideMark/>
          </w:tcPr>
          <w:p w:rsidR="006C4C26" w:rsidRPr="00BC477D" w:rsidRDefault="006C4C26" w:rsidP="002F19BA">
            <w:pPr>
              <w:rPr>
                <w:b/>
                <w:bCs/>
                <w:color w:val="000000"/>
                <w:sz w:val="22"/>
                <w:szCs w:val="22"/>
                <w:lang w:val="es-EC" w:eastAsia="es-EC"/>
              </w:rPr>
            </w:pPr>
            <w:r w:rsidRPr="00BC477D">
              <w:rPr>
                <w:b/>
                <w:bCs/>
                <w:color w:val="000000"/>
                <w:sz w:val="22"/>
                <w:szCs w:val="22"/>
                <w:lang w:eastAsia="es-EC"/>
              </w:rPr>
              <w:t>Uso principal del suelo:</w:t>
            </w:r>
          </w:p>
        </w:tc>
        <w:tc>
          <w:tcPr>
            <w:tcW w:w="1252" w:type="pct"/>
            <w:tcBorders>
              <w:top w:val="nil"/>
              <w:left w:val="nil"/>
              <w:bottom w:val="single" w:sz="4" w:space="0" w:color="000000"/>
              <w:right w:val="single" w:sz="4" w:space="0" w:color="000000"/>
            </w:tcBorders>
            <w:shd w:val="clear" w:color="auto" w:fill="auto"/>
            <w:hideMark/>
          </w:tcPr>
          <w:p w:rsidR="006C4C26" w:rsidRPr="00BC477D" w:rsidRDefault="006C4C26" w:rsidP="006C4C26">
            <w:pPr>
              <w:rPr>
                <w:color w:val="000000"/>
                <w:sz w:val="22"/>
                <w:szCs w:val="22"/>
                <w:lang w:val="es-EC" w:eastAsia="es-EC"/>
              </w:rPr>
            </w:pPr>
            <w:r>
              <w:rPr>
                <w:color w:val="000000"/>
                <w:sz w:val="22"/>
                <w:szCs w:val="22"/>
                <w:lang w:val="es-EC" w:eastAsia="es-EC"/>
              </w:rPr>
              <w:t xml:space="preserve">(RU2) Residencial Urbano 2 </w:t>
            </w:r>
          </w:p>
        </w:tc>
        <w:tc>
          <w:tcPr>
            <w:tcW w:w="2082" w:type="pct"/>
            <w:tcBorders>
              <w:top w:val="nil"/>
              <w:left w:val="nil"/>
              <w:bottom w:val="single" w:sz="4" w:space="0" w:color="000000"/>
              <w:right w:val="single" w:sz="4" w:space="0" w:color="000000"/>
            </w:tcBorders>
            <w:shd w:val="clear" w:color="auto" w:fill="auto"/>
          </w:tcPr>
          <w:p w:rsidR="006C4C26" w:rsidRPr="00BC477D" w:rsidRDefault="006C4C26" w:rsidP="002A219C">
            <w:pPr>
              <w:rPr>
                <w:color w:val="000000"/>
                <w:sz w:val="22"/>
                <w:szCs w:val="22"/>
                <w:lang w:val="es-EC" w:eastAsia="es-EC"/>
              </w:rPr>
            </w:pPr>
            <w:r w:rsidRPr="00BC477D">
              <w:rPr>
                <w:color w:val="000000"/>
                <w:sz w:val="22"/>
                <w:szCs w:val="22"/>
                <w:lang w:val="es-EC" w:eastAsia="es-EC"/>
              </w:rPr>
              <w:t>(PE/CPN) Protección Ecológica Conservación del Patrimonio Natural</w:t>
            </w:r>
          </w:p>
        </w:tc>
      </w:tr>
      <w:tr w:rsidR="002A219C" w:rsidRPr="00BC477D"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Clasificación del Suelo:</w:t>
            </w:r>
          </w:p>
        </w:tc>
        <w:tc>
          <w:tcPr>
            <w:tcW w:w="3334" w:type="pct"/>
            <w:gridSpan w:val="2"/>
            <w:tcBorders>
              <w:top w:val="nil"/>
              <w:left w:val="nil"/>
              <w:bottom w:val="single" w:sz="4" w:space="0" w:color="000000"/>
              <w:right w:val="single" w:sz="4" w:space="0" w:color="000000"/>
            </w:tcBorders>
            <w:shd w:val="clear" w:color="auto" w:fill="auto"/>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(SU) Suelo Urbano</w:t>
            </w:r>
          </w:p>
        </w:tc>
      </w:tr>
      <w:tr w:rsidR="002A219C" w:rsidRPr="00BC477D" w:rsidTr="006C4C26">
        <w:trPr>
          <w:trHeight w:val="330"/>
        </w:trPr>
        <w:tc>
          <w:tcPr>
            <w:tcW w:w="1666" w:type="pct"/>
            <w:tcBorders>
              <w:top w:val="nil"/>
              <w:left w:val="single" w:sz="4" w:space="0" w:color="000000"/>
              <w:bottom w:val="single" w:sz="4" w:space="0" w:color="000000"/>
              <w:right w:val="single" w:sz="4" w:space="0" w:color="000000"/>
            </w:tcBorders>
            <w:shd w:val="clear" w:color="auto" w:fill="auto"/>
            <w:noWrap/>
            <w:hideMark/>
          </w:tcPr>
          <w:p w:rsidR="002A219C" w:rsidRPr="00BC477D" w:rsidRDefault="002A219C" w:rsidP="002F19BA">
            <w:pPr>
              <w:rPr>
                <w:b/>
                <w:bCs/>
                <w:color w:val="000000"/>
                <w:sz w:val="22"/>
                <w:szCs w:val="22"/>
                <w:lang w:val="es-EC" w:eastAsia="es-EC"/>
              </w:rPr>
            </w:pPr>
            <w:r w:rsidRPr="00BC477D">
              <w:rPr>
                <w:b/>
                <w:bCs/>
                <w:color w:val="000000"/>
                <w:sz w:val="22"/>
                <w:szCs w:val="22"/>
                <w:lang w:val="es-EC" w:eastAsia="es-EC"/>
              </w:rPr>
              <w:t xml:space="preserve">Número de lotes: </w:t>
            </w:r>
          </w:p>
        </w:tc>
        <w:tc>
          <w:tcPr>
            <w:tcW w:w="3334" w:type="pct"/>
            <w:gridSpan w:val="2"/>
            <w:tcBorders>
              <w:top w:val="nil"/>
              <w:left w:val="nil"/>
              <w:bottom w:val="single" w:sz="4" w:space="0" w:color="000000"/>
              <w:right w:val="single" w:sz="4" w:space="0" w:color="000000"/>
            </w:tcBorders>
            <w:shd w:val="clear" w:color="auto" w:fill="auto"/>
            <w:noWrap/>
            <w:hideMark/>
          </w:tcPr>
          <w:p w:rsidR="002A219C" w:rsidRPr="00BC477D" w:rsidRDefault="002A219C" w:rsidP="002F19BA">
            <w:pPr>
              <w:rPr>
                <w:color w:val="000000"/>
                <w:sz w:val="22"/>
                <w:szCs w:val="22"/>
                <w:lang w:val="es-EC" w:eastAsia="es-EC"/>
              </w:rPr>
            </w:pPr>
            <w:r w:rsidRPr="00BC477D">
              <w:rPr>
                <w:color w:val="000000"/>
                <w:sz w:val="22"/>
                <w:szCs w:val="22"/>
                <w:lang w:val="es-EC" w:eastAsia="es-EC"/>
              </w:rPr>
              <w:t>50</w:t>
            </w:r>
          </w:p>
        </w:tc>
      </w:tr>
      <w:tr w:rsidR="002A219C" w:rsidRPr="00BC477D" w:rsidTr="006C4C26">
        <w:trPr>
          <w:trHeight w:val="300"/>
        </w:trPr>
        <w:tc>
          <w:tcPr>
            <w:tcW w:w="1666" w:type="pct"/>
            <w:tcBorders>
              <w:top w:val="nil"/>
              <w:left w:val="single" w:sz="4" w:space="0" w:color="000000"/>
              <w:bottom w:val="single" w:sz="4" w:space="0" w:color="000000"/>
              <w:right w:val="single" w:sz="4" w:space="0" w:color="000000"/>
            </w:tcBorders>
            <w:shd w:val="clear" w:color="000000" w:fill="FFFFFF"/>
            <w:hideMark/>
          </w:tcPr>
          <w:p w:rsidR="002A219C" w:rsidRPr="00BC477D" w:rsidRDefault="002A219C" w:rsidP="002F19BA">
            <w:pPr>
              <w:rPr>
                <w:b/>
                <w:bCs/>
                <w:color w:val="000000"/>
                <w:sz w:val="22"/>
                <w:szCs w:val="22"/>
                <w:lang w:val="es-EC" w:eastAsia="es-EC"/>
              </w:rPr>
            </w:pPr>
            <w:r w:rsidRPr="00BC477D">
              <w:rPr>
                <w:b/>
                <w:bCs/>
                <w:color w:val="000000"/>
                <w:sz w:val="22"/>
                <w:szCs w:val="22"/>
                <w:lang w:eastAsia="es-EC"/>
              </w:rPr>
              <w:t>Área Útil de Lotes:</w:t>
            </w:r>
          </w:p>
        </w:tc>
        <w:tc>
          <w:tcPr>
            <w:tcW w:w="3334" w:type="pct"/>
            <w:gridSpan w:val="2"/>
            <w:tcBorders>
              <w:top w:val="nil"/>
              <w:left w:val="nil"/>
              <w:bottom w:val="single" w:sz="4" w:space="0" w:color="000000"/>
              <w:right w:val="single" w:sz="4" w:space="0" w:color="000000"/>
            </w:tcBorders>
            <w:shd w:val="clear" w:color="000000" w:fill="FFFFFF"/>
            <w:hideMark/>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8340,88 m2</w:t>
            </w:r>
          </w:p>
        </w:tc>
      </w:tr>
      <w:tr w:rsidR="002A219C"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hideMark/>
          </w:tcPr>
          <w:p w:rsidR="002A219C" w:rsidRPr="00BC477D" w:rsidRDefault="00E473D4" w:rsidP="00E473D4">
            <w:pPr>
              <w:rPr>
                <w:b/>
                <w:bCs/>
                <w:color w:val="000000"/>
                <w:sz w:val="22"/>
                <w:szCs w:val="22"/>
                <w:lang w:val="es-EC" w:eastAsia="es-EC"/>
              </w:rPr>
            </w:pPr>
            <w:r w:rsidRPr="00BC477D">
              <w:rPr>
                <w:b/>
                <w:sz w:val="22"/>
                <w:szCs w:val="22"/>
              </w:rPr>
              <w:t>Área Franja  de Protección por BSQ en Lotes:</w:t>
            </w:r>
          </w:p>
        </w:tc>
        <w:tc>
          <w:tcPr>
            <w:tcW w:w="3334" w:type="pct"/>
            <w:gridSpan w:val="2"/>
            <w:tcBorders>
              <w:top w:val="nil"/>
              <w:left w:val="nil"/>
              <w:bottom w:val="single" w:sz="4" w:space="0" w:color="000000"/>
              <w:right w:val="single" w:sz="4" w:space="0" w:color="000000"/>
            </w:tcBorders>
            <w:shd w:val="clear" w:color="000000" w:fill="FFFFFF"/>
            <w:hideMark/>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581,03 m2</w:t>
            </w:r>
          </w:p>
        </w:tc>
      </w:tr>
      <w:tr w:rsidR="00E473D4"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rsidR="00E473D4" w:rsidRPr="00BC477D" w:rsidRDefault="00E473D4" w:rsidP="00E473D4">
            <w:pPr>
              <w:rPr>
                <w:b/>
                <w:sz w:val="22"/>
                <w:szCs w:val="22"/>
              </w:rPr>
            </w:pPr>
            <w:r w:rsidRPr="00BC477D">
              <w:rPr>
                <w:b/>
                <w:sz w:val="22"/>
                <w:szCs w:val="22"/>
              </w:rPr>
              <w:t>Área Bajo el BSQ</w:t>
            </w:r>
          </w:p>
        </w:tc>
        <w:tc>
          <w:tcPr>
            <w:tcW w:w="3334" w:type="pct"/>
            <w:gridSpan w:val="2"/>
            <w:tcBorders>
              <w:top w:val="nil"/>
              <w:left w:val="nil"/>
              <w:bottom w:val="single" w:sz="4" w:space="0" w:color="000000"/>
              <w:right w:val="single" w:sz="4" w:space="0" w:color="000000"/>
            </w:tcBorders>
            <w:shd w:val="clear" w:color="000000" w:fill="FFFFFF"/>
          </w:tcPr>
          <w:p w:rsidR="00E473D4" w:rsidRPr="00BC477D" w:rsidRDefault="00E473D4" w:rsidP="002F19BA">
            <w:pPr>
              <w:rPr>
                <w:color w:val="000000"/>
                <w:sz w:val="22"/>
                <w:szCs w:val="22"/>
                <w:lang w:val="es-EC" w:eastAsia="es-EC"/>
              </w:rPr>
            </w:pPr>
            <w:r w:rsidRPr="00BC477D">
              <w:rPr>
                <w:color w:val="000000"/>
                <w:sz w:val="22"/>
                <w:szCs w:val="22"/>
                <w:lang w:val="es-EC" w:eastAsia="es-EC"/>
              </w:rPr>
              <w:t>819,81 m2</w:t>
            </w:r>
          </w:p>
        </w:tc>
      </w:tr>
      <w:tr w:rsidR="002A219C" w:rsidRPr="00BC477D" w:rsidTr="006C4C26">
        <w:trPr>
          <w:trHeight w:val="345"/>
        </w:trPr>
        <w:tc>
          <w:tcPr>
            <w:tcW w:w="1666" w:type="pct"/>
            <w:tcBorders>
              <w:top w:val="nil"/>
              <w:left w:val="single" w:sz="4" w:space="0" w:color="000000"/>
              <w:bottom w:val="single" w:sz="4" w:space="0" w:color="000000"/>
              <w:right w:val="single" w:sz="4" w:space="0" w:color="000000"/>
            </w:tcBorders>
            <w:shd w:val="clear" w:color="000000" w:fill="FFFFFF"/>
          </w:tcPr>
          <w:p w:rsidR="002A219C" w:rsidRPr="00BC477D" w:rsidRDefault="006C4C26" w:rsidP="002F19BA">
            <w:pPr>
              <w:rPr>
                <w:b/>
                <w:bCs/>
                <w:color w:val="000000"/>
                <w:sz w:val="22"/>
                <w:szCs w:val="22"/>
                <w:lang w:val="es-EC" w:eastAsia="es-EC"/>
              </w:rPr>
            </w:pPr>
            <w:r>
              <w:rPr>
                <w:b/>
                <w:sz w:val="22"/>
                <w:szCs w:val="22"/>
              </w:rPr>
              <w:t>Área de pasajes y e</w:t>
            </w:r>
            <w:r w:rsidR="00E473D4" w:rsidRPr="00BC477D">
              <w:rPr>
                <w:b/>
                <w:sz w:val="22"/>
                <w:szCs w:val="22"/>
              </w:rPr>
              <w:t xml:space="preserve">scalinatas </w:t>
            </w:r>
          </w:p>
        </w:tc>
        <w:tc>
          <w:tcPr>
            <w:tcW w:w="3334" w:type="pct"/>
            <w:gridSpan w:val="2"/>
            <w:tcBorders>
              <w:top w:val="nil"/>
              <w:left w:val="nil"/>
              <w:bottom w:val="single" w:sz="4" w:space="0" w:color="000000"/>
              <w:right w:val="single" w:sz="4" w:space="0" w:color="000000"/>
            </w:tcBorders>
            <w:shd w:val="clear" w:color="000000" w:fill="FFFFFF"/>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1255, 71 m2</w:t>
            </w:r>
          </w:p>
        </w:tc>
      </w:tr>
      <w:tr w:rsidR="002A219C" w:rsidRPr="00BC477D"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rsidR="002A219C" w:rsidRPr="00BC477D" w:rsidRDefault="00E473D4" w:rsidP="002F19BA">
            <w:pPr>
              <w:rPr>
                <w:b/>
                <w:bCs/>
                <w:color w:val="000000"/>
                <w:sz w:val="22"/>
                <w:szCs w:val="22"/>
                <w:lang w:val="es-EC" w:eastAsia="es-EC"/>
              </w:rPr>
            </w:pPr>
            <w:r w:rsidRPr="00BC477D">
              <w:rPr>
                <w:b/>
                <w:bCs/>
                <w:color w:val="000000"/>
                <w:sz w:val="22"/>
                <w:szCs w:val="22"/>
                <w:lang w:val="es-EC" w:eastAsia="es-EC"/>
              </w:rPr>
              <w:t>Área Bruta (Área Total)</w:t>
            </w:r>
          </w:p>
        </w:tc>
        <w:tc>
          <w:tcPr>
            <w:tcW w:w="3334" w:type="pct"/>
            <w:gridSpan w:val="2"/>
            <w:tcBorders>
              <w:top w:val="nil"/>
              <w:left w:val="nil"/>
              <w:bottom w:val="single" w:sz="4" w:space="0" w:color="000000"/>
              <w:right w:val="single" w:sz="4" w:space="0" w:color="000000"/>
            </w:tcBorders>
            <w:shd w:val="clear" w:color="000000" w:fill="FFFFFF"/>
          </w:tcPr>
          <w:p w:rsidR="002A219C" w:rsidRPr="00BC477D" w:rsidRDefault="00E473D4" w:rsidP="002F19BA">
            <w:pPr>
              <w:rPr>
                <w:color w:val="000000"/>
                <w:sz w:val="22"/>
                <w:szCs w:val="22"/>
                <w:highlight w:val="yellow"/>
                <w:lang w:val="es-EC" w:eastAsia="es-EC"/>
              </w:rPr>
            </w:pPr>
            <w:r w:rsidRPr="00BC477D">
              <w:rPr>
                <w:color w:val="000000"/>
                <w:sz w:val="22"/>
                <w:szCs w:val="22"/>
                <w:lang w:val="es-EC" w:eastAsia="es-EC"/>
              </w:rPr>
              <w:t>10997,43 m2</w:t>
            </w:r>
          </w:p>
        </w:tc>
      </w:tr>
    </w:tbl>
    <w:p w:rsidR="00735E7E" w:rsidRPr="00BC477D" w:rsidRDefault="00735E7E" w:rsidP="00BE341A">
      <w:pPr>
        <w:spacing w:after="240"/>
        <w:ind w:left="705" w:hanging="705"/>
        <w:jc w:val="both"/>
        <w:rPr>
          <w:i/>
          <w:sz w:val="22"/>
          <w:szCs w:val="22"/>
          <w:lang w:val="es-EC" w:eastAsia="es-ES_tradnl"/>
        </w:rPr>
      </w:pPr>
    </w:p>
    <w:p w:rsidR="006A3E24" w:rsidRPr="00BC477D" w:rsidRDefault="006A3E24" w:rsidP="006A3E24">
      <w:pPr>
        <w:spacing w:after="240" w:line="276" w:lineRule="auto"/>
        <w:jc w:val="both"/>
        <w:rPr>
          <w:sz w:val="22"/>
          <w:szCs w:val="22"/>
        </w:rPr>
      </w:pPr>
      <w:r w:rsidRPr="00BC477D">
        <w:rPr>
          <w:sz w:val="22"/>
          <w:szCs w:val="22"/>
        </w:rPr>
        <w:t xml:space="preserve">El número total de lotes, producto del fraccionamiento es de 50, signados del uno (1) al cincuenta (50), cuyo detalle es el que consta en los planos aprobatorios que forman parte de la presente Ordenanza. </w:t>
      </w:r>
    </w:p>
    <w:p w:rsidR="0051527D" w:rsidRDefault="006A3E24" w:rsidP="0051527D">
      <w:pPr>
        <w:spacing w:after="240" w:line="276" w:lineRule="auto"/>
        <w:jc w:val="both"/>
        <w:rPr>
          <w:sz w:val="22"/>
          <w:szCs w:val="22"/>
        </w:rPr>
      </w:pPr>
      <w:r w:rsidRPr="00BC477D">
        <w:rPr>
          <w:sz w:val="22"/>
          <w:szCs w:val="22"/>
        </w:rPr>
        <w:t xml:space="preserve">El área total del </w:t>
      </w:r>
      <w:r w:rsidR="005C0F8D" w:rsidRPr="00BC477D">
        <w:rPr>
          <w:sz w:val="22"/>
          <w:szCs w:val="22"/>
        </w:rPr>
        <w:t xml:space="preserve">predio </w:t>
      </w:r>
      <w:r w:rsidRPr="00BC477D">
        <w:rPr>
          <w:sz w:val="22"/>
          <w:szCs w:val="22"/>
        </w:rPr>
        <w:t xml:space="preserve">No. 252228 es la que consta en la </w:t>
      </w:r>
      <w:r w:rsidR="0051527D" w:rsidRPr="00BC477D">
        <w:rPr>
          <w:sz w:val="22"/>
          <w:szCs w:val="22"/>
        </w:rPr>
        <w:t>Resolución Nro. GADDMQ-STHV-DMC-2022-0092-R</w:t>
      </w:r>
      <w:r w:rsidR="006C4C26">
        <w:rPr>
          <w:sz w:val="22"/>
          <w:szCs w:val="22"/>
        </w:rPr>
        <w:t xml:space="preserve">, </w:t>
      </w:r>
      <w:r w:rsidR="006C4C26" w:rsidRPr="009D2CB4">
        <w:rPr>
          <w:sz w:val="22"/>
          <w:szCs w:val="22"/>
        </w:rPr>
        <w:t xml:space="preserve">emitida por la Dirección Metropolitana de </w:t>
      </w:r>
      <w:r w:rsidR="006C4C26">
        <w:rPr>
          <w:sz w:val="22"/>
          <w:szCs w:val="22"/>
        </w:rPr>
        <w:t xml:space="preserve">Catastro, </w:t>
      </w:r>
      <w:r w:rsidR="0051527D" w:rsidRPr="00BC477D">
        <w:rPr>
          <w:sz w:val="22"/>
          <w:szCs w:val="22"/>
        </w:rPr>
        <w:t>e</w:t>
      </w:r>
      <w:r w:rsidR="006C4C26">
        <w:rPr>
          <w:sz w:val="22"/>
          <w:szCs w:val="22"/>
        </w:rPr>
        <w:t>l</w:t>
      </w:r>
      <w:r w:rsidR="0051527D" w:rsidRPr="00BC477D">
        <w:rPr>
          <w:sz w:val="22"/>
          <w:szCs w:val="22"/>
        </w:rPr>
        <w:t xml:space="preserve"> 26 de mayo de 2022.</w:t>
      </w:r>
    </w:p>
    <w:p w:rsidR="006C4C26" w:rsidRPr="00BC477D" w:rsidRDefault="006C4C26" w:rsidP="0051527D">
      <w:pPr>
        <w:spacing w:after="240" w:line="276" w:lineRule="auto"/>
        <w:jc w:val="both"/>
        <w:rPr>
          <w:sz w:val="22"/>
          <w:szCs w:val="22"/>
        </w:rPr>
      </w:pPr>
      <w:r>
        <w:rPr>
          <w:sz w:val="22"/>
          <w:szCs w:val="22"/>
          <w:lang w:val="es-EC"/>
        </w:rPr>
        <w:t xml:space="preserve">El área del predio descrito se encuentra rectificada y regularizada de conformidad </w:t>
      </w:r>
      <w:r w:rsidRPr="009D2CB4">
        <w:rPr>
          <w:sz w:val="22"/>
          <w:szCs w:val="22"/>
        </w:rPr>
        <w:t xml:space="preserve">al </w:t>
      </w:r>
      <w:bookmarkStart w:id="0" w:name="_Hlk80220272"/>
      <w:r w:rsidRPr="009D2CB4">
        <w:rPr>
          <w:sz w:val="22"/>
          <w:szCs w:val="22"/>
        </w:rPr>
        <w:t>Art</w:t>
      </w:r>
      <w:r>
        <w:rPr>
          <w:sz w:val="22"/>
          <w:szCs w:val="22"/>
        </w:rPr>
        <w:t xml:space="preserve">. </w:t>
      </w:r>
      <w:r w:rsidRPr="006C6D55">
        <w:rPr>
          <w:sz w:val="22"/>
          <w:szCs w:val="22"/>
        </w:rPr>
        <w:t>22</w:t>
      </w:r>
      <w:r w:rsidR="006C6D55" w:rsidRPr="006C6D55">
        <w:rPr>
          <w:sz w:val="22"/>
          <w:szCs w:val="22"/>
        </w:rPr>
        <w:t>52</w:t>
      </w:r>
      <w:r w:rsidRPr="006C6D55">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0"/>
    </w:p>
    <w:p w:rsidR="00AA19BD" w:rsidRPr="00BC477D" w:rsidRDefault="005C0F8D" w:rsidP="005C0F8D">
      <w:pPr>
        <w:spacing w:after="240" w:line="276" w:lineRule="auto"/>
        <w:jc w:val="both"/>
        <w:rPr>
          <w:sz w:val="22"/>
          <w:szCs w:val="22"/>
        </w:rPr>
      </w:pPr>
      <w:r w:rsidRPr="00BC477D">
        <w:rPr>
          <w:b/>
          <w:bCs/>
          <w:sz w:val="22"/>
          <w:szCs w:val="22"/>
        </w:rPr>
        <w:t xml:space="preserve">Artículo 5.- Zonificación de los lotes. - </w:t>
      </w:r>
      <w:r w:rsidRPr="00BC477D">
        <w:rPr>
          <w:color w:val="000000" w:themeColor="text1"/>
          <w:sz w:val="22"/>
          <w:szCs w:val="22"/>
        </w:rPr>
        <w:t>L</w:t>
      </w:r>
      <w:r w:rsidRPr="00BC477D">
        <w:rPr>
          <w:sz w:val="22"/>
          <w:szCs w:val="22"/>
        </w:rPr>
        <w:t xml:space="preserve">os lotes fraccionados </w:t>
      </w:r>
      <w:r w:rsidR="006C6D55">
        <w:rPr>
          <w:sz w:val="22"/>
          <w:szCs w:val="22"/>
        </w:rPr>
        <w:t xml:space="preserve">mantendrán </w:t>
      </w:r>
      <w:r w:rsidRPr="00BC477D">
        <w:rPr>
          <w:sz w:val="22"/>
          <w:szCs w:val="22"/>
        </w:rPr>
        <w:t xml:space="preserve">la zonificación vigente </w:t>
      </w:r>
      <w:r w:rsidR="006C6D55">
        <w:rPr>
          <w:sz w:val="22"/>
          <w:szCs w:val="22"/>
        </w:rPr>
        <w:t>esto es a</w:t>
      </w:r>
      <w:r w:rsidRPr="00BC477D">
        <w:rPr>
          <w:sz w:val="22"/>
          <w:szCs w:val="22"/>
        </w:rPr>
        <w:t>:</w:t>
      </w:r>
      <w:r w:rsidR="006C6D55">
        <w:rPr>
          <w:sz w:val="22"/>
          <w:szCs w:val="22"/>
        </w:rPr>
        <w:t xml:space="preserve"> </w:t>
      </w:r>
      <w:r w:rsidR="006D2192" w:rsidRPr="00BC477D">
        <w:rPr>
          <w:sz w:val="22"/>
          <w:szCs w:val="22"/>
        </w:rPr>
        <w:t xml:space="preserve">D3 (D203-80), </w:t>
      </w:r>
      <w:r w:rsidR="00AA19BD" w:rsidRPr="00BC477D">
        <w:rPr>
          <w:sz w:val="22"/>
          <w:szCs w:val="22"/>
        </w:rPr>
        <w:t>forma de ocupación:</w:t>
      </w:r>
      <w:r w:rsidR="006D2192" w:rsidRPr="00BC477D">
        <w:rPr>
          <w:sz w:val="22"/>
          <w:szCs w:val="22"/>
        </w:rPr>
        <w:t xml:space="preserve"> (D) sobre línea de fábrica, </w:t>
      </w:r>
      <w:r w:rsidR="00AA19BD" w:rsidRPr="00BC477D">
        <w:rPr>
          <w:sz w:val="22"/>
          <w:szCs w:val="22"/>
        </w:rPr>
        <w:t xml:space="preserve">Lote mínimo: </w:t>
      </w:r>
      <w:r w:rsidR="006D2192" w:rsidRPr="00BC477D">
        <w:rPr>
          <w:sz w:val="22"/>
          <w:szCs w:val="22"/>
        </w:rPr>
        <w:t>200 m2, Número de pisos: 3</w:t>
      </w:r>
      <w:r w:rsidR="00AA19BD" w:rsidRPr="00BC477D">
        <w:rPr>
          <w:sz w:val="22"/>
          <w:szCs w:val="22"/>
        </w:rPr>
        <w:t xml:space="preserve">, COS </w:t>
      </w:r>
      <w:r w:rsidR="006D2192" w:rsidRPr="00BC477D">
        <w:rPr>
          <w:sz w:val="22"/>
          <w:szCs w:val="22"/>
        </w:rPr>
        <w:t xml:space="preserve">en </w:t>
      </w:r>
      <w:r w:rsidR="00AA19BD" w:rsidRPr="00BC477D">
        <w:rPr>
          <w:sz w:val="22"/>
          <w:szCs w:val="22"/>
        </w:rPr>
        <w:t xml:space="preserve">planta baja: </w:t>
      </w:r>
      <w:r w:rsidR="006D2192" w:rsidRPr="00BC477D">
        <w:rPr>
          <w:sz w:val="22"/>
          <w:szCs w:val="22"/>
        </w:rPr>
        <w:t>80%, COS total: 240</w:t>
      </w:r>
      <w:r w:rsidR="00AA19BD" w:rsidRPr="00BC477D">
        <w:rPr>
          <w:sz w:val="22"/>
          <w:szCs w:val="22"/>
        </w:rPr>
        <w:t xml:space="preserve">%, Uso principal: </w:t>
      </w:r>
      <w:r w:rsidR="004171A3" w:rsidRPr="00BC477D">
        <w:rPr>
          <w:sz w:val="22"/>
          <w:szCs w:val="22"/>
        </w:rPr>
        <w:t>(RU2) Residencial urbano 2</w:t>
      </w:r>
      <w:r w:rsidR="00AA19BD" w:rsidRPr="00BC477D">
        <w:rPr>
          <w:sz w:val="22"/>
          <w:szCs w:val="22"/>
        </w:rPr>
        <w:t xml:space="preserve"> (PE/CPN) Protección Ecológica / Conservación del Patrimonio Natural</w:t>
      </w:r>
      <w:r w:rsidR="006C6D55">
        <w:rPr>
          <w:sz w:val="22"/>
          <w:szCs w:val="22"/>
        </w:rPr>
        <w:t xml:space="preserve">, </w:t>
      </w:r>
    </w:p>
    <w:p w:rsidR="006A3E24" w:rsidRPr="00BC477D" w:rsidRDefault="00F51F18" w:rsidP="00F51F18">
      <w:pPr>
        <w:spacing w:after="240" w:line="276" w:lineRule="auto"/>
        <w:jc w:val="both"/>
        <w:rPr>
          <w:sz w:val="22"/>
          <w:szCs w:val="22"/>
          <w:lang w:val="es-EC" w:eastAsia="es-ES_tradnl"/>
        </w:rPr>
      </w:pPr>
      <w:r w:rsidRPr="00BC477D">
        <w:rPr>
          <w:b/>
          <w:sz w:val="22"/>
          <w:szCs w:val="22"/>
        </w:rPr>
        <w:t xml:space="preserve">Artículo 6.- Clasificación del Suelo. - </w:t>
      </w:r>
      <w:r w:rsidRPr="00BC477D">
        <w:rPr>
          <w:sz w:val="22"/>
          <w:szCs w:val="22"/>
        </w:rPr>
        <w:t xml:space="preserve">Los lotes fraccionados mantendrán la clasificación vigente esto es (SU) Suelo Urbano. </w:t>
      </w:r>
    </w:p>
    <w:p w:rsidR="004B5809" w:rsidRPr="00BC477D" w:rsidRDefault="004B5809" w:rsidP="004B5809">
      <w:pPr>
        <w:spacing w:after="240" w:line="276" w:lineRule="auto"/>
        <w:jc w:val="both"/>
        <w:rPr>
          <w:sz w:val="22"/>
          <w:szCs w:val="22"/>
          <w:highlight w:val="yellow"/>
        </w:rPr>
      </w:pPr>
      <w:r w:rsidRPr="00BC477D">
        <w:rPr>
          <w:b/>
          <w:sz w:val="22"/>
          <w:szCs w:val="22"/>
        </w:rPr>
        <w:lastRenderedPageBreak/>
        <w:t>Artículo 7.- Lotes por Excepción. -</w:t>
      </w:r>
      <w:r w:rsidRPr="00BC477D">
        <w:rPr>
          <w:b/>
          <w:bCs/>
          <w:sz w:val="22"/>
          <w:szCs w:val="22"/>
        </w:rPr>
        <w:t xml:space="preserve"> </w:t>
      </w:r>
      <w:r w:rsidRPr="00BC477D">
        <w:rPr>
          <w:sz w:val="22"/>
          <w:szCs w:val="22"/>
        </w:rPr>
        <w:t>Por tratarse de un asentamiento humano de hecho y consolidado de interés social, se aprueban por excepción esto es, con áreas inferiores a las mínimas establec</w:t>
      </w:r>
      <w:r w:rsidR="006C6D55">
        <w:rPr>
          <w:sz w:val="22"/>
          <w:szCs w:val="22"/>
        </w:rPr>
        <w:t>idas en la zonificación vigente, l</w:t>
      </w:r>
      <w:r w:rsidRPr="00BC477D">
        <w:rPr>
          <w:sz w:val="22"/>
          <w:szCs w:val="22"/>
        </w:rPr>
        <w:t>os lotes</w:t>
      </w:r>
      <w:r w:rsidR="006C6D55">
        <w:rPr>
          <w:sz w:val="22"/>
          <w:szCs w:val="22"/>
        </w:rPr>
        <w:t>:</w:t>
      </w:r>
      <w:r w:rsidRPr="00BC477D">
        <w:rPr>
          <w:sz w:val="22"/>
          <w:szCs w:val="22"/>
        </w:rPr>
        <w:t xml:space="preserve"> 1, </w:t>
      </w:r>
      <w:r w:rsidR="006B176F" w:rsidRPr="00BC477D">
        <w:rPr>
          <w:sz w:val="22"/>
          <w:szCs w:val="22"/>
        </w:rPr>
        <w:t xml:space="preserve">2, 3, 4, 5, 6, 7, 8, 9, 10, 11, 12, 13, 14, 15, 16, </w:t>
      </w:r>
      <w:r w:rsidR="006C6D55" w:rsidRPr="00BC477D">
        <w:rPr>
          <w:sz w:val="22"/>
          <w:szCs w:val="22"/>
        </w:rPr>
        <w:t>17,</w:t>
      </w:r>
      <w:r w:rsidR="006B176F" w:rsidRPr="00BC477D">
        <w:rPr>
          <w:sz w:val="22"/>
          <w:szCs w:val="22"/>
        </w:rPr>
        <w:t xml:space="preserve"> 18, 19, 20, 21, 22, 23, 26, 27, 28, 29, 30, 31, 34, 35, 36, 37, 38, 39, 41, 42, 43, 44, 46, 47, 49 y 50. </w:t>
      </w:r>
      <w:r w:rsidRPr="00BC477D">
        <w:rPr>
          <w:sz w:val="22"/>
          <w:szCs w:val="22"/>
          <w:highlight w:val="yellow"/>
        </w:rPr>
        <w:t xml:space="preserve"> </w:t>
      </w:r>
    </w:p>
    <w:p w:rsidR="00A57836" w:rsidRPr="00BC477D" w:rsidRDefault="007B3042" w:rsidP="00A57836">
      <w:pPr>
        <w:autoSpaceDE w:val="0"/>
        <w:autoSpaceDN w:val="0"/>
        <w:adjustRightInd w:val="0"/>
        <w:jc w:val="both"/>
        <w:rPr>
          <w:sz w:val="22"/>
          <w:szCs w:val="22"/>
        </w:rPr>
      </w:pPr>
      <w:r w:rsidRPr="00BC477D">
        <w:rPr>
          <w:b/>
          <w:sz w:val="22"/>
          <w:szCs w:val="22"/>
        </w:rPr>
        <w:t>Artículo 8</w:t>
      </w:r>
      <w:r w:rsidR="00AA240C" w:rsidRPr="00BC477D">
        <w:rPr>
          <w:b/>
          <w:sz w:val="22"/>
          <w:szCs w:val="22"/>
        </w:rPr>
        <w:t xml:space="preserve">.- </w:t>
      </w:r>
      <w:r w:rsidRPr="00BC477D">
        <w:rPr>
          <w:b/>
          <w:sz w:val="22"/>
          <w:szCs w:val="22"/>
        </w:rPr>
        <w:t xml:space="preserve">Del área </w:t>
      </w:r>
      <w:r w:rsidR="00A57836" w:rsidRPr="00BC477D">
        <w:rPr>
          <w:b/>
          <w:sz w:val="22"/>
          <w:szCs w:val="22"/>
        </w:rPr>
        <w:t xml:space="preserve"> bajo el borde superior de quebrada</w:t>
      </w:r>
      <w:r w:rsidR="00AA240C" w:rsidRPr="00BC477D">
        <w:rPr>
          <w:b/>
          <w:sz w:val="22"/>
          <w:szCs w:val="22"/>
        </w:rPr>
        <w:t xml:space="preserve">. </w:t>
      </w:r>
      <w:r w:rsidR="00A57836" w:rsidRPr="00BC477D">
        <w:rPr>
          <w:b/>
          <w:sz w:val="22"/>
          <w:szCs w:val="22"/>
        </w:rPr>
        <w:t>–</w:t>
      </w:r>
      <w:r w:rsidR="00AA240C" w:rsidRPr="00BC477D">
        <w:rPr>
          <w:sz w:val="22"/>
          <w:szCs w:val="22"/>
        </w:rPr>
        <w:t xml:space="preserve"> </w:t>
      </w:r>
      <w:r w:rsidR="006C6D55">
        <w:rPr>
          <w:sz w:val="22"/>
          <w:szCs w:val="22"/>
        </w:rPr>
        <w:t xml:space="preserve">El propietario </w:t>
      </w:r>
      <w:r w:rsidR="00A57836" w:rsidRPr="00BC477D">
        <w:rPr>
          <w:sz w:val="22"/>
          <w:szCs w:val="22"/>
        </w:rPr>
        <w:t xml:space="preserve">del inmueble sobre el cual se encuentra </w:t>
      </w:r>
      <w:r w:rsidR="003F59B2" w:rsidRPr="00BC477D">
        <w:rPr>
          <w:sz w:val="22"/>
          <w:szCs w:val="22"/>
        </w:rPr>
        <w:t xml:space="preserve">el asentamiento humano de hecho y consolidado de interés social denominado </w:t>
      </w:r>
      <w:r w:rsidR="00162F82">
        <w:rPr>
          <w:sz w:val="22"/>
          <w:szCs w:val="22"/>
        </w:rPr>
        <w:t>Comité Barrial “Abdón Calderón Número Dos”</w:t>
      </w:r>
      <w:r w:rsidR="006C6D55">
        <w:rPr>
          <w:sz w:val="22"/>
          <w:szCs w:val="22"/>
        </w:rPr>
        <w:t xml:space="preserve">, </w:t>
      </w:r>
      <w:r w:rsidR="00A57836" w:rsidRPr="00BC477D">
        <w:rPr>
          <w:sz w:val="22"/>
          <w:szCs w:val="22"/>
        </w:rPr>
        <w:t>transfieren al Municipio del Distrito Metropolitano de Quito como contribución de área bajo el borde superior de quebrada la superficie total de 819, 81 m2, esta contribución la efectúan en forma libre y voluntaria el área de quebrada está distribuida de la siguiente manera:</w:t>
      </w:r>
    </w:p>
    <w:p w:rsidR="00A57836" w:rsidRPr="00BC477D" w:rsidRDefault="00A57836" w:rsidP="00A57836">
      <w:pPr>
        <w:autoSpaceDE w:val="0"/>
        <w:autoSpaceDN w:val="0"/>
        <w:adjustRightInd w:val="0"/>
        <w:jc w:val="both"/>
        <w:rPr>
          <w:sz w:val="22"/>
          <w:szCs w:val="22"/>
        </w:rPr>
      </w:pPr>
    </w:p>
    <w:tbl>
      <w:tblPr>
        <w:tblStyle w:val="Tablaconcuadrcula"/>
        <w:tblW w:w="0" w:type="auto"/>
        <w:tblLook w:val="04A0" w:firstRow="1" w:lastRow="0" w:firstColumn="1" w:lastColumn="0" w:noHBand="0" w:noVBand="1"/>
      </w:tblPr>
      <w:tblGrid>
        <w:gridCol w:w="1792"/>
        <w:gridCol w:w="827"/>
        <w:gridCol w:w="2609"/>
        <w:gridCol w:w="1011"/>
        <w:gridCol w:w="1012"/>
        <w:gridCol w:w="1243"/>
      </w:tblGrid>
      <w:tr w:rsidR="00A57836" w:rsidRPr="00BC477D" w:rsidTr="00D12830">
        <w:trPr>
          <w:trHeight w:val="71"/>
        </w:trPr>
        <w:tc>
          <w:tcPr>
            <w:tcW w:w="0" w:type="auto"/>
            <w:gridSpan w:val="6"/>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ÁREA BAJO EL BSQ</w:t>
            </w:r>
          </w:p>
        </w:tc>
      </w:tr>
      <w:tr w:rsidR="00D12830" w:rsidRPr="00BC477D" w:rsidTr="00D12830">
        <w:trPr>
          <w:trHeight w:val="135"/>
        </w:trPr>
        <w:tc>
          <w:tcPr>
            <w:tcW w:w="0" w:type="auto"/>
            <w:vMerge w:val="restart"/>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ÁREA BAJO EL BSQ</w:t>
            </w:r>
          </w:p>
        </w:tc>
        <w:tc>
          <w:tcPr>
            <w:tcW w:w="0" w:type="auto"/>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Lindero:</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En Parte:</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Total:</w:t>
            </w: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Superficie:</w:t>
            </w:r>
          </w:p>
        </w:tc>
      </w:tr>
      <w:tr w:rsidR="00D12830" w:rsidRPr="00BC477D" w:rsidTr="00D12830">
        <w:trPr>
          <w:trHeight w:val="289"/>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Norte: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Propiedad privada</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2.91 m</w:t>
            </w:r>
          </w:p>
        </w:tc>
        <w:tc>
          <w:tcPr>
            <w:tcW w:w="0" w:type="auto"/>
            <w:vMerge w:val="restart"/>
            <w:shd w:val="clear" w:color="auto" w:fill="auto"/>
            <w:vAlign w:val="center"/>
          </w:tcPr>
          <w:p w:rsidR="00A57836" w:rsidRPr="00BC477D" w:rsidRDefault="00A57836" w:rsidP="00B65D4D">
            <w:pPr>
              <w:jc w:val="center"/>
              <w:rPr>
                <w:b/>
                <w:bCs/>
                <w:sz w:val="22"/>
                <w:szCs w:val="22"/>
                <w:lang w:eastAsia="es-EC"/>
              </w:rPr>
            </w:pPr>
            <w:r w:rsidRPr="00BC477D">
              <w:rPr>
                <w:b/>
                <w:sz w:val="22"/>
                <w:szCs w:val="22"/>
              </w:rPr>
              <w:t xml:space="preserve">819.81 </w:t>
            </w:r>
            <w:r w:rsidRPr="00BC477D">
              <w:rPr>
                <w:b/>
                <w:bCs/>
                <w:sz w:val="22"/>
                <w:szCs w:val="22"/>
                <w:lang w:eastAsia="es-EC"/>
              </w:rPr>
              <w:t>m2</w:t>
            </w:r>
          </w:p>
        </w:tc>
      </w:tr>
      <w:tr w:rsidR="00D12830" w:rsidRPr="00BC477D" w:rsidTr="00D12830">
        <w:trPr>
          <w:trHeight w:val="75"/>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Sur:</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Propiedad Municipal</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24.81 m</w:t>
            </w:r>
          </w:p>
          <w:p w:rsidR="00A57836" w:rsidRPr="00BC477D" w:rsidRDefault="00A57836" w:rsidP="00B65D4D">
            <w:pPr>
              <w:jc w:val="center"/>
              <w:rPr>
                <w:sz w:val="22"/>
                <w:szCs w:val="22"/>
                <w:lang w:eastAsia="es-EC"/>
              </w:rPr>
            </w:pPr>
            <w:r w:rsidRPr="00BC477D">
              <w:rPr>
                <w:sz w:val="22"/>
                <w:szCs w:val="22"/>
                <w:lang w:eastAsia="es-EC"/>
              </w:rPr>
              <w:t>6.97 m</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31.78 m</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r w:rsidR="00D12830" w:rsidRPr="00BC477D" w:rsidTr="00D12830">
        <w:trPr>
          <w:trHeight w:val="70"/>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Este: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Lote 49</w:t>
            </w:r>
          </w:p>
          <w:p w:rsidR="00A57836" w:rsidRPr="00BC477D" w:rsidRDefault="00A57836" w:rsidP="00B65D4D">
            <w:pPr>
              <w:jc w:val="center"/>
              <w:rPr>
                <w:sz w:val="22"/>
                <w:szCs w:val="22"/>
                <w:lang w:eastAsia="es-EC"/>
              </w:rPr>
            </w:pPr>
            <w:r w:rsidRPr="00BC477D">
              <w:rPr>
                <w:sz w:val="22"/>
                <w:szCs w:val="22"/>
                <w:lang w:eastAsia="es-EC"/>
              </w:rPr>
              <w:t>Lote 50</w:t>
            </w:r>
          </w:p>
          <w:p w:rsidR="00A57836" w:rsidRPr="00BC477D" w:rsidRDefault="00A57836" w:rsidP="00B65D4D">
            <w:pPr>
              <w:jc w:val="center"/>
              <w:rPr>
                <w:sz w:val="22"/>
                <w:szCs w:val="22"/>
                <w:lang w:eastAsia="es-EC"/>
              </w:rPr>
            </w:pPr>
            <w:r w:rsidRPr="00BC477D">
              <w:rPr>
                <w:sz w:val="22"/>
                <w:szCs w:val="22"/>
                <w:lang w:eastAsia="es-EC"/>
              </w:rPr>
              <w:t>Pasaje N68C</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6.12 m</w:t>
            </w:r>
          </w:p>
          <w:p w:rsidR="00A57836" w:rsidRPr="00BC477D" w:rsidRDefault="00A57836" w:rsidP="00B65D4D">
            <w:pPr>
              <w:jc w:val="center"/>
              <w:rPr>
                <w:sz w:val="22"/>
                <w:szCs w:val="22"/>
                <w:lang w:eastAsia="es-EC"/>
              </w:rPr>
            </w:pPr>
            <w:r w:rsidRPr="00BC477D">
              <w:rPr>
                <w:sz w:val="22"/>
                <w:szCs w:val="22"/>
                <w:lang w:eastAsia="es-EC"/>
              </w:rPr>
              <w:t>19.41 m</w:t>
            </w:r>
          </w:p>
          <w:p w:rsidR="00A57836" w:rsidRPr="00BC477D" w:rsidRDefault="00A57836" w:rsidP="00B65D4D">
            <w:pPr>
              <w:jc w:val="center"/>
              <w:rPr>
                <w:sz w:val="22"/>
                <w:szCs w:val="22"/>
                <w:lang w:eastAsia="es-EC"/>
              </w:rPr>
            </w:pPr>
            <w:r w:rsidRPr="00BC477D">
              <w:rPr>
                <w:sz w:val="22"/>
                <w:szCs w:val="22"/>
                <w:lang w:eastAsia="es-EC"/>
              </w:rPr>
              <w:t>25.81 m</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51.34 m</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r w:rsidR="00D12830" w:rsidRPr="00BC477D" w:rsidTr="00D12830">
        <w:trPr>
          <w:trHeight w:val="70"/>
        </w:trPr>
        <w:tc>
          <w:tcPr>
            <w:tcW w:w="0" w:type="auto"/>
            <w:vMerge/>
            <w:shd w:val="clear" w:color="auto" w:fill="auto"/>
            <w:vAlign w:val="center"/>
          </w:tcPr>
          <w:p w:rsidR="00A57836" w:rsidRPr="00BC477D" w:rsidRDefault="00A57836" w:rsidP="00B65D4D">
            <w:pPr>
              <w:jc w:val="center"/>
              <w:rPr>
                <w:b/>
                <w:bCs/>
                <w:sz w:val="22"/>
                <w:szCs w:val="22"/>
                <w:lang w:eastAsia="es-EC"/>
              </w:rPr>
            </w:pPr>
          </w:p>
        </w:tc>
        <w:tc>
          <w:tcPr>
            <w:tcW w:w="0" w:type="auto"/>
            <w:shd w:val="clear" w:color="auto" w:fill="auto"/>
            <w:vAlign w:val="center"/>
          </w:tcPr>
          <w:p w:rsidR="00A57836" w:rsidRPr="00BC477D" w:rsidRDefault="00A57836" w:rsidP="00B65D4D">
            <w:pPr>
              <w:jc w:val="center"/>
              <w:rPr>
                <w:b/>
                <w:bCs/>
                <w:sz w:val="22"/>
                <w:szCs w:val="22"/>
                <w:lang w:eastAsia="es-EC"/>
              </w:rPr>
            </w:pPr>
            <w:r w:rsidRPr="00BC477D">
              <w:rPr>
                <w:b/>
                <w:bCs/>
                <w:sz w:val="22"/>
                <w:szCs w:val="22"/>
                <w:lang w:eastAsia="es-EC"/>
              </w:rPr>
              <w:t>Oeste:</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Camino que Conduce de Cotocollao</w:t>
            </w:r>
          </w:p>
        </w:tc>
        <w:tc>
          <w:tcPr>
            <w:tcW w:w="0" w:type="auto"/>
            <w:shd w:val="clear" w:color="auto" w:fill="auto"/>
            <w:vAlign w:val="center"/>
          </w:tcPr>
          <w:p w:rsidR="00A57836" w:rsidRPr="00BC477D" w:rsidRDefault="00A57836" w:rsidP="00B65D4D">
            <w:pPr>
              <w:jc w:val="center"/>
              <w:rPr>
                <w:sz w:val="22"/>
                <w:szCs w:val="22"/>
                <w:lang w:eastAsia="es-EC"/>
              </w:rPr>
            </w:pPr>
            <w:r w:rsidRPr="00BC477D">
              <w:rPr>
                <w:sz w:val="22"/>
                <w:szCs w:val="22"/>
                <w:lang w:eastAsia="es-EC"/>
              </w:rPr>
              <w:t>-</w:t>
            </w:r>
          </w:p>
        </w:tc>
        <w:tc>
          <w:tcPr>
            <w:tcW w:w="0" w:type="auto"/>
            <w:shd w:val="clear" w:color="auto" w:fill="auto"/>
            <w:vAlign w:val="center"/>
          </w:tcPr>
          <w:p w:rsidR="00A57836" w:rsidRPr="00BC477D" w:rsidRDefault="00A57836" w:rsidP="00B65D4D">
            <w:pPr>
              <w:jc w:val="center"/>
              <w:rPr>
                <w:sz w:val="22"/>
                <w:szCs w:val="22"/>
                <w:lang w:eastAsia="es-EC"/>
              </w:rPr>
            </w:pPr>
            <w:proofErr w:type="spellStart"/>
            <w:r w:rsidRPr="00BC477D">
              <w:rPr>
                <w:sz w:val="22"/>
                <w:szCs w:val="22"/>
                <w:lang w:eastAsia="es-EC"/>
              </w:rPr>
              <w:t>Ld</w:t>
            </w:r>
            <w:proofErr w:type="spellEnd"/>
            <w:r w:rsidRPr="00BC477D">
              <w:rPr>
                <w:sz w:val="22"/>
                <w:szCs w:val="22"/>
                <w:lang w:eastAsia="es-EC"/>
              </w:rPr>
              <w:t>= 50.30</w:t>
            </w:r>
          </w:p>
        </w:tc>
        <w:tc>
          <w:tcPr>
            <w:tcW w:w="0" w:type="auto"/>
            <w:vMerge/>
            <w:shd w:val="clear" w:color="auto" w:fill="auto"/>
            <w:vAlign w:val="center"/>
          </w:tcPr>
          <w:p w:rsidR="00A57836" w:rsidRPr="00BC477D" w:rsidRDefault="00A57836" w:rsidP="00B65D4D">
            <w:pPr>
              <w:jc w:val="center"/>
              <w:rPr>
                <w:b/>
                <w:bCs/>
                <w:sz w:val="22"/>
                <w:szCs w:val="22"/>
                <w:lang w:eastAsia="es-EC"/>
              </w:rPr>
            </w:pPr>
          </w:p>
        </w:tc>
      </w:tr>
    </w:tbl>
    <w:p w:rsidR="00A57836" w:rsidRPr="00BC477D" w:rsidRDefault="00A57836" w:rsidP="00A57836">
      <w:pPr>
        <w:autoSpaceDE w:val="0"/>
        <w:autoSpaceDN w:val="0"/>
        <w:adjustRightInd w:val="0"/>
        <w:jc w:val="both"/>
        <w:rPr>
          <w:sz w:val="22"/>
          <w:szCs w:val="22"/>
        </w:rPr>
      </w:pPr>
    </w:p>
    <w:p w:rsidR="00A57836" w:rsidRPr="00BC477D" w:rsidRDefault="00A57836" w:rsidP="00A57836">
      <w:pPr>
        <w:autoSpaceDE w:val="0"/>
        <w:autoSpaceDN w:val="0"/>
        <w:adjustRightInd w:val="0"/>
        <w:rPr>
          <w:sz w:val="22"/>
          <w:szCs w:val="22"/>
        </w:rPr>
      </w:pPr>
    </w:p>
    <w:p w:rsidR="00493BEC" w:rsidRDefault="009C672D" w:rsidP="007B3042">
      <w:pPr>
        <w:spacing w:after="240" w:line="276" w:lineRule="auto"/>
        <w:contextualSpacing/>
        <w:jc w:val="both"/>
        <w:rPr>
          <w:sz w:val="22"/>
          <w:szCs w:val="22"/>
        </w:rPr>
      </w:pPr>
      <w:r w:rsidRPr="00BC477D">
        <w:rPr>
          <w:b/>
          <w:color w:val="000000" w:themeColor="text1"/>
          <w:sz w:val="22"/>
          <w:szCs w:val="22"/>
        </w:rPr>
        <w:t>Artículo</w:t>
      </w:r>
      <w:r w:rsidR="007B3042" w:rsidRPr="00BC477D">
        <w:rPr>
          <w:b/>
          <w:color w:val="000000" w:themeColor="text1"/>
          <w:sz w:val="22"/>
          <w:szCs w:val="22"/>
        </w:rPr>
        <w:t xml:space="preserve"> </w:t>
      </w:r>
      <w:r w:rsidR="007B3042" w:rsidRPr="00BC477D">
        <w:rPr>
          <w:b/>
          <w:sz w:val="22"/>
          <w:szCs w:val="22"/>
        </w:rPr>
        <w:t>9</w:t>
      </w:r>
      <w:r w:rsidR="007B3042" w:rsidRPr="00BC477D">
        <w:rPr>
          <w:b/>
          <w:bCs/>
          <w:sz w:val="22"/>
          <w:szCs w:val="22"/>
        </w:rPr>
        <w:t xml:space="preserve">.- Calificación de Riesgos. - </w:t>
      </w:r>
      <w:r w:rsidR="007B3042" w:rsidRPr="00BC477D">
        <w:rPr>
          <w:sz w:val="22"/>
          <w:szCs w:val="22"/>
        </w:rPr>
        <w:t xml:space="preserve">El </w:t>
      </w:r>
      <w:r w:rsidR="0045793B" w:rsidRPr="00BC477D">
        <w:rPr>
          <w:sz w:val="22"/>
          <w:szCs w:val="22"/>
        </w:rPr>
        <w:t xml:space="preserve">asentamiento humano de hecho y consolidado de interés social denominado </w:t>
      </w:r>
      <w:r w:rsidR="00162F82">
        <w:rPr>
          <w:sz w:val="22"/>
          <w:szCs w:val="22"/>
        </w:rPr>
        <w:t>Comité Barrial “Abdón Calderón Número Dos”</w:t>
      </w:r>
      <w:r w:rsidR="002F2EEB">
        <w:rPr>
          <w:sz w:val="22"/>
          <w:szCs w:val="22"/>
        </w:rPr>
        <w:t xml:space="preserve">, </w:t>
      </w:r>
      <w:r w:rsidR="007B3042" w:rsidRPr="00BC477D">
        <w:rPr>
          <w:sz w:val="22"/>
          <w:szCs w:val="22"/>
        </w:rPr>
        <w:t xml:space="preserve">deberá cumplir y acatar las recomendaciones </w:t>
      </w:r>
      <w:r w:rsidR="007B3042" w:rsidRPr="00BC477D">
        <w:rPr>
          <w:bCs/>
          <w:color w:val="000000" w:themeColor="text1"/>
          <w:sz w:val="22"/>
          <w:szCs w:val="22"/>
        </w:rPr>
        <w:t xml:space="preserve">que se encuentran determinadas en el informe de la Dirección Metropolitana de Gestión de Riesgos Nro. I-0004-EAH-AT-DMGR-2022 de 5 de abril de 2022, el cual califica </w:t>
      </w:r>
      <w:r w:rsidR="002F2EEB">
        <w:rPr>
          <w:sz w:val="22"/>
          <w:szCs w:val="22"/>
        </w:rPr>
        <w:t xml:space="preserve">por movimientos en masa al asentamiento humano de hecho y consolidado de interés social denominado Comité Barrial </w:t>
      </w:r>
      <w:r w:rsidR="00C925E6" w:rsidRPr="00BC477D">
        <w:rPr>
          <w:sz w:val="22"/>
          <w:szCs w:val="22"/>
        </w:rPr>
        <w:t xml:space="preserve">“Abdón Calderón </w:t>
      </w:r>
      <w:r w:rsidR="002F2EEB">
        <w:rPr>
          <w:sz w:val="22"/>
          <w:szCs w:val="22"/>
        </w:rPr>
        <w:t>Número Dos</w:t>
      </w:r>
      <w:r w:rsidR="00C925E6" w:rsidRPr="00BC477D">
        <w:rPr>
          <w:sz w:val="22"/>
          <w:szCs w:val="22"/>
        </w:rPr>
        <w:t>”</w:t>
      </w:r>
      <w:r w:rsidR="002F2EEB">
        <w:rPr>
          <w:sz w:val="22"/>
          <w:szCs w:val="22"/>
        </w:rPr>
        <w:t>, con un r</w:t>
      </w:r>
      <w:r w:rsidR="0045793B" w:rsidRPr="00BC477D">
        <w:rPr>
          <w:sz w:val="22"/>
          <w:szCs w:val="22"/>
        </w:rPr>
        <w:t xml:space="preserve">iesgo </w:t>
      </w:r>
      <w:r w:rsidR="002F2EEB">
        <w:rPr>
          <w:sz w:val="22"/>
          <w:szCs w:val="22"/>
        </w:rPr>
        <w:t>b</w:t>
      </w:r>
      <w:r w:rsidR="0045793B" w:rsidRPr="00BC477D">
        <w:rPr>
          <w:sz w:val="22"/>
          <w:szCs w:val="22"/>
        </w:rPr>
        <w:t xml:space="preserve">ajo </w:t>
      </w:r>
      <w:r w:rsidR="002F2EEB">
        <w:rPr>
          <w:sz w:val="22"/>
          <w:szCs w:val="22"/>
        </w:rPr>
        <w:t>m</w:t>
      </w:r>
      <w:r w:rsidR="0045793B" w:rsidRPr="00BC477D">
        <w:rPr>
          <w:sz w:val="22"/>
          <w:szCs w:val="22"/>
        </w:rPr>
        <w:t xml:space="preserve">itigable para los 25, 26, 27, 28, 29 , 30, 31, 32, 33, 34, 35, 36, 37, 38, 39, 40, 41, 42, 43, 44 y 45; </w:t>
      </w:r>
      <w:r w:rsidR="002F2EEB">
        <w:rPr>
          <w:sz w:val="22"/>
          <w:szCs w:val="22"/>
        </w:rPr>
        <w:t>r</w:t>
      </w:r>
      <w:r w:rsidR="0045793B" w:rsidRPr="00BC477D">
        <w:rPr>
          <w:sz w:val="22"/>
          <w:szCs w:val="22"/>
        </w:rPr>
        <w:t xml:space="preserve">iesgo </w:t>
      </w:r>
      <w:r w:rsidR="002F2EEB">
        <w:rPr>
          <w:sz w:val="22"/>
          <w:szCs w:val="22"/>
        </w:rPr>
        <w:t>m</w:t>
      </w:r>
      <w:r w:rsidR="0045793B" w:rsidRPr="00BC477D">
        <w:rPr>
          <w:sz w:val="22"/>
          <w:szCs w:val="22"/>
        </w:rPr>
        <w:t xml:space="preserve">oderado </w:t>
      </w:r>
      <w:r w:rsidR="002F2EEB">
        <w:rPr>
          <w:sz w:val="22"/>
          <w:szCs w:val="22"/>
        </w:rPr>
        <w:t>m</w:t>
      </w:r>
      <w:r w:rsidR="0045793B" w:rsidRPr="00BC477D">
        <w:rPr>
          <w:sz w:val="22"/>
          <w:szCs w:val="22"/>
        </w:rPr>
        <w:t>itigable para los lotes 1, 2, 3, 4, 5, 6, 7, 8, 9, 10, 11, 15, 16, 17, 18 20, 22, 23, 24, 46, 47 y 48</w:t>
      </w:r>
      <w:r w:rsidR="002F2EEB">
        <w:rPr>
          <w:sz w:val="22"/>
          <w:szCs w:val="22"/>
        </w:rPr>
        <w:t>; y, r</w:t>
      </w:r>
      <w:r w:rsidR="0045793B" w:rsidRPr="00BC477D">
        <w:rPr>
          <w:sz w:val="22"/>
          <w:szCs w:val="22"/>
        </w:rPr>
        <w:t xml:space="preserve">iesgo </w:t>
      </w:r>
      <w:r w:rsidR="002F2EEB">
        <w:rPr>
          <w:sz w:val="22"/>
          <w:szCs w:val="22"/>
        </w:rPr>
        <w:t>m</w:t>
      </w:r>
      <w:r w:rsidR="0045793B" w:rsidRPr="00BC477D">
        <w:rPr>
          <w:sz w:val="22"/>
          <w:szCs w:val="22"/>
        </w:rPr>
        <w:t xml:space="preserve">uy </w:t>
      </w:r>
      <w:r w:rsidR="002F2EEB">
        <w:rPr>
          <w:sz w:val="22"/>
          <w:szCs w:val="22"/>
        </w:rPr>
        <w:t>a</w:t>
      </w:r>
      <w:r w:rsidR="0045793B" w:rsidRPr="00BC477D">
        <w:rPr>
          <w:sz w:val="22"/>
          <w:szCs w:val="22"/>
        </w:rPr>
        <w:t xml:space="preserve">lto </w:t>
      </w:r>
      <w:r w:rsidR="002F2EEB">
        <w:rPr>
          <w:sz w:val="22"/>
          <w:szCs w:val="22"/>
        </w:rPr>
        <w:t>m</w:t>
      </w:r>
      <w:r w:rsidR="0045793B" w:rsidRPr="00BC477D">
        <w:rPr>
          <w:sz w:val="22"/>
          <w:szCs w:val="22"/>
        </w:rPr>
        <w:t>itigable para los lotes 12, 13, 14, 19, 21, 49, 50 y 51</w:t>
      </w:r>
      <w:r w:rsidR="00493BEC">
        <w:rPr>
          <w:sz w:val="22"/>
          <w:szCs w:val="22"/>
        </w:rPr>
        <w:t xml:space="preserve">. </w:t>
      </w:r>
    </w:p>
    <w:p w:rsidR="00493BEC" w:rsidRDefault="00493BEC" w:rsidP="007B3042">
      <w:pPr>
        <w:spacing w:after="240" w:line="276" w:lineRule="auto"/>
        <w:contextualSpacing/>
        <w:jc w:val="both"/>
        <w:rPr>
          <w:sz w:val="22"/>
          <w:szCs w:val="22"/>
        </w:rPr>
      </w:pPr>
    </w:p>
    <w:p w:rsidR="0011696C" w:rsidRDefault="0011696C" w:rsidP="0011696C">
      <w:pPr>
        <w:spacing w:after="240" w:line="276" w:lineRule="auto"/>
        <w:jc w:val="both"/>
        <w:rPr>
          <w:sz w:val="22"/>
          <w:szCs w:val="22"/>
        </w:rPr>
      </w:pPr>
      <w:r w:rsidRPr="00BC477D">
        <w:rPr>
          <w:sz w:val="22"/>
          <w:szCs w:val="22"/>
        </w:rPr>
        <w:t xml:space="preserve">Los </w:t>
      </w:r>
      <w:r w:rsidR="00493BEC">
        <w:rPr>
          <w:sz w:val="22"/>
          <w:szCs w:val="22"/>
        </w:rPr>
        <w:t>socios</w:t>
      </w:r>
      <w:r w:rsidRPr="00BC477D">
        <w:rPr>
          <w:sz w:val="22"/>
          <w:szCs w:val="22"/>
        </w:rPr>
        <w:t xml:space="preserve"> del predio</w:t>
      </w:r>
      <w:r w:rsidR="00493BEC">
        <w:rPr>
          <w:sz w:val="22"/>
          <w:szCs w:val="22"/>
        </w:rPr>
        <w:t xml:space="preserve"> en el que se encuentra el asentamiento humano de hecho y consolidado de interés social denominado Comité Barrial </w:t>
      </w:r>
      <w:r w:rsidR="00493BEC" w:rsidRPr="00BC477D">
        <w:rPr>
          <w:sz w:val="22"/>
          <w:szCs w:val="22"/>
        </w:rPr>
        <w:t xml:space="preserve">“Abdón Calderón </w:t>
      </w:r>
      <w:r w:rsidR="00493BEC">
        <w:rPr>
          <w:sz w:val="22"/>
          <w:szCs w:val="22"/>
        </w:rPr>
        <w:t>Número Dos</w:t>
      </w:r>
      <w:r w:rsidR="00493BEC" w:rsidRPr="00BC477D">
        <w:rPr>
          <w:sz w:val="22"/>
          <w:szCs w:val="22"/>
        </w:rPr>
        <w:t>”</w:t>
      </w:r>
      <w:r w:rsidRPr="00BC477D">
        <w:rPr>
          <w:sz w:val="22"/>
          <w:szCs w:val="22"/>
        </w:rPr>
        <w:t>,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La Delicia,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rsidR="00493BEC" w:rsidRDefault="00493BEC" w:rsidP="0011696C">
      <w:pPr>
        <w:spacing w:after="240" w:line="276" w:lineRule="auto"/>
        <w:jc w:val="both"/>
        <w:rPr>
          <w:sz w:val="22"/>
          <w:szCs w:val="22"/>
        </w:rPr>
      </w:pPr>
      <w:r w:rsidRPr="00036A0E">
        <w:rPr>
          <w:sz w:val="22"/>
          <w:szCs w:val="22"/>
        </w:rPr>
        <w:lastRenderedPageBreak/>
        <w:t>La Agencia Metropolitana de Control será notificada con el cronograma de obras de mitigación y realizará el seguimiento en la ejecución y avance de las obras de mitigación hasta la terminación de las mismas.</w:t>
      </w:r>
    </w:p>
    <w:p w:rsidR="00036A0E" w:rsidRDefault="00036A0E" w:rsidP="00036A0E">
      <w:pPr>
        <w:spacing w:before="240" w:after="240" w:line="276" w:lineRule="auto"/>
        <w:contextualSpacing/>
        <w:jc w:val="both"/>
        <w:rPr>
          <w:iCs/>
          <w:sz w:val="22"/>
          <w:szCs w:val="22"/>
        </w:rPr>
      </w:pPr>
      <w:r w:rsidRPr="00BC477D">
        <w:rPr>
          <w:iCs/>
          <w:sz w:val="22"/>
          <w:szCs w:val="22"/>
        </w:rPr>
        <w:t>La aprobación de</w:t>
      </w:r>
      <w:r>
        <w:rPr>
          <w:iCs/>
          <w:sz w:val="22"/>
          <w:szCs w:val="22"/>
        </w:rPr>
        <w:t xml:space="preserve"> este AHHYC, </w:t>
      </w:r>
      <w:r w:rsidRPr="00BC477D">
        <w:rPr>
          <w:iCs/>
          <w:sz w:val="22"/>
          <w:szCs w:val="22"/>
        </w:rPr>
        <w:t>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036A0E" w:rsidRPr="00BC477D" w:rsidRDefault="00036A0E" w:rsidP="00036A0E">
      <w:pPr>
        <w:spacing w:before="240" w:after="240" w:line="276" w:lineRule="auto"/>
        <w:contextualSpacing/>
        <w:jc w:val="both"/>
        <w:rPr>
          <w:iCs/>
          <w:sz w:val="22"/>
          <w:szCs w:val="22"/>
        </w:rPr>
      </w:pPr>
    </w:p>
    <w:p w:rsidR="00D80BF6" w:rsidRPr="00BC477D" w:rsidRDefault="008436D8" w:rsidP="00036A0E">
      <w:pPr>
        <w:spacing w:before="240" w:after="240" w:line="276" w:lineRule="auto"/>
        <w:jc w:val="both"/>
        <w:rPr>
          <w:b/>
          <w:color w:val="000000" w:themeColor="text1"/>
          <w:sz w:val="22"/>
          <w:szCs w:val="22"/>
        </w:rPr>
      </w:pPr>
      <w:r w:rsidRPr="00BC477D">
        <w:rPr>
          <w:sz w:val="22"/>
          <w:szCs w:val="22"/>
        </w:rPr>
        <w:t>L</w:t>
      </w:r>
      <w:r w:rsidR="00D80BF6" w:rsidRPr="00BC477D">
        <w:rPr>
          <w:sz w:val="22"/>
          <w:szCs w:val="22"/>
        </w:rPr>
        <w:t>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420985" w:rsidRPr="00BC477D" w:rsidRDefault="009C672D" w:rsidP="00420985">
      <w:pPr>
        <w:spacing w:after="120" w:line="276" w:lineRule="auto"/>
        <w:jc w:val="both"/>
        <w:rPr>
          <w:sz w:val="22"/>
          <w:szCs w:val="22"/>
        </w:rPr>
      </w:pPr>
      <w:r w:rsidRPr="00BC477D">
        <w:rPr>
          <w:b/>
          <w:color w:val="000000" w:themeColor="text1"/>
          <w:sz w:val="22"/>
          <w:szCs w:val="22"/>
        </w:rPr>
        <w:t>Articulo</w:t>
      </w:r>
      <w:r w:rsidR="00172DF8" w:rsidRPr="00BC477D">
        <w:rPr>
          <w:b/>
          <w:color w:val="000000" w:themeColor="text1"/>
          <w:sz w:val="22"/>
          <w:szCs w:val="22"/>
        </w:rPr>
        <w:t xml:space="preserve"> </w:t>
      </w:r>
      <w:r w:rsidR="00172DF8" w:rsidRPr="00BC477D">
        <w:rPr>
          <w:b/>
          <w:sz w:val="22"/>
          <w:szCs w:val="22"/>
        </w:rPr>
        <w:t>10</w:t>
      </w:r>
      <w:r w:rsidRPr="00BC477D">
        <w:rPr>
          <w:b/>
          <w:sz w:val="22"/>
          <w:szCs w:val="22"/>
        </w:rPr>
        <w:t>.-</w:t>
      </w:r>
      <w:r w:rsidR="00420985" w:rsidRPr="00BC477D">
        <w:rPr>
          <w:color w:val="000000" w:themeColor="text1"/>
          <w:sz w:val="22"/>
          <w:szCs w:val="22"/>
        </w:rPr>
        <w:t xml:space="preserve"> </w:t>
      </w:r>
      <w:r w:rsidR="00420985" w:rsidRPr="00BC477D">
        <w:rPr>
          <w:b/>
          <w:bCs/>
          <w:color w:val="000000" w:themeColor="text1"/>
          <w:sz w:val="22"/>
          <w:szCs w:val="22"/>
        </w:rPr>
        <w:t xml:space="preserve">De las Vías. - </w:t>
      </w:r>
      <w:r w:rsidR="00420985" w:rsidRPr="00BC477D">
        <w:rPr>
          <w:color w:val="000000" w:themeColor="text1"/>
          <w:sz w:val="22"/>
          <w:szCs w:val="22"/>
        </w:rPr>
        <w:t>El asentamiento humano de hecho y consolidado de interés social</w:t>
      </w:r>
      <w:r w:rsidR="00420985" w:rsidRPr="00BC477D">
        <w:rPr>
          <w:bCs/>
          <w:iCs/>
          <w:color w:val="000000" w:themeColor="text1"/>
          <w:sz w:val="22"/>
          <w:szCs w:val="22"/>
        </w:rPr>
        <w:t xml:space="preserve"> denominado </w:t>
      </w:r>
      <w:r w:rsidR="00956C33" w:rsidRPr="00BC477D">
        <w:rPr>
          <w:bCs/>
          <w:iCs/>
          <w:color w:val="000000" w:themeColor="text1"/>
          <w:sz w:val="22"/>
          <w:szCs w:val="22"/>
        </w:rPr>
        <w:t>Comité</w:t>
      </w:r>
      <w:r w:rsidR="00420985" w:rsidRPr="00BC477D">
        <w:rPr>
          <w:bCs/>
          <w:iCs/>
          <w:color w:val="000000" w:themeColor="text1"/>
          <w:sz w:val="22"/>
          <w:szCs w:val="22"/>
        </w:rPr>
        <w:t xml:space="preserve"> </w:t>
      </w:r>
      <w:r w:rsidR="00420985" w:rsidRPr="00BC477D">
        <w:rPr>
          <w:sz w:val="22"/>
          <w:szCs w:val="22"/>
        </w:rPr>
        <w:t xml:space="preserve">Barrial “Abdón Calderón Número Dos”, </w:t>
      </w:r>
      <w:r w:rsidR="00420985" w:rsidRPr="00BC477D">
        <w:rPr>
          <w:color w:val="000000" w:themeColor="text1"/>
          <w:sz w:val="22"/>
          <w:szCs w:val="22"/>
        </w:rPr>
        <w:t xml:space="preserve">contempla un sistema vial de uso público, debido a que éste es un asentamiento humano de hecho y consolidado de interés social de 23 años de existencia, con  92% de consolidación de viviendas, </w:t>
      </w:r>
      <w:r w:rsidR="00420985" w:rsidRPr="00BC477D">
        <w:rPr>
          <w:sz w:val="22"/>
          <w:szCs w:val="22"/>
        </w:rPr>
        <w:t xml:space="preserve">razón por la cual los anchos viales se sujetarán al plano adjunto a la presente ordenanza. </w:t>
      </w:r>
    </w:p>
    <w:p w:rsidR="00420985" w:rsidRPr="00BC477D" w:rsidRDefault="00420985" w:rsidP="00420985">
      <w:pPr>
        <w:pStyle w:val="Sinespaciado"/>
        <w:rPr>
          <w:rFonts w:ascii="Times New Roman" w:hAnsi="Times New Roman"/>
        </w:rPr>
      </w:pPr>
      <w:r w:rsidRPr="00BC477D">
        <w:rPr>
          <w:rFonts w:ascii="Times New Roman" w:hAnsi="Times New Roman"/>
        </w:rPr>
        <w:t>Se regularizan los pasajes con los siguientes anchos:</w:t>
      </w:r>
    </w:p>
    <w:p w:rsidR="00420985" w:rsidRPr="00BC477D" w:rsidRDefault="00420985" w:rsidP="00420985">
      <w:pPr>
        <w:pStyle w:val="Sinespaciado"/>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6124"/>
        <w:gridCol w:w="2370"/>
      </w:tblGrid>
      <w:tr w:rsidR="00C618C8" w:rsidRPr="00C618C8" w:rsidTr="00C618C8">
        <w:trPr>
          <w:trHeight w:val="300"/>
        </w:trPr>
        <w:tc>
          <w:tcPr>
            <w:tcW w:w="3605" w:type="pct"/>
            <w:tcBorders>
              <w:top w:val="single" w:sz="4" w:space="0" w:color="auto"/>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C618C8">
              <w:rPr>
                <w:color w:val="000000"/>
                <w:sz w:val="22"/>
                <w:szCs w:val="22"/>
                <w:lang w:eastAsia="es-EC"/>
              </w:rPr>
              <w:t>Pasaje N68C</w:t>
            </w:r>
            <w:r w:rsidR="008F3CDE">
              <w:rPr>
                <w:color w:val="000000"/>
                <w:sz w:val="22"/>
                <w:szCs w:val="22"/>
                <w:lang w:eastAsia="es-EC"/>
              </w:rPr>
              <w:t xml:space="preserve"> (peatonal)</w:t>
            </w:r>
            <w:r w:rsidRPr="00C618C8">
              <w:rPr>
                <w:color w:val="000000"/>
                <w:sz w:val="22"/>
                <w:szCs w:val="22"/>
                <w:lang w:eastAsia="es-EC"/>
              </w:rPr>
              <w:t xml:space="preserve">                              </w:t>
            </w:r>
          </w:p>
        </w:tc>
        <w:tc>
          <w:tcPr>
            <w:tcW w:w="1395" w:type="pct"/>
            <w:tcBorders>
              <w:top w:val="single" w:sz="4" w:space="0" w:color="auto"/>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Pasaje N68B</w:t>
            </w:r>
            <w:r w:rsidR="008F3CDE">
              <w:rPr>
                <w:color w:val="000000"/>
                <w:sz w:val="22"/>
                <w:szCs w:val="22"/>
                <w:lang w:eastAsia="es-EC"/>
              </w:rPr>
              <w:t xml:space="preserve"> (peatonal)</w:t>
            </w:r>
            <w:r w:rsidRPr="00BC477D">
              <w:rPr>
                <w:color w:val="000000"/>
                <w:sz w:val="22"/>
                <w:szCs w:val="22"/>
                <w:lang w:eastAsia="es-EC"/>
              </w:rPr>
              <w:t xml:space="preserve"> </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 xml:space="preserve">N64O </w:t>
            </w:r>
            <w:r w:rsidRPr="00C618C8">
              <w:rPr>
                <w:color w:val="000000"/>
                <w:sz w:val="22"/>
                <w:szCs w:val="22"/>
                <w:lang w:eastAsia="es-EC"/>
              </w:rPr>
              <w:t xml:space="preserve"> </w:t>
            </w:r>
            <w:r w:rsidR="008F3CDE">
              <w:rPr>
                <w:color w:val="000000"/>
                <w:sz w:val="22"/>
                <w:szCs w:val="22"/>
                <w:lang w:eastAsia="es-EC"/>
              </w:rPr>
              <w:t>(peatonal)</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BC477D">
              <w:rPr>
                <w:color w:val="000000"/>
                <w:sz w:val="22"/>
                <w:szCs w:val="22"/>
                <w:lang w:eastAsia="es-EC"/>
              </w:rPr>
              <w:t>N64L</w:t>
            </w:r>
            <w:r w:rsidR="008F3CDE">
              <w:rPr>
                <w:color w:val="000000"/>
                <w:sz w:val="22"/>
                <w:szCs w:val="22"/>
                <w:lang w:eastAsia="es-EC"/>
              </w:rPr>
              <w:t xml:space="preserve"> (peatonal)</w:t>
            </w:r>
            <w:r w:rsidRPr="00BC477D">
              <w:rPr>
                <w:color w:val="000000"/>
                <w:sz w:val="22"/>
                <w:szCs w:val="22"/>
                <w:lang w:eastAsia="es-EC"/>
              </w:rPr>
              <w:t xml:space="preserve"> </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rsidR="00C618C8" w:rsidRPr="00C618C8" w:rsidRDefault="00C618C8" w:rsidP="00C618C8">
            <w:pPr>
              <w:rPr>
                <w:color w:val="000000"/>
                <w:sz w:val="22"/>
                <w:szCs w:val="22"/>
                <w:lang w:val="es-EC" w:eastAsia="es-EC"/>
              </w:rPr>
            </w:pPr>
            <w:r w:rsidRPr="00C618C8">
              <w:rPr>
                <w:color w:val="000000"/>
                <w:sz w:val="22"/>
                <w:szCs w:val="22"/>
                <w:lang w:eastAsia="es-EC"/>
              </w:rPr>
              <w:t xml:space="preserve">Escalinata Oe17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4.00 m</w:t>
            </w:r>
          </w:p>
        </w:tc>
      </w:tr>
      <w:tr w:rsidR="00C618C8" w:rsidRPr="00C618C8" w:rsidTr="00C618C8">
        <w:trPr>
          <w:trHeight w:val="300"/>
        </w:trPr>
        <w:tc>
          <w:tcPr>
            <w:tcW w:w="3605" w:type="pct"/>
            <w:tcBorders>
              <w:top w:val="nil"/>
              <w:left w:val="single" w:sz="4" w:space="0" w:color="auto"/>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eastAsia="es-EC"/>
              </w:rPr>
              <w:t>Calle N64H</w:t>
            </w:r>
            <w:r w:rsidR="008F3CDE">
              <w:rPr>
                <w:color w:val="000000"/>
                <w:sz w:val="22"/>
                <w:szCs w:val="22"/>
                <w:lang w:eastAsia="es-EC"/>
              </w:rPr>
              <w:t xml:space="preserve"> (peatonal)</w:t>
            </w:r>
            <w:r w:rsidRPr="00C618C8">
              <w:rPr>
                <w:color w:val="000000"/>
                <w:sz w:val="22"/>
                <w:szCs w:val="22"/>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rsidR="00C618C8" w:rsidRPr="00C618C8" w:rsidRDefault="00C618C8" w:rsidP="00C618C8">
            <w:pPr>
              <w:rPr>
                <w:color w:val="000000"/>
                <w:sz w:val="22"/>
                <w:szCs w:val="22"/>
                <w:lang w:val="es-EC" w:eastAsia="es-EC"/>
              </w:rPr>
            </w:pPr>
            <w:r w:rsidRPr="00C618C8">
              <w:rPr>
                <w:color w:val="000000"/>
                <w:sz w:val="22"/>
                <w:szCs w:val="22"/>
                <w:lang w:val="es-EC" w:eastAsia="es-EC"/>
              </w:rPr>
              <w:t>5.00 m</w:t>
            </w:r>
          </w:p>
        </w:tc>
      </w:tr>
    </w:tbl>
    <w:p w:rsidR="00420985" w:rsidRPr="00BC477D" w:rsidRDefault="00420985" w:rsidP="00420985">
      <w:pPr>
        <w:pStyle w:val="Sinespaciado"/>
        <w:rPr>
          <w:rFonts w:ascii="Times New Roman" w:hAnsi="Times New Roman"/>
        </w:rPr>
      </w:pPr>
    </w:p>
    <w:p w:rsidR="00172DF8" w:rsidRPr="00BC477D" w:rsidRDefault="00172DF8" w:rsidP="00172DF8">
      <w:pPr>
        <w:spacing w:line="276" w:lineRule="auto"/>
        <w:jc w:val="both"/>
        <w:rPr>
          <w:sz w:val="22"/>
          <w:szCs w:val="22"/>
        </w:rPr>
      </w:pPr>
      <w:r w:rsidRPr="00BC477D">
        <w:rPr>
          <w:b/>
          <w:bCs/>
          <w:sz w:val="22"/>
          <w:szCs w:val="22"/>
        </w:rPr>
        <w:t xml:space="preserve">Artículo 11.- De las obras a ejecutarse. - </w:t>
      </w:r>
      <w:r w:rsidRPr="00BC477D">
        <w:rPr>
          <w:sz w:val="22"/>
          <w:szCs w:val="22"/>
        </w:rPr>
        <w:t xml:space="preserve">La obra a ejecutarse en el asentamiento humano de hecho y consolidado de interés social, </w:t>
      </w:r>
      <w:r w:rsidR="008F3CDE">
        <w:rPr>
          <w:sz w:val="22"/>
          <w:szCs w:val="22"/>
        </w:rPr>
        <w:t>es</w:t>
      </w:r>
      <w:r w:rsidRPr="00BC477D">
        <w:rPr>
          <w:sz w:val="22"/>
          <w:szCs w:val="22"/>
        </w:rPr>
        <w:t xml:space="preserve"> la siguiente: </w:t>
      </w:r>
    </w:p>
    <w:p w:rsidR="00172DF8" w:rsidRPr="00BC477D" w:rsidRDefault="00172DF8" w:rsidP="00172DF8">
      <w:pPr>
        <w:spacing w:line="276" w:lineRule="auto"/>
        <w:jc w:val="both"/>
        <w:rPr>
          <w:sz w:val="22"/>
          <w:szCs w:val="22"/>
        </w:rPr>
      </w:pPr>
    </w:p>
    <w:tbl>
      <w:tblPr>
        <w:tblStyle w:val="Tablaconcuadrcula"/>
        <w:tblW w:w="0" w:type="auto"/>
        <w:tblLook w:val="04A0" w:firstRow="1" w:lastRow="0" w:firstColumn="1" w:lastColumn="0" w:noHBand="0" w:noVBand="1"/>
      </w:tblPr>
      <w:tblGrid>
        <w:gridCol w:w="3437"/>
        <w:gridCol w:w="5057"/>
      </w:tblGrid>
      <w:tr w:rsidR="003B2291" w:rsidRPr="00BC477D" w:rsidTr="002F19BA">
        <w:tc>
          <w:tcPr>
            <w:tcW w:w="3437" w:type="dxa"/>
          </w:tcPr>
          <w:p w:rsidR="003B2291" w:rsidRPr="00BC477D" w:rsidRDefault="003B2291" w:rsidP="002F19BA">
            <w:pPr>
              <w:spacing w:line="276" w:lineRule="auto"/>
              <w:jc w:val="both"/>
              <w:rPr>
                <w:sz w:val="22"/>
                <w:szCs w:val="22"/>
              </w:rPr>
            </w:pPr>
            <w:r w:rsidRPr="00BC477D">
              <w:rPr>
                <w:sz w:val="22"/>
                <w:szCs w:val="22"/>
              </w:rPr>
              <w:t>Calzadas</w:t>
            </w:r>
            <w:r w:rsidRPr="00BC477D">
              <w:rPr>
                <w:sz w:val="22"/>
                <w:szCs w:val="22"/>
              </w:rPr>
              <w:tab/>
            </w:r>
          </w:p>
        </w:tc>
        <w:tc>
          <w:tcPr>
            <w:tcW w:w="5057" w:type="dxa"/>
          </w:tcPr>
          <w:p w:rsidR="003B2291" w:rsidRPr="00BC477D" w:rsidRDefault="008F3CDE" w:rsidP="002F19BA">
            <w:pPr>
              <w:spacing w:line="276" w:lineRule="auto"/>
              <w:jc w:val="both"/>
              <w:rPr>
                <w:sz w:val="22"/>
                <w:szCs w:val="22"/>
              </w:rPr>
            </w:pPr>
            <w:r>
              <w:rPr>
                <w:sz w:val="22"/>
                <w:szCs w:val="22"/>
              </w:rPr>
              <w:t>10</w:t>
            </w:r>
            <w:r w:rsidR="003B2291" w:rsidRPr="00BC477D">
              <w:rPr>
                <w:sz w:val="22"/>
                <w:szCs w:val="22"/>
              </w:rPr>
              <w:t>0%</w:t>
            </w:r>
          </w:p>
        </w:tc>
      </w:tr>
    </w:tbl>
    <w:p w:rsidR="00966BDD" w:rsidRPr="00BC477D" w:rsidRDefault="00966BDD" w:rsidP="008F3CDE">
      <w:pPr>
        <w:ind w:left="705" w:hanging="705"/>
        <w:jc w:val="both"/>
        <w:rPr>
          <w:sz w:val="22"/>
          <w:szCs w:val="22"/>
          <w:lang w:val="es-EC" w:eastAsia="es-ES_tradnl"/>
        </w:rPr>
      </w:pPr>
    </w:p>
    <w:p w:rsidR="006841CB" w:rsidRPr="00BC477D" w:rsidRDefault="006841CB" w:rsidP="00666252">
      <w:pPr>
        <w:pStyle w:val="Textoindependiente"/>
        <w:spacing w:line="276" w:lineRule="auto"/>
        <w:jc w:val="both"/>
        <w:rPr>
          <w:iCs/>
          <w:sz w:val="22"/>
          <w:szCs w:val="22"/>
        </w:rPr>
      </w:pPr>
      <w:r w:rsidRPr="00BC477D">
        <w:rPr>
          <w:b/>
          <w:bCs/>
          <w:sz w:val="22"/>
          <w:szCs w:val="22"/>
        </w:rPr>
        <w:t>Artículo 12.- Del plazo de ejecución de las obras.-</w:t>
      </w:r>
      <w:r w:rsidRPr="00BC477D">
        <w:rPr>
          <w:sz w:val="22"/>
          <w:szCs w:val="22"/>
        </w:rPr>
        <w:t xml:space="preserve"> El plazo de ejecución de la totalidad de las obras civiles y de infraestructura, será de cinco (5) años, </w:t>
      </w:r>
      <w:r w:rsidRPr="00BC477D">
        <w:rPr>
          <w:iCs/>
          <w:sz w:val="22"/>
          <w:szCs w:val="22"/>
        </w:rPr>
        <w:t xml:space="preserve">de conformidad al cronograma de obras presentado por </w:t>
      </w:r>
      <w:r w:rsidRPr="00BC477D">
        <w:rPr>
          <w:sz w:val="22"/>
          <w:szCs w:val="22"/>
        </w:rPr>
        <w:t>el propietario y/o posesionarios del inmueble donde se ubica el asentamiento humano de hecho y consolidado de interés social,</w:t>
      </w:r>
      <w:r w:rsidRPr="00BC477D">
        <w:rPr>
          <w:b/>
          <w:sz w:val="22"/>
          <w:szCs w:val="22"/>
        </w:rPr>
        <w:t xml:space="preserve"> </w:t>
      </w:r>
      <w:r w:rsidRPr="00BC477D">
        <w:rPr>
          <w:sz w:val="22"/>
          <w:szCs w:val="22"/>
        </w:rPr>
        <w:t>y aprobado por la mesa institucional</w:t>
      </w:r>
      <w:r w:rsidRPr="00BC477D">
        <w:rPr>
          <w:b/>
          <w:sz w:val="22"/>
          <w:szCs w:val="22"/>
        </w:rPr>
        <w:t xml:space="preserve">, </w:t>
      </w:r>
      <w:r w:rsidRPr="00BC477D">
        <w:rPr>
          <w:iCs/>
          <w:sz w:val="22"/>
          <w:szCs w:val="22"/>
        </w:rPr>
        <w:t xml:space="preserve">plazo que </w:t>
      </w:r>
      <w:r w:rsidRPr="00BC477D">
        <w:rPr>
          <w:iCs/>
          <w:sz w:val="22"/>
          <w:szCs w:val="22"/>
        </w:rPr>
        <w:lastRenderedPageBreak/>
        <w:t>se contará a partir de la fecha de inscripción de la presente Ordenanza en el Registro de la Propiedad del Distrito Metropolitano de Quito.</w:t>
      </w:r>
    </w:p>
    <w:p w:rsidR="006841CB" w:rsidRPr="00BC477D" w:rsidRDefault="006841CB" w:rsidP="00666252">
      <w:pPr>
        <w:pStyle w:val="Textoindependiente"/>
        <w:spacing w:line="276" w:lineRule="auto"/>
        <w:jc w:val="both"/>
        <w:rPr>
          <w:iCs/>
          <w:sz w:val="22"/>
          <w:szCs w:val="22"/>
        </w:rPr>
      </w:pPr>
      <w:r w:rsidRPr="00BC477D">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BC477D">
        <w:rPr>
          <w:sz w:val="22"/>
          <w:szCs w:val="22"/>
        </w:rPr>
        <w:t>artículo No. 3695 del Código Municipal para el Distrito Metropolitano de Quito.</w:t>
      </w:r>
    </w:p>
    <w:p w:rsidR="006841CB" w:rsidRPr="00BC477D" w:rsidRDefault="006841CB" w:rsidP="00666252">
      <w:pPr>
        <w:pStyle w:val="Textoindependiente"/>
        <w:spacing w:before="240" w:after="0" w:line="276" w:lineRule="auto"/>
        <w:jc w:val="both"/>
        <w:rPr>
          <w:bCs/>
          <w:sz w:val="22"/>
          <w:szCs w:val="22"/>
          <w:lang w:val="es-ES_tradnl"/>
        </w:rPr>
      </w:pPr>
      <w:r w:rsidRPr="00BC477D">
        <w:rPr>
          <w:b/>
          <w:bCs/>
          <w:sz w:val="22"/>
          <w:szCs w:val="22"/>
        </w:rPr>
        <w:t xml:space="preserve">Artículo 13.- </w:t>
      </w:r>
      <w:r w:rsidRPr="00BC477D">
        <w:rPr>
          <w:b/>
          <w:bCs/>
          <w:sz w:val="22"/>
          <w:szCs w:val="22"/>
          <w:lang w:val="es-ES_tradnl"/>
        </w:rPr>
        <w:t>Del control de ejecución de las obras. -</w:t>
      </w:r>
      <w:r w:rsidRPr="00BC477D">
        <w:rPr>
          <w:bCs/>
          <w:sz w:val="22"/>
          <w:szCs w:val="22"/>
          <w:lang w:val="es-ES_tradnl"/>
        </w:rPr>
        <w:t xml:space="preserve"> 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rsidR="00CF61F4" w:rsidRPr="00BC477D" w:rsidRDefault="00CF61F4" w:rsidP="006841CB">
      <w:pPr>
        <w:pStyle w:val="Textoindependiente"/>
        <w:jc w:val="both"/>
        <w:rPr>
          <w:b/>
          <w:bCs/>
          <w:sz w:val="22"/>
          <w:szCs w:val="22"/>
          <w:lang w:val="es-ES_tradnl"/>
        </w:rPr>
      </w:pPr>
    </w:p>
    <w:p w:rsidR="006841CB" w:rsidRPr="00BC477D" w:rsidRDefault="006841CB" w:rsidP="00666252">
      <w:pPr>
        <w:pStyle w:val="Textoindependiente"/>
        <w:spacing w:line="276" w:lineRule="auto"/>
        <w:jc w:val="both"/>
        <w:rPr>
          <w:bCs/>
          <w:sz w:val="22"/>
          <w:szCs w:val="22"/>
        </w:rPr>
      </w:pPr>
      <w:r w:rsidRPr="00BC477D">
        <w:rPr>
          <w:b/>
          <w:bCs/>
          <w:sz w:val="22"/>
          <w:szCs w:val="22"/>
          <w:lang w:val="es-ES_tradnl"/>
        </w:rPr>
        <w:t xml:space="preserve">Artículo 14.- De la multa por retraso en ejecución de obras. - </w:t>
      </w:r>
      <w:r w:rsidRPr="00BC477D">
        <w:rPr>
          <w:sz w:val="22"/>
          <w:szCs w:val="22"/>
          <w:lang w:val="es-ES_tradnl"/>
        </w:rPr>
        <w:t>En</w:t>
      </w:r>
      <w:r w:rsidRPr="00BC477D">
        <w:rPr>
          <w:bCs/>
          <w:sz w:val="22"/>
          <w:szCs w:val="22"/>
        </w:rPr>
        <w:t xml:space="preserve"> caso de retraso en la ejecución de las obras civiles y de infraestructura, los copropietarios del inmueble sobre el cual se ubica </w:t>
      </w:r>
      <w:r w:rsidR="00666252" w:rsidRPr="00BC477D">
        <w:rPr>
          <w:bCs/>
          <w:sz w:val="22"/>
          <w:szCs w:val="22"/>
        </w:rPr>
        <w:t xml:space="preserve">el </w:t>
      </w:r>
      <w:r w:rsidR="00666252" w:rsidRPr="00BC477D">
        <w:rPr>
          <w:sz w:val="22"/>
          <w:szCs w:val="22"/>
        </w:rPr>
        <w:t>asentamiento</w:t>
      </w:r>
      <w:r w:rsidR="00CF61F4" w:rsidRPr="00BC477D">
        <w:rPr>
          <w:sz w:val="22"/>
          <w:szCs w:val="22"/>
        </w:rPr>
        <w:t xml:space="preserve"> humano de hecho y consolidado de interés social denominado </w:t>
      </w:r>
      <w:r w:rsidR="00162F82">
        <w:rPr>
          <w:sz w:val="22"/>
          <w:szCs w:val="22"/>
        </w:rPr>
        <w:t>Comité Barrial “Abdón Calderón Número Dos”</w:t>
      </w:r>
      <w:r w:rsidR="00CF61F4" w:rsidRPr="00BC477D">
        <w:rPr>
          <w:sz w:val="22"/>
          <w:szCs w:val="22"/>
        </w:rPr>
        <w:t>,</w:t>
      </w:r>
      <w:r w:rsidR="00CF61F4" w:rsidRPr="00BC477D">
        <w:rPr>
          <w:bCs/>
          <w:sz w:val="22"/>
          <w:szCs w:val="22"/>
        </w:rPr>
        <w:t xml:space="preserve"> </w:t>
      </w:r>
      <w:r w:rsidRPr="00BC477D">
        <w:rPr>
          <w:bCs/>
          <w:sz w:val="22"/>
          <w:szCs w:val="22"/>
        </w:rPr>
        <w:t>se sujetarán a las sanciones contempladas en el Ordenamiento Jurídico Nacional y Metropolitano.</w:t>
      </w:r>
    </w:p>
    <w:p w:rsidR="001C7AFA" w:rsidRPr="00BC477D" w:rsidRDefault="001C7AFA" w:rsidP="00666252">
      <w:pPr>
        <w:pStyle w:val="Textoindependiente"/>
        <w:spacing w:before="240" w:line="276" w:lineRule="auto"/>
        <w:jc w:val="both"/>
        <w:rPr>
          <w:sz w:val="22"/>
          <w:szCs w:val="22"/>
        </w:rPr>
      </w:pPr>
      <w:r w:rsidRPr="00BC477D">
        <w:rPr>
          <w:b/>
          <w:sz w:val="22"/>
          <w:szCs w:val="22"/>
        </w:rPr>
        <w:t xml:space="preserve">Artículo 15.- </w:t>
      </w:r>
      <w:r w:rsidRPr="00BC477D">
        <w:rPr>
          <w:b/>
          <w:bCs/>
          <w:iCs/>
          <w:sz w:val="22"/>
          <w:szCs w:val="22"/>
        </w:rPr>
        <w:t xml:space="preserve">De la garantía de ejecución de las obras.- </w:t>
      </w:r>
      <w:r w:rsidRPr="00BC477D">
        <w:rPr>
          <w:sz w:val="22"/>
          <w:szCs w:val="22"/>
        </w:rPr>
        <w:t>Los lotes producto del fraccionamiento donde se encuentra ubicado el</w:t>
      </w:r>
      <w:r w:rsidR="007A793D" w:rsidRPr="00BC477D">
        <w:rPr>
          <w:sz w:val="22"/>
          <w:szCs w:val="22"/>
        </w:rPr>
        <w:t xml:space="preserve"> asentamiento humano de hecho y consolidado de interés social denominado </w:t>
      </w:r>
      <w:r w:rsidR="00162F82">
        <w:rPr>
          <w:sz w:val="22"/>
          <w:szCs w:val="22"/>
        </w:rPr>
        <w:t>Comité Barrial “Abdón Calderón Número Dos”</w:t>
      </w:r>
      <w:r w:rsidR="007A793D" w:rsidRPr="00BC477D">
        <w:rPr>
          <w:sz w:val="22"/>
          <w:szCs w:val="22"/>
        </w:rPr>
        <w:t xml:space="preserve">, </w:t>
      </w:r>
      <w:r w:rsidRPr="00BC477D">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0721E" w:rsidRPr="00BC477D" w:rsidRDefault="00E0721E" w:rsidP="00666252">
      <w:pPr>
        <w:pStyle w:val="Textoindependiente"/>
        <w:spacing w:before="240" w:line="276" w:lineRule="auto"/>
        <w:jc w:val="both"/>
        <w:rPr>
          <w:sz w:val="22"/>
          <w:szCs w:val="22"/>
          <w:lang w:val="es-ES_tradnl"/>
        </w:rPr>
      </w:pPr>
      <w:r w:rsidRPr="00BC477D">
        <w:rPr>
          <w:b/>
          <w:bCs/>
          <w:sz w:val="22"/>
          <w:szCs w:val="22"/>
          <w:lang w:val="es-ES_tradnl"/>
        </w:rPr>
        <w:t>Artículo 16</w:t>
      </w:r>
      <w:r w:rsidR="002E58DF" w:rsidRPr="00BC477D">
        <w:rPr>
          <w:b/>
          <w:bCs/>
          <w:sz w:val="22"/>
          <w:szCs w:val="22"/>
          <w:lang w:val="es-ES_tradnl"/>
        </w:rPr>
        <w:t>.- Solicitud</w:t>
      </w:r>
      <w:r w:rsidRPr="00BC477D">
        <w:rPr>
          <w:b/>
          <w:bCs/>
          <w:sz w:val="22"/>
          <w:szCs w:val="22"/>
          <w:lang w:val="es-ES_tradnl"/>
        </w:rPr>
        <w:t xml:space="preserve"> de ampliación de plazo. - </w:t>
      </w:r>
      <w:r w:rsidRPr="00BC477D">
        <w:rPr>
          <w:bCs/>
          <w:sz w:val="22"/>
          <w:szCs w:val="22"/>
          <w:lang w:val="es-ES_tradnl"/>
        </w:rPr>
        <w:t xml:space="preserve">Las solicitudes </w:t>
      </w:r>
      <w:r w:rsidRPr="00BC477D">
        <w:rPr>
          <w:sz w:val="22"/>
          <w:szCs w:val="22"/>
          <w:lang w:val="es-ES_tradnl"/>
        </w:rPr>
        <w:t>de ampliación de plazo para ejecución de obras civiles y de infraestructura, serán resueltas por la Administración Zonal correspondiente.</w:t>
      </w:r>
    </w:p>
    <w:p w:rsidR="00E0721E" w:rsidRPr="00BC477D" w:rsidRDefault="00E0721E" w:rsidP="00666252">
      <w:pPr>
        <w:pStyle w:val="Textoindependiente"/>
        <w:spacing w:line="276" w:lineRule="auto"/>
        <w:jc w:val="both"/>
        <w:rPr>
          <w:bCs/>
          <w:color w:val="000000" w:themeColor="text1"/>
          <w:sz w:val="22"/>
          <w:szCs w:val="22"/>
          <w:lang w:val="es-ES_tradnl"/>
        </w:rPr>
      </w:pPr>
      <w:r w:rsidRPr="00BC477D">
        <w:rPr>
          <w:bCs/>
          <w:color w:val="000000" w:themeColor="text1"/>
          <w:sz w:val="22"/>
          <w:szCs w:val="22"/>
          <w:lang w:val="es-ES_tradnl"/>
        </w:rPr>
        <w:t>La Administración Zonal La Delicia, deberá notificar a los copropietarios del asentamiento 6 meses antes de la conclusión del plazo establecido.</w:t>
      </w:r>
    </w:p>
    <w:p w:rsidR="00E0721E" w:rsidRPr="00BC477D" w:rsidRDefault="00E0721E" w:rsidP="00666252">
      <w:pPr>
        <w:spacing w:after="360" w:line="276" w:lineRule="auto"/>
        <w:jc w:val="both"/>
        <w:rPr>
          <w:bCs/>
          <w:sz w:val="22"/>
          <w:szCs w:val="22"/>
          <w:lang w:val="es-ES_tradnl"/>
        </w:rPr>
      </w:pPr>
      <w:r w:rsidRPr="00BC477D">
        <w:rPr>
          <w:bCs/>
          <w:sz w:val="22"/>
          <w:szCs w:val="22"/>
          <w:lang w:val="es-ES_tradnl"/>
        </w:rPr>
        <w:t>La Administración Zonal La Delicia, realizará el seguimiento en la ejecución y avance del cronograma de obras de mitigación hasta la terminación de las mismas.</w:t>
      </w:r>
    </w:p>
    <w:p w:rsidR="00EB463D" w:rsidRPr="00BC477D" w:rsidRDefault="00EB463D" w:rsidP="00666252">
      <w:pPr>
        <w:spacing w:after="240" w:line="276" w:lineRule="auto"/>
        <w:jc w:val="both"/>
        <w:rPr>
          <w:bCs/>
          <w:color w:val="000000" w:themeColor="text1"/>
          <w:sz w:val="22"/>
          <w:szCs w:val="22"/>
          <w:lang w:val="es-ES_tradnl"/>
        </w:rPr>
      </w:pPr>
      <w:r w:rsidRPr="00BC477D">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0721E" w:rsidRPr="00BC477D" w:rsidRDefault="00E0721E" w:rsidP="00666252">
      <w:pPr>
        <w:spacing w:line="276" w:lineRule="auto"/>
        <w:jc w:val="both"/>
        <w:rPr>
          <w:sz w:val="22"/>
          <w:szCs w:val="22"/>
          <w:lang w:val="es-EC"/>
        </w:rPr>
      </w:pPr>
      <w:r w:rsidRPr="00BC477D">
        <w:rPr>
          <w:b/>
          <w:bCs/>
          <w:sz w:val="22"/>
          <w:szCs w:val="22"/>
        </w:rPr>
        <w:lastRenderedPageBreak/>
        <w:t>Artículo</w:t>
      </w:r>
      <w:r w:rsidRPr="00BC477D">
        <w:rPr>
          <w:b/>
          <w:bCs/>
          <w:sz w:val="22"/>
          <w:szCs w:val="22"/>
          <w:lang w:val="es-ES_tradnl"/>
        </w:rPr>
        <w:t xml:space="preserve"> 17.- De la Protocolización e inscripción de la Ordenanza. -  </w:t>
      </w:r>
      <w:r w:rsidR="00666252" w:rsidRPr="00666252">
        <w:rPr>
          <w:sz w:val="22"/>
          <w:szCs w:val="22"/>
          <w:lang w:val="es-ES_tradnl"/>
        </w:rPr>
        <w:t xml:space="preserve">El propietario </w:t>
      </w:r>
      <w:r w:rsidR="00666252">
        <w:rPr>
          <w:sz w:val="22"/>
          <w:szCs w:val="22"/>
          <w:lang w:val="es-ES_tradnl"/>
        </w:rPr>
        <w:t xml:space="preserve">del predio en el que se encuentra el asentamiento humano de hecho y consolidado de interés social denominado </w:t>
      </w:r>
      <w:r w:rsidR="00666252" w:rsidRPr="00666252">
        <w:rPr>
          <w:sz w:val="22"/>
          <w:szCs w:val="22"/>
          <w:lang w:val="es-ES_tradnl"/>
        </w:rPr>
        <w:t xml:space="preserve">Comité </w:t>
      </w:r>
      <w:r w:rsidR="00162F82" w:rsidRPr="00666252">
        <w:rPr>
          <w:sz w:val="22"/>
          <w:szCs w:val="22"/>
          <w:lang w:val="es-ES_tradnl"/>
        </w:rPr>
        <w:t>Barrial “Abdón Calderón Número Dos”</w:t>
      </w:r>
      <w:r w:rsidR="00666252">
        <w:rPr>
          <w:sz w:val="22"/>
          <w:szCs w:val="22"/>
          <w:lang w:val="es-ES_tradnl"/>
        </w:rPr>
        <w:t xml:space="preserve">, </w:t>
      </w:r>
      <w:r w:rsidR="00666252" w:rsidRPr="00666252">
        <w:rPr>
          <w:sz w:val="22"/>
          <w:szCs w:val="22"/>
          <w:lang w:val="es-ES_tradnl"/>
        </w:rPr>
        <w:t xml:space="preserve">y/o los socios </w:t>
      </w:r>
      <w:r w:rsidR="00E22552" w:rsidRPr="00666252">
        <w:rPr>
          <w:sz w:val="22"/>
          <w:szCs w:val="22"/>
          <w:lang w:val="es-ES_tradnl"/>
        </w:rPr>
        <w:t>Comité Barrial “Abdón Calderón Número Dos”</w:t>
      </w:r>
      <w:r w:rsidR="007A793D" w:rsidRPr="00666252">
        <w:rPr>
          <w:sz w:val="22"/>
          <w:szCs w:val="22"/>
          <w:lang w:val="es-ES_tradnl"/>
        </w:rPr>
        <w:t xml:space="preserve">, </w:t>
      </w:r>
      <w:r w:rsidRPr="00BC477D">
        <w:rPr>
          <w:sz w:val="22"/>
          <w:szCs w:val="22"/>
          <w:lang w:val="es-ES_tradnl"/>
        </w:rPr>
        <w:t xml:space="preserve">deberán </w:t>
      </w:r>
      <w:r w:rsidRPr="00666252">
        <w:rPr>
          <w:sz w:val="22"/>
          <w:szCs w:val="22"/>
          <w:lang w:val="es-ES_tradnl"/>
        </w:rPr>
        <w:t>protocolizar la presente Ordenanza ante Notario Público e inscribirla en el Registro de la Propiedad del Distrito Metropolitano de</w:t>
      </w:r>
      <w:r w:rsidRPr="00BC477D">
        <w:rPr>
          <w:sz w:val="22"/>
          <w:szCs w:val="22"/>
          <w:lang w:val="es-EC"/>
        </w:rPr>
        <w:t xml:space="preserve"> Quito, </w:t>
      </w:r>
      <w:r w:rsidRPr="00BC477D">
        <w:rPr>
          <w:sz w:val="22"/>
          <w:szCs w:val="22"/>
          <w:lang w:val="es-ES_tradnl"/>
        </w:rPr>
        <w:t>con todos sus documentos habilitantes</w:t>
      </w:r>
      <w:bookmarkStart w:id="1" w:name="_Hlk80222422"/>
      <w:r w:rsidR="00E22552">
        <w:rPr>
          <w:sz w:val="22"/>
          <w:szCs w:val="22"/>
          <w:lang w:val="es-EC"/>
        </w:rPr>
        <w:t>.</w:t>
      </w:r>
    </w:p>
    <w:p w:rsidR="00E0721E" w:rsidRPr="00BC477D" w:rsidRDefault="00E0721E" w:rsidP="00666252">
      <w:pPr>
        <w:spacing w:line="276" w:lineRule="auto"/>
        <w:jc w:val="both"/>
        <w:rPr>
          <w:sz w:val="22"/>
          <w:szCs w:val="22"/>
          <w:lang w:val="es-ES_tradnl"/>
        </w:rPr>
      </w:pPr>
    </w:p>
    <w:p w:rsidR="00E0721E" w:rsidRPr="00BC477D" w:rsidRDefault="00E0721E" w:rsidP="00666252">
      <w:pPr>
        <w:spacing w:after="360" w:line="276" w:lineRule="auto"/>
        <w:jc w:val="both"/>
        <w:rPr>
          <w:sz w:val="22"/>
          <w:szCs w:val="22"/>
        </w:rPr>
      </w:pPr>
      <w:r w:rsidRPr="00BC477D">
        <w:rPr>
          <w:bCs/>
          <w:sz w:val="22"/>
          <w:szCs w:val="22"/>
          <w:lang w:val="es-ES_tradnl"/>
        </w:rPr>
        <w:t>En caso de no inscribir la presente ordenanza, ésta caducará en el plazo de tres (03) años de conformidad con lo dispuesto en el artículo No. 3714</w:t>
      </w:r>
      <w:r w:rsidRPr="00BC477D">
        <w:rPr>
          <w:sz w:val="22"/>
          <w:szCs w:val="22"/>
        </w:rPr>
        <w:t xml:space="preserve"> </w:t>
      </w:r>
      <w:r w:rsidRPr="00BC477D">
        <w:rPr>
          <w:bCs/>
          <w:sz w:val="22"/>
          <w:szCs w:val="22"/>
        </w:rPr>
        <w:t>del Código Municipal para el Distrito Metropolitano de Quito, publicado en la edición especial No. 1615, del Registro Oficial del 14 de Julio de 2021</w:t>
      </w:r>
      <w:r w:rsidRPr="00BC477D">
        <w:rPr>
          <w:sz w:val="22"/>
          <w:szCs w:val="22"/>
        </w:rPr>
        <w:t>.</w:t>
      </w:r>
    </w:p>
    <w:p w:rsidR="00E0721E" w:rsidRPr="00BC477D" w:rsidRDefault="00E0721E" w:rsidP="00666252">
      <w:pPr>
        <w:spacing w:after="360" w:line="276" w:lineRule="auto"/>
        <w:jc w:val="both"/>
        <w:rPr>
          <w:bCs/>
          <w:sz w:val="22"/>
          <w:szCs w:val="22"/>
          <w:lang w:val="es-ES_tradnl"/>
        </w:rPr>
      </w:pPr>
      <w:r w:rsidRPr="00BC477D">
        <w:rPr>
          <w:sz w:val="22"/>
          <w:szCs w:val="22"/>
          <w:lang w:val="es-EC"/>
        </w:rPr>
        <w:t>La inscripción de la presente ordenanza en el Registro de la Propiedad servirá como título de dominio para efectos de la transferencia del</w:t>
      </w:r>
      <w:r w:rsidRPr="00BC477D">
        <w:rPr>
          <w:sz w:val="22"/>
          <w:szCs w:val="22"/>
        </w:rPr>
        <w:t xml:space="preserve"> área verde</w:t>
      </w:r>
      <w:r w:rsidRPr="00BC477D">
        <w:rPr>
          <w:b/>
          <w:sz w:val="22"/>
          <w:szCs w:val="22"/>
        </w:rPr>
        <w:t xml:space="preserve"> </w:t>
      </w:r>
      <w:r w:rsidRPr="00BC477D">
        <w:rPr>
          <w:sz w:val="22"/>
          <w:szCs w:val="22"/>
          <w:lang w:val="es-EC"/>
        </w:rPr>
        <w:t>a favor del Municipio.</w:t>
      </w:r>
    </w:p>
    <w:bookmarkEnd w:id="1"/>
    <w:p w:rsidR="00BC477D" w:rsidRPr="00BC477D" w:rsidRDefault="00AF273D" w:rsidP="00E22552">
      <w:pPr>
        <w:spacing w:after="360" w:line="276" w:lineRule="auto"/>
        <w:jc w:val="both"/>
        <w:rPr>
          <w:sz w:val="22"/>
          <w:szCs w:val="22"/>
          <w:lang w:val="es-ES_tradnl"/>
        </w:rPr>
      </w:pPr>
      <w:r w:rsidRPr="00BC477D">
        <w:rPr>
          <w:b/>
          <w:sz w:val="22"/>
          <w:szCs w:val="22"/>
          <w:lang w:val="es-ES_tradnl"/>
        </w:rPr>
        <w:t>Artículo 18.</w:t>
      </w:r>
      <w:r w:rsidR="00BC477D" w:rsidRPr="00BC477D">
        <w:rPr>
          <w:b/>
          <w:sz w:val="22"/>
          <w:szCs w:val="22"/>
          <w:lang w:val="es-ES_tradnl"/>
        </w:rPr>
        <w:t>-</w:t>
      </w:r>
      <w:r w:rsidRPr="00BC477D">
        <w:rPr>
          <w:sz w:val="22"/>
          <w:szCs w:val="22"/>
          <w:lang w:val="es-ES_tradnl"/>
        </w:rPr>
        <w:t xml:space="preserve"> </w:t>
      </w:r>
      <w:r w:rsidR="00BC477D" w:rsidRPr="00BC477D">
        <w:rPr>
          <w:b/>
          <w:sz w:val="22"/>
          <w:szCs w:val="22"/>
          <w:lang w:val="es-ES_tradnl"/>
        </w:rPr>
        <w:t>De la entrega de escrituras individuales</w:t>
      </w:r>
      <w:r w:rsidR="00BC477D" w:rsidRPr="00BC477D">
        <w:rPr>
          <w:sz w:val="22"/>
          <w:szCs w:val="22"/>
          <w:lang w:val="es-ES_tradnl"/>
        </w:rPr>
        <w:t>. - El Representante legal del Comité Barri</w:t>
      </w:r>
      <w:r w:rsidR="006035C2">
        <w:rPr>
          <w:sz w:val="22"/>
          <w:szCs w:val="22"/>
          <w:lang w:val="es-ES_tradnl"/>
        </w:rPr>
        <w:t>al “</w:t>
      </w:r>
      <w:r w:rsidR="00BC477D" w:rsidRPr="00BC477D">
        <w:rPr>
          <w:sz w:val="22"/>
          <w:szCs w:val="22"/>
          <w:lang w:val="es-ES_tradnl"/>
        </w:rPr>
        <w:t>Abdón Calderón Número Dos”, deberá entregar las respectivas escrituras individuales de adjudicación de los lotes producto del presente fraccionamiento y que constan en el plano habilitante de esta Ordenanza, a favor de sus socios, bajo eventual responsabilidad civil y penal de su representante en caso de incumplimiento.</w:t>
      </w:r>
    </w:p>
    <w:p w:rsidR="00AF273D" w:rsidRPr="00BC477D" w:rsidRDefault="00AF273D" w:rsidP="00E22552">
      <w:pPr>
        <w:spacing w:after="360" w:line="276" w:lineRule="auto"/>
        <w:jc w:val="both"/>
        <w:rPr>
          <w:bCs/>
          <w:sz w:val="22"/>
          <w:szCs w:val="22"/>
          <w:lang w:val="es-ES_tradnl"/>
        </w:rPr>
      </w:pPr>
      <w:r w:rsidRPr="00BC477D">
        <w:rPr>
          <w:b/>
          <w:bCs/>
          <w:sz w:val="22"/>
          <w:szCs w:val="22"/>
          <w:lang w:val="es-ES_tradnl"/>
        </w:rPr>
        <w:t>Artículo 19.-</w:t>
      </w:r>
      <w:r w:rsidRPr="00BC477D">
        <w:rPr>
          <w:bCs/>
          <w:sz w:val="22"/>
          <w:szCs w:val="22"/>
          <w:lang w:val="es-ES_tradnl"/>
        </w:rPr>
        <w:t xml:space="preserve"> </w:t>
      </w:r>
      <w:r w:rsidRPr="00BC477D">
        <w:rPr>
          <w:b/>
          <w:bCs/>
          <w:sz w:val="22"/>
          <w:szCs w:val="22"/>
          <w:lang w:val="es-ES_tradnl"/>
        </w:rPr>
        <w:t>Potestad de ejecución</w:t>
      </w:r>
      <w:r w:rsidRPr="00BC477D">
        <w:rPr>
          <w:bCs/>
          <w:sz w:val="22"/>
          <w:szCs w:val="22"/>
          <w:lang w:val="es-ES_tradnl"/>
        </w:rPr>
        <w:t xml:space="preserve">. -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 </w:t>
      </w:r>
    </w:p>
    <w:p w:rsidR="00AF273D" w:rsidRPr="00BC477D" w:rsidRDefault="00AF273D" w:rsidP="00AF273D">
      <w:pPr>
        <w:spacing w:after="360"/>
        <w:jc w:val="center"/>
        <w:rPr>
          <w:b/>
          <w:bCs/>
          <w:sz w:val="22"/>
          <w:szCs w:val="22"/>
          <w:lang w:val="es-ES_tradnl"/>
        </w:rPr>
      </w:pPr>
      <w:r w:rsidRPr="00BC477D">
        <w:rPr>
          <w:b/>
          <w:bCs/>
          <w:sz w:val="22"/>
          <w:szCs w:val="22"/>
          <w:lang w:val="es-ES_tradnl"/>
        </w:rPr>
        <w:t>Disposiciones Generales</w:t>
      </w:r>
    </w:p>
    <w:p w:rsidR="00AF273D" w:rsidRPr="00BC477D" w:rsidRDefault="00AF273D" w:rsidP="00AF273D">
      <w:pPr>
        <w:spacing w:after="240" w:line="276" w:lineRule="auto"/>
        <w:jc w:val="both"/>
        <w:rPr>
          <w:sz w:val="22"/>
          <w:szCs w:val="22"/>
          <w:lang w:val="es-ES_tradnl"/>
        </w:rPr>
      </w:pPr>
      <w:r w:rsidRPr="00BC477D">
        <w:rPr>
          <w:b/>
          <w:sz w:val="22"/>
          <w:szCs w:val="22"/>
          <w:lang w:val="es-ES_tradnl"/>
        </w:rPr>
        <w:t xml:space="preserve">Primera. - </w:t>
      </w:r>
      <w:r w:rsidRPr="00BC477D">
        <w:rPr>
          <w:sz w:val="22"/>
          <w:szCs w:val="22"/>
          <w:lang w:val="es-ES_tradnl"/>
        </w:rPr>
        <w:t>Todos los anexos adjuntos al proyecto de regularización son documentos habilitantes de esta Ordenanza.</w:t>
      </w:r>
    </w:p>
    <w:p w:rsidR="00956C33" w:rsidRPr="00BC477D" w:rsidRDefault="00BC477D" w:rsidP="00956C33">
      <w:pPr>
        <w:spacing w:after="240" w:line="276" w:lineRule="auto"/>
        <w:jc w:val="both"/>
        <w:rPr>
          <w:color w:val="000000" w:themeColor="text1"/>
          <w:sz w:val="22"/>
          <w:szCs w:val="22"/>
        </w:rPr>
      </w:pPr>
      <w:r w:rsidRPr="006E78B3">
        <w:rPr>
          <w:b/>
          <w:sz w:val="22"/>
          <w:szCs w:val="22"/>
        </w:rPr>
        <w:t>Segunda.-</w:t>
      </w:r>
      <w:r w:rsidRPr="006E78B3">
        <w:rPr>
          <w:sz w:val="22"/>
          <w:szCs w:val="22"/>
        </w:rPr>
        <w:t xml:space="preserve"> </w:t>
      </w:r>
      <w:r w:rsidR="00D66D8D" w:rsidRPr="006E78B3">
        <w:rPr>
          <w:sz w:val="22"/>
          <w:szCs w:val="22"/>
        </w:rPr>
        <w:t xml:space="preserve">De acuerdo al </w:t>
      </w:r>
      <w:r w:rsidRPr="006E78B3">
        <w:rPr>
          <w:sz w:val="22"/>
          <w:szCs w:val="22"/>
        </w:rPr>
        <w:t>I</w:t>
      </w:r>
      <w:r w:rsidR="00D66D8D" w:rsidRPr="006E78B3">
        <w:rPr>
          <w:sz w:val="22"/>
          <w:szCs w:val="22"/>
        </w:rPr>
        <w:t xml:space="preserve">nforme </w:t>
      </w:r>
      <w:r w:rsidR="00D66D8D" w:rsidRPr="006E78B3">
        <w:rPr>
          <w:sz w:val="22"/>
          <w:szCs w:val="22"/>
          <w:lang w:val="es-ES_tradnl"/>
        </w:rPr>
        <w:t>I-0004-EAH-AT-DMGR-2022</w:t>
      </w:r>
      <w:r w:rsidR="00956C33" w:rsidRPr="006E78B3">
        <w:rPr>
          <w:sz w:val="22"/>
          <w:szCs w:val="22"/>
          <w:lang w:val="es-ES_tradnl"/>
        </w:rPr>
        <w:t xml:space="preserve"> de  </w:t>
      </w:r>
      <w:r w:rsidR="00956C33" w:rsidRPr="006E78B3">
        <w:rPr>
          <w:bCs/>
          <w:color w:val="000000" w:themeColor="text1"/>
          <w:sz w:val="22"/>
          <w:szCs w:val="22"/>
        </w:rPr>
        <w:t xml:space="preserve">5 de abril de 2022, </w:t>
      </w:r>
      <w:r w:rsidR="00047540" w:rsidRPr="006E78B3">
        <w:rPr>
          <w:bCs/>
          <w:color w:val="000000" w:themeColor="text1"/>
          <w:sz w:val="22"/>
          <w:szCs w:val="22"/>
        </w:rPr>
        <w:t xml:space="preserve">el propietario del predio y/o socios del Comité Barrial “Abdón Calderón Número Dos”, en donde se encuentra </w:t>
      </w:r>
      <w:r w:rsidR="00956C33" w:rsidRPr="006E78B3">
        <w:rPr>
          <w:sz w:val="22"/>
          <w:szCs w:val="22"/>
          <w:lang w:val="es-ES_tradnl"/>
        </w:rPr>
        <w:t>el asentamiento humano deberán cumplir las siguientes disposiciones y recomendaciones generales y normativa legal vigente</w:t>
      </w:r>
      <w:r w:rsidR="00047540" w:rsidRPr="006E78B3">
        <w:rPr>
          <w:color w:val="000000" w:themeColor="text1"/>
          <w:sz w:val="22"/>
          <w:szCs w:val="22"/>
        </w:rPr>
        <w:t>:</w:t>
      </w:r>
      <w:bookmarkStart w:id="2" w:name="_GoBack"/>
      <w:bookmarkEnd w:id="2"/>
    </w:p>
    <w:p w:rsidR="009849D0" w:rsidRPr="00BC477D" w:rsidRDefault="00F770ED" w:rsidP="00BC477D">
      <w:pPr>
        <w:pStyle w:val="Prrafodelista"/>
        <w:numPr>
          <w:ilvl w:val="0"/>
          <w:numId w:val="3"/>
        </w:numPr>
        <w:tabs>
          <w:tab w:val="left" w:pos="7470"/>
        </w:tabs>
        <w:spacing w:after="240"/>
        <w:jc w:val="both"/>
        <w:rPr>
          <w:rFonts w:ascii="Times New Roman" w:hAnsi="Times New Roman"/>
        </w:rPr>
      </w:pPr>
      <w:r>
        <w:rPr>
          <w:rFonts w:ascii="Times New Roman" w:hAnsi="Times New Roman"/>
          <w:lang w:val="es-ES_tradnl"/>
        </w:rPr>
        <w:t>Se dispone que, el</w:t>
      </w:r>
      <w:r w:rsidR="00956C33" w:rsidRPr="00BC477D">
        <w:rPr>
          <w:rFonts w:ascii="Times New Roman" w:hAnsi="Times New Roman"/>
          <w:lang w:val="es-ES_tradnl"/>
        </w:rPr>
        <w:t xml:space="preserve"> propietario/posesionarios del </w:t>
      </w:r>
      <w:r w:rsidR="00BC477D" w:rsidRPr="00BC477D">
        <w:rPr>
          <w:rFonts w:ascii="Times New Roman" w:hAnsi="Times New Roman"/>
          <w:lang w:val="es-ES_tradnl"/>
        </w:rPr>
        <w:t xml:space="preserve">asentamiento humano de hecho y consolidado de interés social denominado </w:t>
      </w:r>
      <w:r w:rsidR="00162F82">
        <w:rPr>
          <w:rFonts w:ascii="Times New Roman" w:hAnsi="Times New Roman"/>
          <w:lang w:val="es-ES_tradnl"/>
        </w:rPr>
        <w:t>Comité Barrial “Abdón Calderón Número Dos”</w:t>
      </w:r>
      <w:r w:rsidR="00BC477D" w:rsidRPr="00BC477D">
        <w:rPr>
          <w:rFonts w:ascii="Times New Roman" w:hAnsi="Times New Roman"/>
          <w:lang w:val="es-ES_tradnl"/>
        </w:rPr>
        <w:t>,</w:t>
      </w:r>
      <w:r w:rsidR="00956C33" w:rsidRPr="00BC477D">
        <w:rPr>
          <w:rFonts w:ascii="Times New Roman" w:hAnsi="Times New Roman"/>
          <w:lang w:val="es-ES_tradnl"/>
        </w:rPr>
        <w:t xml:space="preserve"> realice</w:t>
      </w:r>
      <w:r>
        <w:rPr>
          <w:rFonts w:ascii="Times New Roman" w:hAnsi="Times New Roman"/>
          <w:lang w:val="es-ES_tradnl"/>
        </w:rPr>
        <w:t>n</w:t>
      </w:r>
      <w:r w:rsidR="00956C33" w:rsidRPr="00BC477D">
        <w:rPr>
          <w:rFonts w:ascii="Times New Roman" w:hAnsi="Times New Roman"/>
          <w:lang w:val="es-ES_tradnl"/>
        </w:rPr>
        <w:t xml:space="preserve"> el acondicionando de las vías internas y la canalización adecuada hacia redes públicas a fin de evitar procesos de erosión superficial. </w:t>
      </w:r>
    </w:p>
    <w:p w:rsidR="00C16B91" w:rsidRPr="00BC477D" w:rsidRDefault="00C16B91" w:rsidP="00C16B91">
      <w:pPr>
        <w:pStyle w:val="Prrafodelista"/>
        <w:tabs>
          <w:tab w:val="left" w:pos="7470"/>
        </w:tabs>
        <w:spacing w:after="240"/>
        <w:jc w:val="both"/>
        <w:rPr>
          <w:rFonts w:ascii="Times New Roman" w:hAnsi="Times New Roman"/>
        </w:rPr>
      </w:pPr>
    </w:p>
    <w:p w:rsidR="00956C33" w:rsidRPr="00BC477D" w:rsidRDefault="00956C33" w:rsidP="00956C33">
      <w:pPr>
        <w:pStyle w:val="Prrafodelista"/>
        <w:numPr>
          <w:ilvl w:val="0"/>
          <w:numId w:val="3"/>
        </w:numPr>
        <w:tabs>
          <w:tab w:val="left" w:pos="7470"/>
        </w:tabs>
        <w:spacing w:after="240"/>
        <w:jc w:val="both"/>
        <w:rPr>
          <w:rFonts w:ascii="Times New Roman" w:hAnsi="Times New Roman"/>
        </w:rPr>
      </w:pPr>
      <w:r w:rsidRPr="00BC477D">
        <w:rPr>
          <w:rFonts w:ascii="Times New Roman" w:hAnsi="Times New Roman"/>
          <w:lang w:val="es-ES_tradnl"/>
        </w:rPr>
        <w:lastRenderedPageBreak/>
        <w:t>Se dispone que,</w:t>
      </w:r>
      <w:r w:rsidR="00961B20" w:rsidRPr="00BC477D">
        <w:rPr>
          <w:rFonts w:ascii="Times New Roman" w:hAnsi="Times New Roman"/>
          <w:lang w:val="es-ES_tradnl"/>
        </w:rPr>
        <w:t xml:space="preserve"> </w:t>
      </w:r>
      <w:r w:rsidR="00F770ED">
        <w:rPr>
          <w:rFonts w:ascii="Times New Roman" w:hAnsi="Times New Roman"/>
          <w:lang w:val="es-ES_tradnl"/>
        </w:rPr>
        <w:t>el</w:t>
      </w:r>
      <w:r w:rsidR="00961B20" w:rsidRPr="00BC477D">
        <w:rPr>
          <w:rFonts w:ascii="Times New Roman" w:hAnsi="Times New Roman"/>
          <w:lang w:val="es-ES_tradnl"/>
        </w:rPr>
        <w:t xml:space="preserve"> propietario</w:t>
      </w:r>
      <w:r w:rsidR="00F770ED">
        <w:rPr>
          <w:rFonts w:ascii="Times New Roman" w:hAnsi="Times New Roman"/>
          <w:lang w:val="es-ES_tradnl"/>
        </w:rPr>
        <w:t xml:space="preserve"> y/o posesionarios</w:t>
      </w:r>
      <w:r w:rsidR="00961B20" w:rsidRPr="00BC477D">
        <w:rPr>
          <w:rFonts w:ascii="Times New Roman" w:hAnsi="Times New Roman"/>
          <w:lang w:val="es-ES_tradnl"/>
        </w:rPr>
        <w:t xml:space="preserve"> de los lotes 12, 13, 14, 19 y 21, como medida de mitigación del riesgo reali</w:t>
      </w:r>
      <w:r w:rsidR="00F770ED">
        <w:rPr>
          <w:rFonts w:ascii="Times New Roman" w:hAnsi="Times New Roman"/>
          <w:lang w:val="es-ES_tradnl"/>
        </w:rPr>
        <w:t>cen</w:t>
      </w:r>
      <w:r w:rsidR="00961B20" w:rsidRPr="00BC477D">
        <w:rPr>
          <w:rFonts w:ascii="Times New Roman" w:hAnsi="Times New Roman"/>
          <w:lang w:val="es-ES_tradnl"/>
        </w:rPr>
        <w:t xml:space="preserve"> muros de protección y/o estabilización conforme así lo determine un profesional competente y posterior al respectivo estudio y análisis técnico de estabilidad de terreno.</w:t>
      </w:r>
    </w:p>
    <w:p w:rsidR="00C16B91" w:rsidRPr="00BC477D" w:rsidRDefault="00C16B91" w:rsidP="00C16B91">
      <w:pPr>
        <w:pStyle w:val="Prrafodelista"/>
        <w:rPr>
          <w:rFonts w:ascii="Times New Roman" w:hAnsi="Times New Roman"/>
        </w:rPr>
      </w:pPr>
    </w:p>
    <w:p w:rsidR="00961B20" w:rsidRPr="00BC477D" w:rsidRDefault="00A44E25" w:rsidP="00956C33">
      <w:pPr>
        <w:pStyle w:val="Prrafodelista"/>
        <w:numPr>
          <w:ilvl w:val="0"/>
          <w:numId w:val="3"/>
        </w:numPr>
        <w:tabs>
          <w:tab w:val="left" w:pos="7470"/>
        </w:tabs>
        <w:spacing w:after="240"/>
        <w:jc w:val="both"/>
        <w:rPr>
          <w:rFonts w:ascii="Times New Roman" w:hAnsi="Times New Roman"/>
        </w:rPr>
      </w:pPr>
      <w:r>
        <w:rPr>
          <w:rFonts w:ascii="Times New Roman" w:hAnsi="Times New Roman"/>
          <w:lang w:val="es-ES_tradnl"/>
        </w:rPr>
        <w:t xml:space="preserve">Se dispone que, los </w:t>
      </w:r>
      <w:r w:rsidRPr="00BC477D">
        <w:rPr>
          <w:rFonts w:ascii="Times New Roman" w:hAnsi="Times New Roman"/>
          <w:lang w:val="es-ES_tradnl"/>
        </w:rPr>
        <w:t>lotes 49</w:t>
      </w:r>
      <w:r w:rsidR="00961B20" w:rsidRPr="00BC477D">
        <w:rPr>
          <w:rFonts w:ascii="Times New Roman" w:hAnsi="Times New Roman"/>
          <w:lang w:val="es-ES_tradnl"/>
        </w:rPr>
        <w:t>, 50 y 51 al encontrarse colindantes y, en algunos ca</w:t>
      </w:r>
      <w:r w:rsidR="00773909" w:rsidRPr="00BC477D">
        <w:rPr>
          <w:rFonts w:ascii="Times New Roman" w:hAnsi="Times New Roman"/>
          <w:lang w:val="es-ES_tradnl"/>
        </w:rPr>
        <w:t>s</w:t>
      </w:r>
      <w:r w:rsidR="00961B20" w:rsidRPr="00BC477D">
        <w:rPr>
          <w:rFonts w:ascii="Times New Roman" w:hAnsi="Times New Roman"/>
          <w:lang w:val="es-ES_tradnl"/>
        </w:rPr>
        <w:t xml:space="preserve">os </w:t>
      </w:r>
      <w:r w:rsidR="00773909" w:rsidRPr="00BC477D">
        <w:rPr>
          <w:rFonts w:ascii="Times New Roman" w:hAnsi="Times New Roman"/>
          <w:lang w:val="es-ES_tradnl"/>
        </w:rPr>
        <w:t>dentro</w:t>
      </w:r>
      <w:r w:rsidR="00961B20" w:rsidRPr="00BC477D">
        <w:rPr>
          <w:rFonts w:ascii="Times New Roman" w:hAnsi="Times New Roman"/>
          <w:lang w:val="es-ES_tradnl"/>
        </w:rPr>
        <w:t xml:space="preserve"> de la quebrada no se</w:t>
      </w:r>
      <w:r>
        <w:rPr>
          <w:rFonts w:ascii="Times New Roman" w:hAnsi="Times New Roman"/>
          <w:lang w:val="es-ES_tradnl"/>
        </w:rPr>
        <w:t xml:space="preserve">an </w:t>
      </w:r>
      <w:r w:rsidR="002D4C6A" w:rsidRPr="00BC477D">
        <w:rPr>
          <w:rFonts w:ascii="Times New Roman" w:hAnsi="Times New Roman"/>
          <w:lang w:val="es-ES_tradnl"/>
        </w:rPr>
        <w:t>susceptibles</w:t>
      </w:r>
      <w:r w:rsidR="00961B20" w:rsidRPr="00BC477D">
        <w:rPr>
          <w:rFonts w:ascii="Times New Roman" w:hAnsi="Times New Roman"/>
          <w:lang w:val="es-ES_tradnl"/>
        </w:rPr>
        <w:t xml:space="preserve"> de regularización, sin perjuicio de lo manifestado por parte de la entidad encargada de </w:t>
      </w:r>
      <w:r w:rsidR="002D4C6A" w:rsidRPr="00BC477D">
        <w:rPr>
          <w:rFonts w:ascii="Times New Roman" w:hAnsi="Times New Roman"/>
          <w:lang w:val="es-ES_tradnl"/>
        </w:rPr>
        <w:t>catastros.</w:t>
      </w:r>
    </w:p>
    <w:p w:rsidR="00C16B91" w:rsidRPr="00BC477D" w:rsidRDefault="00C16B91" w:rsidP="00C16B91">
      <w:pPr>
        <w:pStyle w:val="Prrafodelista"/>
        <w:rPr>
          <w:rFonts w:ascii="Times New Roman" w:hAnsi="Times New Roman"/>
        </w:rPr>
      </w:pPr>
    </w:p>
    <w:p w:rsidR="002D4C6A" w:rsidRPr="00BC477D" w:rsidRDefault="002D4C6A" w:rsidP="003626D4">
      <w:pPr>
        <w:pStyle w:val="Prrafodelista"/>
        <w:numPr>
          <w:ilvl w:val="0"/>
          <w:numId w:val="3"/>
        </w:numPr>
        <w:tabs>
          <w:tab w:val="left" w:pos="7470"/>
        </w:tabs>
        <w:spacing w:after="240"/>
        <w:jc w:val="both"/>
        <w:rPr>
          <w:rFonts w:ascii="Times New Roman" w:hAnsi="Times New Roman"/>
        </w:rPr>
      </w:pPr>
      <w:r w:rsidRPr="00BC477D">
        <w:rPr>
          <w:rFonts w:ascii="Times New Roman" w:hAnsi="Times New Roman"/>
          <w:lang w:val="es-ES_tradnl"/>
        </w:rPr>
        <w:t xml:space="preserve">Se dispone que, </w:t>
      </w:r>
      <w:r w:rsidR="003626D4" w:rsidRPr="00BC477D">
        <w:rPr>
          <w:rFonts w:ascii="Times New Roman" w:hAnsi="Times New Roman"/>
          <w:lang w:val="es-ES_tradnl"/>
        </w:rPr>
        <w:t>los  propietarios y/o posesionarios del AHHYC Comité Barrial “Abdón Calderón Número Dos”</w:t>
      </w:r>
      <w:r w:rsidR="00855F1A" w:rsidRPr="00BC477D">
        <w:rPr>
          <w:rFonts w:ascii="Times New Roman" w:hAnsi="Times New Roman"/>
          <w:lang w:val="es-ES_tradnl"/>
        </w:rPr>
        <w:t xml:space="preserve"> no construyan más viviendas</w:t>
      </w:r>
      <w:r w:rsidR="003C7306" w:rsidRPr="00BC477D">
        <w:rPr>
          <w:rFonts w:ascii="Times New Roman" w:hAnsi="Times New Roman"/>
          <w:lang w:val="es-ES_tradnl"/>
        </w:rPr>
        <w:t xml:space="preserve"> en el macrolote evaluado, ni aumente pisos/ plantas sobre las edificaciones existentes, hasta que el proceso de regularización del asentamiento culmine  y se determine su normativa de edificabilidad especifica que deberá constar en sus respectivos Informes de Regulación Metropolitana  (IRM) , previa  emisión de la licencia de construcción de la autoridad competente que es la Secretaría de Territorio, Hábitat y Vivienda. </w:t>
      </w:r>
    </w:p>
    <w:p w:rsidR="003C7306" w:rsidRPr="00BC477D" w:rsidRDefault="003C7306" w:rsidP="003C7306">
      <w:pPr>
        <w:tabs>
          <w:tab w:val="left" w:pos="7470"/>
        </w:tabs>
        <w:spacing w:after="240"/>
        <w:ind w:left="360"/>
        <w:jc w:val="both"/>
        <w:rPr>
          <w:sz w:val="22"/>
          <w:szCs w:val="22"/>
        </w:rPr>
      </w:pPr>
      <w:r w:rsidRPr="00BC477D">
        <w:rPr>
          <w:sz w:val="22"/>
          <w:szCs w:val="22"/>
        </w:rPr>
        <w:t xml:space="preserve">La Unidad Especial Regula Tu Barrio deberá comunicar a la comunidad del AHHYC </w:t>
      </w:r>
      <w:r w:rsidRPr="00BC477D">
        <w:rPr>
          <w:sz w:val="22"/>
          <w:szCs w:val="22"/>
          <w:lang w:val="es-ES_tradnl"/>
        </w:rPr>
        <w:t>Comité Barrial “Abdón Calderón Número Dos”</w:t>
      </w:r>
      <w:r w:rsidRPr="00BC477D">
        <w:rPr>
          <w:sz w:val="22"/>
          <w:szCs w:val="22"/>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23FEC" w:rsidRPr="00BC477D" w:rsidRDefault="00A23FEC" w:rsidP="00A23FEC">
      <w:pPr>
        <w:spacing w:after="360"/>
        <w:jc w:val="both"/>
        <w:rPr>
          <w:i/>
          <w:sz w:val="22"/>
          <w:szCs w:val="22"/>
          <w:lang w:val="es-ES_tradnl"/>
        </w:rPr>
      </w:pPr>
      <w:r w:rsidRPr="00BC477D">
        <w:rPr>
          <w:b/>
          <w:sz w:val="22"/>
          <w:szCs w:val="22"/>
          <w:lang w:val="es-ES_tradnl"/>
        </w:rPr>
        <w:t xml:space="preserve">Disposición Final. – </w:t>
      </w:r>
      <w:r w:rsidRPr="00BC477D">
        <w:rPr>
          <w:bCs/>
          <w:sz w:val="22"/>
          <w:szCs w:val="22"/>
          <w:lang w:val="es-ES_tradnl"/>
        </w:rPr>
        <w:t>Esta Ordenanza entrará en vigencia a partir de la fecha de su sanción, sin perjuicio de su publicación en el Registro Oficial, Gaceta Municipal o la página web institucional de la Municipalidad.</w:t>
      </w:r>
    </w:p>
    <w:p w:rsidR="00A23FEC" w:rsidRPr="00BC477D" w:rsidRDefault="00A23FEC" w:rsidP="00A23FEC">
      <w:pPr>
        <w:jc w:val="both"/>
        <w:rPr>
          <w:sz w:val="22"/>
          <w:szCs w:val="22"/>
        </w:rPr>
      </w:pPr>
      <w:r w:rsidRPr="00BC477D">
        <w:rPr>
          <w:sz w:val="22"/>
          <w:szCs w:val="22"/>
        </w:rPr>
        <w:t xml:space="preserve">Dada, en la Sala de Sesiones del Concejo Metropolitano de Quito, el </w:t>
      </w:r>
      <w:proofErr w:type="gramStart"/>
      <w:r w:rsidRPr="00BC477D">
        <w:rPr>
          <w:sz w:val="22"/>
          <w:szCs w:val="22"/>
        </w:rPr>
        <w:t>.……</w:t>
      </w:r>
      <w:proofErr w:type="gramEnd"/>
      <w:r w:rsidRPr="00BC477D">
        <w:rPr>
          <w:sz w:val="22"/>
          <w:szCs w:val="22"/>
        </w:rPr>
        <w:t xml:space="preserve"> de …………. del 2022</w:t>
      </w:r>
    </w:p>
    <w:p w:rsidR="00A23FEC" w:rsidRPr="00BC477D" w:rsidRDefault="00A23FEC" w:rsidP="00A23FEC">
      <w:pPr>
        <w:pStyle w:val="Textopredeterminado"/>
        <w:shd w:val="clear" w:color="auto" w:fill="FFFFFF"/>
        <w:jc w:val="both"/>
        <w:rPr>
          <w:sz w:val="22"/>
          <w:szCs w:val="22"/>
          <w:lang w:val="es-ES"/>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jc w:val="both"/>
        <w:rPr>
          <w:sz w:val="22"/>
          <w:szCs w:val="22"/>
        </w:rPr>
      </w:pPr>
    </w:p>
    <w:p w:rsidR="00A23FEC" w:rsidRPr="00BC477D" w:rsidRDefault="00A23FEC" w:rsidP="00A23FEC">
      <w:pPr>
        <w:pStyle w:val="Textopredeterminado"/>
        <w:shd w:val="clear" w:color="auto" w:fill="FFFFFF"/>
        <w:jc w:val="both"/>
        <w:rPr>
          <w:sz w:val="22"/>
          <w:szCs w:val="22"/>
          <w:lang w:val="es-ES"/>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Abg. Pablo Antonio Santillán Paredes</w:t>
      </w:r>
    </w:p>
    <w:p w:rsidR="00A23FEC" w:rsidRPr="00BC477D" w:rsidRDefault="00A23FEC" w:rsidP="00A23FEC">
      <w:pPr>
        <w:pStyle w:val="Textosinformato"/>
        <w:spacing w:after="240"/>
        <w:jc w:val="center"/>
        <w:rPr>
          <w:rFonts w:ascii="Times New Roman" w:eastAsia="MS Mincho" w:hAnsi="Times New Roman"/>
          <w:b/>
          <w:bCs/>
          <w:sz w:val="22"/>
          <w:szCs w:val="22"/>
        </w:rPr>
      </w:pPr>
      <w:r w:rsidRPr="00BC477D">
        <w:rPr>
          <w:rFonts w:ascii="Times New Roman" w:eastAsia="MS Mincho" w:hAnsi="Times New Roman"/>
          <w:b/>
          <w:bCs/>
          <w:sz w:val="22"/>
          <w:szCs w:val="22"/>
        </w:rPr>
        <w:t xml:space="preserve">SECRETARIO GENERAL DEL CONCEJO METROPOLITANO DE QUITO </w:t>
      </w:r>
    </w:p>
    <w:p w:rsidR="00A23FEC" w:rsidRPr="00BC477D" w:rsidRDefault="00A23FEC" w:rsidP="00A23FEC">
      <w:pPr>
        <w:pStyle w:val="Textosinformato"/>
        <w:spacing w:after="240"/>
        <w:jc w:val="center"/>
        <w:rPr>
          <w:rFonts w:ascii="Times New Roman" w:eastAsia="MS Mincho" w:hAnsi="Times New Roman"/>
          <w:b/>
          <w:bCs/>
          <w:sz w:val="22"/>
          <w:szCs w:val="22"/>
        </w:rPr>
      </w:pPr>
    </w:p>
    <w:p w:rsidR="00A23FEC" w:rsidRPr="00BC477D" w:rsidRDefault="00A23FEC" w:rsidP="00A23FEC">
      <w:pPr>
        <w:pStyle w:val="Textosinformato"/>
        <w:spacing w:after="240"/>
        <w:jc w:val="center"/>
        <w:rPr>
          <w:rFonts w:ascii="Times New Roman" w:eastAsia="MS Mincho" w:hAnsi="Times New Roman"/>
          <w:b/>
          <w:bCs/>
          <w:sz w:val="22"/>
          <w:szCs w:val="22"/>
        </w:rPr>
      </w:pPr>
    </w:p>
    <w:p w:rsidR="00A23FEC" w:rsidRPr="00BC477D" w:rsidRDefault="00A23FEC" w:rsidP="00A23FEC">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BC477D">
        <w:rPr>
          <w:rFonts w:ascii="Times New Roman" w:eastAsia="MS Mincho" w:hAnsi="Times New Roman"/>
          <w:b/>
          <w:bCs/>
          <w:sz w:val="22"/>
          <w:szCs w:val="22"/>
        </w:rPr>
        <w:t>CERTIFICADO DE DISCUSIÓN</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spacing w:line="276" w:lineRule="auto"/>
        <w:jc w:val="center"/>
        <w:rPr>
          <w:rFonts w:ascii="Times New Roman" w:eastAsia="MS Mincho" w:hAnsi="Times New Roman"/>
          <w:sz w:val="22"/>
          <w:szCs w:val="22"/>
        </w:rPr>
      </w:pPr>
    </w:p>
    <w:p w:rsidR="00A23FEC" w:rsidRPr="00BC477D" w:rsidRDefault="00A23FEC" w:rsidP="00A23FEC">
      <w:pPr>
        <w:pStyle w:val="Textosinformato"/>
        <w:spacing w:line="276" w:lineRule="auto"/>
        <w:jc w:val="center"/>
        <w:rPr>
          <w:rFonts w:ascii="Times New Roman" w:eastAsia="MS Mincho" w:hAnsi="Times New Roman"/>
          <w:sz w:val="22"/>
          <w:szCs w:val="22"/>
        </w:rPr>
      </w:pPr>
      <w:r w:rsidRPr="00BC477D">
        <w:rPr>
          <w:rFonts w:ascii="Times New Roman" w:eastAsia="MS Mincho" w:hAnsi="Times New Roman"/>
          <w:sz w:val="22"/>
          <w:szCs w:val="22"/>
        </w:rPr>
        <w:lastRenderedPageBreak/>
        <w:t>La infrascrita Secretaria General del Concejo Metropolitano de Quito, certifica que la presente ordenanza fue discutida y aprobada en dos debates, en sesiones de …</w:t>
      </w:r>
      <w:proofErr w:type="gramStart"/>
      <w:r w:rsidRPr="00BC477D">
        <w:rPr>
          <w:rFonts w:ascii="Times New Roman" w:eastAsia="MS Mincho" w:hAnsi="Times New Roman"/>
          <w:sz w:val="22"/>
          <w:szCs w:val="22"/>
        </w:rPr>
        <w:t>..</w:t>
      </w:r>
      <w:proofErr w:type="gramEnd"/>
      <w:r w:rsidRPr="00BC477D">
        <w:rPr>
          <w:rFonts w:ascii="Times New Roman" w:eastAsia="MS Mincho" w:hAnsi="Times New Roman"/>
          <w:sz w:val="22"/>
          <w:szCs w:val="22"/>
        </w:rPr>
        <w:t xml:space="preserve">de ……..  </w:t>
      </w:r>
      <w:proofErr w:type="gramStart"/>
      <w:r w:rsidRPr="00BC477D">
        <w:rPr>
          <w:rFonts w:ascii="Times New Roman" w:eastAsia="MS Mincho" w:hAnsi="Times New Roman"/>
          <w:sz w:val="22"/>
          <w:szCs w:val="22"/>
        </w:rPr>
        <w:t>y</w:t>
      </w:r>
      <w:proofErr w:type="gramEnd"/>
      <w:r w:rsidRPr="00BC477D">
        <w:rPr>
          <w:rFonts w:ascii="Times New Roman" w:eastAsia="MS Mincho" w:hAnsi="Times New Roman"/>
          <w:sz w:val="22"/>
          <w:szCs w:val="22"/>
        </w:rPr>
        <w:t xml:space="preserve"> ….. de …………. de 2022 - Quito,</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rPr>
          <w:rFonts w:ascii="Times New Roman" w:eastAsia="MS Mincho" w:hAnsi="Times New Roman"/>
          <w:sz w:val="22"/>
          <w:szCs w:val="22"/>
        </w:rPr>
      </w:pPr>
    </w:p>
    <w:p w:rsidR="00A23FEC" w:rsidRPr="00BC477D" w:rsidRDefault="00A23FEC" w:rsidP="00A23FEC">
      <w:pPr>
        <w:pStyle w:val="Textosinformato"/>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Abg. Pablo Antonio Santillán Paredes</w:t>
      </w:r>
    </w:p>
    <w:p w:rsidR="00A23FEC" w:rsidRPr="00BC477D" w:rsidRDefault="00A23FEC" w:rsidP="00A23FEC">
      <w:pPr>
        <w:pStyle w:val="Textosinformato"/>
        <w:spacing w:after="240"/>
        <w:jc w:val="center"/>
        <w:rPr>
          <w:rFonts w:ascii="Times New Roman" w:eastAsia="MS Mincho" w:hAnsi="Times New Roman"/>
          <w:b/>
          <w:bCs/>
          <w:sz w:val="22"/>
          <w:szCs w:val="22"/>
        </w:rPr>
      </w:pPr>
      <w:r w:rsidRPr="00BC477D">
        <w:rPr>
          <w:rFonts w:ascii="Times New Roman" w:eastAsia="MS Mincho" w:hAnsi="Times New Roman"/>
          <w:b/>
          <w:bCs/>
          <w:sz w:val="22"/>
          <w:szCs w:val="22"/>
        </w:rPr>
        <w:t xml:space="preserve">SECRETARIO GENERAL DEL CONCEJO METROPOLITANO DE QUITO </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b/>
          <w:bCs/>
          <w:sz w:val="22"/>
          <w:szCs w:val="22"/>
        </w:rPr>
        <w:t>ALCALDÍA DEL DISTRITO METROPOLITANO. -</w:t>
      </w:r>
      <w:r w:rsidRPr="00BC477D">
        <w:rPr>
          <w:rFonts w:ascii="Times New Roman" w:eastAsia="MS Mincho" w:hAnsi="Times New Roman"/>
          <w:sz w:val="22"/>
          <w:szCs w:val="22"/>
        </w:rPr>
        <w:t xml:space="preserve">  Distrito Metropolitano de Quito,</w:t>
      </w:r>
    </w:p>
    <w:p w:rsidR="00A23FEC" w:rsidRPr="00BC477D" w:rsidRDefault="00A23FEC" w:rsidP="00A23FEC">
      <w:pPr>
        <w:pStyle w:val="Textosinformato"/>
        <w:jc w:val="center"/>
        <w:rPr>
          <w:rFonts w:ascii="Times New Roman" w:eastAsia="MS Mincho" w:hAnsi="Times New Roman"/>
          <w:b/>
          <w:sz w:val="22"/>
          <w:szCs w:val="22"/>
        </w:rPr>
      </w:pPr>
    </w:p>
    <w:p w:rsidR="00A23FEC" w:rsidRPr="00BC477D" w:rsidRDefault="00A23FEC" w:rsidP="00A23FEC">
      <w:pPr>
        <w:pStyle w:val="Textosinformato"/>
        <w:spacing w:after="480"/>
        <w:jc w:val="center"/>
        <w:rPr>
          <w:rFonts w:ascii="Times New Roman" w:eastAsia="MS Mincho" w:hAnsi="Times New Roman"/>
          <w:b/>
          <w:sz w:val="22"/>
          <w:szCs w:val="22"/>
        </w:rPr>
      </w:pPr>
      <w:r w:rsidRPr="00BC477D">
        <w:rPr>
          <w:rFonts w:ascii="Times New Roman" w:eastAsia="MS Mincho" w:hAnsi="Times New Roman"/>
          <w:b/>
          <w:sz w:val="22"/>
          <w:szCs w:val="22"/>
        </w:rPr>
        <w:t>EJECÚTESE:</w:t>
      </w:r>
    </w:p>
    <w:p w:rsidR="00A23FEC" w:rsidRPr="00BC477D" w:rsidRDefault="00A23FEC" w:rsidP="00A23FEC">
      <w:pPr>
        <w:pStyle w:val="Textosinformato"/>
        <w:spacing w:after="480"/>
        <w:jc w:val="center"/>
        <w:rPr>
          <w:rFonts w:ascii="Times New Roman" w:eastAsia="MS Mincho" w:hAnsi="Times New Roman"/>
          <w:b/>
          <w:sz w:val="22"/>
          <w:szCs w:val="22"/>
        </w:rPr>
      </w:pPr>
    </w:p>
    <w:p w:rsidR="00A23FEC" w:rsidRPr="00BC477D" w:rsidRDefault="00A23FEC" w:rsidP="00A23FEC">
      <w:pPr>
        <w:pStyle w:val="Textosinformato"/>
        <w:spacing w:after="480"/>
        <w:jc w:val="center"/>
        <w:rPr>
          <w:rFonts w:ascii="Times New Roman" w:eastAsia="MS Mincho" w:hAnsi="Times New Roman"/>
          <w:b/>
          <w:sz w:val="22"/>
          <w:szCs w:val="22"/>
        </w:rPr>
      </w:pP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sz w:val="22"/>
          <w:szCs w:val="22"/>
        </w:rPr>
        <w:t xml:space="preserve">Dr. Santiago Mauricio </w:t>
      </w:r>
      <w:proofErr w:type="spellStart"/>
      <w:r w:rsidRPr="00BC477D">
        <w:rPr>
          <w:rFonts w:ascii="Times New Roman" w:eastAsia="MS Mincho" w:hAnsi="Times New Roman"/>
          <w:sz w:val="22"/>
          <w:szCs w:val="22"/>
        </w:rPr>
        <w:t>Guarderas</w:t>
      </w:r>
      <w:proofErr w:type="spellEnd"/>
      <w:r w:rsidRPr="00BC477D">
        <w:rPr>
          <w:rFonts w:ascii="Times New Roman" w:eastAsia="MS Mincho" w:hAnsi="Times New Roman"/>
          <w:sz w:val="22"/>
          <w:szCs w:val="22"/>
        </w:rPr>
        <w:t xml:space="preserve"> Izquierdo</w:t>
      </w:r>
    </w:p>
    <w:p w:rsidR="00A23FEC" w:rsidRPr="00BC477D" w:rsidRDefault="00A23FEC" w:rsidP="00A23FEC">
      <w:pPr>
        <w:pStyle w:val="Textosinformato"/>
        <w:jc w:val="center"/>
        <w:rPr>
          <w:rFonts w:ascii="Times New Roman" w:eastAsia="MS Mincho" w:hAnsi="Times New Roman"/>
          <w:b/>
          <w:bCs/>
          <w:sz w:val="22"/>
          <w:szCs w:val="22"/>
        </w:rPr>
      </w:pPr>
      <w:r w:rsidRPr="00BC477D">
        <w:rPr>
          <w:rFonts w:ascii="Times New Roman" w:eastAsia="MS Mincho" w:hAnsi="Times New Roman"/>
          <w:b/>
          <w:bCs/>
          <w:sz w:val="22"/>
          <w:szCs w:val="22"/>
        </w:rPr>
        <w:t>ALCALDE DEL DISTRITO METROPOLITANO DE QUITO</w:t>
      </w:r>
    </w:p>
    <w:p w:rsidR="00A23FEC" w:rsidRPr="00BC477D" w:rsidRDefault="00A23FEC" w:rsidP="00A23FEC">
      <w:pPr>
        <w:pStyle w:val="Textosinformato"/>
        <w:jc w:val="center"/>
        <w:rPr>
          <w:rFonts w:ascii="Times New Roman" w:eastAsia="MS Mincho" w:hAnsi="Times New Roman"/>
          <w:sz w:val="22"/>
          <w:szCs w:val="22"/>
        </w:rPr>
      </w:pPr>
    </w:p>
    <w:p w:rsidR="00A23FEC" w:rsidRPr="00BC477D" w:rsidRDefault="00A23FEC" w:rsidP="00A23FEC">
      <w:pPr>
        <w:pStyle w:val="Textosinformato"/>
        <w:jc w:val="center"/>
        <w:rPr>
          <w:rFonts w:ascii="Times New Roman" w:eastAsia="MS Mincho" w:hAnsi="Times New Roman"/>
          <w:sz w:val="22"/>
          <w:szCs w:val="22"/>
        </w:rPr>
      </w:pPr>
      <w:r w:rsidRPr="00BC477D">
        <w:rPr>
          <w:rFonts w:ascii="Times New Roman" w:eastAsia="MS Mincho" w:hAnsi="Times New Roman"/>
          <w:b/>
          <w:bCs/>
          <w:sz w:val="22"/>
          <w:szCs w:val="22"/>
        </w:rPr>
        <w:t>CERTIFICO,</w:t>
      </w:r>
      <w:r w:rsidRPr="00BC477D">
        <w:rPr>
          <w:rFonts w:ascii="Times New Roman" w:eastAsia="MS Mincho" w:hAnsi="Times New Roman"/>
          <w:sz w:val="22"/>
          <w:szCs w:val="22"/>
        </w:rPr>
        <w:t xml:space="preserve"> que la presente ordenanza fue sancionada por el Dr. Santiago Mauricio </w:t>
      </w:r>
      <w:proofErr w:type="spellStart"/>
      <w:r w:rsidRPr="00BC477D">
        <w:rPr>
          <w:rFonts w:ascii="Times New Roman" w:eastAsia="MS Mincho" w:hAnsi="Times New Roman"/>
          <w:sz w:val="22"/>
          <w:szCs w:val="22"/>
        </w:rPr>
        <w:t>Guarderas</w:t>
      </w:r>
      <w:proofErr w:type="spellEnd"/>
      <w:r w:rsidRPr="00BC477D">
        <w:rPr>
          <w:rFonts w:ascii="Times New Roman" w:eastAsia="MS Mincho" w:hAnsi="Times New Roman"/>
          <w:sz w:val="22"/>
          <w:szCs w:val="22"/>
        </w:rPr>
        <w:t xml:space="preserve"> Izquierdo, Alcalde del Distrito Metropolitano de Quito, el</w:t>
      </w:r>
    </w:p>
    <w:p w:rsidR="003B06A9" w:rsidRPr="00DB15C7" w:rsidRDefault="00A23FEC" w:rsidP="00927F3E">
      <w:pPr>
        <w:pStyle w:val="Textosinformato"/>
        <w:tabs>
          <w:tab w:val="right" w:pos="8504"/>
        </w:tabs>
        <w:spacing w:line="276" w:lineRule="auto"/>
        <w:jc w:val="center"/>
      </w:pPr>
      <w:r w:rsidRPr="00BC477D">
        <w:rPr>
          <w:rFonts w:ascii="Times New Roman" w:eastAsia="MS Mincho" w:hAnsi="Times New Roman"/>
          <w:sz w:val="22"/>
          <w:szCs w:val="22"/>
        </w:rPr>
        <w:t>.- Distrito Metropolitano de Quito</w:t>
      </w:r>
    </w:p>
    <w:sectPr w:rsidR="003B06A9" w:rsidRPr="00DB15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77" w:rsidRDefault="00EF6877" w:rsidP="00DB15C7">
      <w:r>
        <w:separator/>
      </w:r>
    </w:p>
  </w:endnote>
  <w:endnote w:type="continuationSeparator" w:id="0">
    <w:p w:rsidR="00EF6877" w:rsidRDefault="00EF6877" w:rsidP="00D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70" w:rsidRDefault="00757B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70" w:rsidRDefault="00757B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70" w:rsidRDefault="00757B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77" w:rsidRDefault="00EF6877" w:rsidP="00DB15C7">
      <w:r>
        <w:separator/>
      </w:r>
    </w:p>
  </w:footnote>
  <w:footnote w:type="continuationSeparator" w:id="0">
    <w:p w:rsidR="00EF6877" w:rsidRDefault="00EF6877" w:rsidP="00DB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70" w:rsidRDefault="006E78B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240532" o:spid="_x0000_s2050" type="#_x0000_t136" style="position:absolute;margin-left:0;margin-top:0;width:501pt;height:41.25pt;rotation:315;z-index:-251655168;mso-position-horizontal:center;mso-position-horizontal-relative:margin;mso-position-vertical:center;mso-position-vertical-relative:margin" o:allowincell="f" fillcolor="#7f7f7f [1612]" stroked="f">
          <v:fill opacity=".5"/>
          <v:textpath style="font-family:&quot;Arial&quot;" string="Proyecto de Ordenanza UERB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C7" w:rsidRDefault="006E78B3" w:rsidP="00DB15C7">
    <w:pPr>
      <w:pStyle w:val="Encabezado"/>
      <w:jc w:val="center"/>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240533" o:spid="_x0000_s2051" type="#_x0000_t136" style="position:absolute;left:0;text-align:left;margin-left:0;margin-top:0;width:501pt;height:41.25pt;rotation:315;z-index:-251653120;mso-position-horizontal:center;mso-position-horizontal-relative:margin;mso-position-vertical:center;mso-position-vertical-relative:margin" o:allowincell="f" fillcolor="#7f7f7f [1612]" stroked="f">
          <v:fill opacity=".5"/>
          <v:textpath style="font-family:&quot;Arial&quot;" string="Proyecto de Ordenanza UERB "/>
          <w10:wrap anchorx="margin" anchory="margin"/>
        </v:shape>
      </w:pict>
    </w: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Default="00DB15C7" w:rsidP="00DB15C7">
    <w:pPr>
      <w:pStyle w:val="Encabezado"/>
      <w:jc w:val="center"/>
      <w:rPr>
        <w:rFonts w:ascii="Times New Roman" w:hAnsi="Times New Roman" w:cs="Times New Roman"/>
      </w:rPr>
    </w:pPr>
  </w:p>
  <w:p w:rsidR="00DB15C7" w:rsidRPr="00DB15C7" w:rsidRDefault="00DB15C7" w:rsidP="00DB15C7">
    <w:pPr>
      <w:pStyle w:val="Encabezado"/>
      <w:jc w:val="center"/>
      <w:rPr>
        <w:rFonts w:ascii="Times New Roman" w:hAnsi="Times New Roman" w:cs="Times New Roman"/>
      </w:rPr>
    </w:pPr>
    <w:r w:rsidRPr="00DB15C7">
      <w:rPr>
        <w:rFonts w:ascii="Times New Roman" w:hAnsi="Times New Roman" w:cs="Times New Roman"/>
      </w:rPr>
      <w:t>ORDENANZA No.</w:t>
    </w:r>
  </w:p>
  <w:p w:rsidR="00DB15C7" w:rsidRPr="00DB15C7" w:rsidRDefault="00DB15C7" w:rsidP="00DB15C7">
    <w:pPr>
      <w:pStyle w:val="Encabezado"/>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70" w:rsidRDefault="006E78B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240531" o:spid="_x0000_s2049" type="#_x0000_t136" style="position:absolute;margin-left:0;margin-top:0;width:501pt;height:41.25pt;rotation:315;z-index:-251657216;mso-position-horizontal:center;mso-position-horizontal-relative:margin;mso-position-vertical:center;mso-position-vertical-relative:margin" o:allowincell="f" fillcolor="#7f7f7f [1612]" stroked="f">
          <v:fill opacity=".5"/>
          <v:textpath style="font-family:&quot;Arial&quot;" string="Proyecto de Ordenanza UERB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A68A1"/>
    <w:multiLevelType w:val="hybridMultilevel"/>
    <w:tmpl w:val="1DA6D78E"/>
    <w:lvl w:ilvl="0" w:tplc="254EA1F0">
      <w:start w:val="1"/>
      <w:numFmt w:val="bullet"/>
      <w:lvlText w:val=""/>
      <w:lvlJc w:val="left"/>
      <w:pPr>
        <w:ind w:left="360" w:hanging="360"/>
      </w:pPr>
      <w:rPr>
        <w:rFonts w:ascii="Symbol" w:hAnsi="Symbol" w:hint="default"/>
        <w:color w:val="auto"/>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6508232A"/>
    <w:multiLevelType w:val="hybridMultilevel"/>
    <w:tmpl w:val="8E607A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F1B0E67"/>
    <w:multiLevelType w:val="hybridMultilevel"/>
    <w:tmpl w:val="8B3AA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3"/>
    <w:rsid w:val="00000402"/>
    <w:rsid w:val="00022F63"/>
    <w:rsid w:val="00036A0E"/>
    <w:rsid w:val="00047540"/>
    <w:rsid w:val="00054919"/>
    <w:rsid w:val="00072FC8"/>
    <w:rsid w:val="0009071F"/>
    <w:rsid w:val="000921E4"/>
    <w:rsid w:val="000A5CE1"/>
    <w:rsid w:val="000B02AE"/>
    <w:rsid w:val="000F73A8"/>
    <w:rsid w:val="0011696C"/>
    <w:rsid w:val="00162F82"/>
    <w:rsid w:val="00172DF8"/>
    <w:rsid w:val="001806CB"/>
    <w:rsid w:val="001C7AFA"/>
    <w:rsid w:val="00206F3C"/>
    <w:rsid w:val="00271E7A"/>
    <w:rsid w:val="002A219C"/>
    <w:rsid w:val="002D4C6A"/>
    <w:rsid w:val="002E58DF"/>
    <w:rsid w:val="002E6C83"/>
    <w:rsid w:val="002F2EEB"/>
    <w:rsid w:val="002F3E93"/>
    <w:rsid w:val="00307385"/>
    <w:rsid w:val="00347917"/>
    <w:rsid w:val="003626D4"/>
    <w:rsid w:val="003A0F8B"/>
    <w:rsid w:val="003B2291"/>
    <w:rsid w:val="003C7306"/>
    <w:rsid w:val="003F59B2"/>
    <w:rsid w:val="004171A3"/>
    <w:rsid w:val="00420985"/>
    <w:rsid w:val="0043393D"/>
    <w:rsid w:val="0045793B"/>
    <w:rsid w:val="00493BEC"/>
    <w:rsid w:val="004A5CAC"/>
    <w:rsid w:val="004B5809"/>
    <w:rsid w:val="0051527D"/>
    <w:rsid w:val="005940B0"/>
    <w:rsid w:val="00596F5F"/>
    <w:rsid w:val="005C0F8D"/>
    <w:rsid w:val="006035C2"/>
    <w:rsid w:val="00620245"/>
    <w:rsid w:val="00654CE7"/>
    <w:rsid w:val="00666252"/>
    <w:rsid w:val="00681406"/>
    <w:rsid w:val="006841CB"/>
    <w:rsid w:val="006A3E24"/>
    <w:rsid w:val="006B176F"/>
    <w:rsid w:val="006C4C26"/>
    <w:rsid w:val="006C6D55"/>
    <w:rsid w:val="006D2192"/>
    <w:rsid w:val="006E78B3"/>
    <w:rsid w:val="0071150C"/>
    <w:rsid w:val="007131EF"/>
    <w:rsid w:val="007171AF"/>
    <w:rsid w:val="00721D3F"/>
    <w:rsid w:val="00735E7E"/>
    <w:rsid w:val="00757B70"/>
    <w:rsid w:val="00773909"/>
    <w:rsid w:val="007770C4"/>
    <w:rsid w:val="007843B6"/>
    <w:rsid w:val="007A793D"/>
    <w:rsid w:val="007B3042"/>
    <w:rsid w:val="007E024B"/>
    <w:rsid w:val="008228BB"/>
    <w:rsid w:val="008436D8"/>
    <w:rsid w:val="00855F1A"/>
    <w:rsid w:val="0089011F"/>
    <w:rsid w:val="008C5F63"/>
    <w:rsid w:val="008D0AAB"/>
    <w:rsid w:val="008E65D1"/>
    <w:rsid w:val="008F0D78"/>
    <w:rsid w:val="008F3CDE"/>
    <w:rsid w:val="00927F3E"/>
    <w:rsid w:val="00956C33"/>
    <w:rsid w:val="00961B20"/>
    <w:rsid w:val="00966BDD"/>
    <w:rsid w:val="00974670"/>
    <w:rsid w:val="009751D7"/>
    <w:rsid w:val="009849D0"/>
    <w:rsid w:val="00996205"/>
    <w:rsid w:val="009B2D64"/>
    <w:rsid w:val="009C672D"/>
    <w:rsid w:val="009E2A1D"/>
    <w:rsid w:val="009E4A5B"/>
    <w:rsid w:val="00A107B0"/>
    <w:rsid w:val="00A23FEC"/>
    <w:rsid w:val="00A2574B"/>
    <w:rsid w:val="00A41A0C"/>
    <w:rsid w:val="00A44E25"/>
    <w:rsid w:val="00A57836"/>
    <w:rsid w:val="00A879A4"/>
    <w:rsid w:val="00A96003"/>
    <w:rsid w:val="00AA19BD"/>
    <w:rsid w:val="00AA240C"/>
    <w:rsid w:val="00AB6CA5"/>
    <w:rsid w:val="00AF273D"/>
    <w:rsid w:val="00B45106"/>
    <w:rsid w:val="00B63E8C"/>
    <w:rsid w:val="00B65D11"/>
    <w:rsid w:val="00B756C0"/>
    <w:rsid w:val="00B93062"/>
    <w:rsid w:val="00BA2D2A"/>
    <w:rsid w:val="00BC477D"/>
    <w:rsid w:val="00BE341A"/>
    <w:rsid w:val="00BF718D"/>
    <w:rsid w:val="00BF7466"/>
    <w:rsid w:val="00C16B91"/>
    <w:rsid w:val="00C618C8"/>
    <w:rsid w:val="00C925E6"/>
    <w:rsid w:val="00CE246D"/>
    <w:rsid w:val="00CF61F4"/>
    <w:rsid w:val="00CF7745"/>
    <w:rsid w:val="00D02002"/>
    <w:rsid w:val="00D04CFC"/>
    <w:rsid w:val="00D12830"/>
    <w:rsid w:val="00D66D8D"/>
    <w:rsid w:val="00D80BF6"/>
    <w:rsid w:val="00D9733D"/>
    <w:rsid w:val="00DB15C7"/>
    <w:rsid w:val="00DC2231"/>
    <w:rsid w:val="00DC5A20"/>
    <w:rsid w:val="00E0721E"/>
    <w:rsid w:val="00E22552"/>
    <w:rsid w:val="00E473D4"/>
    <w:rsid w:val="00E6497A"/>
    <w:rsid w:val="00E8773D"/>
    <w:rsid w:val="00E92030"/>
    <w:rsid w:val="00EB463D"/>
    <w:rsid w:val="00EF6877"/>
    <w:rsid w:val="00F20921"/>
    <w:rsid w:val="00F51F18"/>
    <w:rsid w:val="00F6068F"/>
    <w:rsid w:val="00F770ED"/>
    <w:rsid w:val="00F77AE5"/>
    <w:rsid w:val="00FA3F6E"/>
    <w:rsid w:val="00FF53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3F00639-6254-4449-835B-954CF473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EncabezadoCar">
    <w:name w:val="Encabezado Car"/>
    <w:basedOn w:val="Fuentedeprrafopredeter"/>
    <w:link w:val="Encabezado"/>
    <w:uiPriority w:val="99"/>
    <w:rsid w:val="00DB15C7"/>
  </w:style>
  <w:style w:type="paragraph" w:styleId="Piedepgina">
    <w:name w:val="footer"/>
    <w:basedOn w:val="Normal"/>
    <w:link w:val="Piedepgina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PiedepginaCar">
    <w:name w:val="Pie de página Car"/>
    <w:basedOn w:val="Fuentedeprrafopredeter"/>
    <w:link w:val="Piedepgina"/>
    <w:uiPriority w:val="99"/>
    <w:rsid w:val="00DB15C7"/>
  </w:style>
  <w:style w:type="paragraph" w:styleId="Sinespaciado">
    <w:name w:val="No Spacing"/>
    <w:link w:val="SinespaciadoCar"/>
    <w:uiPriority w:val="1"/>
    <w:qFormat/>
    <w:rsid w:val="00A879A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79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757B70"/>
    <w:pPr>
      <w:spacing w:after="120"/>
      <w:ind w:left="283"/>
    </w:pPr>
  </w:style>
  <w:style w:type="character" w:customStyle="1" w:styleId="SangradetextonormalCar">
    <w:name w:val="Sangría de texto normal Car"/>
    <w:basedOn w:val="Fuentedeprrafopredeter"/>
    <w:link w:val="Sangradetextonormal"/>
    <w:uiPriority w:val="99"/>
    <w:semiHidden/>
    <w:rsid w:val="00757B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7B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7B7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4510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locked/>
    <w:rsid w:val="00B45106"/>
    <w:rPr>
      <w:rFonts w:ascii="Calibri" w:eastAsia="Calibri" w:hAnsi="Calibri" w:cs="Times New Roman"/>
      <w:lang w:val="es-ES"/>
    </w:rPr>
  </w:style>
  <w:style w:type="paragraph" w:styleId="Textoindependiente">
    <w:name w:val="Body Text"/>
    <w:basedOn w:val="Normal"/>
    <w:link w:val="TextoindependienteCar"/>
    <w:rsid w:val="003A0F8B"/>
    <w:pPr>
      <w:spacing w:after="120"/>
    </w:pPr>
  </w:style>
  <w:style w:type="character" w:customStyle="1" w:styleId="TextoindependienteCar">
    <w:name w:val="Texto independiente Car"/>
    <w:basedOn w:val="Fuentedeprrafopredeter"/>
    <w:link w:val="Textoindependiente"/>
    <w:rsid w:val="003A0F8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4209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A23FEC"/>
    <w:rPr>
      <w:rFonts w:ascii="Courier New" w:hAnsi="Courier New"/>
    </w:rPr>
  </w:style>
  <w:style w:type="character" w:customStyle="1" w:styleId="TextosinformatoCar">
    <w:name w:val="Texto sin formato Car"/>
    <w:basedOn w:val="Fuentedeprrafopredeter"/>
    <w:link w:val="Textosinformato"/>
    <w:rsid w:val="00A23FE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A23FEC"/>
    <w:rPr>
      <w:sz w:val="24"/>
      <w:lang w:val="es-ES_tradnl"/>
    </w:rPr>
  </w:style>
  <w:style w:type="character" w:customStyle="1" w:styleId="markedcontent">
    <w:name w:val="markedcontent"/>
    <w:basedOn w:val="Fuentedeprrafopredeter"/>
    <w:rsid w:val="0099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B5AB-B213-4171-AFC7-4DE74E1F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4866</Words>
  <Characters>26766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3</cp:revision>
  <dcterms:created xsi:type="dcterms:W3CDTF">2022-06-01T13:26:00Z</dcterms:created>
  <dcterms:modified xsi:type="dcterms:W3CDTF">2022-06-03T13:46:00Z</dcterms:modified>
</cp:coreProperties>
</file>