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7606" w14:textId="77777777" w:rsidR="0069614D" w:rsidRDefault="0069614D" w:rsidP="0069614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83B24">
        <w:rPr>
          <w:b/>
          <w:bCs/>
          <w:sz w:val="28"/>
          <w:szCs w:val="28"/>
        </w:rPr>
        <w:t>Proceso de socialización de la Ordenanza Verde-Azul</w:t>
      </w:r>
      <w:r>
        <w:rPr>
          <w:b/>
          <w:bCs/>
          <w:sz w:val="28"/>
          <w:szCs w:val="28"/>
        </w:rPr>
        <w:t xml:space="preserve"> en la              Comisión de Ambiente</w:t>
      </w:r>
    </w:p>
    <w:p w14:paraId="56798B5C" w14:textId="77777777" w:rsidR="0069614D" w:rsidRDefault="0069614D" w:rsidP="0069614D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FE437B2" w14:textId="77777777" w:rsidR="0069614D" w:rsidRDefault="0069614D" w:rsidP="0069614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01-08</w:t>
      </w:r>
      <w:r w:rsidRPr="0070506F">
        <w:rPr>
          <w:sz w:val="24"/>
          <w:szCs w:val="24"/>
        </w:rPr>
        <w:t>-2022</w:t>
      </w:r>
    </w:p>
    <w:p w14:paraId="41395106" w14:textId="77777777" w:rsidR="0069614D" w:rsidRDefault="0069614D" w:rsidP="0069614D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EE63735" w14:textId="77777777" w:rsidR="0069614D" w:rsidRPr="005F5F43" w:rsidRDefault="0069614D" w:rsidP="0069614D">
      <w:pPr>
        <w:spacing w:after="0" w:line="240" w:lineRule="auto"/>
        <w:jc w:val="both"/>
        <w:rPr>
          <w:b/>
          <w:bCs/>
          <w:sz w:val="24"/>
          <w:szCs w:val="24"/>
        </w:rPr>
      </w:pPr>
      <w:r w:rsidRPr="005F5F43">
        <w:rPr>
          <w:b/>
          <w:bCs/>
          <w:sz w:val="24"/>
          <w:szCs w:val="24"/>
        </w:rPr>
        <w:t>Objetivos</w:t>
      </w:r>
    </w:p>
    <w:p w14:paraId="70E0D8E6" w14:textId="77777777" w:rsidR="0069614D" w:rsidRDefault="0069614D" w:rsidP="0069614D">
      <w:pPr>
        <w:spacing w:after="0" w:line="240" w:lineRule="auto"/>
        <w:jc w:val="both"/>
        <w:rPr>
          <w:sz w:val="24"/>
          <w:szCs w:val="24"/>
        </w:rPr>
      </w:pPr>
    </w:p>
    <w:p w14:paraId="7CEDD7ED" w14:textId="77777777" w:rsidR="0069614D" w:rsidRDefault="0069614D" w:rsidP="006961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socialización de la Ordenanza Verde-Azul dentro de la Comisión de Ambiente del Concejo Metropolitano de Quito, pretende:</w:t>
      </w:r>
    </w:p>
    <w:p w14:paraId="4B81A059" w14:textId="77777777" w:rsidR="0069614D" w:rsidRDefault="0069614D" w:rsidP="0069614D">
      <w:pPr>
        <w:pStyle w:val="Prrafodelista"/>
        <w:numPr>
          <w:ilvl w:val="0"/>
          <w:numId w:val="2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A55065">
        <w:rPr>
          <w:sz w:val="24"/>
          <w:szCs w:val="24"/>
        </w:rPr>
        <w:t xml:space="preserve">ar a conocer a actores de diversos sectores de la sociedad civil la existencia, alcances, beneficios, normas y regulaciones de la Ordenanza Verde-Azul </w:t>
      </w:r>
      <w:r>
        <w:rPr>
          <w:sz w:val="24"/>
          <w:szCs w:val="24"/>
        </w:rPr>
        <w:t>y</w:t>
      </w:r>
    </w:p>
    <w:p w14:paraId="46F15CE9" w14:textId="77777777" w:rsidR="0069614D" w:rsidRPr="00A55065" w:rsidRDefault="0069614D" w:rsidP="0069614D">
      <w:pPr>
        <w:pStyle w:val="Prrafodelista"/>
        <w:numPr>
          <w:ilvl w:val="0"/>
          <w:numId w:val="2"/>
        </w:numPr>
        <w:spacing w:after="0" w:line="240" w:lineRule="auto"/>
        <w:ind w:left="426"/>
        <w:jc w:val="both"/>
        <w:rPr>
          <w:sz w:val="24"/>
          <w:szCs w:val="24"/>
        </w:rPr>
      </w:pPr>
      <w:r w:rsidRPr="00A55065">
        <w:rPr>
          <w:sz w:val="24"/>
          <w:szCs w:val="24"/>
        </w:rPr>
        <w:t>incorporar sus aportes dentro de un proceso de revisión y discusión consensuado de la misma.</w:t>
      </w:r>
    </w:p>
    <w:p w14:paraId="348623AC" w14:textId="77777777" w:rsidR="0069614D" w:rsidRDefault="0069614D" w:rsidP="0069614D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9134CD6" w14:textId="77777777" w:rsidR="0069614D" w:rsidRDefault="0069614D" w:rsidP="0069614D">
      <w:pPr>
        <w:spacing w:after="0" w:line="240" w:lineRule="auto"/>
        <w:jc w:val="both"/>
        <w:rPr>
          <w:b/>
          <w:bCs/>
          <w:sz w:val="24"/>
          <w:szCs w:val="24"/>
        </w:rPr>
      </w:pPr>
      <w:r w:rsidRPr="00A55065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>é</w:t>
      </w:r>
      <w:r w:rsidRPr="00A55065">
        <w:rPr>
          <w:b/>
          <w:bCs/>
          <w:sz w:val="24"/>
          <w:szCs w:val="24"/>
        </w:rPr>
        <w:t>todo</w:t>
      </w:r>
    </w:p>
    <w:p w14:paraId="14776EEF" w14:textId="77777777" w:rsidR="0069614D" w:rsidRDefault="0069614D" w:rsidP="0069614D">
      <w:pPr>
        <w:spacing w:after="0" w:line="240" w:lineRule="auto"/>
        <w:jc w:val="both"/>
        <w:rPr>
          <w:sz w:val="24"/>
          <w:szCs w:val="24"/>
        </w:rPr>
      </w:pPr>
    </w:p>
    <w:p w14:paraId="44E77B59" w14:textId="77777777" w:rsidR="0069614D" w:rsidRDefault="0069614D" w:rsidP="0069614D">
      <w:pPr>
        <w:spacing w:after="0" w:line="240" w:lineRule="auto"/>
        <w:jc w:val="both"/>
        <w:rPr>
          <w:sz w:val="24"/>
          <w:szCs w:val="24"/>
        </w:rPr>
      </w:pPr>
      <w:r w:rsidRPr="00A55065">
        <w:rPr>
          <w:sz w:val="24"/>
          <w:szCs w:val="24"/>
        </w:rPr>
        <w:t xml:space="preserve">Se </w:t>
      </w:r>
      <w:r>
        <w:rPr>
          <w:sz w:val="24"/>
          <w:szCs w:val="24"/>
        </w:rPr>
        <w:t>propone implementar la siguiente metodología de trabajo en el proceso de socialización:</w:t>
      </w:r>
    </w:p>
    <w:p w14:paraId="7F73EBD5" w14:textId="77777777" w:rsidR="0069614D" w:rsidRPr="00347A44" w:rsidRDefault="0069614D" w:rsidP="0069614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347A44">
        <w:rPr>
          <w:sz w:val="24"/>
          <w:szCs w:val="24"/>
        </w:rPr>
        <w:t>Selección de participantes</w:t>
      </w:r>
      <w:r>
        <w:rPr>
          <w:sz w:val="24"/>
          <w:szCs w:val="24"/>
        </w:rPr>
        <w:t>.</w:t>
      </w:r>
      <w:r w:rsidRPr="00347A44">
        <w:rPr>
          <w:sz w:val="24"/>
          <w:szCs w:val="24"/>
        </w:rPr>
        <w:t xml:space="preserve"> </w:t>
      </w:r>
    </w:p>
    <w:p w14:paraId="1D2B36CD" w14:textId="77777777" w:rsidR="0069614D" w:rsidRDefault="0069614D" w:rsidP="0069614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347A44">
        <w:rPr>
          <w:sz w:val="24"/>
          <w:szCs w:val="24"/>
        </w:rPr>
        <w:t>Envío de</w:t>
      </w:r>
      <w:r>
        <w:rPr>
          <w:sz w:val="24"/>
          <w:szCs w:val="24"/>
        </w:rPr>
        <w:t xml:space="preserve"> invitaciones y</w:t>
      </w:r>
      <w:r w:rsidRPr="00347A44">
        <w:rPr>
          <w:sz w:val="24"/>
          <w:szCs w:val="24"/>
        </w:rPr>
        <w:t xml:space="preserve"> borrador de la </w:t>
      </w:r>
      <w:r>
        <w:rPr>
          <w:sz w:val="24"/>
          <w:szCs w:val="24"/>
        </w:rPr>
        <w:t>O</w:t>
      </w:r>
      <w:r w:rsidRPr="00347A44">
        <w:rPr>
          <w:sz w:val="24"/>
          <w:szCs w:val="24"/>
        </w:rPr>
        <w:t>rdenanza</w:t>
      </w:r>
      <w:r>
        <w:rPr>
          <w:sz w:val="24"/>
          <w:szCs w:val="24"/>
        </w:rPr>
        <w:t>.</w:t>
      </w:r>
      <w:r w:rsidRPr="00347A44">
        <w:rPr>
          <w:sz w:val="24"/>
          <w:szCs w:val="24"/>
        </w:rPr>
        <w:t xml:space="preserve"> </w:t>
      </w:r>
    </w:p>
    <w:p w14:paraId="1DE22A05" w14:textId="77777777" w:rsidR="0069614D" w:rsidRDefault="0069614D" w:rsidP="0069614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Desarrollo de las reuniones de análisis, revisión y aportes.</w:t>
      </w:r>
    </w:p>
    <w:p w14:paraId="0872C99A" w14:textId="77777777" w:rsidR="0069614D" w:rsidRDefault="0069614D" w:rsidP="0069614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Incorporación de los aportes en la Ordenanza.</w:t>
      </w:r>
    </w:p>
    <w:p w14:paraId="36ACCCDF" w14:textId="77777777" w:rsidR="0069614D" w:rsidRDefault="0069614D" w:rsidP="0069614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Reunión final de validación de la Ordenanza.</w:t>
      </w:r>
    </w:p>
    <w:p w14:paraId="1E3C5C22" w14:textId="77777777" w:rsidR="0069614D" w:rsidRDefault="0069614D" w:rsidP="0069614D">
      <w:pPr>
        <w:spacing w:after="0" w:line="240" w:lineRule="auto"/>
        <w:jc w:val="both"/>
        <w:rPr>
          <w:sz w:val="24"/>
          <w:szCs w:val="24"/>
        </w:rPr>
      </w:pPr>
    </w:p>
    <w:p w14:paraId="0CA74505" w14:textId="77777777" w:rsidR="0069614D" w:rsidRDefault="0069614D" w:rsidP="006961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continuación, se detallan cada uno de los pasos</w:t>
      </w:r>
    </w:p>
    <w:p w14:paraId="080F7AEE" w14:textId="77777777" w:rsidR="0069614D" w:rsidRPr="00347A44" w:rsidRDefault="0069614D" w:rsidP="0069614D">
      <w:pPr>
        <w:spacing w:after="0" w:line="240" w:lineRule="auto"/>
        <w:jc w:val="both"/>
        <w:rPr>
          <w:sz w:val="24"/>
          <w:szCs w:val="24"/>
        </w:rPr>
      </w:pPr>
    </w:p>
    <w:p w14:paraId="54EBB315" w14:textId="77777777" w:rsidR="0069614D" w:rsidRPr="005F5F43" w:rsidRDefault="0069614D" w:rsidP="0069614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5F5F43">
        <w:rPr>
          <w:b/>
          <w:bCs/>
          <w:sz w:val="24"/>
          <w:szCs w:val="24"/>
        </w:rPr>
        <w:t xml:space="preserve">Selección de participantes </w:t>
      </w:r>
    </w:p>
    <w:p w14:paraId="7142166D" w14:textId="77777777" w:rsidR="0069614D" w:rsidRDefault="0069614D" w:rsidP="0069614D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14:paraId="0F633FB9" w14:textId="1937BB8C" w:rsidR="0069614D" w:rsidRDefault="0069614D" w:rsidP="0069614D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incluirán participantes en representación de diferentes sectores de la sociedad civil, entre los cuales se consideraría representantes de la academia, colectivos ciudadanos </w:t>
      </w:r>
      <w:r w:rsidR="002E116F">
        <w:rPr>
          <w:sz w:val="24"/>
          <w:szCs w:val="24"/>
        </w:rPr>
        <w:t>que tratan los temas de interés de la Ordenanza, am</w:t>
      </w:r>
      <w:r>
        <w:rPr>
          <w:sz w:val="24"/>
          <w:szCs w:val="24"/>
        </w:rPr>
        <w:t xml:space="preserve">bientalistas y sociales, especialistas en temas específicos de la sentencia (gestión, descontaminación del agua, reducción de riesgos de desastres, conservación de la biodiversidad, planificadores urbanos integrales, adaptación al cambio climático, entre otros) y </w:t>
      </w:r>
      <w:r w:rsidR="002E116F">
        <w:rPr>
          <w:sz w:val="24"/>
          <w:szCs w:val="24"/>
        </w:rPr>
        <w:t xml:space="preserve">representantes de </w:t>
      </w:r>
      <w:r>
        <w:rPr>
          <w:sz w:val="24"/>
          <w:szCs w:val="24"/>
        </w:rPr>
        <w:t xml:space="preserve">gobiernos locales. </w:t>
      </w:r>
    </w:p>
    <w:p w14:paraId="6D9053E0" w14:textId="77777777" w:rsidR="0069614D" w:rsidRDefault="0069614D" w:rsidP="0069614D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14:paraId="54EEB701" w14:textId="77777777" w:rsidR="0069614D" w:rsidRDefault="0069614D" w:rsidP="0069614D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El Anexo 1 propone una lista de potenciales actores.</w:t>
      </w:r>
    </w:p>
    <w:p w14:paraId="64EF7A4D" w14:textId="0DC76A32" w:rsidR="0069614D" w:rsidRDefault="0069614D" w:rsidP="0069614D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14:paraId="3641AEB2" w14:textId="10D7B4CA" w:rsidR="0069614D" w:rsidRDefault="0069614D" w:rsidP="0069614D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14:paraId="3E3F5FDB" w14:textId="77777777" w:rsidR="0069614D" w:rsidRDefault="0069614D" w:rsidP="0069614D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14:paraId="5233CD1D" w14:textId="77777777" w:rsidR="0069614D" w:rsidRPr="005F5F43" w:rsidRDefault="0069614D" w:rsidP="0069614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5F5F43">
        <w:rPr>
          <w:b/>
          <w:bCs/>
          <w:sz w:val="24"/>
          <w:szCs w:val="24"/>
        </w:rPr>
        <w:t xml:space="preserve">Envío de invitaciones y borrador de la Ordenanza </w:t>
      </w:r>
    </w:p>
    <w:p w14:paraId="2850B604" w14:textId="77777777" w:rsidR="0069614D" w:rsidRDefault="0069614D" w:rsidP="0069614D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14:paraId="3B63812F" w14:textId="77777777" w:rsidR="0069614D" w:rsidRDefault="0069614D" w:rsidP="0069614D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Se recomienda que las invitaciones a participar en la revisión de la Ordenanza Verde-Azul expliquen a los participantes que el actual borrador ha seguido un proceso participativo previo de la Mesa Técnica Municipal y de revisión de algunos especialistas, así como legal, para cotejar todos los instrumentos municipales y normativos vinculados. Asimismo, que se explique en qué consistirá la socialización, la modalidad de las reuniones y se comunique claramente el aporte que se espera de los participantes, como por ejemplo: que lean la ordenanza completamente, que envíen sus comentarios en un formato establecido identificando el artículo específico al que aporta, el texto original, el texto sugerido y la justificación. Podrán dar también aportes y observaciones generales o pedidos de revisiones más profundas de secciones o títulos específicos.</w:t>
      </w:r>
    </w:p>
    <w:p w14:paraId="735FB7B8" w14:textId="77777777" w:rsidR="0069614D" w:rsidRDefault="0069614D" w:rsidP="0069614D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14:paraId="3A181145" w14:textId="77777777" w:rsidR="0069614D" w:rsidRPr="005F5F43" w:rsidRDefault="0069614D" w:rsidP="0069614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5F5F43">
        <w:rPr>
          <w:b/>
          <w:bCs/>
          <w:sz w:val="24"/>
          <w:szCs w:val="24"/>
        </w:rPr>
        <w:t>Desarrollo de reuniones</w:t>
      </w:r>
    </w:p>
    <w:p w14:paraId="485B4E9F" w14:textId="77777777" w:rsidR="0069614D" w:rsidRDefault="0069614D" w:rsidP="0069614D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14:paraId="030B4AB0" w14:textId="344924B2" w:rsidR="00165C26" w:rsidRDefault="0069614D" w:rsidP="0069614D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Se recomienda que se realice un primera reunión, para explicación general de los textos, una vez que se haya enviado la Ordenanza</w:t>
      </w:r>
      <w:r w:rsidR="002E116F">
        <w:rPr>
          <w:sz w:val="24"/>
          <w:szCs w:val="24"/>
        </w:rPr>
        <w:t>, en las que se haya anexado la Matriz de aportes</w:t>
      </w:r>
      <w:r w:rsidR="00165C26">
        <w:rPr>
          <w:sz w:val="24"/>
          <w:szCs w:val="24"/>
        </w:rPr>
        <w:t xml:space="preserve"> (Anexo 2)</w:t>
      </w:r>
      <w:r>
        <w:rPr>
          <w:sz w:val="24"/>
          <w:szCs w:val="24"/>
        </w:rPr>
        <w:t>. Luego</w:t>
      </w:r>
      <w:r w:rsidR="002E116F">
        <w:rPr>
          <w:sz w:val="24"/>
          <w:szCs w:val="24"/>
        </w:rPr>
        <w:t xml:space="preserve"> del</w:t>
      </w:r>
      <w:r>
        <w:rPr>
          <w:sz w:val="24"/>
          <w:szCs w:val="24"/>
        </w:rPr>
        <w:t xml:space="preserve"> periodo de recepción de comentarios</w:t>
      </w:r>
      <w:r w:rsidR="002E116F">
        <w:rPr>
          <w:sz w:val="24"/>
          <w:szCs w:val="24"/>
        </w:rPr>
        <w:t>, que</w:t>
      </w:r>
      <w:r>
        <w:rPr>
          <w:sz w:val="24"/>
          <w:szCs w:val="24"/>
        </w:rPr>
        <w:t xml:space="preserve"> sería de 15 días, </w:t>
      </w:r>
      <w:r w:rsidR="002E116F">
        <w:rPr>
          <w:sz w:val="24"/>
          <w:szCs w:val="24"/>
        </w:rPr>
        <w:t>se procedería a hacer</w:t>
      </w:r>
      <w:r>
        <w:rPr>
          <w:sz w:val="24"/>
          <w:szCs w:val="24"/>
        </w:rPr>
        <w:t xml:space="preserve"> una revisión de lo recibido, </w:t>
      </w:r>
      <w:r w:rsidR="002E116F">
        <w:rPr>
          <w:sz w:val="24"/>
          <w:szCs w:val="24"/>
        </w:rPr>
        <w:t xml:space="preserve">que tomará </w:t>
      </w:r>
      <w:r>
        <w:rPr>
          <w:sz w:val="24"/>
          <w:szCs w:val="24"/>
        </w:rPr>
        <w:t xml:space="preserve">diez días. </w:t>
      </w:r>
    </w:p>
    <w:p w14:paraId="343839D7" w14:textId="77777777" w:rsidR="00165C26" w:rsidRDefault="00165C26" w:rsidP="0069614D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14:paraId="71E3F955" w14:textId="633CF2B7" w:rsidR="0069614D" w:rsidRDefault="0069614D" w:rsidP="0069614D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vez terminado esto, se haría </w:t>
      </w:r>
      <w:r w:rsidR="002E116F">
        <w:rPr>
          <w:sz w:val="24"/>
          <w:szCs w:val="24"/>
        </w:rPr>
        <w:t xml:space="preserve">cuatro </w:t>
      </w:r>
      <w:r>
        <w:rPr>
          <w:sz w:val="24"/>
          <w:szCs w:val="24"/>
        </w:rPr>
        <w:t>sesi</w:t>
      </w:r>
      <w:r w:rsidR="002E116F">
        <w:rPr>
          <w:sz w:val="24"/>
          <w:szCs w:val="24"/>
        </w:rPr>
        <w:t>ones</w:t>
      </w:r>
      <w:r>
        <w:rPr>
          <w:sz w:val="24"/>
          <w:szCs w:val="24"/>
        </w:rPr>
        <w:t xml:space="preserve"> para la presentación y discusión</w:t>
      </w:r>
      <w:r w:rsidR="002E116F">
        <w:rPr>
          <w:sz w:val="24"/>
          <w:szCs w:val="24"/>
        </w:rPr>
        <w:t>,</w:t>
      </w:r>
      <w:r>
        <w:rPr>
          <w:sz w:val="24"/>
          <w:szCs w:val="24"/>
        </w:rPr>
        <w:t xml:space="preserve"> en grupos, de los contenidos de la Ordenanza, que serán agrupados para este efecto</w:t>
      </w:r>
      <w:r w:rsidR="002E116F">
        <w:rPr>
          <w:sz w:val="24"/>
          <w:szCs w:val="24"/>
        </w:rPr>
        <w:t>. Las sesiones pueden ser manejadas en la misma semana</w:t>
      </w:r>
      <w:r>
        <w:rPr>
          <w:sz w:val="24"/>
          <w:szCs w:val="24"/>
        </w:rPr>
        <w:t xml:space="preserve">. </w:t>
      </w:r>
    </w:p>
    <w:p w14:paraId="51E12E56" w14:textId="77777777" w:rsidR="0069614D" w:rsidRDefault="0069614D" w:rsidP="0069614D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14:paraId="46BB67D8" w14:textId="77777777" w:rsidR="0069614D" w:rsidRDefault="0069614D" w:rsidP="0069614D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harán reuniones complementarias con entidades del municipio, según sea requerido, para compaginar las propuestas de la ciudadanía con lo que las entidades han propuesto. </w:t>
      </w:r>
    </w:p>
    <w:p w14:paraId="1E8B91B4" w14:textId="77777777" w:rsidR="0069614D" w:rsidRDefault="0069614D" w:rsidP="0069614D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14:paraId="6B615DC3" w14:textId="77777777" w:rsidR="0069614D" w:rsidRPr="00FF732E" w:rsidRDefault="0069614D" w:rsidP="0069614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FF732E">
        <w:rPr>
          <w:b/>
          <w:bCs/>
          <w:sz w:val="24"/>
          <w:szCs w:val="24"/>
        </w:rPr>
        <w:t>Incorporación de los aportes en la Ordenanza</w:t>
      </w:r>
    </w:p>
    <w:p w14:paraId="1156E499" w14:textId="77777777" w:rsidR="0069614D" w:rsidRDefault="0069614D" w:rsidP="0069614D">
      <w:pPr>
        <w:spacing w:after="0" w:line="240" w:lineRule="auto"/>
        <w:jc w:val="both"/>
        <w:rPr>
          <w:sz w:val="24"/>
          <w:szCs w:val="24"/>
        </w:rPr>
      </w:pPr>
    </w:p>
    <w:p w14:paraId="4D8C84A4" w14:textId="77777777" w:rsidR="0069614D" w:rsidRDefault="0069614D" w:rsidP="006961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los contenidos revisados de forma participativa, se incorporará los textos al contenido de la Ordenanza, para tener una versión de borrador final. </w:t>
      </w:r>
    </w:p>
    <w:p w14:paraId="22C97739" w14:textId="77777777" w:rsidR="0069614D" w:rsidRPr="00FF732E" w:rsidRDefault="0069614D" w:rsidP="0069614D">
      <w:pPr>
        <w:spacing w:after="0" w:line="240" w:lineRule="auto"/>
        <w:jc w:val="both"/>
        <w:rPr>
          <w:sz w:val="24"/>
          <w:szCs w:val="24"/>
        </w:rPr>
      </w:pPr>
    </w:p>
    <w:p w14:paraId="25EF91E9" w14:textId="77777777" w:rsidR="0069614D" w:rsidRPr="00777CDE" w:rsidRDefault="0069614D" w:rsidP="0069614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777CDE">
        <w:rPr>
          <w:b/>
          <w:bCs/>
          <w:sz w:val="24"/>
          <w:szCs w:val="24"/>
        </w:rPr>
        <w:t>Reunión final de validación de la Ordenanza.</w:t>
      </w:r>
    </w:p>
    <w:p w14:paraId="72BD6711" w14:textId="77777777" w:rsidR="0069614D" w:rsidRDefault="0069614D" w:rsidP="0069614D">
      <w:pPr>
        <w:spacing w:after="0" w:line="240" w:lineRule="auto"/>
        <w:jc w:val="both"/>
        <w:rPr>
          <w:sz w:val="24"/>
          <w:szCs w:val="24"/>
        </w:rPr>
      </w:pPr>
    </w:p>
    <w:p w14:paraId="6727E5B1" w14:textId="77777777" w:rsidR="0069614D" w:rsidRPr="00777CDE" w:rsidRDefault="0069614D" w:rsidP="0069614D">
      <w:pPr>
        <w:spacing w:after="0" w:line="240" w:lineRule="auto"/>
        <w:jc w:val="both"/>
        <w:rPr>
          <w:sz w:val="24"/>
          <w:szCs w:val="24"/>
        </w:rPr>
      </w:pPr>
      <w:r w:rsidRPr="00777CDE">
        <w:rPr>
          <w:sz w:val="24"/>
          <w:szCs w:val="24"/>
        </w:rPr>
        <w:t xml:space="preserve">Finalmente, se generaría un borrador final y se haría una sesión de presentación de la Ordenanza.  </w:t>
      </w:r>
      <w:r>
        <w:rPr>
          <w:sz w:val="24"/>
          <w:szCs w:val="24"/>
        </w:rPr>
        <w:t xml:space="preserve">Con esto la Comisión de Ambiente contará con la versión que pueda ser puesta a consideración del Concejo. </w:t>
      </w:r>
      <w:r w:rsidRPr="00777CDE">
        <w:rPr>
          <w:sz w:val="24"/>
          <w:szCs w:val="24"/>
        </w:rPr>
        <w:t xml:space="preserve"> </w:t>
      </w:r>
    </w:p>
    <w:p w14:paraId="122378F4" w14:textId="77777777" w:rsidR="00C050DD" w:rsidRPr="00C050DD" w:rsidRDefault="00C050DD" w:rsidP="00C050DD"/>
    <w:sectPr w:rsidR="00C050DD" w:rsidRPr="00C050DD" w:rsidSect="00364067">
      <w:headerReference w:type="default" r:id="rId7"/>
      <w:pgSz w:w="11906" w:h="16838"/>
      <w:pgMar w:top="2552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426E5" w14:textId="77777777" w:rsidR="000B7F42" w:rsidRDefault="000B7F42" w:rsidP="00364067">
      <w:pPr>
        <w:spacing w:after="0" w:line="240" w:lineRule="auto"/>
      </w:pPr>
      <w:r>
        <w:separator/>
      </w:r>
    </w:p>
  </w:endnote>
  <w:endnote w:type="continuationSeparator" w:id="0">
    <w:p w14:paraId="7BBE64E2" w14:textId="77777777" w:rsidR="000B7F42" w:rsidRDefault="000B7F42" w:rsidP="0036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4EFC7" w14:textId="77777777" w:rsidR="000B7F42" w:rsidRDefault="000B7F42" w:rsidP="00364067">
      <w:pPr>
        <w:spacing w:after="0" w:line="240" w:lineRule="auto"/>
      </w:pPr>
      <w:r>
        <w:separator/>
      </w:r>
    </w:p>
  </w:footnote>
  <w:footnote w:type="continuationSeparator" w:id="0">
    <w:p w14:paraId="308D78DA" w14:textId="77777777" w:rsidR="000B7F42" w:rsidRDefault="000B7F42" w:rsidP="00364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491E" w14:textId="143E893D" w:rsidR="00364067" w:rsidRDefault="0069614D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3AF4394" wp14:editId="25A70A30">
          <wp:simplePos x="0" y="0"/>
          <wp:positionH relativeFrom="column">
            <wp:posOffset>-1089660</wp:posOffset>
          </wp:positionH>
          <wp:positionV relativeFrom="paragraph">
            <wp:posOffset>-467995</wp:posOffset>
          </wp:positionV>
          <wp:extent cx="7572375" cy="1069467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69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0B53"/>
    <w:multiLevelType w:val="hybridMultilevel"/>
    <w:tmpl w:val="AA505916"/>
    <w:lvl w:ilvl="0" w:tplc="B16C0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C2E9F"/>
    <w:multiLevelType w:val="hybridMultilevel"/>
    <w:tmpl w:val="892255FC"/>
    <w:lvl w:ilvl="0" w:tplc="D270A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F4166"/>
    <w:multiLevelType w:val="hybridMultilevel"/>
    <w:tmpl w:val="7D04A402"/>
    <w:lvl w:ilvl="0" w:tplc="DB025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E3736"/>
    <w:multiLevelType w:val="hybridMultilevel"/>
    <w:tmpl w:val="AC3CE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832603">
    <w:abstractNumId w:val="3"/>
  </w:num>
  <w:num w:numId="2" w16cid:durableId="384185228">
    <w:abstractNumId w:val="1"/>
  </w:num>
  <w:num w:numId="3" w16cid:durableId="1115439823">
    <w:abstractNumId w:val="0"/>
  </w:num>
  <w:num w:numId="4" w16cid:durableId="779641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4D"/>
    <w:rsid w:val="00000193"/>
    <w:rsid w:val="000B7F42"/>
    <w:rsid w:val="00165C26"/>
    <w:rsid w:val="00215FCC"/>
    <w:rsid w:val="002E116F"/>
    <w:rsid w:val="002E56FA"/>
    <w:rsid w:val="0031312D"/>
    <w:rsid w:val="00364067"/>
    <w:rsid w:val="00381F30"/>
    <w:rsid w:val="004B4909"/>
    <w:rsid w:val="0051107E"/>
    <w:rsid w:val="0053735B"/>
    <w:rsid w:val="00616048"/>
    <w:rsid w:val="0069614D"/>
    <w:rsid w:val="006F6209"/>
    <w:rsid w:val="00907D74"/>
    <w:rsid w:val="00AC3053"/>
    <w:rsid w:val="00B0194C"/>
    <w:rsid w:val="00B937BE"/>
    <w:rsid w:val="00BA4E2C"/>
    <w:rsid w:val="00C050DD"/>
    <w:rsid w:val="00C413D7"/>
    <w:rsid w:val="00D35551"/>
    <w:rsid w:val="00D41926"/>
    <w:rsid w:val="00D60CD0"/>
    <w:rsid w:val="00EA4876"/>
    <w:rsid w:val="00F0735E"/>
    <w:rsid w:val="00F6591F"/>
    <w:rsid w:val="00FB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EA645"/>
  <w15:chartTrackingRefBased/>
  <w15:docId w15:val="{FF39C9B0-C124-4B3F-9C6C-97DBB359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14D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40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4067"/>
  </w:style>
  <w:style w:type="paragraph" w:styleId="Piedepgina">
    <w:name w:val="footer"/>
    <w:basedOn w:val="Normal"/>
    <w:link w:val="PiedepginaCar"/>
    <w:uiPriority w:val="99"/>
    <w:unhideWhenUsed/>
    <w:rsid w:val="003640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4067"/>
  </w:style>
  <w:style w:type="table" w:styleId="Tablaconcuadrcula">
    <w:name w:val="Table Grid"/>
    <w:basedOn w:val="Tablanormal"/>
    <w:uiPriority w:val="39"/>
    <w:rsid w:val="00C05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5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vasquez\Documents\SECRETARIA%20DE%20AMBIENTE\PLANTILLAS\PLANTILLA%20WORD%20-%20SAQ%20-%20MARZO%20202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WORD - SAQ - MARZO 2022.dot</Template>
  <TotalTime>10</TotalTime>
  <Pages>3</Pages>
  <Words>553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Vazquez Palma</dc:creator>
  <cp:keywords/>
  <dc:description/>
  <cp:lastModifiedBy>Miguel Angel Vazquez Palma</cp:lastModifiedBy>
  <cp:revision>4</cp:revision>
  <dcterms:created xsi:type="dcterms:W3CDTF">2022-08-01T15:37:00Z</dcterms:created>
  <dcterms:modified xsi:type="dcterms:W3CDTF">2022-08-01T15:56:00Z</dcterms:modified>
</cp:coreProperties>
</file>