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13" w:rsidRPr="0028641F" w:rsidRDefault="00594413" w:rsidP="0028641F">
      <w:pPr>
        <w:shd w:val="clear" w:color="auto" w:fill="FFFFFF"/>
        <w:spacing w:after="0" w:line="240" w:lineRule="auto"/>
        <w:jc w:val="both"/>
        <w:rPr>
          <w:rFonts w:ascii="Arial" w:eastAsia="Times New Roman" w:hAnsi="Arial" w:cs="Arial"/>
          <w:b/>
          <w:color w:val="000000" w:themeColor="text1"/>
          <w:sz w:val="24"/>
          <w:szCs w:val="24"/>
          <w:lang w:eastAsia="es-EC"/>
        </w:rPr>
      </w:pPr>
      <w:bookmarkStart w:id="0" w:name="_GoBack"/>
      <w:bookmarkEnd w:id="0"/>
      <w:r w:rsidRPr="0028641F">
        <w:rPr>
          <w:rFonts w:ascii="Arial" w:eastAsia="Times New Roman" w:hAnsi="Arial" w:cs="Arial"/>
          <w:b/>
          <w:color w:val="000000" w:themeColor="text1"/>
          <w:sz w:val="24"/>
          <w:szCs w:val="24"/>
          <w:lang w:eastAsia="es-EC"/>
        </w:rPr>
        <w:t>MOTIVACIÓN</w:t>
      </w:r>
    </w:p>
    <w:p w:rsidR="00594413" w:rsidRPr="0028641F" w:rsidRDefault="00594413" w:rsidP="0028641F">
      <w:pPr>
        <w:shd w:val="clear" w:color="auto" w:fill="FFFFFF"/>
        <w:spacing w:after="0" w:line="240" w:lineRule="auto"/>
        <w:jc w:val="both"/>
        <w:rPr>
          <w:rFonts w:ascii="Arial" w:eastAsia="Times New Roman" w:hAnsi="Arial" w:cs="Arial"/>
          <w:color w:val="000000" w:themeColor="text1"/>
          <w:sz w:val="24"/>
          <w:szCs w:val="24"/>
          <w:lang w:eastAsia="es-EC"/>
        </w:rPr>
      </w:pPr>
    </w:p>
    <w:p w:rsidR="009E432F" w:rsidRPr="0028641F" w:rsidRDefault="00555E67" w:rsidP="0028641F">
      <w:pPr>
        <w:pStyle w:val="NormalWeb"/>
        <w:shd w:val="clear" w:color="auto" w:fill="FFFFFF"/>
        <w:spacing w:before="0" w:beforeAutospacing="0"/>
        <w:jc w:val="both"/>
        <w:rPr>
          <w:rFonts w:ascii="Arial" w:hAnsi="Arial" w:cs="Arial"/>
          <w:color w:val="000000" w:themeColor="text1"/>
          <w:lang w:val="es-ES"/>
        </w:rPr>
      </w:pPr>
      <w:r w:rsidRPr="0028641F">
        <w:rPr>
          <w:rFonts w:ascii="Arial" w:hAnsi="Arial" w:cs="Arial"/>
          <w:color w:val="000000" w:themeColor="text1"/>
        </w:rPr>
        <w:t>L</w:t>
      </w:r>
      <w:r w:rsidR="00EF327A" w:rsidRPr="0028641F">
        <w:rPr>
          <w:rFonts w:ascii="Arial" w:hAnsi="Arial" w:cs="Arial"/>
          <w:color w:val="000000" w:themeColor="text1"/>
        </w:rPr>
        <w:t xml:space="preserve">a entrega de áreas verdes en las subdivisiones y fraccionamientos de urbanizaciones es un proceso </w:t>
      </w:r>
      <w:r w:rsidR="00561E05" w:rsidRPr="0028641F">
        <w:rPr>
          <w:rFonts w:ascii="Arial" w:hAnsi="Arial" w:cs="Arial"/>
          <w:color w:val="000000" w:themeColor="text1"/>
        </w:rPr>
        <w:t>que se ha prestado para</w:t>
      </w:r>
      <w:r w:rsidRPr="0028641F">
        <w:rPr>
          <w:rFonts w:ascii="Arial" w:hAnsi="Arial" w:cs="Arial"/>
          <w:color w:val="000000" w:themeColor="text1"/>
        </w:rPr>
        <w:t xml:space="preserve"> una indebida</w:t>
      </w:r>
      <w:r w:rsidR="00561E05" w:rsidRPr="0028641F">
        <w:rPr>
          <w:rFonts w:ascii="Arial" w:hAnsi="Arial" w:cs="Arial"/>
          <w:color w:val="000000" w:themeColor="text1"/>
        </w:rPr>
        <w:t xml:space="preserve"> interpretación</w:t>
      </w:r>
      <w:r w:rsidRPr="0028641F">
        <w:rPr>
          <w:rFonts w:ascii="Arial" w:hAnsi="Arial" w:cs="Arial"/>
          <w:color w:val="000000" w:themeColor="text1"/>
        </w:rPr>
        <w:t xml:space="preserve"> de la ley</w:t>
      </w:r>
      <w:r w:rsidR="00561E05" w:rsidRPr="0028641F">
        <w:rPr>
          <w:rFonts w:ascii="Arial" w:hAnsi="Arial" w:cs="Arial"/>
          <w:color w:val="000000" w:themeColor="text1"/>
        </w:rPr>
        <w:t xml:space="preserve"> </w:t>
      </w:r>
      <w:r w:rsidRPr="0028641F">
        <w:rPr>
          <w:rFonts w:ascii="Arial" w:hAnsi="Arial" w:cs="Arial"/>
          <w:color w:val="000000" w:themeColor="text1"/>
        </w:rPr>
        <w:t>por parte de</w:t>
      </w:r>
      <w:r w:rsidR="00561E05" w:rsidRPr="0028641F">
        <w:rPr>
          <w:rFonts w:ascii="Arial" w:hAnsi="Arial" w:cs="Arial"/>
          <w:color w:val="000000" w:themeColor="text1"/>
        </w:rPr>
        <w:t xml:space="preserve"> los funcionarios municipales,</w:t>
      </w:r>
      <w:r w:rsidRPr="0028641F">
        <w:rPr>
          <w:rFonts w:ascii="Arial" w:hAnsi="Arial" w:cs="Arial"/>
          <w:color w:val="000000" w:themeColor="text1"/>
        </w:rPr>
        <w:t xml:space="preserve"> quienes a través de la Ordenanza 172, actual Libro V.1 de la Ordenanza 001 de 29 de marzo de 2019, que expidió el Código</w:t>
      </w:r>
      <w:r w:rsidR="00D44193" w:rsidRPr="0028641F">
        <w:rPr>
          <w:rFonts w:ascii="Arial" w:hAnsi="Arial" w:cs="Arial"/>
          <w:color w:val="000000" w:themeColor="text1"/>
        </w:rPr>
        <w:t xml:space="preserve"> Municipal para el Distrito Met</w:t>
      </w:r>
      <w:r w:rsidRPr="0028641F">
        <w:rPr>
          <w:rFonts w:ascii="Arial" w:hAnsi="Arial" w:cs="Arial"/>
          <w:color w:val="000000" w:themeColor="text1"/>
        </w:rPr>
        <w:t>r</w:t>
      </w:r>
      <w:r w:rsidR="00D44193" w:rsidRPr="0028641F">
        <w:rPr>
          <w:rFonts w:ascii="Arial" w:hAnsi="Arial" w:cs="Arial"/>
          <w:color w:val="000000" w:themeColor="text1"/>
        </w:rPr>
        <w:t>o</w:t>
      </w:r>
      <w:r w:rsidRPr="0028641F">
        <w:rPr>
          <w:rFonts w:ascii="Arial" w:hAnsi="Arial" w:cs="Arial"/>
          <w:color w:val="000000" w:themeColor="text1"/>
        </w:rPr>
        <w:t>politano de Quito</w:t>
      </w:r>
      <w:r w:rsidR="00C72F64">
        <w:rPr>
          <w:rFonts w:ascii="Arial" w:hAnsi="Arial" w:cs="Arial"/>
          <w:color w:val="000000" w:themeColor="text1"/>
        </w:rPr>
        <w:t xml:space="preserve">, han incluido a la prescripción adquisitiva de dominio y a la partición judicial como una autorización administrativa de </w:t>
      </w:r>
      <w:r w:rsidR="00853A69">
        <w:rPr>
          <w:rFonts w:ascii="Arial" w:hAnsi="Arial" w:cs="Arial"/>
          <w:color w:val="000000" w:themeColor="text1"/>
        </w:rPr>
        <w:t>fraccionamiento o subdivisió</w:t>
      </w:r>
      <w:r w:rsidR="00C72F64">
        <w:rPr>
          <w:rFonts w:ascii="Arial" w:hAnsi="Arial" w:cs="Arial"/>
          <w:color w:val="000000" w:themeColor="text1"/>
        </w:rPr>
        <w:t>n</w:t>
      </w:r>
      <w:r w:rsidR="00D44193" w:rsidRPr="0028641F">
        <w:rPr>
          <w:rFonts w:ascii="Arial" w:hAnsi="Arial" w:cs="Arial"/>
          <w:color w:val="000000" w:themeColor="text1"/>
        </w:rPr>
        <w:t xml:space="preserve">. Esto ha provocado </w:t>
      </w:r>
      <w:r w:rsidR="00A45D01" w:rsidRPr="0028641F">
        <w:rPr>
          <w:rFonts w:ascii="Arial" w:hAnsi="Arial" w:cs="Arial"/>
          <w:color w:val="000000" w:themeColor="text1"/>
        </w:rPr>
        <w:t>que,</w:t>
      </w:r>
      <w:r w:rsidR="00561E05" w:rsidRPr="0028641F">
        <w:rPr>
          <w:rFonts w:ascii="Arial" w:hAnsi="Arial" w:cs="Arial"/>
          <w:color w:val="000000" w:themeColor="text1"/>
        </w:rPr>
        <w:t xml:space="preserve"> a los procesos de </w:t>
      </w:r>
      <w:r w:rsidR="009E432F" w:rsidRPr="0028641F">
        <w:rPr>
          <w:rFonts w:ascii="Arial" w:hAnsi="Arial" w:cs="Arial"/>
          <w:color w:val="000000" w:themeColor="text1"/>
        </w:rPr>
        <w:t xml:space="preserve">partición judicial o prescripción adquisitiva de dominio </w:t>
      </w:r>
      <w:r w:rsidR="00D44193" w:rsidRPr="0028641F">
        <w:rPr>
          <w:rFonts w:ascii="Arial" w:hAnsi="Arial" w:cs="Arial"/>
          <w:color w:val="000000" w:themeColor="text1"/>
          <w:lang w:val="es-ES"/>
        </w:rPr>
        <w:t>declarados por una</w:t>
      </w:r>
      <w:r w:rsidR="00561E05" w:rsidRPr="0028641F">
        <w:rPr>
          <w:rFonts w:ascii="Arial" w:hAnsi="Arial" w:cs="Arial"/>
          <w:color w:val="000000" w:themeColor="text1"/>
          <w:lang w:val="es-ES"/>
        </w:rPr>
        <w:t xml:space="preserve"> decisión judicial,</w:t>
      </w:r>
      <w:r w:rsidRPr="0028641F">
        <w:rPr>
          <w:rFonts w:ascii="Arial" w:hAnsi="Arial" w:cs="Arial"/>
          <w:color w:val="000000" w:themeColor="text1"/>
          <w:lang w:val="es-ES"/>
        </w:rPr>
        <w:t xml:space="preserve"> </w:t>
      </w:r>
      <w:r w:rsidR="009E432F" w:rsidRPr="0028641F">
        <w:rPr>
          <w:rFonts w:ascii="Arial" w:hAnsi="Arial" w:cs="Arial"/>
          <w:color w:val="000000" w:themeColor="text1"/>
          <w:lang w:val="es-ES"/>
        </w:rPr>
        <w:t xml:space="preserve">cuando es de una parte de un inmueble, </w:t>
      </w:r>
      <w:r w:rsidR="00561E05" w:rsidRPr="0028641F">
        <w:rPr>
          <w:rFonts w:ascii="Arial" w:hAnsi="Arial" w:cs="Arial"/>
          <w:color w:val="000000" w:themeColor="text1"/>
          <w:lang w:val="es-ES"/>
        </w:rPr>
        <w:t>se les</w:t>
      </w:r>
      <w:r w:rsidR="009E432F" w:rsidRPr="0028641F">
        <w:rPr>
          <w:rFonts w:ascii="Arial" w:hAnsi="Arial" w:cs="Arial"/>
          <w:color w:val="000000" w:themeColor="text1"/>
          <w:lang w:val="es-ES"/>
        </w:rPr>
        <w:t xml:space="preserve"> </w:t>
      </w:r>
      <w:r w:rsidR="00561E05" w:rsidRPr="0028641F">
        <w:rPr>
          <w:rFonts w:ascii="Arial" w:hAnsi="Arial" w:cs="Arial"/>
          <w:color w:val="000000" w:themeColor="text1"/>
          <w:lang w:val="es-ES"/>
        </w:rPr>
        <w:t>exija la contribución de dic</w:t>
      </w:r>
      <w:r w:rsidRPr="0028641F">
        <w:rPr>
          <w:rFonts w:ascii="Arial" w:hAnsi="Arial" w:cs="Arial"/>
          <w:color w:val="000000" w:themeColor="text1"/>
          <w:lang w:val="es-ES"/>
        </w:rPr>
        <w:t>has áreas</w:t>
      </w:r>
      <w:r w:rsidR="009E432F" w:rsidRPr="0028641F">
        <w:rPr>
          <w:rFonts w:ascii="Arial" w:hAnsi="Arial" w:cs="Arial"/>
          <w:color w:val="000000" w:themeColor="text1"/>
          <w:lang w:val="es-ES"/>
        </w:rPr>
        <w:t>.</w:t>
      </w:r>
    </w:p>
    <w:p w:rsidR="00EF327A" w:rsidRPr="0028641F" w:rsidRDefault="009E432F" w:rsidP="0028641F">
      <w:pPr>
        <w:pStyle w:val="NormalWeb"/>
        <w:shd w:val="clear" w:color="auto" w:fill="FFFFFF"/>
        <w:spacing w:before="0" w:beforeAutospacing="0"/>
        <w:jc w:val="both"/>
        <w:rPr>
          <w:rFonts w:ascii="Arial" w:hAnsi="Arial" w:cs="Arial"/>
          <w:color w:val="000000" w:themeColor="text1"/>
        </w:rPr>
      </w:pPr>
      <w:r w:rsidRPr="0028641F">
        <w:rPr>
          <w:rFonts w:ascii="Arial" w:hAnsi="Arial" w:cs="Arial"/>
          <w:color w:val="000000" w:themeColor="text1"/>
          <w:lang w:val="es-ES"/>
        </w:rPr>
        <w:t xml:space="preserve">Es decir, </w:t>
      </w:r>
      <w:r w:rsidR="00EF327A" w:rsidRPr="0028641F">
        <w:rPr>
          <w:rFonts w:ascii="Arial" w:hAnsi="Arial" w:cs="Arial"/>
          <w:color w:val="000000" w:themeColor="text1"/>
        </w:rPr>
        <w:t>lo establecido en el Código Municipal</w:t>
      </w:r>
      <w:r w:rsidR="005D37B4" w:rsidRPr="0028641F">
        <w:rPr>
          <w:rFonts w:ascii="Arial" w:hAnsi="Arial" w:cs="Arial"/>
          <w:color w:val="000000" w:themeColor="text1"/>
        </w:rPr>
        <w:t>,</w:t>
      </w:r>
      <w:r w:rsidR="00EF327A" w:rsidRPr="0028641F">
        <w:rPr>
          <w:rFonts w:ascii="Arial" w:hAnsi="Arial" w:cs="Arial"/>
          <w:color w:val="000000" w:themeColor="text1"/>
        </w:rPr>
        <w:t xml:space="preserve"> </w:t>
      </w:r>
      <w:r w:rsidRPr="0028641F">
        <w:rPr>
          <w:rFonts w:ascii="Arial" w:hAnsi="Arial" w:cs="Arial"/>
          <w:color w:val="000000" w:themeColor="text1"/>
        </w:rPr>
        <w:t xml:space="preserve">se contrapone </w:t>
      </w:r>
      <w:r w:rsidR="00EF327A" w:rsidRPr="0028641F">
        <w:rPr>
          <w:rFonts w:ascii="Arial" w:hAnsi="Arial" w:cs="Arial"/>
          <w:color w:val="000000" w:themeColor="text1"/>
        </w:rPr>
        <w:t xml:space="preserve">con lo determinado en el </w:t>
      </w:r>
      <w:r w:rsidR="00EF327A" w:rsidRPr="0028641F">
        <w:rPr>
          <w:rFonts w:ascii="Arial" w:hAnsi="Arial" w:cs="Arial"/>
          <w:color w:val="000000" w:themeColor="text1"/>
          <w:lang w:eastAsia="es-EC"/>
        </w:rPr>
        <w:t>Código Orgánico de Organización Territorial, Autonomía y Descentralización</w:t>
      </w:r>
      <w:r w:rsidR="00027941" w:rsidRPr="0028641F">
        <w:rPr>
          <w:rFonts w:ascii="Arial" w:hAnsi="Arial" w:cs="Arial"/>
          <w:color w:val="000000" w:themeColor="text1"/>
          <w:lang w:eastAsia="es-EC"/>
        </w:rPr>
        <w:t xml:space="preserve"> (COOTAD)</w:t>
      </w:r>
      <w:r w:rsidR="00D44193" w:rsidRPr="0028641F">
        <w:rPr>
          <w:rFonts w:ascii="Arial" w:hAnsi="Arial" w:cs="Arial"/>
          <w:color w:val="000000" w:themeColor="text1"/>
          <w:lang w:eastAsia="es-EC"/>
        </w:rPr>
        <w:t xml:space="preserve"> y generando una gran cantidad de trámites represados en las Administraciones Zonales</w:t>
      </w:r>
      <w:r w:rsidR="005D37B4" w:rsidRPr="0028641F">
        <w:rPr>
          <w:rFonts w:ascii="Arial" w:hAnsi="Arial" w:cs="Arial"/>
          <w:color w:val="000000" w:themeColor="text1"/>
          <w:lang w:eastAsia="es-EC"/>
        </w:rPr>
        <w:t xml:space="preserve"> quienes, previo a la inscripción en el registro, solicitan</w:t>
      </w:r>
      <w:r w:rsidRPr="0028641F">
        <w:rPr>
          <w:rFonts w:ascii="Arial" w:hAnsi="Arial" w:cs="Arial"/>
          <w:color w:val="000000" w:themeColor="text1"/>
          <w:lang w:eastAsia="es-EC"/>
        </w:rPr>
        <w:t xml:space="preserve"> a los usuarios</w:t>
      </w:r>
      <w:r w:rsidR="005D37B4" w:rsidRPr="0028641F">
        <w:rPr>
          <w:rFonts w:ascii="Arial" w:hAnsi="Arial" w:cs="Arial"/>
          <w:color w:val="000000" w:themeColor="text1"/>
          <w:lang w:eastAsia="es-EC"/>
        </w:rPr>
        <w:t xml:space="preserve"> el cumplimiento de la entrega del 15% del área útil urbanizable del terreno o predio a urbanizar en calidad de áreas verdes y equipamiento comunitario</w:t>
      </w:r>
      <w:r w:rsidR="00EF327A" w:rsidRPr="0028641F">
        <w:rPr>
          <w:rFonts w:ascii="Arial" w:hAnsi="Arial" w:cs="Arial"/>
          <w:color w:val="000000" w:themeColor="text1"/>
        </w:rPr>
        <w:t>.</w:t>
      </w:r>
    </w:p>
    <w:p w:rsidR="000F20C3" w:rsidRPr="0028641F" w:rsidRDefault="005D37B4" w:rsidP="0028641F">
      <w:pPr>
        <w:pStyle w:val="NormalWeb"/>
        <w:shd w:val="clear" w:color="auto" w:fill="FFFFFF"/>
        <w:jc w:val="both"/>
        <w:rPr>
          <w:rFonts w:ascii="Arial" w:hAnsi="Arial" w:cs="Arial"/>
        </w:rPr>
      </w:pPr>
      <w:r w:rsidRPr="0028641F">
        <w:rPr>
          <w:rFonts w:ascii="Arial" w:hAnsi="Arial" w:cs="Arial"/>
          <w:color w:val="000000" w:themeColor="text1"/>
        </w:rPr>
        <w:t xml:space="preserve">Cabe </w:t>
      </w:r>
      <w:r w:rsidR="000F20C3" w:rsidRPr="0028641F">
        <w:rPr>
          <w:rFonts w:ascii="Arial" w:hAnsi="Arial" w:cs="Arial"/>
          <w:color w:val="000000" w:themeColor="text1"/>
        </w:rPr>
        <w:t xml:space="preserve">señalar, que las sentencias son decisiones de la o del juzgador acerca del asunto o asuntos sustanciales del proceso. </w:t>
      </w:r>
      <w:r w:rsidR="000F20C3" w:rsidRPr="0028641F">
        <w:rPr>
          <w:rFonts w:ascii="Arial" w:hAnsi="Arial" w:cs="Arial"/>
        </w:rPr>
        <w:t xml:space="preserve">En palabras de Aldo </w:t>
      </w:r>
      <w:proofErr w:type="spellStart"/>
      <w:r w:rsidR="000F20C3" w:rsidRPr="0028641F">
        <w:rPr>
          <w:rFonts w:ascii="Arial" w:hAnsi="Arial" w:cs="Arial"/>
        </w:rPr>
        <w:t>Bacre</w:t>
      </w:r>
      <w:proofErr w:type="spellEnd"/>
      <w:r w:rsidR="000F20C3" w:rsidRPr="0028641F">
        <w:rPr>
          <w:rFonts w:ascii="Arial" w:hAnsi="Arial" w:cs="Arial"/>
        </w:rPr>
        <w:t xml:space="preserve">, </w:t>
      </w:r>
      <w:r w:rsidR="0028641F">
        <w:rPr>
          <w:rFonts w:ascii="Arial" w:hAnsi="Arial" w:cs="Arial"/>
          <w:i/>
        </w:rPr>
        <w:t>“</w:t>
      </w:r>
      <w:r w:rsidR="000F20C3" w:rsidRPr="0028641F">
        <w:rPr>
          <w:rFonts w:ascii="Arial" w:hAnsi="Arial" w:cs="Arial"/>
          <w:i/>
        </w:rPr>
        <w:t xml:space="preserve">la sentencia en firme es inimpugnable en cuanto </w:t>
      </w:r>
      <w:proofErr w:type="spellStart"/>
      <w:r w:rsidR="000F20C3" w:rsidRPr="0028641F">
        <w:rPr>
          <w:rFonts w:ascii="Arial" w:hAnsi="Arial" w:cs="Arial"/>
          <w:i/>
        </w:rPr>
        <w:t>ha</w:t>
      </w:r>
      <w:proofErr w:type="spellEnd"/>
      <w:r w:rsidR="000F20C3" w:rsidRPr="0028641F">
        <w:rPr>
          <w:rFonts w:ascii="Arial" w:hAnsi="Arial" w:cs="Arial"/>
          <w:i/>
        </w:rPr>
        <w:t xml:space="preserve"> </w:t>
      </w:r>
      <w:proofErr w:type="spellStart"/>
      <w:r w:rsidR="000F20C3" w:rsidRPr="0028641F">
        <w:rPr>
          <w:rFonts w:ascii="Arial" w:hAnsi="Arial" w:cs="Arial"/>
          <w:i/>
        </w:rPr>
        <w:t>precluido</w:t>
      </w:r>
      <w:proofErr w:type="spellEnd"/>
      <w:r w:rsidR="000F20C3" w:rsidRPr="0028641F">
        <w:rPr>
          <w:rFonts w:ascii="Arial" w:hAnsi="Arial" w:cs="Arial"/>
          <w:i/>
        </w:rPr>
        <w:t xml:space="preserve"> todas las impugnaciones, es decir, no pueden oponerse contra ellas más recursos que puedan modificarla, en el mismo proceso o en otro futuro. También, es inmutable o inmodificable y consiste en </w:t>
      </w:r>
      <w:proofErr w:type="gramStart"/>
      <w:r w:rsidR="000F20C3" w:rsidRPr="0028641F">
        <w:rPr>
          <w:rFonts w:ascii="Arial" w:hAnsi="Arial" w:cs="Arial"/>
          <w:i/>
        </w:rPr>
        <w:t>que</w:t>
      </w:r>
      <w:proofErr w:type="gramEnd"/>
      <w:r w:rsidR="000F20C3" w:rsidRPr="0028641F">
        <w:rPr>
          <w:rFonts w:ascii="Arial" w:hAnsi="Arial" w:cs="Arial"/>
          <w:i/>
        </w:rPr>
        <w:t xml:space="preserve"> en ningún caso, de oficio o a petición de parte, otra autoridad podrá alterar los términos de una sentencia pasada en autoridad de cosa juzgada. La coercibilidad o </w:t>
      </w:r>
      <w:proofErr w:type="spellStart"/>
      <w:r w:rsidR="000F20C3" w:rsidRPr="0028641F">
        <w:rPr>
          <w:rFonts w:ascii="Arial" w:hAnsi="Arial" w:cs="Arial"/>
          <w:i/>
        </w:rPr>
        <w:t>imperatividad</w:t>
      </w:r>
      <w:proofErr w:type="spellEnd"/>
      <w:r w:rsidR="000F20C3" w:rsidRPr="0028641F">
        <w:rPr>
          <w:rFonts w:ascii="Arial" w:hAnsi="Arial" w:cs="Arial"/>
          <w:i/>
        </w:rPr>
        <w:t xml:space="preserve"> implica que la sentencia, básicamente de condena, es susceptible de ejecución procesal forzada, a pedido del ejecutante.”</w:t>
      </w:r>
      <w:r w:rsidR="000F20C3" w:rsidRPr="0028641F">
        <w:rPr>
          <w:rFonts w:ascii="Arial" w:hAnsi="Arial" w:cs="Arial"/>
        </w:rPr>
        <w:t xml:space="preserve"> (Teoría General del Proceso, Tomo III, </w:t>
      </w:r>
      <w:proofErr w:type="spellStart"/>
      <w:r w:rsidR="000F20C3" w:rsidRPr="0028641F">
        <w:rPr>
          <w:rFonts w:ascii="Arial" w:hAnsi="Arial" w:cs="Arial"/>
        </w:rPr>
        <w:t>Abeledo</w:t>
      </w:r>
      <w:proofErr w:type="spellEnd"/>
      <w:r w:rsidR="000F20C3" w:rsidRPr="0028641F">
        <w:rPr>
          <w:rFonts w:ascii="Arial" w:hAnsi="Arial" w:cs="Arial"/>
        </w:rPr>
        <w:t xml:space="preserve"> </w:t>
      </w:r>
      <w:proofErr w:type="spellStart"/>
      <w:r w:rsidR="000F20C3" w:rsidRPr="0028641F">
        <w:rPr>
          <w:rFonts w:ascii="Arial" w:hAnsi="Arial" w:cs="Arial"/>
        </w:rPr>
        <w:t>Perrot</w:t>
      </w:r>
      <w:proofErr w:type="spellEnd"/>
      <w:r w:rsidR="000F20C3" w:rsidRPr="0028641F">
        <w:rPr>
          <w:rFonts w:ascii="Arial" w:hAnsi="Arial" w:cs="Arial"/>
        </w:rPr>
        <w:t>, B</w:t>
      </w:r>
      <w:r w:rsidR="004E3AA1" w:rsidRPr="0028641F">
        <w:rPr>
          <w:rFonts w:ascii="Arial" w:hAnsi="Arial" w:cs="Arial"/>
        </w:rPr>
        <w:t>uenos Aires, 1992, pp. 436-437) por lo que, en ningún caso, una ordenanza puede modificar lo dispuesto por el juzgador</w:t>
      </w:r>
      <w:r w:rsidR="000821D6" w:rsidRPr="0028641F">
        <w:rPr>
          <w:rFonts w:ascii="Arial" w:hAnsi="Arial" w:cs="Arial"/>
        </w:rPr>
        <w:t xml:space="preserve"> quien,</w:t>
      </w:r>
      <w:r w:rsidR="004E3AA1" w:rsidRPr="0028641F">
        <w:rPr>
          <w:rFonts w:ascii="Arial" w:hAnsi="Arial" w:cs="Arial"/>
        </w:rPr>
        <w:t xml:space="preserve"> a través de su sentencia</w:t>
      </w:r>
      <w:r w:rsidR="000821D6" w:rsidRPr="0028641F">
        <w:rPr>
          <w:rFonts w:ascii="Arial" w:hAnsi="Arial" w:cs="Arial"/>
        </w:rPr>
        <w:t>, da cumplimiento con lo establecido en la ley</w:t>
      </w:r>
      <w:r w:rsidR="004E3AA1" w:rsidRPr="0028641F">
        <w:rPr>
          <w:rFonts w:ascii="Arial" w:hAnsi="Arial" w:cs="Arial"/>
        </w:rPr>
        <w:t>.</w:t>
      </w:r>
    </w:p>
    <w:p w:rsidR="00EF327A" w:rsidRPr="0028641F" w:rsidRDefault="000821D6" w:rsidP="0028641F">
      <w:pPr>
        <w:pStyle w:val="NormalWeb"/>
        <w:shd w:val="clear" w:color="auto" w:fill="FFFFFF"/>
        <w:jc w:val="both"/>
        <w:rPr>
          <w:rFonts w:ascii="Arial" w:hAnsi="Arial" w:cs="Arial"/>
          <w:color w:val="37474F"/>
          <w:shd w:val="clear" w:color="auto" w:fill="FFFFFF"/>
        </w:rPr>
      </w:pPr>
      <w:r w:rsidRPr="0028641F">
        <w:rPr>
          <w:rFonts w:ascii="Arial" w:hAnsi="Arial" w:cs="Arial"/>
        </w:rPr>
        <w:t xml:space="preserve">Por su parte, el </w:t>
      </w:r>
      <w:r w:rsidR="00EF327A" w:rsidRPr="0028641F">
        <w:rPr>
          <w:rFonts w:ascii="Arial" w:hAnsi="Arial" w:cs="Arial"/>
          <w:color w:val="000000" w:themeColor="text1"/>
          <w:lang w:eastAsia="es-EC"/>
        </w:rPr>
        <w:t xml:space="preserve">artículo 424 del Código Orgánico de Organización Territorial, Autonomía y Descentralización, establece </w:t>
      </w:r>
      <w:r w:rsidRPr="0028641F">
        <w:rPr>
          <w:rFonts w:ascii="Arial" w:hAnsi="Arial" w:cs="Arial"/>
          <w:color w:val="000000" w:themeColor="text1"/>
          <w:lang w:eastAsia="es-EC"/>
        </w:rPr>
        <w:t xml:space="preserve">la forma de entrega del área útil urbanizable del terreno o predio a urbanizar en calidad de áreas verdes y equipamiento comunitario </w:t>
      </w:r>
      <w:r w:rsidR="00EF327A" w:rsidRPr="0028641F">
        <w:rPr>
          <w:rFonts w:ascii="Arial" w:hAnsi="Arial" w:cs="Arial"/>
          <w:color w:val="000000" w:themeColor="text1"/>
          <w:lang w:eastAsia="es-EC"/>
        </w:rPr>
        <w:t xml:space="preserve">de manera </w:t>
      </w:r>
      <w:r w:rsidR="00561E05" w:rsidRPr="0028641F">
        <w:rPr>
          <w:rFonts w:ascii="Arial" w:hAnsi="Arial" w:cs="Arial"/>
          <w:color w:val="000000" w:themeColor="text1"/>
          <w:lang w:eastAsia="es-EC"/>
        </w:rPr>
        <w:t>clara</w:t>
      </w:r>
      <w:r w:rsidR="00EF327A" w:rsidRPr="0028641F">
        <w:rPr>
          <w:rFonts w:ascii="Arial" w:hAnsi="Arial" w:cs="Arial"/>
          <w:color w:val="000000" w:themeColor="text1"/>
          <w:lang w:eastAsia="es-EC"/>
        </w:rPr>
        <w:t>,</w:t>
      </w:r>
      <w:r w:rsidRPr="0028641F">
        <w:rPr>
          <w:rFonts w:ascii="Arial" w:hAnsi="Arial" w:cs="Arial"/>
          <w:color w:val="000000" w:themeColor="text1"/>
          <w:lang w:eastAsia="es-EC"/>
        </w:rPr>
        <w:t xml:space="preserve"> y señala que se debe aplicar esta forma a </w:t>
      </w:r>
      <w:r w:rsidR="00EF327A" w:rsidRPr="0028641F">
        <w:rPr>
          <w:rFonts w:ascii="Arial" w:hAnsi="Arial" w:cs="Arial"/>
          <w:color w:val="000000" w:themeColor="text1"/>
          <w:lang w:eastAsia="es-EC"/>
        </w:rPr>
        <w:t>las subdivisiones y fraccionamientos de urbanización</w:t>
      </w:r>
      <w:r w:rsidR="00561E05" w:rsidRPr="0028641F">
        <w:rPr>
          <w:rFonts w:ascii="Arial" w:hAnsi="Arial" w:cs="Arial"/>
          <w:color w:val="000000" w:themeColor="text1"/>
          <w:lang w:eastAsia="es-EC"/>
        </w:rPr>
        <w:t xml:space="preserve"> </w:t>
      </w:r>
      <w:r w:rsidR="00561E05" w:rsidRPr="0028641F">
        <w:rPr>
          <w:rFonts w:ascii="Arial" w:hAnsi="Arial" w:cs="Arial"/>
          <w:b/>
          <w:color w:val="000000" w:themeColor="text1"/>
          <w:shd w:val="clear" w:color="auto" w:fill="FFFFFF"/>
        </w:rPr>
        <w:t>derivados de una autorización administrativa de urbanización</w:t>
      </w:r>
      <w:r w:rsidRPr="0028641F">
        <w:rPr>
          <w:rFonts w:ascii="Arial" w:hAnsi="Arial" w:cs="Arial"/>
          <w:color w:val="000000" w:themeColor="text1"/>
          <w:lang w:eastAsia="es-EC"/>
        </w:rPr>
        <w:t>.</w:t>
      </w:r>
    </w:p>
    <w:p w:rsidR="0091437C" w:rsidRPr="0028641F" w:rsidRDefault="0091437C" w:rsidP="0028641F">
      <w:pPr>
        <w:jc w:val="both"/>
        <w:rPr>
          <w:rFonts w:ascii="Arial" w:eastAsia="Times New Roman" w:hAnsi="Arial" w:cs="Arial"/>
          <w:color w:val="000000" w:themeColor="text1"/>
          <w:sz w:val="24"/>
          <w:szCs w:val="24"/>
          <w:lang w:eastAsia="es-ES_tradnl"/>
        </w:rPr>
      </w:pPr>
      <w:r w:rsidRPr="0028641F">
        <w:rPr>
          <w:rFonts w:ascii="Arial" w:eastAsia="Times New Roman" w:hAnsi="Arial" w:cs="Arial"/>
          <w:color w:val="000000" w:themeColor="text1"/>
          <w:sz w:val="24"/>
          <w:szCs w:val="24"/>
          <w:lang w:eastAsia="es-ES_tradnl"/>
        </w:rPr>
        <w:t>Tanto la partición judicial de un inmueble</w:t>
      </w:r>
      <w:r w:rsidR="004562F8" w:rsidRPr="0028641F">
        <w:rPr>
          <w:rFonts w:ascii="Arial" w:eastAsia="Times New Roman" w:hAnsi="Arial" w:cs="Arial"/>
          <w:color w:val="000000" w:themeColor="text1"/>
          <w:sz w:val="24"/>
          <w:szCs w:val="24"/>
          <w:lang w:eastAsia="es-ES_tradnl"/>
        </w:rPr>
        <w:t xml:space="preserve"> cuanto la prescripción adquisitiva de dominio</w:t>
      </w:r>
      <w:r w:rsidRPr="0028641F">
        <w:rPr>
          <w:rFonts w:ascii="Arial" w:eastAsia="Times New Roman" w:hAnsi="Arial" w:cs="Arial"/>
          <w:color w:val="000000" w:themeColor="text1"/>
          <w:sz w:val="24"/>
          <w:szCs w:val="24"/>
          <w:lang w:eastAsia="es-ES_tradnl"/>
        </w:rPr>
        <w:t xml:space="preserve">, no son fraccionamientos o subdivisiones derivados de una autorización administrativa, sino de una decisión judicial, por lo que, las normas establecidas en el Código Municipal referidas a este </w:t>
      </w:r>
      <w:r w:rsidR="008D3039" w:rsidRPr="0028641F">
        <w:rPr>
          <w:rFonts w:ascii="Arial" w:eastAsia="Times New Roman" w:hAnsi="Arial" w:cs="Arial"/>
          <w:color w:val="000000" w:themeColor="text1"/>
          <w:sz w:val="24"/>
          <w:szCs w:val="24"/>
          <w:lang w:eastAsia="es-ES_tradnl"/>
        </w:rPr>
        <w:t xml:space="preserve">tipo de lotes, no se someten </w:t>
      </w:r>
      <w:r w:rsidRPr="0028641F">
        <w:rPr>
          <w:rFonts w:ascii="Arial" w:eastAsia="Times New Roman" w:hAnsi="Arial" w:cs="Arial"/>
          <w:color w:val="000000" w:themeColor="text1"/>
          <w:sz w:val="24"/>
          <w:szCs w:val="24"/>
          <w:lang w:eastAsia="es-ES_tradnl"/>
        </w:rPr>
        <w:t>a lo establecido en el Código Orgánico de Organización Territorial, Autonomía y Descentralización respecto a las subdivisiones y fraccionamientos derivados de una autorización administrativa de urbanización.</w:t>
      </w:r>
      <w:r w:rsidR="00E211B3" w:rsidRPr="0028641F">
        <w:rPr>
          <w:rFonts w:ascii="Arial" w:eastAsia="Times New Roman" w:hAnsi="Arial" w:cs="Arial"/>
          <w:color w:val="000000" w:themeColor="text1"/>
          <w:sz w:val="24"/>
          <w:szCs w:val="24"/>
          <w:lang w:eastAsia="es-ES_tradnl"/>
        </w:rPr>
        <w:t xml:space="preserve"> </w:t>
      </w:r>
    </w:p>
    <w:p w:rsidR="00E211B3" w:rsidRPr="0028641F" w:rsidRDefault="00E211B3" w:rsidP="0028641F">
      <w:pPr>
        <w:jc w:val="both"/>
        <w:rPr>
          <w:rFonts w:ascii="Arial" w:eastAsia="Times New Roman" w:hAnsi="Arial" w:cs="Arial"/>
          <w:color w:val="000000" w:themeColor="text1"/>
          <w:sz w:val="24"/>
          <w:szCs w:val="24"/>
          <w:lang w:eastAsia="es-ES_tradnl"/>
        </w:rPr>
      </w:pPr>
      <w:r w:rsidRPr="0028641F">
        <w:rPr>
          <w:rFonts w:ascii="Arial" w:eastAsia="Times New Roman" w:hAnsi="Arial" w:cs="Arial"/>
          <w:color w:val="000000" w:themeColor="text1"/>
          <w:sz w:val="24"/>
          <w:szCs w:val="24"/>
          <w:lang w:eastAsia="es-ES_tradnl"/>
        </w:rPr>
        <w:lastRenderedPageBreak/>
        <w:t>La prescripción</w:t>
      </w:r>
      <w:r w:rsidR="00896DEC" w:rsidRPr="0028641F">
        <w:rPr>
          <w:rFonts w:ascii="Arial" w:eastAsia="Times New Roman" w:hAnsi="Arial" w:cs="Arial"/>
          <w:color w:val="000000" w:themeColor="text1"/>
          <w:sz w:val="24"/>
          <w:szCs w:val="24"/>
          <w:lang w:eastAsia="es-ES_tradnl"/>
        </w:rPr>
        <w:t>,</w:t>
      </w:r>
      <w:r w:rsidRPr="0028641F">
        <w:rPr>
          <w:rFonts w:ascii="Arial" w:eastAsia="Times New Roman" w:hAnsi="Arial" w:cs="Arial"/>
          <w:color w:val="000000" w:themeColor="text1"/>
          <w:sz w:val="24"/>
          <w:szCs w:val="24"/>
          <w:lang w:eastAsia="es-ES_tradnl"/>
        </w:rPr>
        <w:t xml:space="preserve"> </w:t>
      </w:r>
      <w:r w:rsidR="00896DEC" w:rsidRPr="0028641F">
        <w:rPr>
          <w:rFonts w:ascii="Arial" w:eastAsia="Times New Roman" w:hAnsi="Arial" w:cs="Arial"/>
          <w:color w:val="000000" w:themeColor="text1"/>
          <w:sz w:val="24"/>
          <w:szCs w:val="24"/>
          <w:lang w:eastAsia="es-ES_tradnl"/>
        </w:rPr>
        <w:t xml:space="preserve">de conformidad con el artículo 2392 del Código Civil, </w:t>
      </w:r>
      <w:r w:rsidR="00896DEC" w:rsidRPr="0028641F">
        <w:rPr>
          <w:rFonts w:ascii="Arial" w:hAnsi="Arial" w:cs="Arial"/>
          <w:color w:val="37474F"/>
          <w:sz w:val="24"/>
          <w:szCs w:val="24"/>
          <w:shd w:val="clear" w:color="auto" w:fill="FFFFFF"/>
        </w:rPr>
        <w:t>es un modo de adquirir las cosas de otros, o de extinguir las acciones y derechos ajenos, por haberse poseído las cosas, o no haberse ejercido aquellas acciones y derechos, durante cierto tiempo</w:t>
      </w:r>
      <w:r w:rsidR="00713085" w:rsidRPr="0028641F">
        <w:rPr>
          <w:rFonts w:ascii="Arial" w:eastAsia="Times New Roman" w:hAnsi="Arial" w:cs="Arial"/>
          <w:color w:val="000000" w:themeColor="text1"/>
          <w:sz w:val="24"/>
          <w:szCs w:val="24"/>
          <w:lang w:eastAsia="es-ES_tradnl"/>
        </w:rPr>
        <w:t>;</w:t>
      </w:r>
      <w:r w:rsidR="009E432F" w:rsidRPr="0028641F">
        <w:rPr>
          <w:rFonts w:ascii="Arial" w:eastAsia="Times New Roman" w:hAnsi="Arial" w:cs="Arial"/>
          <w:color w:val="000000" w:themeColor="text1"/>
          <w:sz w:val="24"/>
          <w:szCs w:val="24"/>
          <w:lang w:eastAsia="es-ES_tradnl"/>
        </w:rPr>
        <w:t xml:space="preserve"> por lo que,</w:t>
      </w:r>
      <w:r w:rsidR="00713085" w:rsidRPr="0028641F">
        <w:rPr>
          <w:rFonts w:ascii="Arial" w:eastAsia="Times New Roman" w:hAnsi="Arial" w:cs="Arial"/>
          <w:color w:val="000000" w:themeColor="text1"/>
          <w:sz w:val="24"/>
          <w:szCs w:val="24"/>
          <w:lang w:eastAsia="es-ES_tradnl"/>
        </w:rPr>
        <w:t xml:space="preserve"> de conformidad al artículo 2413, </w:t>
      </w:r>
      <w:r w:rsidR="00713085" w:rsidRPr="0028641F">
        <w:rPr>
          <w:rFonts w:ascii="Arial" w:eastAsia="Times New Roman" w:hAnsi="Arial" w:cs="Arial"/>
          <w:color w:val="37474F"/>
          <w:sz w:val="24"/>
          <w:szCs w:val="24"/>
          <w:lang w:eastAsia="es-EC"/>
        </w:rPr>
        <w:t>la sentencia judicial que declara una prescripción hace las veces de escritura pública para la propiedad de bienes raíces o de derechos reales const</w:t>
      </w:r>
      <w:r w:rsidR="009E432F" w:rsidRPr="0028641F">
        <w:rPr>
          <w:rFonts w:ascii="Arial" w:eastAsia="Times New Roman" w:hAnsi="Arial" w:cs="Arial"/>
          <w:color w:val="37474F"/>
          <w:sz w:val="24"/>
          <w:szCs w:val="24"/>
          <w:lang w:eastAsia="es-EC"/>
        </w:rPr>
        <w:t>ituidos en ellos; pero no vale</w:t>
      </w:r>
      <w:r w:rsidR="00713085" w:rsidRPr="0028641F">
        <w:rPr>
          <w:rFonts w:ascii="Arial" w:eastAsia="Times New Roman" w:hAnsi="Arial" w:cs="Arial"/>
          <w:color w:val="37474F"/>
          <w:sz w:val="24"/>
          <w:szCs w:val="24"/>
          <w:lang w:eastAsia="es-EC"/>
        </w:rPr>
        <w:t xml:space="preserve"> contra terceros, sin la competente </w:t>
      </w:r>
      <w:r w:rsidR="009E432F" w:rsidRPr="0028641F">
        <w:rPr>
          <w:rFonts w:ascii="Arial" w:eastAsia="Times New Roman" w:hAnsi="Arial" w:cs="Arial"/>
          <w:color w:val="37474F"/>
          <w:sz w:val="24"/>
          <w:szCs w:val="24"/>
          <w:lang w:eastAsia="es-EC"/>
        </w:rPr>
        <w:t>inscripción. P</w:t>
      </w:r>
      <w:r w:rsidR="00713085" w:rsidRPr="0028641F">
        <w:rPr>
          <w:rFonts w:ascii="Arial" w:eastAsia="Times New Roman" w:hAnsi="Arial" w:cs="Arial"/>
          <w:color w:val="37474F"/>
          <w:sz w:val="24"/>
          <w:szCs w:val="24"/>
          <w:lang w:eastAsia="es-EC"/>
        </w:rPr>
        <w:t>or</w:t>
      </w:r>
      <w:r w:rsidRPr="0028641F">
        <w:rPr>
          <w:rFonts w:ascii="Arial" w:eastAsia="Times New Roman" w:hAnsi="Arial" w:cs="Arial"/>
          <w:color w:val="000000" w:themeColor="text1"/>
          <w:sz w:val="24"/>
          <w:szCs w:val="24"/>
          <w:lang w:eastAsia="es-ES_tradnl"/>
        </w:rPr>
        <w:t xml:space="preserve"> ende,</w:t>
      </w:r>
      <w:r w:rsidR="009E432F" w:rsidRPr="0028641F">
        <w:rPr>
          <w:rFonts w:ascii="Arial" w:eastAsia="Times New Roman" w:hAnsi="Arial" w:cs="Arial"/>
          <w:color w:val="000000" w:themeColor="text1"/>
          <w:sz w:val="24"/>
          <w:szCs w:val="24"/>
          <w:lang w:eastAsia="es-ES_tradnl"/>
        </w:rPr>
        <w:t xml:space="preserve"> la inscripción que se debe realizar sobre los bienes provenientes de la prescripción adquisitiva de d</w:t>
      </w:r>
      <w:r w:rsidR="007C1954" w:rsidRPr="0028641F">
        <w:rPr>
          <w:rFonts w:ascii="Arial" w:eastAsia="Times New Roman" w:hAnsi="Arial" w:cs="Arial"/>
          <w:color w:val="000000" w:themeColor="text1"/>
          <w:sz w:val="24"/>
          <w:szCs w:val="24"/>
          <w:lang w:eastAsia="es-ES_tradnl"/>
        </w:rPr>
        <w:t>ominio, no puede ser modificado</w:t>
      </w:r>
      <w:r w:rsidR="009E432F" w:rsidRPr="0028641F">
        <w:rPr>
          <w:rFonts w:ascii="Arial" w:eastAsia="Times New Roman" w:hAnsi="Arial" w:cs="Arial"/>
          <w:color w:val="000000" w:themeColor="text1"/>
          <w:sz w:val="24"/>
          <w:szCs w:val="24"/>
          <w:lang w:eastAsia="es-ES_tradnl"/>
        </w:rPr>
        <w:t xml:space="preserve"> en su ca</w:t>
      </w:r>
      <w:r w:rsidR="00F4678B" w:rsidRPr="0028641F">
        <w:rPr>
          <w:rFonts w:ascii="Arial" w:eastAsia="Times New Roman" w:hAnsi="Arial" w:cs="Arial"/>
          <w:color w:val="000000" w:themeColor="text1"/>
          <w:sz w:val="24"/>
          <w:szCs w:val="24"/>
          <w:lang w:eastAsia="es-ES_tradnl"/>
        </w:rPr>
        <w:t>bida por un</w:t>
      </w:r>
      <w:r w:rsidR="00027941" w:rsidRPr="0028641F">
        <w:rPr>
          <w:rFonts w:ascii="Arial" w:eastAsia="Times New Roman" w:hAnsi="Arial" w:cs="Arial"/>
          <w:color w:val="000000" w:themeColor="text1"/>
          <w:sz w:val="24"/>
          <w:szCs w:val="24"/>
          <w:lang w:eastAsia="es-ES_tradnl"/>
        </w:rPr>
        <w:t>a autorización administrativa</w:t>
      </w:r>
      <w:r w:rsidR="007C1954" w:rsidRPr="0028641F">
        <w:rPr>
          <w:rFonts w:ascii="Arial" w:eastAsia="Times New Roman" w:hAnsi="Arial" w:cs="Arial"/>
          <w:color w:val="000000" w:themeColor="text1"/>
          <w:sz w:val="24"/>
          <w:szCs w:val="24"/>
          <w:lang w:eastAsia="es-ES_tradnl"/>
        </w:rPr>
        <w:t xml:space="preserve"> y</w:t>
      </w:r>
      <w:r w:rsidRPr="0028641F">
        <w:rPr>
          <w:rFonts w:ascii="Arial" w:eastAsia="Times New Roman" w:hAnsi="Arial" w:cs="Arial"/>
          <w:color w:val="000000" w:themeColor="text1"/>
          <w:sz w:val="24"/>
          <w:szCs w:val="24"/>
          <w:lang w:eastAsia="es-ES_tradnl"/>
        </w:rPr>
        <w:t xml:space="preserve"> no puede entrar dentro de las consideraciones establecidas en los artículo</w:t>
      </w:r>
      <w:r w:rsidR="007C1954" w:rsidRPr="0028641F">
        <w:rPr>
          <w:rFonts w:ascii="Arial" w:eastAsia="Times New Roman" w:hAnsi="Arial" w:cs="Arial"/>
          <w:color w:val="000000" w:themeColor="text1"/>
          <w:sz w:val="24"/>
          <w:szCs w:val="24"/>
          <w:lang w:eastAsia="es-ES_tradnl"/>
        </w:rPr>
        <w:t>s</w:t>
      </w:r>
      <w:r w:rsidRPr="0028641F">
        <w:rPr>
          <w:rFonts w:ascii="Arial" w:eastAsia="Times New Roman" w:hAnsi="Arial" w:cs="Arial"/>
          <w:color w:val="000000" w:themeColor="text1"/>
          <w:sz w:val="24"/>
          <w:szCs w:val="24"/>
          <w:lang w:eastAsia="es-ES_tradnl"/>
        </w:rPr>
        <w:t xml:space="preserve"> 2169 y siguientes del Código Municipal.</w:t>
      </w:r>
    </w:p>
    <w:p w:rsidR="00FE39C6" w:rsidRPr="00FE39C6" w:rsidRDefault="00713085" w:rsidP="0028641F">
      <w:pPr>
        <w:shd w:val="clear" w:color="auto" w:fill="FFFFFF"/>
        <w:spacing w:after="0" w:line="240" w:lineRule="auto"/>
        <w:jc w:val="both"/>
        <w:rPr>
          <w:rFonts w:ascii="Arial" w:eastAsia="Times New Roman" w:hAnsi="Arial" w:cs="Arial"/>
          <w:i/>
          <w:color w:val="000000" w:themeColor="text1"/>
          <w:sz w:val="24"/>
          <w:szCs w:val="24"/>
          <w:lang w:eastAsia="es-EC"/>
        </w:rPr>
      </w:pPr>
      <w:r w:rsidRPr="0028641F">
        <w:rPr>
          <w:rFonts w:ascii="Arial" w:eastAsia="Times New Roman" w:hAnsi="Arial" w:cs="Arial"/>
          <w:color w:val="000000" w:themeColor="text1"/>
          <w:sz w:val="24"/>
          <w:szCs w:val="24"/>
          <w:lang w:eastAsia="es-EC"/>
        </w:rPr>
        <w:t xml:space="preserve">No </w:t>
      </w:r>
      <w:r w:rsidR="00017810" w:rsidRPr="0028641F">
        <w:rPr>
          <w:rFonts w:ascii="Arial" w:eastAsia="Times New Roman" w:hAnsi="Arial" w:cs="Arial"/>
          <w:color w:val="000000" w:themeColor="text1"/>
          <w:sz w:val="24"/>
          <w:szCs w:val="24"/>
          <w:lang w:eastAsia="es-EC"/>
        </w:rPr>
        <w:t>obstante,</w:t>
      </w:r>
      <w:r w:rsidRPr="0028641F">
        <w:rPr>
          <w:rFonts w:ascii="Arial" w:eastAsia="Times New Roman" w:hAnsi="Arial" w:cs="Arial"/>
          <w:color w:val="000000" w:themeColor="text1"/>
          <w:sz w:val="24"/>
          <w:szCs w:val="24"/>
          <w:lang w:eastAsia="es-EC"/>
        </w:rPr>
        <w:t xml:space="preserve"> desde el año 2011, las Administraciones Zonales se han sustentado en una consulta absuelta por la Procuraduría Metropolitana, del expediente No. 2950-2010, de fecha 31 de octubre de 2011, para tratar a la prescripción adquisitiva</w:t>
      </w:r>
      <w:r w:rsidR="00017810" w:rsidRPr="0028641F">
        <w:rPr>
          <w:rFonts w:ascii="Arial" w:eastAsia="Times New Roman" w:hAnsi="Arial" w:cs="Arial"/>
          <w:color w:val="000000" w:themeColor="text1"/>
          <w:sz w:val="24"/>
          <w:szCs w:val="24"/>
          <w:lang w:eastAsia="es-EC"/>
        </w:rPr>
        <w:t xml:space="preserve"> de dominio, cuando es respecto de una parte de un inmueble, como un trámite de fraccionamiento o subdivisión. La consulta, además se contradice al establecer luego, </w:t>
      </w:r>
      <w:r w:rsidR="00017810" w:rsidRPr="0028641F">
        <w:rPr>
          <w:rFonts w:ascii="Arial" w:eastAsia="Times New Roman" w:hAnsi="Arial" w:cs="Arial"/>
          <w:i/>
          <w:color w:val="000000" w:themeColor="text1"/>
          <w:sz w:val="24"/>
          <w:szCs w:val="24"/>
          <w:lang w:eastAsia="es-EC"/>
        </w:rPr>
        <w:t>“Lo importante e</w:t>
      </w:r>
      <w:r w:rsidR="0028641F">
        <w:rPr>
          <w:rFonts w:ascii="Arial" w:eastAsia="Times New Roman" w:hAnsi="Arial" w:cs="Arial"/>
          <w:i/>
          <w:color w:val="000000" w:themeColor="text1"/>
          <w:sz w:val="24"/>
          <w:szCs w:val="24"/>
          <w:lang w:eastAsia="es-EC"/>
        </w:rPr>
        <w:t>n</w:t>
      </w:r>
      <w:r w:rsidR="00017810" w:rsidRPr="0028641F">
        <w:rPr>
          <w:rFonts w:ascii="Arial" w:eastAsia="Times New Roman" w:hAnsi="Arial" w:cs="Arial"/>
          <w:i/>
          <w:color w:val="000000" w:themeColor="text1"/>
          <w:sz w:val="24"/>
          <w:szCs w:val="24"/>
          <w:lang w:eastAsia="es-EC"/>
        </w:rPr>
        <w:t xml:space="preserve"> los últimos dos escenarios es que bajo ningún concepto los procesos internos del Municipio, pueden afectar los derechos e intereses del actor (interesado), sobre todo en lo que tiene que ver con obtener la regularización del inmueble que adquirió mediante la prescripción adquisitiva”.</w:t>
      </w:r>
      <w:r w:rsidR="00FE39C6">
        <w:rPr>
          <w:rFonts w:ascii="Arial" w:eastAsia="Times New Roman" w:hAnsi="Arial" w:cs="Arial"/>
          <w:i/>
          <w:color w:val="000000" w:themeColor="text1"/>
          <w:sz w:val="24"/>
          <w:szCs w:val="24"/>
          <w:lang w:eastAsia="es-EC"/>
        </w:rPr>
        <w:t xml:space="preserve"> </w:t>
      </w:r>
      <w:r w:rsidR="00FE39C6">
        <w:rPr>
          <w:rFonts w:ascii="Arial" w:eastAsia="Times New Roman" w:hAnsi="Arial" w:cs="Arial"/>
          <w:color w:val="000000" w:themeColor="text1"/>
          <w:sz w:val="24"/>
          <w:szCs w:val="24"/>
          <w:lang w:eastAsia="es-EC"/>
        </w:rPr>
        <w:t>Lo “dispuesto” por la Procuraduría Metropolitana, efectivamente afectaría los derechos e intereses de los interesados.</w:t>
      </w:r>
    </w:p>
    <w:p w:rsidR="00F4678B" w:rsidRPr="0028641F" w:rsidRDefault="00F4678B" w:rsidP="0028641F">
      <w:pPr>
        <w:shd w:val="clear" w:color="auto" w:fill="FFFFFF"/>
        <w:spacing w:after="0" w:line="240" w:lineRule="auto"/>
        <w:jc w:val="both"/>
        <w:rPr>
          <w:rFonts w:ascii="Arial" w:eastAsia="Times New Roman" w:hAnsi="Arial" w:cs="Arial"/>
          <w:i/>
          <w:color w:val="000000" w:themeColor="text1"/>
          <w:sz w:val="24"/>
          <w:szCs w:val="24"/>
          <w:lang w:eastAsia="es-EC"/>
        </w:rPr>
      </w:pPr>
    </w:p>
    <w:p w:rsidR="00027941" w:rsidRPr="0028641F" w:rsidRDefault="00F4678B" w:rsidP="0028641F">
      <w:pPr>
        <w:shd w:val="clear" w:color="auto" w:fill="FFFFFF"/>
        <w:spacing w:after="0" w:line="240" w:lineRule="auto"/>
        <w:jc w:val="both"/>
        <w:rPr>
          <w:rFonts w:ascii="Arial" w:eastAsia="Times New Roman" w:hAnsi="Arial" w:cs="Arial"/>
          <w:color w:val="000000" w:themeColor="text1"/>
          <w:sz w:val="24"/>
          <w:szCs w:val="24"/>
          <w:lang w:eastAsia="es-EC"/>
        </w:rPr>
      </w:pPr>
      <w:r w:rsidRPr="0028641F">
        <w:rPr>
          <w:rFonts w:ascii="Arial" w:eastAsia="Times New Roman" w:hAnsi="Arial" w:cs="Arial"/>
          <w:color w:val="000000" w:themeColor="text1"/>
          <w:sz w:val="24"/>
          <w:szCs w:val="24"/>
          <w:lang w:eastAsia="es-EC"/>
        </w:rPr>
        <w:t>De igual manera, la partición judicial</w:t>
      </w:r>
      <w:r w:rsidR="007C1954" w:rsidRPr="0028641F">
        <w:rPr>
          <w:rFonts w:ascii="Arial" w:eastAsia="Times New Roman" w:hAnsi="Arial" w:cs="Arial"/>
          <w:color w:val="000000" w:themeColor="text1"/>
          <w:sz w:val="24"/>
          <w:szCs w:val="24"/>
          <w:lang w:eastAsia="es-EC"/>
        </w:rPr>
        <w:t xml:space="preserve">, de conformidad al artículo 473 del Código Orgánico de Organización Territorial, Autonomía y Descentralización, </w:t>
      </w:r>
      <w:r w:rsidR="007C1954" w:rsidRPr="0028641F">
        <w:rPr>
          <w:rFonts w:ascii="Arial" w:hAnsi="Arial" w:cs="Arial"/>
          <w:sz w:val="24"/>
          <w:szCs w:val="24"/>
        </w:rPr>
        <w:t>contiene dos obligaciones para los jueces; la primera que toda demanda que verse sobre la partición de bienes inmuebles que se encuentra dentro del límite urbano sea</w:t>
      </w:r>
      <w:r w:rsidR="00027941" w:rsidRPr="0028641F">
        <w:rPr>
          <w:rFonts w:ascii="Arial" w:hAnsi="Arial" w:cs="Arial"/>
          <w:sz w:val="24"/>
          <w:szCs w:val="24"/>
        </w:rPr>
        <w:t xml:space="preserve"> citada</w:t>
      </w:r>
      <w:r w:rsidR="007C1954" w:rsidRPr="0028641F">
        <w:rPr>
          <w:rFonts w:ascii="Arial" w:hAnsi="Arial" w:cs="Arial"/>
          <w:sz w:val="24"/>
          <w:szCs w:val="24"/>
        </w:rPr>
        <w:t xml:space="preserve"> la municipalidad del cantón o distrito metropolitano, representados por su alcalde y procurador síndico municipal; y, la segunda que no podrá emitirse sentencia que signifique la partición de un bien inmueble urbano, sin que previamente deba contarse con el informe favorable del concejo.</w:t>
      </w:r>
      <w:r w:rsidR="007C1954" w:rsidRPr="0028641F">
        <w:rPr>
          <w:rFonts w:ascii="Arial" w:eastAsia="Times New Roman" w:hAnsi="Arial" w:cs="Arial"/>
          <w:color w:val="000000" w:themeColor="text1"/>
          <w:sz w:val="24"/>
          <w:szCs w:val="24"/>
          <w:lang w:eastAsia="es-EC"/>
        </w:rPr>
        <w:t xml:space="preserve"> </w:t>
      </w:r>
    </w:p>
    <w:p w:rsidR="00027941" w:rsidRPr="0028641F" w:rsidRDefault="00027941" w:rsidP="0028641F">
      <w:pPr>
        <w:shd w:val="clear" w:color="auto" w:fill="FFFFFF"/>
        <w:spacing w:after="0" w:line="240" w:lineRule="auto"/>
        <w:jc w:val="both"/>
        <w:rPr>
          <w:rFonts w:ascii="Arial" w:eastAsia="Times New Roman" w:hAnsi="Arial" w:cs="Arial"/>
          <w:color w:val="000000" w:themeColor="text1"/>
          <w:sz w:val="24"/>
          <w:szCs w:val="24"/>
          <w:lang w:eastAsia="es-EC"/>
        </w:rPr>
      </w:pPr>
    </w:p>
    <w:p w:rsidR="00E211B3" w:rsidRPr="0028641F" w:rsidRDefault="00027941" w:rsidP="0028641F">
      <w:pPr>
        <w:shd w:val="clear" w:color="auto" w:fill="FFFFFF"/>
        <w:spacing w:after="0" w:line="240" w:lineRule="auto"/>
        <w:jc w:val="both"/>
        <w:rPr>
          <w:rFonts w:ascii="Arial" w:eastAsia="Times New Roman" w:hAnsi="Arial" w:cs="Arial"/>
          <w:color w:val="000000" w:themeColor="text1"/>
          <w:sz w:val="24"/>
          <w:szCs w:val="24"/>
          <w:lang w:eastAsia="es-EC"/>
        </w:rPr>
      </w:pPr>
      <w:r w:rsidRPr="0028641F">
        <w:rPr>
          <w:rFonts w:ascii="Arial" w:eastAsia="Times New Roman" w:hAnsi="Arial" w:cs="Arial"/>
          <w:color w:val="000000" w:themeColor="text1"/>
          <w:sz w:val="24"/>
          <w:szCs w:val="24"/>
          <w:lang w:eastAsia="es-EC"/>
        </w:rPr>
        <w:t>Es decir, en caso de que no se cumpla el segundo supuesto, no se podrá realizar la partición; sin embargo, de existir informe favorable, la decisión judicial no puede ser modificada por una norma distinta, establecida en una ordenanza, que contraviene lo establecido por el COOTAD, considerando lo dispuesto por el artículo 706 del Código Civil, que exige para efectuar una inscripción</w:t>
      </w:r>
      <w:r w:rsidR="00FE39C6">
        <w:rPr>
          <w:rFonts w:ascii="Arial" w:eastAsia="Times New Roman" w:hAnsi="Arial" w:cs="Arial"/>
          <w:color w:val="000000" w:themeColor="text1"/>
          <w:sz w:val="24"/>
          <w:szCs w:val="24"/>
          <w:lang w:eastAsia="es-EC"/>
        </w:rPr>
        <w:t>,</w:t>
      </w:r>
      <w:r w:rsidRPr="0028641F">
        <w:rPr>
          <w:rFonts w:ascii="Arial" w:eastAsia="Times New Roman" w:hAnsi="Arial" w:cs="Arial"/>
          <w:color w:val="000000" w:themeColor="text1"/>
          <w:sz w:val="24"/>
          <w:szCs w:val="24"/>
          <w:lang w:eastAsia="es-EC"/>
        </w:rPr>
        <w:t xml:space="preserve"> </w:t>
      </w:r>
      <w:r w:rsidRPr="0028641F">
        <w:rPr>
          <w:rFonts w:ascii="Arial" w:hAnsi="Arial" w:cs="Arial"/>
          <w:color w:val="37474F"/>
          <w:sz w:val="24"/>
          <w:szCs w:val="24"/>
          <w:shd w:val="clear" w:color="auto" w:fill="FFFFFF"/>
        </w:rPr>
        <w:t xml:space="preserve">exhibir únicamente al registrador, </w:t>
      </w:r>
      <w:r w:rsidR="00FE39C6">
        <w:rPr>
          <w:rFonts w:ascii="Arial" w:hAnsi="Arial" w:cs="Arial"/>
          <w:color w:val="37474F"/>
          <w:sz w:val="24"/>
          <w:szCs w:val="24"/>
          <w:shd w:val="clear" w:color="auto" w:fill="FFFFFF"/>
        </w:rPr>
        <w:t xml:space="preserve">la </w:t>
      </w:r>
      <w:r w:rsidRPr="0028641F">
        <w:rPr>
          <w:rFonts w:ascii="Arial" w:hAnsi="Arial" w:cs="Arial"/>
          <w:color w:val="37474F"/>
          <w:sz w:val="24"/>
          <w:szCs w:val="24"/>
          <w:shd w:val="clear" w:color="auto" w:fill="FFFFFF"/>
        </w:rPr>
        <w:t>copia auténtica de la disposición judicial.</w:t>
      </w:r>
      <w:r w:rsidRPr="0028641F">
        <w:rPr>
          <w:rFonts w:ascii="Arial" w:hAnsi="Arial" w:cs="Arial"/>
          <w:color w:val="37474F"/>
          <w:sz w:val="24"/>
          <w:szCs w:val="24"/>
        </w:rPr>
        <w:br/>
      </w:r>
    </w:p>
    <w:p w:rsidR="00E211B3" w:rsidRPr="0028641F" w:rsidRDefault="00E211B3" w:rsidP="0028641F">
      <w:pPr>
        <w:shd w:val="clear" w:color="auto" w:fill="FFFFFF"/>
        <w:spacing w:after="0" w:line="240" w:lineRule="auto"/>
        <w:jc w:val="both"/>
        <w:rPr>
          <w:rFonts w:ascii="Arial" w:eastAsia="Times New Roman" w:hAnsi="Arial" w:cs="Arial"/>
          <w:color w:val="000000" w:themeColor="text1"/>
          <w:sz w:val="24"/>
          <w:szCs w:val="24"/>
          <w:lang w:eastAsia="es-EC"/>
        </w:rPr>
      </w:pPr>
      <w:r w:rsidRPr="0028641F">
        <w:rPr>
          <w:rFonts w:ascii="Arial" w:eastAsia="Times New Roman" w:hAnsi="Arial" w:cs="Arial"/>
          <w:color w:val="000000" w:themeColor="text1"/>
          <w:sz w:val="24"/>
          <w:szCs w:val="24"/>
          <w:lang w:eastAsia="es-EC"/>
        </w:rPr>
        <w:t>Con el fin de que la norma Municipal se encuentre en armonía con el Código Orgánico de Organización Territorial, Autonomía y Descentralización</w:t>
      </w:r>
      <w:r w:rsidR="001543A0" w:rsidRPr="0028641F">
        <w:rPr>
          <w:rFonts w:ascii="Arial" w:eastAsia="Times New Roman" w:hAnsi="Arial" w:cs="Arial"/>
          <w:color w:val="000000" w:themeColor="text1"/>
          <w:sz w:val="24"/>
          <w:szCs w:val="24"/>
          <w:lang w:eastAsia="es-EC"/>
        </w:rPr>
        <w:t>, se considera necesario realizar el análisis correspondiente y corregir lo dispuesto en el Código Municipal.</w:t>
      </w:r>
    </w:p>
    <w:p w:rsidR="004E3AA1" w:rsidRPr="0028641F" w:rsidRDefault="004E3AA1" w:rsidP="0028641F">
      <w:pPr>
        <w:shd w:val="clear" w:color="auto" w:fill="FFFFFF"/>
        <w:spacing w:after="0" w:line="240" w:lineRule="auto"/>
        <w:jc w:val="both"/>
        <w:rPr>
          <w:rFonts w:ascii="Arial" w:eastAsia="Times New Roman" w:hAnsi="Arial" w:cs="Arial"/>
          <w:color w:val="000000" w:themeColor="text1"/>
          <w:sz w:val="24"/>
          <w:szCs w:val="24"/>
          <w:lang w:eastAsia="es-EC"/>
        </w:rPr>
      </w:pPr>
    </w:p>
    <w:p w:rsidR="00E211B3" w:rsidRPr="0028641F" w:rsidRDefault="00E211B3" w:rsidP="0028641F">
      <w:pPr>
        <w:shd w:val="clear" w:color="auto" w:fill="FFFFFF"/>
        <w:spacing w:after="0" w:line="240" w:lineRule="auto"/>
        <w:jc w:val="both"/>
        <w:rPr>
          <w:rFonts w:ascii="Arial" w:eastAsia="Times New Roman" w:hAnsi="Arial" w:cs="Arial"/>
          <w:color w:val="000000" w:themeColor="text1"/>
          <w:sz w:val="24"/>
          <w:szCs w:val="24"/>
          <w:lang w:eastAsia="es-EC"/>
        </w:rPr>
      </w:pPr>
    </w:p>
    <w:p w:rsidR="00E50B7B" w:rsidRPr="0028641F" w:rsidRDefault="00594413" w:rsidP="0028641F">
      <w:pPr>
        <w:jc w:val="both"/>
        <w:rPr>
          <w:rFonts w:ascii="Arial" w:hAnsi="Arial" w:cs="Arial"/>
          <w:b/>
          <w:color w:val="000000" w:themeColor="text1"/>
          <w:sz w:val="24"/>
          <w:szCs w:val="24"/>
        </w:rPr>
      </w:pPr>
      <w:r w:rsidRPr="0028641F">
        <w:rPr>
          <w:rFonts w:ascii="Arial" w:hAnsi="Arial" w:cs="Arial"/>
          <w:b/>
          <w:color w:val="000000" w:themeColor="text1"/>
          <w:sz w:val="24"/>
          <w:szCs w:val="24"/>
        </w:rPr>
        <w:t>CONSIDERANDO</w:t>
      </w:r>
    </w:p>
    <w:p w:rsidR="00351E7C" w:rsidRPr="007C4B65" w:rsidRDefault="00351E7C" w:rsidP="00351E7C">
      <w:pPr>
        <w:jc w:val="both"/>
        <w:rPr>
          <w:rFonts w:ascii="Arial" w:hAnsi="Arial" w:cs="Arial"/>
          <w:bCs/>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Que,</w:t>
      </w:r>
      <w:r w:rsidRPr="007C4B65">
        <w:rPr>
          <w:rFonts w:ascii="Arial" w:hAnsi="Arial" w:cs="Arial"/>
          <w:bCs/>
          <w:color w:val="000000" w:themeColor="text1"/>
          <w:sz w:val="24"/>
          <w:szCs w:val="24"/>
          <w:shd w:val="clear" w:color="auto" w:fill="FFFFFF"/>
        </w:rPr>
        <w:t xml:space="preserve"> el artículo 240 de la Constitución de la República del Ecuador dispone que los gobiernos autónomos descentralizados de los distritos metropolitanos tienen facultades legislativas en el ámbito de sus competencias y jurisdicciones territoriales; </w:t>
      </w:r>
    </w:p>
    <w:p w:rsidR="00351E7C" w:rsidRPr="007C4B65" w:rsidRDefault="00351E7C" w:rsidP="00351E7C">
      <w:pPr>
        <w:jc w:val="both"/>
        <w:rPr>
          <w:rFonts w:ascii="Arial" w:hAnsi="Arial" w:cs="Arial"/>
          <w:bCs/>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Que,</w:t>
      </w:r>
      <w:r w:rsidRPr="007C4B65">
        <w:rPr>
          <w:rFonts w:ascii="Arial" w:hAnsi="Arial" w:cs="Arial"/>
          <w:bCs/>
          <w:color w:val="000000" w:themeColor="text1"/>
          <w:sz w:val="24"/>
          <w:szCs w:val="24"/>
          <w:shd w:val="clear" w:color="auto" w:fill="FFFFFF"/>
        </w:rPr>
        <w:t xml:space="preserve"> el numeral 9, del artículo 264 de la Norma Suprema, establece que es competencia exclusiva de los gobiernos municipales formar y administrar los catastros inmobiliarios urbanos y rurales; </w:t>
      </w:r>
    </w:p>
    <w:p w:rsidR="00351E7C" w:rsidRPr="007C4B65" w:rsidRDefault="00351E7C" w:rsidP="00351E7C">
      <w:pPr>
        <w:jc w:val="both"/>
        <w:rPr>
          <w:rFonts w:ascii="Arial" w:hAnsi="Arial" w:cs="Arial"/>
          <w:bCs/>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Que,</w:t>
      </w:r>
      <w:r w:rsidRPr="007C4B65">
        <w:rPr>
          <w:rFonts w:ascii="Arial" w:hAnsi="Arial" w:cs="Arial"/>
          <w:bCs/>
          <w:color w:val="000000" w:themeColor="text1"/>
          <w:sz w:val="24"/>
          <w:szCs w:val="24"/>
          <w:shd w:val="clear" w:color="auto" w:fill="FFFFFF"/>
        </w:rPr>
        <w:t xml:space="preserve"> el artículo 266 de la Constitución de la República del Ecuador, dispone que: </w:t>
      </w:r>
      <w:r w:rsidRPr="007C4B65">
        <w:rPr>
          <w:rFonts w:ascii="Arial" w:hAnsi="Arial" w:cs="Arial"/>
          <w:bCs/>
          <w:i/>
          <w:color w:val="000000" w:themeColor="text1"/>
          <w:sz w:val="24"/>
          <w:szCs w:val="24"/>
          <w:shd w:val="clear" w:color="auto" w:fill="FFFFFF"/>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7C4B65">
        <w:rPr>
          <w:rFonts w:ascii="Arial" w:hAnsi="Arial" w:cs="Arial"/>
          <w:bCs/>
          <w:color w:val="000000" w:themeColor="text1"/>
          <w:sz w:val="24"/>
          <w:szCs w:val="24"/>
          <w:shd w:val="clear" w:color="auto" w:fill="FFFFFF"/>
        </w:rPr>
        <w:t xml:space="preserve">; </w:t>
      </w:r>
    </w:p>
    <w:p w:rsidR="00DE58F7" w:rsidRDefault="00351E7C" w:rsidP="00351E7C">
      <w:pPr>
        <w:jc w:val="both"/>
        <w:rPr>
          <w:rFonts w:ascii="Arial" w:hAnsi="Arial" w:cs="Arial"/>
          <w:bCs/>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 xml:space="preserve">Que, </w:t>
      </w:r>
      <w:r w:rsidRPr="007C4B65">
        <w:rPr>
          <w:rFonts w:ascii="Arial" w:hAnsi="Arial" w:cs="Arial"/>
          <w:bCs/>
          <w:color w:val="000000" w:themeColor="text1"/>
          <w:sz w:val="24"/>
          <w:szCs w:val="24"/>
          <w:shd w:val="clear" w:color="auto" w:fill="FFFFFF"/>
        </w:rPr>
        <w:t xml:space="preserve">el artículo 321 de la Carta Magna determina que: </w:t>
      </w:r>
      <w:r w:rsidRPr="007C4B65">
        <w:rPr>
          <w:rFonts w:ascii="Arial" w:hAnsi="Arial" w:cs="Arial"/>
          <w:bCs/>
          <w:i/>
          <w:color w:val="000000" w:themeColor="text1"/>
          <w:sz w:val="24"/>
          <w:szCs w:val="24"/>
          <w:shd w:val="clear" w:color="auto" w:fill="FFFFFF"/>
        </w:rPr>
        <w:t>"El Estado reconoce y garantiza el derecho a la propiedad en sus formas pública, privada, comunitaria, estatal, asociativa, cooperativa, mixta, y que deberá cumplir su función social y ambiental"</w:t>
      </w:r>
      <w:r w:rsidRPr="007C4B65">
        <w:rPr>
          <w:rFonts w:ascii="Arial" w:hAnsi="Arial" w:cs="Arial"/>
          <w:bCs/>
          <w:color w:val="000000" w:themeColor="text1"/>
          <w:sz w:val="24"/>
          <w:szCs w:val="24"/>
          <w:shd w:val="clear" w:color="auto" w:fill="FFFFFF"/>
        </w:rPr>
        <w:t xml:space="preserve">; </w:t>
      </w:r>
    </w:p>
    <w:p w:rsidR="00DE58F7" w:rsidRDefault="00DE58F7" w:rsidP="00351E7C">
      <w:pPr>
        <w:jc w:val="both"/>
        <w:rPr>
          <w:rFonts w:ascii="Arial" w:hAnsi="Arial" w:cs="Arial"/>
          <w:bCs/>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 xml:space="preserve">Que, </w:t>
      </w:r>
      <w:r w:rsidRPr="007C4B65">
        <w:rPr>
          <w:rFonts w:ascii="Arial" w:hAnsi="Arial" w:cs="Arial"/>
          <w:bCs/>
          <w:color w:val="000000" w:themeColor="text1"/>
          <w:sz w:val="24"/>
          <w:szCs w:val="24"/>
          <w:shd w:val="clear" w:color="auto" w:fill="FFFFFF"/>
        </w:rPr>
        <w:t xml:space="preserve">el artículo </w:t>
      </w:r>
      <w:r>
        <w:rPr>
          <w:rFonts w:ascii="Arial" w:hAnsi="Arial" w:cs="Arial"/>
          <w:bCs/>
          <w:color w:val="000000" w:themeColor="text1"/>
          <w:sz w:val="24"/>
          <w:szCs w:val="24"/>
          <w:shd w:val="clear" w:color="auto" w:fill="FFFFFF"/>
        </w:rPr>
        <w:t>706 del Código Civil</w:t>
      </w:r>
      <w:r>
        <w:rPr>
          <w:rFonts w:ascii="Arial" w:hAnsi="Arial" w:cs="Arial"/>
          <w:color w:val="37474F"/>
          <w:shd w:val="clear" w:color="auto" w:fill="FFFFFF"/>
        </w:rPr>
        <w:t xml:space="preserve"> dispone en su parte pertinente que, “Para efectuar la inscripción, se exhibirá al registrador copia auténtica del título respectivo, y de la disposición judicial, en su caso (…)”;</w:t>
      </w:r>
    </w:p>
    <w:p w:rsidR="00351E7C" w:rsidRPr="00351E7C" w:rsidRDefault="00351E7C" w:rsidP="00351E7C">
      <w:pPr>
        <w:jc w:val="both"/>
        <w:rPr>
          <w:rFonts w:ascii="Arial" w:hAnsi="Arial" w:cs="Arial"/>
          <w:bCs/>
          <w:i/>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 xml:space="preserve">Que, </w:t>
      </w:r>
      <w:r w:rsidRPr="007C4B65">
        <w:rPr>
          <w:rFonts w:ascii="Arial" w:hAnsi="Arial" w:cs="Arial"/>
          <w:bCs/>
          <w:color w:val="000000" w:themeColor="text1"/>
          <w:sz w:val="24"/>
          <w:szCs w:val="24"/>
          <w:shd w:val="clear" w:color="auto" w:fill="FFFFFF"/>
        </w:rPr>
        <w:t xml:space="preserve">el artículo </w:t>
      </w:r>
      <w:r>
        <w:rPr>
          <w:rFonts w:ascii="Arial" w:hAnsi="Arial" w:cs="Arial"/>
          <w:bCs/>
          <w:color w:val="000000" w:themeColor="text1"/>
          <w:sz w:val="24"/>
          <w:szCs w:val="24"/>
          <w:shd w:val="clear" w:color="auto" w:fill="FFFFFF"/>
        </w:rPr>
        <w:t>2392 de</w:t>
      </w:r>
      <w:r w:rsidR="00DE58F7">
        <w:rPr>
          <w:rFonts w:ascii="Arial" w:hAnsi="Arial" w:cs="Arial"/>
          <w:bCs/>
          <w:color w:val="000000" w:themeColor="text1"/>
          <w:sz w:val="24"/>
          <w:szCs w:val="24"/>
          <w:shd w:val="clear" w:color="auto" w:fill="FFFFFF"/>
        </w:rPr>
        <w:t xml:space="preserve"> </w:t>
      </w:r>
      <w:r>
        <w:rPr>
          <w:rFonts w:ascii="Arial" w:hAnsi="Arial" w:cs="Arial"/>
          <w:bCs/>
          <w:color w:val="000000" w:themeColor="text1"/>
          <w:sz w:val="24"/>
          <w:szCs w:val="24"/>
          <w:shd w:val="clear" w:color="auto" w:fill="FFFFFF"/>
        </w:rPr>
        <w:t>l</w:t>
      </w:r>
      <w:r w:rsidR="00DE58F7">
        <w:rPr>
          <w:rFonts w:ascii="Arial" w:hAnsi="Arial" w:cs="Arial"/>
          <w:bCs/>
          <w:color w:val="000000" w:themeColor="text1"/>
          <w:sz w:val="24"/>
          <w:szCs w:val="24"/>
          <w:shd w:val="clear" w:color="auto" w:fill="FFFFFF"/>
        </w:rPr>
        <w:t>a</w:t>
      </w:r>
      <w:r>
        <w:rPr>
          <w:rFonts w:ascii="Arial" w:hAnsi="Arial" w:cs="Arial"/>
          <w:bCs/>
          <w:color w:val="000000" w:themeColor="text1"/>
          <w:sz w:val="24"/>
          <w:szCs w:val="24"/>
          <w:shd w:val="clear" w:color="auto" w:fill="FFFFFF"/>
        </w:rPr>
        <w:t xml:space="preserve"> </w:t>
      </w:r>
      <w:r w:rsidR="00DE58F7">
        <w:rPr>
          <w:rFonts w:ascii="Arial" w:hAnsi="Arial" w:cs="Arial"/>
          <w:bCs/>
          <w:color w:val="000000" w:themeColor="text1"/>
          <w:sz w:val="24"/>
          <w:szCs w:val="24"/>
          <w:shd w:val="clear" w:color="auto" w:fill="FFFFFF"/>
        </w:rPr>
        <w:t>norma mencionada</w:t>
      </w:r>
      <w:r>
        <w:rPr>
          <w:rFonts w:ascii="Arial" w:hAnsi="Arial" w:cs="Arial"/>
          <w:bCs/>
          <w:color w:val="000000" w:themeColor="text1"/>
          <w:sz w:val="24"/>
          <w:szCs w:val="24"/>
          <w:shd w:val="clear" w:color="auto" w:fill="FFFFFF"/>
        </w:rPr>
        <w:t xml:space="preserve">, establece que la </w:t>
      </w:r>
      <w:r w:rsidRPr="00351E7C">
        <w:rPr>
          <w:rFonts w:ascii="Arial" w:hAnsi="Arial" w:cs="Arial"/>
          <w:bCs/>
          <w:i/>
          <w:color w:val="000000" w:themeColor="text1"/>
          <w:sz w:val="24"/>
          <w:szCs w:val="24"/>
          <w:shd w:val="clear" w:color="auto" w:fill="FFFFFF"/>
        </w:rPr>
        <w:t>“</w:t>
      </w:r>
      <w:r w:rsidRPr="00351E7C">
        <w:rPr>
          <w:rFonts w:ascii="Arial" w:hAnsi="Arial" w:cs="Arial"/>
          <w:i/>
          <w:color w:val="37474F"/>
          <w:shd w:val="clear" w:color="auto" w:fill="FFFFFF"/>
        </w:rPr>
        <w:t>Prescripción es un modo de adquirir las cosas ajenas, o de extinguir las acciones y derechos ajenos, por haberse poseído las cosas, o no haberse ejercido dichas acciones y derechos, durante cierto tiempo, y concurriendo los demás requisitos legales.</w:t>
      </w:r>
      <w:r w:rsidRPr="00351E7C">
        <w:rPr>
          <w:rFonts w:ascii="Arial" w:hAnsi="Arial" w:cs="Arial"/>
          <w:i/>
          <w:color w:val="37474F"/>
        </w:rPr>
        <w:br/>
      </w:r>
      <w:r w:rsidRPr="00351E7C">
        <w:rPr>
          <w:rFonts w:ascii="Arial" w:hAnsi="Arial" w:cs="Arial"/>
          <w:i/>
          <w:color w:val="37474F"/>
        </w:rPr>
        <w:br/>
      </w:r>
      <w:r w:rsidRPr="00351E7C">
        <w:rPr>
          <w:rFonts w:ascii="Arial" w:hAnsi="Arial" w:cs="Arial"/>
          <w:i/>
          <w:color w:val="37474F"/>
          <w:shd w:val="clear" w:color="auto" w:fill="FFFFFF"/>
        </w:rPr>
        <w:t>Una acción o derecho se dice que prescribe cuando se extingue por la prescripción.</w:t>
      </w:r>
      <w:r>
        <w:rPr>
          <w:rFonts w:ascii="Arial" w:hAnsi="Arial" w:cs="Arial"/>
          <w:i/>
          <w:color w:val="37474F"/>
          <w:shd w:val="clear" w:color="auto" w:fill="FFFFFF"/>
        </w:rPr>
        <w:t>”;</w:t>
      </w:r>
    </w:p>
    <w:p w:rsidR="00351E7C" w:rsidRDefault="00351E7C" w:rsidP="00351E7C">
      <w:pPr>
        <w:jc w:val="both"/>
        <w:rPr>
          <w:rFonts w:ascii="Arial" w:hAnsi="Arial" w:cs="Arial"/>
          <w:i/>
          <w:sz w:val="24"/>
          <w:szCs w:val="24"/>
        </w:rPr>
      </w:pPr>
      <w:r w:rsidRPr="007C4B65">
        <w:rPr>
          <w:rFonts w:ascii="Arial" w:hAnsi="Arial" w:cs="Arial"/>
          <w:b/>
          <w:color w:val="000000" w:themeColor="text1"/>
          <w:sz w:val="24"/>
          <w:szCs w:val="24"/>
          <w:shd w:val="clear" w:color="auto" w:fill="FFFFFF"/>
        </w:rPr>
        <w:t xml:space="preserve">Que, </w:t>
      </w:r>
      <w:r w:rsidRPr="007C4B65">
        <w:rPr>
          <w:rFonts w:ascii="Arial" w:hAnsi="Arial" w:cs="Arial"/>
          <w:bCs/>
          <w:color w:val="000000" w:themeColor="text1"/>
          <w:sz w:val="24"/>
          <w:szCs w:val="24"/>
          <w:shd w:val="clear" w:color="auto" w:fill="FFFFFF"/>
        </w:rPr>
        <w:t xml:space="preserve">el artículo </w:t>
      </w:r>
      <w:r>
        <w:rPr>
          <w:rFonts w:ascii="Arial" w:hAnsi="Arial" w:cs="Arial"/>
          <w:bCs/>
          <w:color w:val="000000" w:themeColor="text1"/>
          <w:sz w:val="24"/>
          <w:szCs w:val="24"/>
          <w:shd w:val="clear" w:color="auto" w:fill="FFFFFF"/>
        </w:rPr>
        <w:t>2398 del Código Civil menciona</w:t>
      </w:r>
      <w:r w:rsidRPr="007C4B65">
        <w:rPr>
          <w:rFonts w:ascii="Arial" w:hAnsi="Arial" w:cs="Arial"/>
          <w:bCs/>
          <w:color w:val="000000" w:themeColor="text1"/>
          <w:sz w:val="24"/>
          <w:szCs w:val="24"/>
          <w:shd w:val="clear" w:color="auto" w:fill="FFFFFF"/>
        </w:rPr>
        <w:t xml:space="preserve"> que:</w:t>
      </w:r>
      <w:r w:rsidRPr="002B4349">
        <w:t xml:space="preserve"> </w:t>
      </w:r>
      <w:r w:rsidRPr="002B4349">
        <w:rPr>
          <w:rFonts w:ascii="Arial" w:hAnsi="Arial" w:cs="Arial"/>
          <w:i/>
          <w:sz w:val="24"/>
          <w:szCs w:val="24"/>
        </w:rPr>
        <w:t>“(…) Salvo las excepciones que establece la Constitución, se gana por prescripción el dominio de los bienes corporales raíces o muebles, que están en el comercio humano, y se han poseído con las condiciones legales. Se ganan de la misma manera los otros derechos reales que no están especialmente exceptuados.”</w:t>
      </w:r>
      <w:r>
        <w:rPr>
          <w:rFonts w:ascii="Arial" w:hAnsi="Arial" w:cs="Arial"/>
          <w:i/>
          <w:sz w:val="24"/>
          <w:szCs w:val="24"/>
        </w:rPr>
        <w:t>;</w:t>
      </w:r>
    </w:p>
    <w:p w:rsidR="00351E7C" w:rsidRDefault="00351E7C" w:rsidP="00351E7C">
      <w:pPr>
        <w:jc w:val="both"/>
        <w:rPr>
          <w:rFonts w:ascii="Arial" w:hAnsi="Arial" w:cs="Arial"/>
          <w:i/>
          <w:color w:val="000000" w:themeColor="text1"/>
          <w:sz w:val="24"/>
          <w:szCs w:val="24"/>
        </w:rPr>
      </w:pPr>
      <w:r w:rsidRPr="002B4349">
        <w:rPr>
          <w:rFonts w:ascii="Arial" w:hAnsi="Arial" w:cs="Arial"/>
          <w:b/>
          <w:color w:val="000000" w:themeColor="text1"/>
          <w:sz w:val="24"/>
          <w:szCs w:val="24"/>
          <w:shd w:val="clear" w:color="auto" w:fill="FFFFFF"/>
        </w:rPr>
        <w:t xml:space="preserve">Que, </w:t>
      </w:r>
      <w:r w:rsidRPr="002B4349">
        <w:rPr>
          <w:rFonts w:ascii="Arial" w:hAnsi="Arial" w:cs="Arial"/>
          <w:bCs/>
          <w:color w:val="000000" w:themeColor="text1"/>
          <w:sz w:val="24"/>
          <w:szCs w:val="24"/>
          <w:shd w:val="clear" w:color="auto" w:fill="FFFFFF"/>
        </w:rPr>
        <w:t xml:space="preserve">el artículo 2410 de la </w:t>
      </w:r>
      <w:r w:rsidR="00DE58F7">
        <w:rPr>
          <w:rFonts w:ascii="Arial" w:hAnsi="Arial" w:cs="Arial"/>
          <w:bCs/>
          <w:color w:val="000000" w:themeColor="text1"/>
          <w:sz w:val="24"/>
          <w:szCs w:val="24"/>
          <w:shd w:val="clear" w:color="auto" w:fill="FFFFFF"/>
        </w:rPr>
        <w:t>ut supra</w:t>
      </w:r>
      <w:r w:rsidRPr="002B4349">
        <w:rPr>
          <w:rFonts w:ascii="Arial" w:hAnsi="Arial" w:cs="Arial"/>
          <w:bCs/>
          <w:color w:val="000000" w:themeColor="text1"/>
          <w:sz w:val="24"/>
          <w:szCs w:val="24"/>
          <w:shd w:val="clear" w:color="auto" w:fill="FFFFFF"/>
        </w:rPr>
        <w:t>, dispone que:</w:t>
      </w:r>
      <w:r w:rsidRPr="002B4349">
        <w:rPr>
          <w:rFonts w:ascii="Arial" w:hAnsi="Arial" w:cs="Arial"/>
          <w:color w:val="000000" w:themeColor="text1"/>
          <w:sz w:val="24"/>
          <w:szCs w:val="24"/>
        </w:rPr>
        <w:t xml:space="preserve"> </w:t>
      </w:r>
      <w:r w:rsidRPr="002B4349">
        <w:rPr>
          <w:rFonts w:ascii="Arial" w:hAnsi="Arial" w:cs="Arial"/>
          <w:i/>
          <w:color w:val="000000" w:themeColor="text1"/>
          <w:sz w:val="24"/>
          <w:szCs w:val="24"/>
        </w:rPr>
        <w:t>“(…) El dominio de las cosas comerciales que no ha sido adquirido por la prescripción ordinaria, puede s</w:t>
      </w:r>
      <w:r>
        <w:rPr>
          <w:rFonts w:ascii="Arial" w:hAnsi="Arial" w:cs="Arial"/>
          <w:i/>
          <w:color w:val="000000" w:themeColor="text1"/>
          <w:sz w:val="24"/>
          <w:szCs w:val="24"/>
        </w:rPr>
        <w:t>erlo por la extraordinaria (…)”;</w:t>
      </w:r>
    </w:p>
    <w:p w:rsidR="00351E7C" w:rsidRDefault="00351E7C" w:rsidP="00351E7C">
      <w:pPr>
        <w:jc w:val="both"/>
        <w:rPr>
          <w:rFonts w:ascii="Arial" w:hAnsi="Arial" w:cs="Arial"/>
          <w:i/>
          <w:color w:val="000000" w:themeColor="text1"/>
          <w:sz w:val="24"/>
          <w:szCs w:val="24"/>
        </w:rPr>
      </w:pPr>
      <w:r w:rsidRPr="002B4349">
        <w:rPr>
          <w:rFonts w:ascii="Arial" w:hAnsi="Arial" w:cs="Arial"/>
          <w:b/>
          <w:color w:val="000000" w:themeColor="text1"/>
          <w:sz w:val="24"/>
          <w:szCs w:val="24"/>
          <w:shd w:val="clear" w:color="auto" w:fill="FFFFFF"/>
        </w:rPr>
        <w:t xml:space="preserve">Que, </w:t>
      </w:r>
      <w:r w:rsidRPr="002B4349">
        <w:rPr>
          <w:rFonts w:ascii="Arial" w:hAnsi="Arial" w:cs="Arial"/>
          <w:bCs/>
          <w:color w:val="000000" w:themeColor="text1"/>
          <w:sz w:val="24"/>
          <w:szCs w:val="24"/>
          <w:shd w:val="clear" w:color="auto" w:fill="FFFFFF"/>
        </w:rPr>
        <w:t>el artículo 2411 de</w:t>
      </w:r>
      <w:r w:rsidR="00DE58F7">
        <w:rPr>
          <w:rFonts w:ascii="Arial" w:hAnsi="Arial" w:cs="Arial"/>
          <w:bCs/>
          <w:color w:val="000000" w:themeColor="text1"/>
          <w:sz w:val="24"/>
          <w:szCs w:val="24"/>
          <w:shd w:val="clear" w:color="auto" w:fill="FFFFFF"/>
        </w:rPr>
        <w:t>l Código antes indicado</w:t>
      </w:r>
      <w:r w:rsidRPr="002B4349">
        <w:rPr>
          <w:rFonts w:ascii="Arial" w:hAnsi="Arial" w:cs="Arial"/>
          <w:bCs/>
          <w:color w:val="000000" w:themeColor="text1"/>
          <w:sz w:val="24"/>
          <w:szCs w:val="24"/>
          <w:shd w:val="clear" w:color="auto" w:fill="FFFFFF"/>
        </w:rPr>
        <w:t>, establece que:</w:t>
      </w:r>
      <w:r w:rsidRPr="002B4349">
        <w:rPr>
          <w:rFonts w:ascii="Arial" w:hAnsi="Arial" w:cs="Arial"/>
          <w:color w:val="000000" w:themeColor="text1"/>
          <w:sz w:val="24"/>
          <w:szCs w:val="24"/>
        </w:rPr>
        <w:t xml:space="preserve"> </w:t>
      </w:r>
      <w:r w:rsidRPr="002B4349">
        <w:rPr>
          <w:rFonts w:ascii="Arial" w:hAnsi="Arial" w:cs="Arial"/>
          <w:i/>
          <w:color w:val="000000" w:themeColor="text1"/>
          <w:sz w:val="24"/>
          <w:szCs w:val="24"/>
        </w:rPr>
        <w:t xml:space="preserve">“(…) </w:t>
      </w:r>
      <w:r w:rsidRPr="002B4349">
        <w:rPr>
          <w:rFonts w:ascii="Arial" w:hAnsi="Arial" w:cs="Arial"/>
          <w:i/>
          <w:sz w:val="24"/>
          <w:szCs w:val="24"/>
        </w:rPr>
        <w:t>El tiempo necesario para adquirir por esta especie de prescripción es de quince años, contra toda persona, y no se suspende a favor de las enumeradas en el Art. 2409</w:t>
      </w:r>
      <w:r>
        <w:rPr>
          <w:rFonts w:ascii="Arial" w:hAnsi="Arial" w:cs="Arial"/>
          <w:i/>
          <w:color w:val="000000" w:themeColor="text1"/>
          <w:sz w:val="24"/>
          <w:szCs w:val="24"/>
        </w:rPr>
        <w:t xml:space="preserve"> (…)”;</w:t>
      </w:r>
    </w:p>
    <w:p w:rsidR="00351E7C" w:rsidRPr="00351E7C" w:rsidRDefault="00351E7C" w:rsidP="00351E7C">
      <w:pPr>
        <w:jc w:val="both"/>
        <w:rPr>
          <w:rFonts w:ascii="Arial" w:hAnsi="Arial" w:cs="Arial"/>
          <w:i/>
          <w:color w:val="000000" w:themeColor="text1"/>
          <w:sz w:val="24"/>
          <w:szCs w:val="24"/>
        </w:rPr>
      </w:pPr>
      <w:r w:rsidRPr="002B4349">
        <w:rPr>
          <w:rFonts w:ascii="Arial" w:hAnsi="Arial" w:cs="Arial"/>
          <w:b/>
          <w:color w:val="000000" w:themeColor="text1"/>
          <w:sz w:val="24"/>
          <w:szCs w:val="24"/>
          <w:shd w:val="clear" w:color="auto" w:fill="FFFFFF"/>
        </w:rPr>
        <w:t xml:space="preserve">Que, </w:t>
      </w:r>
      <w:r>
        <w:rPr>
          <w:rFonts w:ascii="Arial" w:hAnsi="Arial" w:cs="Arial"/>
          <w:bCs/>
          <w:color w:val="000000" w:themeColor="text1"/>
          <w:sz w:val="24"/>
          <w:szCs w:val="24"/>
          <w:shd w:val="clear" w:color="auto" w:fill="FFFFFF"/>
        </w:rPr>
        <w:t>el artículo 2413 del Código Civil, señala que</w:t>
      </w:r>
      <w:r w:rsidRPr="002B4349">
        <w:rPr>
          <w:rFonts w:ascii="Arial" w:hAnsi="Arial" w:cs="Arial"/>
          <w:bCs/>
          <w:color w:val="000000" w:themeColor="text1"/>
          <w:sz w:val="24"/>
          <w:szCs w:val="24"/>
          <w:shd w:val="clear" w:color="auto" w:fill="FFFFFF"/>
        </w:rPr>
        <w:t xml:space="preserve"> </w:t>
      </w:r>
      <w:r w:rsidRPr="00351E7C">
        <w:rPr>
          <w:rFonts w:ascii="Arial" w:hAnsi="Arial" w:cs="Arial"/>
          <w:bCs/>
          <w:i/>
          <w:color w:val="000000" w:themeColor="text1"/>
          <w:sz w:val="24"/>
          <w:szCs w:val="24"/>
          <w:shd w:val="clear" w:color="auto" w:fill="FFFFFF"/>
        </w:rPr>
        <w:t>“</w:t>
      </w:r>
      <w:r w:rsidRPr="00351E7C">
        <w:rPr>
          <w:rFonts w:ascii="Arial" w:hAnsi="Arial" w:cs="Arial"/>
          <w:i/>
          <w:color w:val="37474F"/>
          <w:shd w:val="clear" w:color="auto" w:fill="FFFFFF"/>
        </w:rPr>
        <w:t>La sentencia judicial que declara una prescripción hará las veces de escritura pública para la propiedad de bienes raíces o de derechos reales constituidos en ellos; pero no valdrá contra terceros, sin la competente inscripción.”</w:t>
      </w:r>
      <w:r>
        <w:rPr>
          <w:rFonts w:ascii="Arial" w:hAnsi="Arial" w:cs="Arial"/>
          <w:i/>
          <w:color w:val="37474F"/>
          <w:shd w:val="clear" w:color="auto" w:fill="FFFFFF"/>
        </w:rPr>
        <w:t>;</w:t>
      </w:r>
    </w:p>
    <w:p w:rsidR="00351E7C" w:rsidRPr="007C4B65" w:rsidRDefault="00351E7C" w:rsidP="00351E7C">
      <w:pPr>
        <w:jc w:val="both"/>
        <w:rPr>
          <w:rFonts w:ascii="Arial" w:hAnsi="Arial" w:cs="Arial"/>
          <w:bCs/>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 xml:space="preserve">Que, </w:t>
      </w:r>
      <w:r w:rsidRPr="007C4B65">
        <w:rPr>
          <w:rFonts w:ascii="Arial" w:hAnsi="Arial" w:cs="Arial"/>
          <w:bCs/>
          <w:color w:val="000000" w:themeColor="text1"/>
          <w:sz w:val="24"/>
          <w:szCs w:val="24"/>
          <w:shd w:val="clear" w:color="auto" w:fill="FFFFFF"/>
        </w:rPr>
        <w:t xml:space="preserve">el artículo 322 del Código Orgánico de Organización Territorial, Autonomía y Descentralización (en adelante "COOTAD") establece que: </w:t>
      </w:r>
      <w:r w:rsidRPr="007C4B65">
        <w:rPr>
          <w:rFonts w:ascii="Arial" w:hAnsi="Arial" w:cs="Arial"/>
          <w:bCs/>
          <w:i/>
          <w:color w:val="000000" w:themeColor="text1"/>
          <w:sz w:val="24"/>
          <w:szCs w:val="24"/>
          <w:shd w:val="clear" w:color="auto" w:fill="FFFFFF"/>
        </w:rPr>
        <w:t>"(...) Los consejos regionales y provinciales y los concejos metropolitanos y municipales aprobarán ordenanzas regionales, provinciales, metropolitanas y municipales, respectivamente, con el voto conforme de la mayoría de sus miembros (...)"</w:t>
      </w:r>
      <w:r w:rsidRPr="007C4B65">
        <w:rPr>
          <w:rFonts w:ascii="Arial" w:hAnsi="Arial" w:cs="Arial"/>
          <w:bCs/>
          <w:color w:val="000000" w:themeColor="text1"/>
          <w:sz w:val="24"/>
          <w:szCs w:val="24"/>
          <w:shd w:val="clear" w:color="auto" w:fill="FFFFFF"/>
        </w:rPr>
        <w:t xml:space="preserve">; </w:t>
      </w:r>
    </w:p>
    <w:p w:rsidR="00351E7C" w:rsidRDefault="00351E7C" w:rsidP="00351E7C">
      <w:pPr>
        <w:shd w:val="clear" w:color="auto" w:fill="FFFFFF" w:themeFill="background1"/>
        <w:jc w:val="both"/>
        <w:rPr>
          <w:rFonts w:ascii="Arial" w:eastAsia="Times New Roman" w:hAnsi="Arial" w:cs="Arial"/>
          <w:color w:val="000000" w:themeColor="text1"/>
          <w:sz w:val="24"/>
          <w:szCs w:val="24"/>
          <w:lang w:eastAsia="es-EC"/>
        </w:rPr>
      </w:pPr>
      <w:r w:rsidRPr="007C4B65">
        <w:rPr>
          <w:rFonts w:ascii="Arial" w:eastAsia="Times New Roman" w:hAnsi="Arial" w:cs="Arial"/>
          <w:b/>
          <w:color w:val="000000" w:themeColor="text1"/>
          <w:sz w:val="24"/>
          <w:szCs w:val="24"/>
          <w:lang w:eastAsia="es-EC"/>
        </w:rPr>
        <w:t xml:space="preserve">Que, </w:t>
      </w:r>
      <w:r w:rsidRPr="007C4B65">
        <w:rPr>
          <w:rFonts w:ascii="Arial" w:eastAsia="Times New Roman" w:hAnsi="Arial" w:cs="Arial"/>
          <w:color w:val="000000" w:themeColor="text1"/>
          <w:sz w:val="24"/>
          <w:szCs w:val="24"/>
          <w:lang w:eastAsia="es-EC"/>
        </w:rPr>
        <w:t>el artículo 424 de la citada normativa manifiesta respecto al área verde, comunitaria y vías que</w:t>
      </w:r>
      <w:r w:rsidRPr="007C4B65">
        <w:rPr>
          <w:rFonts w:ascii="Arial" w:eastAsia="Times New Roman" w:hAnsi="Arial" w:cs="Arial"/>
          <w:i/>
          <w:color w:val="000000" w:themeColor="text1"/>
          <w:sz w:val="24"/>
          <w:szCs w:val="24"/>
          <w:lang w:eastAsia="es-EC"/>
        </w:rPr>
        <w:t>: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r w:rsidRPr="007C4B65">
        <w:rPr>
          <w:rFonts w:ascii="Arial" w:eastAsia="Times New Roman" w:hAnsi="Arial" w:cs="Arial"/>
          <w:i/>
          <w:color w:val="000000" w:themeColor="text1"/>
          <w:sz w:val="24"/>
          <w:szCs w:val="24"/>
          <w:lang w:eastAsia="es-EC"/>
        </w:rPr>
        <w:br/>
      </w:r>
      <w:r w:rsidRPr="007C4B65">
        <w:rPr>
          <w:rFonts w:ascii="Arial" w:eastAsia="Times New Roman" w:hAnsi="Arial" w:cs="Arial"/>
          <w:i/>
          <w:color w:val="000000" w:themeColor="text1"/>
          <w:sz w:val="24"/>
          <w:szCs w:val="24"/>
          <w:lang w:eastAsia="es-EC"/>
        </w:rPr>
        <w:b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w:t>
      </w:r>
      <w:r w:rsidRPr="007C4B65">
        <w:rPr>
          <w:rFonts w:ascii="Arial" w:eastAsia="Times New Roman" w:hAnsi="Arial" w:cs="Arial"/>
          <w:i/>
          <w:color w:val="000000" w:themeColor="text1"/>
          <w:sz w:val="24"/>
          <w:szCs w:val="24"/>
          <w:shd w:val="clear" w:color="auto" w:fill="FFFFFF" w:themeFill="background1"/>
          <w:lang w:eastAsia="es-EC"/>
        </w:rPr>
        <w:t>urbanización</w:t>
      </w:r>
      <w:r w:rsidRPr="007C4B65">
        <w:rPr>
          <w:rFonts w:ascii="Arial" w:eastAsia="Times New Roman" w:hAnsi="Arial" w:cs="Arial"/>
          <w:i/>
          <w:color w:val="000000" w:themeColor="text1"/>
          <w:sz w:val="24"/>
          <w:szCs w:val="24"/>
          <w:lang w:eastAsia="es-EC"/>
        </w:rPr>
        <w:t> y lotización. (…)”</w:t>
      </w:r>
      <w:r w:rsidRPr="007C4B65">
        <w:rPr>
          <w:rFonts w:ascii="Arial" w:eastAsia="Times New Roman" w:hAnsi="Arial" w:cs="Arial"/>
          <w:color w:val="000000" w:themeColor="text1"/>
          <w:sz w:val="24"/>
          <w:szCs w:val="24"/>
          <w:lang w:eastAsia="es-EC"/>
        </w:rPr>
        <w:t>.</w:t>
      </w:r>
    </w:p>
    <w:p w:rsidR="00351E7C" w:rsidRPr="007C4B65" w:rsidRDefault="00351E7C" w:rsidP="00351E7C">
      <w:pPr>
        <w:shd w:val="clear" w:color="auto" w:fill="FFFFFF" w:themeFill="background1"/>
        <w:jc w:val="both"/>
        <w:rPr>
          <w:rFonts w:ascii="Arial" w:eastAsia="Times New Roman" w:hAnsi="Arial" w:cs="Arial"/>
          <w:color w:val="000000" w:themeColor="text1"/>
          <w:sz w:val="24"/>
          <w:szCs w:val="24"/>
          <w:lang w:eastAsia="es-EC"/>
        </w:rPr>
      </w:pPr>
      <w:r w:rsidRPr="007C4B65">
        <w:rPr>
          <w:rFonts w:ascii="Arial" w:eastAsia="Times New Roman" w:hAnsi="Arial" w:cs="Arial"/>
          <w:b/>
          <w:color w:val="000000" w:themeColor="text1"/>
          <w:sz w:val="24"/>
          <w:szCs w:val="24"/>
          <w:lang w:eastAsia="es-EC"/>
        </w:rPr>
        <w:t xml:space="preserve">Que, </w:t>
      </w:r>
      <w:r>
        <w:rPr>
          <w:rFonts w:ascii="Arial" w:eastAsia="Times New Roman" w:hAnsi="Arial" w:cs="Arial"/>
          <w:color w:val="000000" w:themeColor="text1"/>
          <w:sz w:val="24"/>
          <w:szCs w:val="24"/>
          <w:lang w:eastAsia="es-EC"/>
        </w:rPr>
        <w:t>el artículo 473</w:t>
      </w:r>
      <w:r w:rsidR="00DE58F7">
        <w:t xml:space="preserve"> de la norma ut supra, establece,</w:t>
      </w:r>
      <w:r w:rsidR="00DE58F7" w:rsidRPr="00DE58F7">
        <w:rPr>
          <w:i/>
        </w:rPr>
        <w:t xml:space="preserve"> “</w:t>
      </w:r>
      <w:r w:rsidRPr="00DE58F7">
        <w:rPr>
          <w:i/>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00DE58F7" w:rsidRPr="00DE58F7">
        <w:rPr>
          <w:i/>
        </w:rPr>
        <w:t>”</w:t>
      </w:r>
      <w:r w:rsidR="00DE58F7">
        <w:rPr>
          <w:i/>
        </w:rPr>
        <w:t>;</w:t>
      </w:r>
    </w:p>
    <w:p w:rsidR="00DE58F7" w:rsidRDefault="00351E7C" w:rsidP="00351E7C">
      <w:pPr>
        <w:shd w:val="clear" w:color="auto" w:fill="FFFFFF" w:themeFill="background1"/>
        <w:jc w:val="both"/>
        <w:rPr>
          <w:rFonts w:ascii="Arial" w:eastAsia="Times New Roman" w:hAnsi="Arial" w:cs="Arial"/>
          <w:color w:val="000000" w:themeColor="text1"/>
          <w:sz w:val="24"/>
          <w:szCs w:val="24"/>
          <w:lang w:eastAsia="es-EC"/>
        </w:rPr>
      </w:pPr>
      <w:r w:rsidRPr="007C4B65">
        <w:rPr>
          <w:rFonts w:ascii="Arial" w:eastAsia="Times New Roman" w:hAnsi="Arial" w:cs="Arial"/>
          <w:b/>
          <w:color w:val="000000" w:themeColor="text1"/>
          <w:sz w:val="24"/>
          <w:szCs w:val="24"/>
          <w:lang w:eastAsia="es-EC"/>
        </w:rPr>
        <w:t xml:space="preserve">Que, </w:t>
      </w:r>
      <w:r w:rsidRPr="007C4B65">
        <w:rPr>
          <w:rFonts w:ascii="Arial" w:eastAsia="Times New Roman" w:hAnsi="Arial" w:cs="Arial"/>
          <w:color w:val="000000" w:themeColor="text1"/>
          <w:sz w:val="24"/>
          <w:szCs w:val="24"/>
          <w:lang w:eastAsia="es-EC"/>
        </w:rPr>
        <w:t>el artículo 2169 del Código Municipal establece respecto a las áreas verdes, comunitarias y vías que son de biene</w:t>
      </w:r>
      <w:r w:rsidR="00DE58F7">
        <w:rPr>
          <w:rFonts w:ascii="Arial" w:eastAsia="Times New Roman" w:hAnsi="Arial" w:cs="Arial"/>
          <w:color w:val="000000" w:themeColor="text1"/>
          <w:sz w:val="24"/>
          <w:szCs w:val="24"/>
          <w:lang w:eastAsia="es-EC"/>
        </w:rPr>
        <w:t xml:space="preserve">s de dominio y uso público que, </w:t>
      </w:r>
    </w:p>
    <w:p w:rsidR="00351E7C" w:rsidRPr="007C4B65" w:rsidRDefault="00351E7C" w:rsidP="00351E7C">
      <w:pPr>
        <w:shd w:val="clear" w:color="auto" w:fill="FFFFFF" w:themeFill="background1"/>
        <w:jc w:val="both"/>
        <w:rPr>
          <w:rFonts w:ascii="Arial" w:hAnsi="Arial" w:cs="Arial"/>
          <w:color w:val="000000" w:themeColor="text1"/>
          <w:sz w:val="24"/>
          <w:szCs w:val="24"/>
          <w:shd w:val="clear" w:color="auto" w:fill="FFFFFF"/>
        </w:rPr>
      </w:pPr>
      <w:r w:rsidRPr="007C4B65">
        <w:rPr>
          <w:rFonts w:ascii="Arial" w:eastAsia="Times New Roman" w:hAnsi="Arial" w:cs="Arial"/>
          <w:color w:val="000000" w:themeColor="text1"/>
          <w:sz w:val="24"/>
          <w:szCs w:val="24"/>
          <w:lang w:eastAsia="es-EC"/>
        </w:rPr>
        <w:t xml:space="preserve"> </w:t>
      </w:r>
      <w:r w:rsidRPr="007C4B65">
        <w:rPr>
          <w:rFonts w:ascii="Arial" w:eastAsia="Times New Roman" w:hAnsi="Arial" w:cs="Arial"/>
          <w:i/>
          <w:color w:val="000000" w:themeColor="text1"/>
          <w:sz w:val="24"/>
          <w:szCs w:val="24"/>
          <w:lang w:eastAsia="es-EC"/>
        </w:rPr>
        <w:t>“</w:t>
      </w:r>
      <w:r w:rsidRPr="007C4B65">
        <w:rPr>
          <w:rFonts w:ascii="Arial" w:hAnsi="Arial" w:cs="Arial"/>
          <w:i/>
          <w:color w:val="000000" w:themeColor="text1"/>
          <w:sz w:val="24"/>
          <w:szCs w:val="24"/>
          <w:shd w:val="clear" w:color="auto" w:fill="FFFFFF"/>
        </w:rPr>
        <w:t>1.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 para cada uno de los siguientes casos:</w:t>
      </w:r>
      <w:r w:rsidRPr="007C4B65">
        <w:rPr>
          <w:rFonts w:ascii="Arial" w:hAnsi="Arial" w:cs="Arial"/>
          <w:i/>
          <w:color w:val="000000" w:themeColor="text1"/>
          <w:sz w:val="24"/>
          <w:szCs w:val="24"/>
        </w:rPr>
        <w:br/>
      </w:r>
      <w:r w:rsidRPr="007C4B65">
        <w:rPr>
          <w:rFonts w:ascii="Arial" w:hAnsi="Arial" w:cs="Arial"/>
          <w:i/>
          <w:color w:val="000000" w:themeColor="text1"/>
          <w:sz w:val="24"/>
          <w:szCs w:val="24"/>
        </w:rPr>
        <w:br/>
      </w:r>
      <w:r w:rsidRPr="007C4B65">
        <w:rPr>
          <w:rFonts w:ascii="Arial" w:hAnsi="Arial" w:cs="Arial"/>
          <w:i/>
          <w:color w:val="000000" w:themeColor="text1"/>
          <w:sz w:val="24"/>
          <w:szCs w:val="24"/>
          <w:shd w:val="clear" w:color="auto" w:fill="FFFFFF"/>
        </w:rPr>
        <w:t>a. En subdivisiones derivadas de una autorización administrativa de urbanización, el área verde y comunitaria deberá ser entregada por una sola vez, en forma de cesión gratuita y obligatoria, como mínimo el 15% del área útil urbanizable del terreno a dividirse;</w:t>
      </w:r>
      <w:r w:rsidRPr="007C4B65">
        <w:rPr>
          <w:rFonts w:ascii="Arial" w:hAnsi="Arial" w:cs="Arial"/>
          <w:i/>
          <w:color w:val="000000" w:themeColor="text1"/>
          <w:sz w:val="24"/>
          <w:szCs w:val="24"/>
        </w:rPr>
        <w:br/>
      </w:r>
      <w:r w:rsidRPr="007C4B65">
        <w:rPr>
          <w:rFonts w:ascii="Arial" w:hAnsi="Arial" w:cs="Arial"/>
          <w:i/>
          <w:color w:val="000000" w:themeColor="text1"/>
          <w:sz w:val="24"/>
          <w:szCs w:val="24"/>
        </w:rPr>
        <w:br/>
      </w:r>
      <w:r w:rsidRPr="007C4B65">
        <w:rPr>
          <w:rFonts w:ascii="Arial" w:hAnsi="Arial" w:cs="Arial"/>
          <w:i/>
          <w:color w:val="000000" w:themeColor="text1"/>
          <w:sz w:val="24"/>
          <w:szCs w:val="24"/>
          <w:shd w:val="clear" w:color="auto" w:fill="FFFFFF"/>
        </w:rPr>
        <w:t>b. En subdivisiones que no se deriven de una autorización administrativa de urbanización, el área verde deberá ser entregada en forma de cesión gratuita y obligatoria como mínimo el 15% del área útil urbanizable del terreno a dividirse.</w:t>
      </w:r>
      <w:r w:rsidRPr="007C4B65">
        <w:rPr>
          <w:rFonts w:ascii="Arial" w:hAnsi="Arial" w:cs="Arial"/>
          <w:color w:val="000000" w:themeColor="text1"/>
          <w:sz w:val="24"/>
          <w:szCs w:val="24"/>
        </w:rPr>
        <w:t xml:space="preserve"> </w:t>
      </w:r>
      <w:r w:rsidRPr="007C4B65">
        <w:rPr>
          <w:rFonts w:ascii="Arial" w:hAnsi="Arial" w:cs="Arial"/>
          <w:color w:val="000000" w:themeColor="text1"/>
          <w:sz w:val="24"/>
          <w:szCs w:val="24"/>
        </w:rPr>
        <w:br/>
      </w:r>
      <w:r w:rsidRPr="007C4B65">
        <w:rPr>
          <w:rFonts w:ascii="Arial" w:hAnsi="Arial" w:cs="Arial"/>
          <w:color w:val="000000" w:themeColor="text1"/>
          <w:sz w:val="24"/>
          <w:szCs w:val="24"/>
        </w:rPr>
        <w:br/>
      </w:r>
      <w:r w:rsidRPr="007C4B65">
        <w:rPr>
          <w:rFonts w:ascii="Arial" w:hAnsi="Arial" w:cs="Arial"/>
          <w:i/>
          <w:color w:val="000000" w:themeColor="text1"/>
          <w:sz w:val="24"/>
          <w:szCs w:val="24"/>
          <w:shd w:val="clear" w:color="auto" w:fill="FFFFFF"/>
        </w:rPr>
        <w:t>c. En urbanizaciones en suelo clasificado como urbano y las que tengan asignación Residencial Rural 1(RR1) y Residencial Rural 2 (RR2), el área verde en forma de cesión gratuita y obligatoria será como mínimo el 15% del área útil urbanizable del terreno a dividirse, destinado exclusivamente para áreas verdes por lo menos el 50% de la superficie entregada. En el caso de la asignación Residencial Rural 1(RR1) y Residencial Rural 2 (RR2), deberá contarse previamente con el informe de la Autoridad Agraria Nacional.</w:t>
      </w:r>
      <w:r w:rsidRPr="007C4B65">
        <w:rPr>
          <w:rFonts w:ascii="Arial" w:hAnsi="Arial" w:cs="Arial"/>
          <w:i/>
          <w:color w:val="000000" w:themeColor="text1"/>
          <w:sz w:val="24"/>
          <w:szCs w:val="24"/>
        </w:rPr>
        <w:br/>
      </w:r>
      <w:r w:rsidRPr="007C4B65">
        <w:rPr>
          <w:rFonts w:ascii="Arial" w:hAnsi="Arial" w:cs="Arial"/>
          <w:i/>
          <w:color w:val="000000" w:themeColor="text1"/>
          <w:sz w:val="24"/>
          <w:szCs w:val="24"/>
        </w:rPr>
        <w:br/>
      </w:r>
      <w:r w:rsidRPr="007C4B65">
        <w:rPr>
          <w:rFonts w:ascii="Arial" w:hAnsi="Arial" w:cs="Arial"/>
          <w:i/>
          <w:color w:val="000000" w:themeColor="text1"/>
          <w:sz w:val="24"/>
          <w:szCs w:val="24"/>
          <w:shd w:val="clear" w:color="auto" w:fill="FFFFFF"/>
        </w:rPr>
        <w:t>2. En el caso de partición judicial de inmuebles, deberá contribuir con el 15% de áreas verdes públicas que corresponda, de conformidad con lo que establece la ley (…)”</w:t>
      </w:r>
      <w:r w:rsidRPr="007C4B65">
        <w:rPr>
          <w:rFonts w:ascii="Arial" w:hAnsi="Arial" w:cs="Arial"/>
          <w:color w:val="000000" w:themeColor="text1"/>
          <w:sz w:val="24"/>
          <w:szCs w:val="24"/>
          <w:shd w:val="clear" w:color="auto" w:fill="FFFFFF"/>
        </w:rPr>
        <w:t>.</w:t>
      </w:r>
    </w:p>
    <w:p w:rsidR="00351E7C" w:rsidRPr="007C4B65" w:rsidRDefault="00351E7C" w:rsidP="00351E7C">
      <w:pPr>
        <w:autoSpaceDE w:val="0"/>
        <w:autoSpaceDN w:val="0"/>
        <w:jc w:val="both"/>
        <w:rPr>
          <w:rFonts w:ascii="Arial" w:hAnsi="Arial" w:cs="Arial"/>
          <w:i/>
          <w:color w:val="000000" w:themeColor="text1"/>
          <w:sz w:val="24"/>
          <w:szCs w:val="24"/>
          <w:shd w:val="clear" w:color="auto" w:fill="FFFFFF"/>
        </w:rPr>
      </w:pPr>
      <w:r w:rsidRPr="007C4B65">
        <w:rPr>
          <w:rFonts w:ascii="Arial" w:hAnsi="Arial" w:cs="Arial"/>
          <w:b/>
          <w:color w:val="000000" w:themeColor="text1"/>
          <w:sz w:val="24"/>
          <w:szCs w:val="24"/>
          <w:shd w:val="clear" w:color="auto" w:fill="FFFFFF"/>
        </w:rPr>
        <w:t xml:space="preserve">Que, </w:t>
      </w:r>
      <w:r w:rsidRPr="007C4B65">
        <w:rPr>
          <w:rFonts w:ascii="Arial" w:hAnsi="Arial" w:cs="Arial"/>
          <w:color w:val="000000" w:themeColor="text1"/>
          <w:sz w:val="24"/>
          <w:szCs w:val="24"/>
          <w:shd w:val="clear" w:color="auto" w:fill="FFFFFF"/>
        </w:rPr>
        <w:t xml:space="preserve">el artículo 2171 de la mencionada normativa establece en su numeral 4 que: </w:t>
      </w:r>
      <w:r w:rsidRPr="007C4B65">
        <w:rPr>
          <w:rFonts w:ascii="Arial" w:hAnsi="Arial" w:cs="Arial"/>
          <w:i/>
          <w:color w:val="000000" w:themeColor="text1"/>
          <w:sz w:val="24"/>
          <w:szCs w:val="24"/>
          <w:shd w:val="clear" w:color="auto" w:fill="FFFFFF"/>
        </w:rPr>
        <w:t>“(…)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p>
    <w:p w:rsidR="00351E7C" w:rsidRPr="00D53343" w:rsidRDefault="00351E7C" w:rsidP="00D53343">
      <w:pPr>
        <w:autoSpaceDE w:val="0"/>
        <w:autoSpaceDN w:val="0"/>
        <w:jc w:val="both"/>
        <w:rPr>
          <w:rFonts w:ascii="Arial" w:hAnsi="Arial" w:cs="Arial"/>
          <w:i/>
          <w:color w:val="000000" w:themeColor="text1"/>
          <w:sz w:val="24"/>
          <w:szCs w:val="24"/>
          <w:lang w:eastAsia="es-EC"/>
        </w:rPr>
      </w:pPr>
      <w:r w:rsidRPr="007C4B65">
        <w:rPr>
          <w:rFonts w:ascii="Arial" w:hAnsi="Arial" w:cs="Arial"/>
          <w:i/>
          <w:color w:val="000000" w:themeColor="text1"/>
          <w:sz w:val="24"/>
          <w:szCs w:val="24"/>
          <w:shd w:val="clear" w:color="auto" w:fill="FFFFFF"/>
        </w:rPr>
        <w:t>Si el área de la sentencia es inferior a 3000.00 m</w:t>
      </w:r>
      <w:r w:rsidRPr="007C4B65">
        <w:rPr>
          <w:rFonts w:ascii="Arial" w:hAnsi="Arial" w:cs="Arial"/>
          <w:i/>
          <w:color w:val="000000" w:themeColor="text1"/>
          <w:sz w:val="24"/>
          <w:szCs w:val="24"/>
          <w:shd w:val="clear" w:color="auto" w:fill="FFFFFF"/>
          <w:vertAlign w:val="superscript"/>
        </w:rPr>
        <w:t>2</w:t>
      </w:r>
      <w:r w:rsidRPr="007C4B65">
        <w:rPr>
          <w:rFonts w:ascii="Arial" w:hAnsi="Arial" w:cs="Arial"/>
          <w:i/>
          <w:color w:val="000000" w:themeColor="text1"/>
          <w:sz w:val="24"/>
          <w:szCs w:val="24"/>
          <w:shd w:val="clear" w:color="auto" w:fill="FFFFFF"/>
        </w:rPr>
        <w:t>, la contribución del 15% del área útil adjudicada, se compensará en valor monetario según el avaluó catastral actualizado, cuando sea menor al lote mínimo asignado en la zonificación vigente.”</w:t>
      </w:r>
      <w:r w:rsidR="00D53343">
        <w:rPr>
          <w:rFonts w:ascii="Arial" w:hAnsi="Arial" w:cs="Arial"/>
          <w:i/>
          <w:color w:val="000000" w:themeColor="text1"/>
          <w:sz w:val="24"/>
          <w:szCs w:val="24"/>
          <w:lang w:eastAsia="es-EC"/>
        </w:rPr>
        <w:t xml:space="preserve"> </w:t>
      </w:r>
      <w:r w:rsidRPr="007C4B65">
        <w:rPr>
          <w:rFonts w:ascii="Arial" w:hAnsi="Arial" w:cs="Arial"/>
          <w:bCs/>
          <w:color w:val="000000" w:themeColor="text1"/>
          <w:sz w:val="24"/>
          <w:szCs w:val="24"/>
          <w:shd w:val="clear" w:color="auto" w:fill="FFFFFF"/>
        </w:rPr>
        <w:t>y,</w:t>
      </w:r>
    </w:p>
    <w:p w:rsidR="00594413" w:rsidRPr="0028641F" w:rsidRDefault="00594413" w:rsidP="0028641F">
      <w:pPr>
        <w:jc w:val="both"/>
        <w:rPr>
          <w:rFonts w:ascii="Arial" w:hAnsi="Arial" w:cs="Arial"/>
          <w:b/>
          <w:color w:val="000000" w:themeColor="text1"/>
          <w:sz w:val="24"/>
          <w:szCs w:val="24"/>
        </w:rPr>
      </w:pPr>
    </w:p>
    <w:p w:rsidR="00E50B7B" w:rsidRPr="0028641F" w:rsidRDefault="00E50B7B" w:rsidP="0028641F">
      <w:pPr>
        <w:pStyle w:val="Ttulo1"/>
        <w:ind w:left="222"/>
        <w:jc w:val="both"/>
        <w:rPr>
          <w:rFonts w:ascii="Arial" w:hAnsi="Arial" w:cs="Arial"/>
          <w:color w:val="000000" w:themeColor="text1"/>
        </w:rPr>
      </w:pPr>
      <w:r w:rsidRPr="0028641F">
        <w:rPr>
          <w:rFonts w:ascii="Arial" w:hAnsi="Arial" w:cs="Arial"/>
          <w:color w:val="000000" w:themeColor="text1"/>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rsidR="00E50B7B" w:rsidRPr="0028641F" w:rsidRDefault="00E50B7B" w:rsidP="0028641F">
      <w:pPr>
        <w:jc w:val="both"/>
        <w:rPr>
          <w:rFonts w:ascii="Arial" w:hAnsi="Arial" w:cs="Arial"/>
          <w:b/>
          <w:color w:val="000000" w:themeColor="text1"/>
          <w:sz w:val="24"/>
          <w:szCs w:val="24"/>
        </w:rPr>
      </w:pPr>
    </w:p>
    <w:p w:rsidR="00E50B7B" w:rsidRPr="0028641F" w:rsidRDefault="00E50B7B" w:rsidP="0028641F">
      <w:pPr>
        <w:pStyle w:val="Sinespaciado"/>
        <w:jc w:val="both"/>
        <w:rPr>
          <w:rFonts w:ascii="Arial" w:hAnsi="Arial" w:cs="Arial"/>
          <w:b/>
          <w:color w:val="000000" w:themeColor="text1"/>
          <w:sz w:val="24"/>
          <w:szCs w:val="24"/>
        </w:rPr>
      </w:pPr>
    </w:p>
    <w:p w:rsidR="00E50B7B" w:rsidRPr="0028641F" w:rsidRDefault="00E50B7B" w:rsidP="0028641F">
      <w:pPr>
        <w:autoSpaceDE w:val="0"/>
        <w:autoSpaceDN w:val="0"/>
        <w:jc w:val="both"/>
        <w:rPr>
          <w:rFonts w:ascii="Arial" w:hAnsi="Arial" w:cs="Arial"/>
          <w:color w:val="000000" w:themeColor="text1"/>
          <w:sz w:val="24"/>
          <w:szCs w:val="24"/>
          <w:lang w:eastAsia="es-EC"/>
        </w:rPr>
      </w:pPr>
      <w:r w:rsidRPr="0028641F">
        <w:rPr>
          <w:rFonts w:ascii="Arial" w:hAnsi="Arial" w:cs="Arial"/>
          <w:b/>
          <w:bCs/>
          <w:color w:val="000000" w:themeColor="text1"/>
          <w:sz w:val="24"/>
          <w:szCs w:val="24"/>
          <w:lang w:eastAsia="es-EC"/>
        </w:rPr>
        <w:t>Expide:</w:t>
      </w:r>
    </w:p>
    <w:p w:rsidR="00E50B7B" w:rsidRPr="0028641F" w:rsidRDefault="00E50B7B" w:rsidP="0028641F">
      <w:pPr>
        <w:jc w:val="both"/>
        <w:rPr>
          <w:rFonts w:ascii="Arial" w:hAnsi="Arial" w:cs="Arial"/>
          <w:color w:val="000000" w:themeColor="text1"/>
          <w:sz w:val="24"/>
          <w:szCs w:val="24"/>
        </w:rPr>
      </w:pPr>
    </w:p>
    <w:p w:rsidR="00E50B7B" w:rsidRPr="0028641F" w:rsidRDefault="00E50B7B" w:rsidP="0028641F">
      <w:pPr>
        <w:jc w:val="both"/>
        <w:rPr>
          <w:rFonts w:ascii="Arial" w:hAnsi="Arial" w:cs="Arial"/>
          <w:color w:val="000000" w:themeColor="text1"/>
          <w:sz w:val="24"/>
          <w:szCs w:val="24"/>
        </w:rPr>
      </w:pPr>
      <w:r w:rsidRPr="0028641F">
        <w:rPr>
          <w:rFonts w:ascii="Arial" w:hAnsi="Arial" w:cs="Arial"/>
          <w:b/>
          <w:color w:val="000000" w:themeColor="text1"/>
          <w:sz w:val="24"/>
          <w:szCs w:val="24"/>
        </w:rPr>
        <w:t xml:space="preserve">ORDENANZA METROPOLITANA REFORMATORIA </w:t>
      </w:r>
      <w:r w:rsidR="00BB06C0" w:rsidRPr="0028641F">
        <w:rPr>
          <w:rFonts w:ascii="Arial" w:hAnsi="Arial" w:cs="Arial"/>
          <w:b/>
          <w:color w:val="000000" w:themeColor="text1"/>
          <w:sz w:val="24"/>
          <w:szCs w:val="24"/>
        </w:rPr>
        <w:t>DEL LIBRO IV.I DEL USO DEL SUELO, TÍTULO I DEL RÉGIMEN ADMINISTRATIVO DEL SUELO EN EL DISTRITO METROPOLITANO DE QUITO, CAPITULO II RÉGIMEN GENERAL DE USO DE SUELO, SECCIÓN VI DEL DESARROLLO URBANÍSTICO, PARÁGRAFO I DE LA ORDENANZA METROPOLITANA NO. 001 DE 29 DE MARZO DE 2019, QUE EXPIDE EL CÓDIGO MUNICIPAL PARA EL DISTRITO METROPOLITANO DE QUITO, LA CUAL ESTABLECE LAS NORMAS PARA LA HABILITACIÓN DE SUELO.</w:t>
      </w:r>
    </w:p>
    <w:p w:rsidR="00E50B7B" w:rsidRPr="0028641F" w:rsidRDefault="00E50B7B" w:rsidP="0028641F">
      <w:pPr>
        <w:autoSpaceDE w:val="0"/>
        <w:autoSpaceDN w:val="0"/>
        <w:jc w:val="both"/>
        <w:rPr>
          <w:rFonts w:ascii="Arial" w:hAnsi="Arial" w:cs="Arial"/>
          <w:color w:val="000000" w:themeColor="text1"/>
          <w:sz w:val="24"/>
          <w:szCs w:val="24"/>
          <w:lang w:eastAsia="es-EC"/>
        </w:rPr>
      </w:pPr>
    </w:p>
    <w:p w:rsidR="003005CC" w:rsidRPr="0028641F" w:rsidRDefault="003005CC" w:rsidP="0028641F">
      <w:pPr>
        <w:jc w:val="both"/>
        <w:rPr>
          <w:rFonts w:ascii="Arial" w:hAnsi="Arial" w:cs="Arial"/>
          <w:color w:val="000000" w:themeColor="text1"/>
          <w:sz w:val="24"/>
          <w:szCs w:val="24"/>
          <w:shd w:val="clear" w:color="auto" w:fill="FFFFFF"/>
        </w:rPr>
      </w:pPr>
      <w:r w:rsidRPr="0028641F">
        <w:rPr>
          <w:rFonts w:ascii="Arial" w:hAnsi="Arial" w:cs="Arial"/>
          <w:b/>
          <w:color w:val="000000" w:themeColor="text1"/>
          <w:sz w:val="24"/>
          <w:szCs w:val="24"/>
        </w:rPr>
        <w:t>Artículo 1</w:t>
      </w:r>
      <w:r w:rsidR="00126272" w:rsidRPr="0028641F">
        <w:rPr>
          <w:rFonts w:ascii="Arial" w:hAnsi="Arial" w:cs="Arial"/>
          <w:b/>
          <w:color w:val="000000" w:themeColor="text1"/>
          <w:sz w:val="24"/>
          <w:szCs w:val="24"/>
        </w:rPr>
        <w:t>.-</w:t>
      </w:r>
      <w:r w:rsidR="00364ABD" w:rsidRPr="0028641F">
        <w:rPr>
          <w:rFonts w:ascii="Arial" w:hAnsi="Arial" w:cs="Arial"/>
          <w:color w:val="000000" w:themeColor="text1"/>
          <w:sz w:val="24"/>
          <w:szCs w:val="24"/>
        </w:rPr>
        <w:t xml:space="preserve"> </w:t>
      </w:r>
      <w:r w:rsidR="004A0FAC" w:rsidRPr="0028641F">
        <w:rPr>
          <w:rFonts w:ascii="Arial" w:hAnsi="Arial" w:cs="Arial"/>
          <w:color w:val="000000" w:themeColor="text1"/>
          <w:sz w:val="24"/>
          <w:szCs w:val="24"/>
        </w:rPr>
        <w:t xml:space="preserve">Elimínese </w:t>
      </w:r>
      <w:r w:rsidR="001543A0" w:rsidRPr="0028641F">
        <w:rPr>
          <w:rFonts w:ascii="Arial" w:hAnsi="Arial" w:cs="Arial"/>
          <w:color w:val="000000" w:themeColor="text1"/>
          <w:sz w:val="24"/>
          <w:szCs w:val="24"/>
        </w:rPr>
        <w:t>el literal b. del numeral 1 del</w:t>
      </w:r>
      <w:r w:rsidR="004A0FAC" w:rsidRPr="0028641F">
        <w:rPr>
          <w:rFonts w:ascii="Arial" w:hAnsi="Arial" w:cs="Arial"/>
          <w:color w:val="000000" w:themeColor="text1"/>
          <w:sz w:val="24"/>
          <w:szCs w:val="24"/>
        </w:rPr>
        <w:t xml:space="preserve"> </w:t>
      </w:r>
      <w:r w:rsidRPr="0028641F">
        <w:rPr>
          <w:rFonts w:ascii="Arial" w:hAnsi="Arial" w:cs="Arial"/>
          <w:color w:val="000000" w:themeColor="text1"/>
          <w:sz w:val="24"/>
          <w:szCs w:val="24"/>
        </w:rPr>
        <w:t xml:space="preserve">artículo 2169 del Libro IV.I Del Uso del Suelo, Título I Del Régimen Administrativo del Suelo En el Distrito Metropolitano de Quito, Capitulo II Régimen General de Uso de Suelo, Sección VI Del Desarrollo Urbanístico, Parágrafo I de la Habilitación de Suelo, </w:t>
      </w:r>
      <w:r w:rsidRPr="0028641F">
        <w:rPr>
          <w:rFonts w:ascii="Arial" w:hAnsi="Arial" w:cs="Arial"/>
          <w:color w:val="000000" w:themeColor="text1"/>
          <w:sz w:val="24"/>
          <w:szCs w:val="24"/>
          <w:shd w:val="clear" w:color="auto" w:fill="FFFFFF"/>
        </w:rPr>
        <w:t>del Código Municipal,</w:t>
      </w:r>
      <w:r w:rsidR="004A0FAC" w:rsidRPr="0028641F">
        <w:rPr>
          <w:rFonts w:ascii="Arial" w:hAnsi="Arial" w:cs="Arial"/>
          <w:color w:val="000000" w:themeColor="text1"/>
          <w:sz w:val="24"/>
          <w:szCs w:val="24"/>
          <w:shd w:val="clear" w:color="auto" w:fill="FFFFFF"/>
        </w:rPr>
        <w:t xml:space="preserve"> que dice:</w:t>
      </w:r>
    </w:p>
    <w:p w:rsidR="00B77146" w:rsidRPr="0028641F" w:rsidRDefault="0091437C" w:rsidP="0028641F">
      <w:pPr>
        <w:jc w:val="both"/>
        <w:rPr>
          <w:rFonts w:ascii="Arial" w:hAnsi="Arial" w:cs="Arial"/>
          <w:color w:val="000000" w:themeColor="text1"/>
          <w:sz w:val="24"/>
          <w:szCs w:val="24"/>
          <w:shd w:val="clear" w:color="auto" w:fill="FFFFFF"/>
        </w:rPr>
      </w:pPr>
      <w:r w:rsidRPr="0028641F">
        <w:rPr>
          <w:rFonts w:ascii="Arial" w:hAnsi="Arial" w:cs="Arial"/>
          <w:i/>
          <w:color w:val="000000" w:themeColor="text1"/>
          <w:sz w:val="24"/>
          <w:szCs w:val="24"/>
          <w:shd w:val="clear" w:color="auto" w:fill="FFFFFF"/>
        </w:rPr>
        <w:t>“</w:t>
      </w:r>
      <w:r w:rsidR="003005CC" w:rsidRPr="0028641F">
        <w:rPr>
          <w:rFonts w:ascii="Arial" w:hAnsi="Arial" w:cs="Arial"/>
          <w:i/>
          <w:color w:val="000000" w:themeColor="text1"/>
          <w:sz w:val="24"/>
          <w:szCs w:val="24"/>
          <w:shd w:val="clear" w:color="auto" w:fill="FFFFFF"/>
        </w:rPr>
        <w:t>b. En subdivisiones que no se deriven de una autorización administrativa de urbanización, el área verde deberá ser entregada en forma de cesión gratuita y obligatoria como mínimo el 15% del área útil urbanizable del terreno a dividirse.</w:t>
      </w:r>
      <w:r w:rsidRPr="0028641F">
        <w:rPr>
          <w:rFonts w:ascii="Arial" w:hAnsi="Arial" w:cs="Arial"/>
          <w:i/>
          <w:color w:val="000000" w:themeColor="text1"/>
          <w:sz w:val="24"/>
          <w:szCs w:val="24"/>
          <w:shd w:val="clear" w:color="auto" w:fill="FFFFFF"/>
        </w:rPr>
        <w:t>”</w:t>
      </w:r>
      <w:r w:rsidR="003005CC" w:rsidRPr="0028641F">
        <w:rPr>
          <w:rFonts w:ascii="Arial" w:hAnsi="Arial" w:cs="Arial"/>
          <w:color w:val="000000" w:themeColor="text1"/>
          <w:sz w:val="24"/>
          <w:szCs w:val="24"/>
        </w:rPr>
        <w:br/>
      </w:r>
      <w:r w:rsidR="003005CC" w:rsidRPr="0028641F">
        <w:rPr>
          <w:rFonts w:ascii="Arial" w:hAnsi="Arial" w:cs="Arial"/>
          <w:color w:val="000000" w:themeColor="text1"/>
          <w:sz w:val="24"/>
          <w:szCs w:val="24"/>
        </w:rPr>
        <w:br/>
      </w:r>
      <w:r w:rsidRPr="0028641F">
        <w:rPr>
          <w:rFonts w:ascii="Arial" w:hAnsi="Arial" w:cs="Arial"/>
          <w:b/>
          <w:color w:val="000000" w:themeColor="text1"/>
          <w:sz w:val="24"/>
          <w:szCs w:val="24"/>
        </w:rPr>
        <w:t>Artículo 2.-</w:t>
      </w:r>
      <w:r w:rsidRPr="0028641F">
        <w:rPr>
          <w:rFonts w:ascii="Arial" w:hAnsi="Arial" w:cs="Arial"/>
          <w:color w:val="000000" w:themeColor="text1"/>
          <w:sz w:val="24"/>
          <w:szCs w:val="24"/>
        </w:rPr>
        <w:t xml:space="preserve"> Elimínese del artículo 2169 </w:t>
      </w:r>
      <w:r w:rsidR="001543A0" w:rsidRPr="0028641F">
        <w:rPr>
          <w:rFonts w:ascii="Arial" w:hAnsi="Arial" w:cs="Arial"/>
          <w:color w:val="000000" w:themeColor="text1"/>
          <w:sz w:val="24"/>
          <w:szCs w:val="24"/>
        </w:rPr>
        <w:t xml:space="preserve">el numeral 2 </w:t>
      </w:r>
      <w:r w:rsidRPr="0028641F">
        <w:rPr>
          <w:rFonts w:ascii="Arial" w:hAnsi="Arial" w:cs="Arial"/>
          <w:color w:val="000000" w:themeColor="text1"/>
          <w:sz w:val="24"/>
          <w:szCs w:val="24"/>
        </w:rPr>
        <w:t xml:space="preserve">del Libro IV.I Del Uso del Suelo, Título I Del Régimen Administrativo del Suelo En el Distrito Metropolitano de Quito, Capitulo II Régimen General de Uso de Suelo, Sección VI Del Desarrollo Urbanístico, Parágrafo I de la Habilitación de Suelo , </w:t>
      </w:r>
      <w:r w:rsidRPr="0028641F">
        <w:rPr>
          <w:rFonts w:ascii="Arial" w:hAnsi="Arial" w:cs="Arial"/>
          <w:color w:val="000000" w:themeColor="text1"/>
          <w:sz w:val="24"/>
          <w:szCs w:val="24"/>
          <w:shd w:val="clear" w:color="auto" w:fill="FFFFFF"/>
        </w:rPr>
        <w:t>del Código Municipal, que dice:</w:t>
      </w:r>
    </w:p>
    <w:p w:rsidR="001543A0" w:rsidRPr="0028641F" w:rsidRDefault="003005CC" w:rsidP="0028641F">
      <w:pPr>
        <w:jc w:val="both"/>
        <w:rPr>
          <w:rFonts w:ascii="Arial" w:hAnsi="Arial" w:cs="Arial"/>
          <w:color w:val="000000" w:themeColor="text1"/>
          <w:sz w:val="24"/>
          <w:szCs w:val="24"/>
          <w:shd w:val="clear" w:color="auto" w:fill="FFFFFF"/>
        </w:rPr>
      </w:pPr>
      <w:r w:rsidRPr="0028641F">
        <w:rPr>
          <w:rFonts w:ascii="Arial" w:hAnsi="Arial" w:cs="Arial"/>
          <w:color w:val="000000" w:themeColor="text1"/>
          <w:sz w:val="24"/>
          <w:szCs w:val="24"/>
        </w:rPr>
        <w:br/>
      </w:r>
      <w:r w:rsidR="0091437C" w:rsidRPr="0028641F">
        <w:rPr>
          <w:rFonts w:ascii="Arial" w:hAnsi="Arial" w:cs="Arial"/>
          <w:i/>
          <w:color w:val="000000" w:themeColor="text1"/>
          <w:sz w:val="24"/>
          <w:szCs w:val="24"/>
          <w:shd w:val="clear" w:color="auto" w:fill="FFFFFF"/>
        </w:rPr>
        <w:t>“</w:t>
      </w:r>
      <w:r w:rsidRPr="0028641F">
        <w:rPr>
          <w:rFonts w:ascii="Arial" w:hAnsi="Arial" w:cs="Arial"/>
          <w:i/>
          <w:color w:val="000000" w:themeColor="text1"/>
          <w:sz w:val="24"/>
          <w:szCs w:val="24"/>
          <w:shd w:val="clear" w:color="auto" w:fill="FFFFFF"/>
        </w:rPr>
        <w:t>2. En el caso de partición judicial de inmuebles, deberá contribuir con el 15% de áreas verdes públicas que corresponda, de conformidad con lo que establece la ley.</w:t>
      </w:r>
      <w:r w:rsidR="0091437C" w:rsidRPr="0028641F">
        <w:rPr>
          <w:rFonts w:ascii="Arial" w:hAnsi="Arial" w:cs="Arial"/>
          <w:i/>
          <w:color w:val="000000" w:themeColor="text1"/>
          <w:sz w:val="24"/>
          <w:szCs w:val="24"/>
          <w:shd w:val="clear" w:color="auto" w:fill="FFFFFF"/>
        </w:rPr>
        <w:t>”</w:t>
      </w:r>
    </w:p>
    <w:p w:rsidR="001543A0" w:rsidRPr="0028641F" w:rsidRDefault="001543A0" w:rsidP="0028641F">
      <w:pPr>
        <w:jc w:val="both"/>
        <w:rPr>
          <w:rFonts w:ascii="Arial" w:hAnsi="Arial" w:cs="Arial"/>
          <w:color w:val="000000" w:themeColor="text1"/>
          <w:sz w:val="24"/>
          <w:szCs w:val="24"/>
          <w:shd w:val="clear" w:color="auto" w:fill="FFFFFF"/>
        </w:rPr>
      </w:pPr>
      <w:r w:rsidRPr="0028641F">
        <w:rPr>
          <w:rFonts w:ascii="Arial" w:hAnsi="Arial" w:cs="Arial"/>
          <w:b/>
          <w:color w:val="000000" w:themeColor="text1"/>
          <w:sz w:val="24"/>
          <w:szCs w:val="24"/>
        </w:rPr>
        <w:t xml:space="preserve">Artículo </w:t>
      </w:r>
      <w:r w:rsidR="00B77146" w:rsidRPr="0028641F">
        <w:rPr>
          <w:rFonts w:ascii="Arial" w:hAnsi="Arial" w:cs="Arial"/>
          <w:b/>
          <w:color w:val="000000" w:themeColor="text1"/>
          <w:sz w:val="24"/>
          <w:szCs w:val="24"/>
        </w:rPr>
        <w:t>3</w:t>
      </w:r>
      <w:r w:rsidRPr="0028641F">
        <w:rPr>
          <w:rFonts w:ascii="Arial" w:hAnsi="Arial" w:cs="Arial"/>
          <w:b/>
          <w:color w:val="000000" w:themeColor="text1"/>
          <w:sz w:val="24"/>
          <w:szCs w:val="24"/>
        </w:rPr>
        <w:t>.-</w:t>
      </w:r>
      <w:r w:rsidRPr="0028641F">
        <w:rPr>
          <w:rFonts w:ascii="Arial" w:hAnsi="Arial" w:cs="Arial"/>
          <w:color w:val="000000" w:themeColor="text1"/>
          <w:sz w:val="24"/>
          <w:szCs w:val="24"/>
        </w:rPr>
        <w:t xml:space="preserve"> Agréguese dentro del numeral 3, del artículo 2169 del Libro IV.I Del Uso del Suelo, Título I Del Régimen Administrativo del Suelo En el Distrito Metropolitano de Quito, Capitulo II Régimen General de Uso de Suelo, Sección VI Del Desarrollo Urbanístico, Parágrafo I de la Habilitación de Suelo , </w:t>
      </w:r>
      <w:r w:rsidRPr="0028641F">
        <w:rPr>
          <w:rFonts w:ascii="Arial" w:hAnsi="Arial" w:cs="Arial"/>
          <w:color w:val="000000" w:themeColor="text1"/>
          <w:sz w:val="24"/>
          <w:szCs w:val="24"/>
          <w:shd w:val="clear" w:color="auto" w:fill="FFFFFF"/>
        </w:rPr>
        <w:t xml:space="preserve">del Código Municipal, </w:t>
      </w:r>
      <w:r w:rsidR="00112D1B" w:rsidRPr="0028641F">
        <w:rPr>
          <w:rFonts w:ascii="Arial" w:hAnsi="Arial" w:cs="Arial"/>
          <w:color w:val="000000" w:themeColor="text1"/>
          <w:sz w:val="24"/>
          <w:szCs w:val="24"/>
          <w:shd w:val="clear" w:color="auto" w:fill="FFFFFF"/>
        </w:rPr>
        <w:t xml:space="preserve">el literal d. que diga </w:t>
      </w:r>
      <w:r w:rsidRPr="0028641F">
        <w:rPr>
          <w:rFonts w:ascii="Arial" w:hAnsi="Arial" w:cs="Arial"/>
          <w:color w:val="000000" w:themeColor="text1"/>
          <w:sz w:val="24"/>
          <w:szCs w:val="24"/>
          <w:shd w:val="clear" w:color="auto" w:fill="FFFFFF"/>
        </w:rPr>
        <w:t>lo siguiente:</w:t>
      </w:r>
      <w:r w:rsidRPr="0028641F">
        <w:rPr>
          <w:rFonts w:ascii="Arial" w:hAnsi="Arial" w:cs="Arial"/>
          <w:color w:val="000000" w:themeColor="text1"/>
          <w:sz w:val="24"/>
          <w:szCs w:val="24"/>
        </w:rPr>
        <w:br/>
      </w:r>
    </w:p>
    <w:p w:rsidR="003005CC" w:rsidRPr="0028641F" w:rsidRDefault="00112D1B" w:rsidP="0028641F">
      <w:pPr>
        <w:jc w:val="both"/>
        <w:rPr>
          <w:rFonts w:ascii="Arial" w:hAnsi="Arial" w:cs="Arial"/>
          <w:i/>
          <w:color w:val="000000" w:themeColor="text1"/>
          <w:sz w:val="24"/>
          <w:szCs w:val="24"/>
        </w:rPr>
      </w:pPr>
      <w:r w:rsidRPr="0028641F">
        <w:rPr>
          <w:rFonts w:ascii="Arial" w:hAnsi="Arial" w:cs="Arial"/>
          <w:i/>
          <w:color w:val="000000" w:themeColor="text1"/>
          <w:sz w:val="24"/>
          <w:szCs w:val="24"/>
        </w:rPr>
        <w:t>“</w:t>
      </w:r>
      <w:r w:rsidR="00147477" w:rsidRPr="0028641F">
        <w:rPr>
          <w:rFonts w:ascii="Arial" w:hAnsi="Arial" w:cs="Arial"/>
          <w:i/>
          <w:color w:val="000000" w:themeColor="text1"/>
          <w:sz w:val="24"/>
          <w:szCs w:val="24"/>
        </w:rPr>
        <w:t>d</w:t>
      </w:r>
      <w:r w:rsidRPr="0028641F">
        <w:rPr>
          <w:rFonts w:ascii="Arial" w:hAnsi="Arial" w:cs="Arial"/>
          <w:i/>
          <w:color w:val="000000" w:themeColor="text1"/>
          <w:sz w:val="24"/>
          <w:szCs w:val="24"/>
        </w:rPr>
        <w:t>.</w:t>
      </w:r>
      <w:r w:rsidR="00147477" w:rsidRPr="0028641F">
        <w:rPr>
          <w:rFonts w:ascii="Arial" w:hAnsi="Arial" w:cs="Arial"/>
          <w:i/>
          <w:color w:val="000000" w:themeColor="text1"/>
          <w:sz w:val="24"/>
          <w:szCs w:val="24"/>
          <w:shd w:val="clear" w:color="auto" w:fill="FFFFFF"/>
        </w:rPr>
        <w:t> En el caso de p</w:t>
      </w:r>
      <w:r w:rsidR="00D5299D" w:rsidRPr="0028641F">
        <w:rPr>
          <w:rFonts w:ascii="Arial" w:hAnsi="Arial" w:cs="Arial"/>
          <w:i/>
          <w:color w:val="000000" w:themeColor="text1"/>
          <w:sz w:val="24"/>
          <w:szCs w:val="24"/>
          <w:shd w:val="clear" w:color="auto" w:fill="FFFFFF"/>
        </w:rPr>
        <w:t>artición judicial de inmuebles</w:t>
      </w:r>
      <w:r w:rsidRPr="0028641F">
        <w:rPr>
          <w:rFonts w:ascii="Arial" w:hAnsi="Arial" w:cs="Arial"/>
          <w:i/>
          <w:color w:val="000000" w:themeColor="text1"/>
          <w:sz w:val="24"/>
          <w:szCs w:val="24"/>
          <w:shd w:val="clear" w:color="auto" w:fill="FFFFFF"/>
        </w:rPr>
        <w:t>.”</w:t>
      </w:r>
    </w:p>
    <w:p w:rsidR="00E50B7B" w:rsidRPr="0028641F" w:rsidRDefault="003005CC" w:rsidP="0028641F">
      <w:pPr>
        <w:jc w:val="both"/>
        <w:rPr>
          <w:rFonts w:ascii="Arial" w:hAnsi="Arial" w:cs="Arial"/>
          <w:color w:val="000000" w:themeColor="text1"/>
          <w:sz w:val="24"/>
          <w:szCs w:val="24"/>
          <w:shd w:val="clear" w:color="auto" w:fill="FFFFFF"/>
        </w:rPr>
      </w:pPr>
      <w:r w:rsidRPr="0028641F">
        <w:rPr>
          <w:rFonts w:ascii="Arial" w:hAnsi="Arial" w:cs="Arial"/>
          <w:b/>
          <w:color w:val="000000" w:themeColor="text1"/>
          <w:sz w:val="24"/>
          <w:szCs w:val="24"/>
        </w:rPr>
        <w:t xml:space="preserve">Artículo </w:t>
      </w:r>
      <w:r w:rsidR="00B77146" w:rsidRPr="0028641F">
        <w:rPr>
          <w:rFonts w:ascii="Arial" w:hAnsi="Arial" w:cs="Arial"/>
          <w:b/>
          <w:color w:val="000000" w:themeColor="text1"/>
          <w:sz w:val="24"/>
          <w:szCs w:val="24"/>
        </w:rPr>
        <w:t>4</w:t>
      </w:r>
      <w:r w:rsidRPr="0028641F">
        <w:rPr>
          <w:rFonts w:ascii="Arial" w:hAnsi="Arial" w:cs="Arial"/>
          <w:b/>
          <w:color w:val="000000" w:themeColor="text1"/>
          <w:sz w:val="24"/>
          <w:szCs w:val="24"/>
        </w:rPr>
        <w:t>.-</w:t>
      </w:r>
      <w:r w:rsidR="00112D1B" w:rsidRPr="0028641F">
        <w:rPr>
          <w:rFonts w:ascii="Arial" w:hAnsi="Arial" w:cs="Arial"/>
          <w:b/>
          <w:color w:val="000000" w:themeColor="text1"/>
          <w:sz w:val="24"/>
          <w:szCs w:val="24"/>
        </w:rPr>
        <w:t xml:space="preserve"> </w:t>
      </w:r>
      <w:r w:rsidR="00147477" w:rsidRPr="0028641F">
        <w:rPr>
          <w:rFonts w:ascii="Arial" w:hAnsi="Arial" w:cs="Arial"/>
          <w:color w:val="000000" w:themeColor="text1"/>
          <w:sz w:val="24"/>
          <w:szCs w:val="24"/>
        </w:rPr>
        <w:t>Elimínese</w:t>
      </w:r>
      <w:r w:rsidR="00364ABD" w:rsidRPr="0028641F">
        <w:rPr>
          <w:rFonts w:ascii="Arial" w:hAnsi="Arial" w:cs="Arial"/>
          <w:color w:val="000000" w:themeColor="text1"/>
          <w:sz w:val="24"/>
          <w:szCs w:val="24"/>
        </w:rPr>
        <w:t xml:space="preserve"> del</w:t>
      </w:r>
      <w:r w:rsidR="00E50B7B" w:rsidRPr="0028641F">
        <w:rPr>
          <w:rFonts w:ascii="Arial" w:hAnsi="Arial" w:cs="Arial"/>
          <w:color w:val="000000" w:themeColor="text1"/>
          <w:sz w:val="24"/>
          <w:szCs w:val="24"/>
        </w:rPr>
        <w:t xml:space="preserve"> artículo 2171 del Libro IV.I Del Uso del Suelo, Título I Del Régimen Administrativo del Suelo En el Distrito Metropolitano de Quito, Capitulo II Régimen General de Uso de Suelo, Sección VI Del Desarrollo Urbanístico, Parágrafo I</w:t>
      </w:r>
      <w:r w:rsidR="00147477" w:rsidRPr="0028641F">
        <w:rPr>
          <w:rFonts w:ascii="Arial" w:hAnsi="Arial" w:cs="Arial"/>
          <w:color w:val="000000" w:themeColor="text1"/>
          <w:sz w:val="24"/>
          <w:szCs w:val="24"/>
        </w:rPr>
        <w:t xml:space="preserve"> de la Habilitación de Suelo</w:t>
      </w:r>
      <w:r w:rsidR="00E50B7B" w:rsidRPr="0028641F">
        <w:rPr>
          <w:rFonts w:ascii="Arial" w:hAnsi="Arial" w:cs="Arial"/>
          <w:color w:val="000000" w:themeColor="text1"/>
          <w:sz w:val="24"/>
          <w:szCs w:val="24"/>
        </w:rPr>
        <w:t xml:space="preserve">, </w:t>
      </w:r>
      <w:r w:rsidR="00E50B7B" w:rsidRPr="0028641F">
        <w:rPr>
          <w:rFonts w:ascii="Arial" w:hAnsi="Arial" w:cs="Arial"/>
          <w:color w:val="000000" w:themeColor="text1"/>
          <w:sz w:val="24"/>
          <w:szCs w:val="24"/>
          <w:shd w:val="clear" w:color="auto" w:fill="FFFFFF"/>
        </w:rPr>
        <w:t xml:space="preserve">del Código Municipal, el </w:t>
      </w:r>
      <w:r w:rsidR="00147477" w:rsidRPr="0028641F">
        <w:rPr>
          <w:rFonts w:ascii="Arial" w:hAnsi="Arial" w:cs="Arial"/>
          <w:color w:val="000000" w:themeColor="text1"/>
          <w:sz w:val="24"/>
          <w:szCs w:val="24"/>
          <w:shd w:val="clear" w:color="auto" w:fill="FFFFFF"/>
        </w:rPr>
        <w:t>numeral 4 que dice</w:t>
      </w:r>
      <w:r w:rsidR="00E50B7B" w:rsidRPr="0028641F">
        <w:rPr>
          <w:rFonts w:ascii="Arial" w:hAnsi="Arial" w:cs="Arial"/>
          <w:color w:val="000000" w:themeColor="text1"/>
          <w:sz w:val="24"/>
          <w:szCs w:val="24"/>
          <w:shd w:val="clear" w:color="auto" w:fill="FFFFFF"/>
        </w:rPr>
        <w:t>:</w:t>
      </w:r>
    </w:p>
    <w:p w:rsidR="003005CC" w:rsidRPr="0028641F" w:rsidRDefault="00147477" w:rsidP="0028641F">
      <w:pPr>
        <w:autoSpaceDE w:val="0"/>
        <w:autoSpaceDN w:val="0"/>
        <w:jc w:val="both"/>
        <w:rPr>
          <w:rFonts w:ascii="Arial" w:hAnsi="Arial" w:cs="Arial"/>
          <w:i/>
          <w:color w:val="000000" w:themeColor="text1"/>
          <w:sz w:val="24"/>
          <w:szCs w:val="24"/>
          <w:shd w:val="clear" w:color="auto" w:fill="FFFFFF"/>
        </w:rPr>
      </w:pPr>
      <w:r w:rsidRPr="0028641F">
        <w:rPr>
          <w:rFonts w:ascii="Arial" w:hAnsi="Arial" w:cs="Arial"/>
          <w:i/>
          <w:color w:val="000000" w:themeColor="text1"/>
          <w:sz w:val="24"/>
          <w:szCs w:val="24"/>
          <w:shd w:val="clear" w:color="auto" w:fill="FFFFFF"/>
        </w:rPr>
        <w:t>“</w:t>
      </w:r>
      <w:r w:rsidR="003005CC" w:rsidRPr="0028641F">
        <w:rPr>
          <w:rFonts w:ascii="Arial" w:hAnsi="Arial" w:cs="Arial"/>
          <w:i/>
          <w:color w:val="000000" w:themeColor="text1"/>
          <w:sz w:val="24"/>
          <w:szCs w:val="24"/>
          <w:shd w:val="clear" w:color="auto" w:fill="FFFFFF"/>
        </w:rPr>
        <w:t>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p>
    <w:p w:rsidR="003005CC" w:rsidRPr="0028641F" w:rsidRDefault="003005CC" w:rsidP="0028641F">
      <w:pPr>
        <w:autoSpaceDE w:val="0"/>
        <w:autoSpaceDN w:val="0"/>
        <w:jc w:val="both"/>
        <w:rPr>
          <w:rFonts w:ascii="Arial" w:hAnsi="Arial" w:cs="Arial"/>
          <w:i/>
          <w:color w:val="000000" w:themeColor="text1"/>
          <w:sz w:val="24"/>
          <w:szCs w:val="24"/>
          <w:lang w:eastAsia="es-EC"/>
        </w:rPr>
      </w:pPr>
      <w:r w:rsidRPr="0028641F">
        <w:rPr>
          <w:rFonts w:ascii="Arial" w:hAnsi="Arial" w:cs="Arial"/>
          <w:i/>
          <w:color w:val="000000" w:themeColor="text1"/>
          <w:sz w:val="24"/>
          <w:szCs w:val="24"/>
          <w:shd w:val="clear" w:color="auto" w:fill="FFFFFF"/>
        </w:rPr>
        <w:t>Si el área de la sentencia es inferior a 3000.00 m</w:t>
      </w:r>
      <w:r w:rsidRPr="0028641F">
        <w:rPr>
          <w:rFonts w:ascii="Arial" w:hAnsi="Arial" w:cs="Arial"/>
          <w:i/>
          <w:color w:val="000000" w:themeColor="text1"/>
          <w:sz w:val="24"/>
          <w:szCs w:val="24"/>
          <w:shd w:val="clear" w:color="auto" w:fill="FFFFFF"/>
          <w:vertAlign w:val="superscript"/>
        </w:rPr>
        <w:t>2</w:t>
      </w:r>
      <w:r w:rsidRPr="0028641F">
        <w:rPr>
          <w:rFonts w:ascii="Arial" w:hAnsi="Arial" w:cs="Arial"/>
          <w:i/>
          <w:color w:val="000000" w:themeColor="text1"/>
          <w:sz w:val="24"/>
          <w:szCs w:val="24"/>
          <w:shd w:val="clear" w:color="auto" w:fill="FFFFFF"/>
        </w:rPr>
        <w:t>, la contribución del 15% del área útil adjudicada, se compensará en valor monetario según el avaluó catastral actualizado, cuando sea menor al lote mínimo asignado en la zonificación vigente.</w:t>
      </w:r>
      <w:r w:rsidR="00147477" w:rsidRPr="0028641F">
        <w:rPr>
          <w:rFonts w:ascii="Arial" w:hAnsi="Arial" w:cs="Arial"/>
          <w:i/>
          <w:color w:val="000000" w:themeColor="text1"/>
          <w:sz w:val="24"/>
          <w:szCs w:val="24"/>
          <w:shd w:val="clear" w:color="auto" w:fill="FFFFFF"/>
        </w:rPr>
        <w:t>”</w:t>
      </w:r>
    </w:p>
    <w:p w:rsidR="00E50B7B" w:rsidRPr="0028641F" w:rsidRDefault="00E50B7B" w:rsidP="0028641F">
      <w:pPr>
        <w:jc w:val="both"/>
        <w:rPr>
          <w:rFonts w:ascii="Arial" w:hAnsi="Arial" w:cs="Arial"/>
          <w:color w:val="000000" w:themeColor="text1"/>
          <w:sz w:val="24"/>
          <w:szCs w:val="24"/>
        </w:rPr>
      </w:pPr>
      <w:r w:rsidRPr="0028641F">
        <w:rPr>
          <w:rFonts w:ascii="Arial" w:hAnsi="Arial" w:cs="Arial"/>
          <w:b/>
          <w:color w:val="000000" w:themeColor="text1"/>
          <w:sz w:val="24"/>
          <w:szCs w:val="24"/>
        </w:rPr>
        <w:t xml:space="preserve">Disposición </w:t>
      </w:r>
      <w:proofErr w:type="gramStart"/>
      <w:r w:rsidRPr="0028641F">
        <w:rPr>
          <w:rFonts w:ascii="Arial" w:hAnsi="Arial" w:cs="Arial"/>
          <w:b/>
          <w:color w:val="000000" w:themeColor="text1"/>
          <w:sz w:val="24"/>
          <w:szCs w:val="24"/>
        </w:rPr>
        <w:t>Final.-</w:t>
      </w:r>
      <w:proofErr w:type="gramEnd"/>
      <w:r w:rsidRPr="0028641F">
        <w:rPr>
          <w:rFonts w:ascii="Arial" w:hAnsi="Arial" w:cs="Arial"/>
          <w:color w:val="000000" w:themeColor="text1"/>
          <w:sz w:val="24"/>
          <w:szCs w:val="24"/>
        </w:rPr>
        <w:t xml:space="preserve"> La presente ordenanza entrará en vigencia a partir de su sanción sin perjuicio de su publicación en la Gaceta Municipal y en la página web institucional y en el Registro Oficial.</w:t>
      </w:r>
    </w:p>
    <w:p w:rsidR="00E50B7B" w:rsidRPr="0028641F" w:rsidRDefault="00E50B7B" w:rsidP="0028641F">
      <w:pPr>
        <w:jc w:val="both"/>
        <w:rPr>
          <w:rFonts w:ascii="Arial" w:hAnsi="Arial" w:cs="Arial"/>
          <w:color w:val="000000" w:themeColor="text1"/>
          <w:sz w:val="24"/>
          <w:szCs w:val="24"/>
        </w:rPr>
      </w:pPr>
    </w:p>
    <w:sectPr w:rsidR="00E50B7B" w:rsidRPr="002864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13D6"/>
    <w:multiLevelType w:val="hybridMultilevel"/>
    <w:tmpl w:val="DB6C36F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EC"/>
    <w:rsid w:val="00017810"/>
    <w:rsid w:val="00027941"/>
    <w:rsid w:val="000821D6"/>
    <w:rsid w:val="000F20C3"/>
    <w:rsid w:val="00112D1B"/>
    <w:rsid w:val="00126272"/>
    <w:rsid w:val="00147477"/>
    <w:rsid w:val="001543A0"/>
    <w:rsid w:val="0028641F"/>
    <w:rsid w:val="003005CC"/>
    <w:rsid w:val="00351E7C"/>
    <w:rsid w:val="00364ABD"/>
    <w:rsid w:val="003C47F5"/>
    <w:rsid w:val="0040474F"/>
    <w:rsid w:val="004067AA"/>
    <w:rsid w:val="00424F76"/>
    <w:rsid w:val="004562F8"/>
    <w:rsid w:val="004A0FAC"/>
    <w:rsid w:val="004E3AA1"/>
    <w:rsid w:val="00555E67"/>
    <w:rsid w:val="00561E05"/>
    <w:rsid w:val="00594413"/>
    <w:rsid w:val="005D37B4"/>
    <w:rsid w:val="00660A7F"/>
    <w:rsid w:val="00713085"/>
    <w:rsid w:val="007C1954"/>
    <w:rsid w:val="00816988"/>
    <w:rsid w:val="00853A69"/>
    <w:rsid w:val="00896DEC"/>
    <w:rsid w:val="008D3039"/>
    <w:rsid w:val="00907B60"/>
    <w:rsid w:val="0091437C"/>
    <w:rsid w:val="009E432F"/>
    <w:rsid w:val="00A45D01"/>
    <w:rsid w:val="00AA7B66"/>
    <w:rsid w:val="00AE2159"/>
    <w:rsid w:val="00B72CEC"/>
    <w:rsid w:val="00B77146"/>
    <w:rsid w:val="00B92A21"/>
    <w:rsid w:val="00BB06C0"/>
    <w:rsid w:val="00C25F50"/>
    <w:rsid w:val="00C72F64"/>
    <w:rsid w:val="00D44193"/>
    <w:rsid w:val="00D45E69"/>
    <w:rsid w:val="00D5299D"/>
    <w:rsid w:val="00D53343"/>
    <w:rsid w:val="00DA5A99"/>
    <w:rsid w:val="00DE58F7"/>
    <w:rsid w:val="00E12C6E"/>
    <w:rsid w:val="00E211B3"/>
    <w:rsid w:val="00E50B7B"/>
    <w:rsid w:val="00EF327A"/>
    <w:rsid w:val="00F4678B"/>
    <w:rsid w:val="00FA0158"/>
    <w:rsid w:val="00FE39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4AF41-4404-4618-921D-340382EB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E50B7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50B7B"/>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E50B7B"/>
    <w:pPr>
      <w:spacing w:after="0" w:line="240" w:lineRule="auto"/>
    </w:pPr>
  </w:style>
  <w:style w:type="paragraph" w:styleId="Prrafodelista">
    <w:name w:val="List Paragraph"/>
    <w:basedOn w:val="Normal"/>
    <w:uiPriority w:val="34"/>
    <w:qFormat/>
    <w:rsid w:val="00594413"/>
    <w:pPr>
      <w:ind w:left="720"/>
      <w:contextualSpacing/>
    </w:pPr>
  </w:style>
  <w:style w:type="paragraph" w:styleId="NormalWeb">
    <w:name w:val="Normal (Web)"/>
    <w:basedOn w:val="Normal"/>
    <w:uiPriority w:val="99"/>
    <w:unhideWhenUsed/>
    <w:rsid w:val="00EF327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D44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54213">
      <w:bodyDiv w:val="1"/>
      <w:marLeft w:val="0"/>
      <w:marRight w:val="0"/>
      <w:marTop w:val="0"/>
      <w:marBottom w:val="0"/>
      <w:divBdr>
        <w:top w:val="none" w:sz="0" w:space="0" w:color="auto"/>
        <w:left w:val="none" w:sz="0" w:space="0" w:color="auto"/>
        <w:bottom w:val="none" w:sz="0" w:space="0" w:color="auto"/>
        <w:right w:val="none" w:sz="0" w:space="0" w:color="auto"/>
      </w:divBdr>
    </w:div>
    <w:div w:id="2004166607">
      <w:bodyDiv w:val="1"/>
      <w:marLeft w:val="0"/>
      <w:marRight w:val="0"/>
      <w:marTop w:val="0"/>
      <w:marBottom w:val="0"/>
      <w:divBdr>
        <w:top w:val="none" w:sz="0" w:space="0" w:color="auto"/>
        <w:left w:val="none" w:sz="0" w:space="0" w:color="auto"/>
        <w:bottom w:val="none" w:sz="0" w:space="0" w:color="auto"/>
        <w:right w:val="none" w:sz="0" w:space="0" w:color="auto"/>
      </w:divBdr>
      <w:divsChild>
        <w:div w:id="225800996">
          <w:marLeft w:val="0"/>
          <w:marRight w:val="0"/>
          <w:marTop w:val="0"/>
          <w:marBottom w:val="0"/>
          <w:divBdr>
            <w:top w:val="single" w:sz="6" w:space="0" w:color="FFFFFF"/>
            <w:left w:val="single" w:sz="6" w:space="0" w:color="FFFFFF"/>
            <w:bottom w:val="single" w:sz="6" w:space="0" w:color="FFFFFF"/>
            <w:right w:val="single" w:sz="6" w:space="0" w:color="FFFFFF"/>
          </w:divBdr>
          <w:divsChild>
            <w:div w:id="206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2596</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Arboleda Monge</dc:creator>
  <cp:keywords/>
  <dc:description/>
  <cp:lastModifiedBy>Secretaria de Concejo</cp:lastModifiedBy>
  <cp:revision>2</cp:revision>
  <dcterms:created xsi:type="dcterms:W3CDTF">2022-07-06T14:54:00Z</dcterms:created>
  <dcterms:modified xsi:type="dcterms:W3CDTF">2022-07-06T14:54:00Z</dcterms:modified>
</cp:coreProperties>
</file>