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22" w:rsidRDefault="000C3930">
      <w:pPr>
        <w:widowControl w:val="0"/>
        <w:pBdr>
          <w:top w:val="nil"/>
          <w:left w:val="nil"/>
          <w:bottom w:val="nil"/>
          <w:right w:val="nil"/>
          <w:between w:val="nil"/>
        </w:pBdr>
        <w:spacing w:line="276" w:lineRule="auto"/>
      </w:pPr>
      <w:bookmarkStart w:id="0" w:name="_GoBack"/>
      <w:bookmarkEnd w:id="0"/>
      <w:r>
        <w:pict w14:anchorId="24114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56192;visibility:hidden">
            <o:lock v:ext="edit" selection="t"/>
          </v:shape>
        </w:pict>
      </w:r>
      <w:r>
        <w:pict w14:anchorId="4613E326">
          <v:shape id="_x0000_s1028" type="#_x0000_t136" style="position:absolute;margin-left:0;margin-top:0;width:50pt;height:50pt;z-index:251657216;visibility:hidden">
            <o:lock v:ext="edit" selection="t"/>
          </v:shape>
        </w:pict>
      </w:r>
      <w:r>
        <w:pict w14:anchorId="4208ED81">
          <v:shape id="_x0000_s1027" type="#_x0000_t136" style="position:absolute;margin-left:0;margin-top:0;width:50pt;height:50pt;z-index:251658240;visibility:hidden">
            <o:lock v:ext="edit" selection="t"/>
          </v:shape>
        </w:pict>
      </w:r>
      <w:r>
        <w:pict w14:anchorId="7D041473">
          <v:shape id="_x0000_s1026" type="#_x0000_t136" style="position:absolute;margin-left:0;margin-top:0;width:50pt;height:50pt;z-index:251659264;visibility:hidden">
            <o:lock v:ext="edit" selection="t"/>
          </v:shape>
        </w:pict>
      </w:r>
    </w:p>
    <w:p w:rsidR="00A91322" w:rsidRDefault="000C3930">
      <w:pPr>
        <w:pBdr>
          <w:top w:val="nil"/>
          <w:left w:val="nil"/>
          <w:bottom w:val="nil"/>
          <w:right w:val="nil"/>
          <w:between w:val="nil"/>
        </w:pBdr>
        <w:jc w:val="center"/>
        <w:rPr>
          <w:b/>
          <w:color w:val="000000"/>
          <w:sz w:val="22"/>
          <w:szCs w:val="22"/>
        </w:rPr>
      </w:pPr>
      <w:r>
        <w:rPr>
          <w:b/>
          <w:color w:val="000000"/>
          <w:sz w:val="22"/>
          <w:szCs w:val="22"/>
        </w:rPr>
        <w:t>EXPOSICIÓN DE MOTIVOS</w:t>
      </w: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La Constitución de la República del Ecuador, en su artículo 30, garantiza a las personas el “</w:t>
      </w:r>
      <w:r>
        <w:rPr>
          <w:i/>
          <w:color w:val="000000"/>
          <w:sz w:val="22"/>
          <w:szCs w:val="22"/>
        </w:rPr>
        <w:t>derecho a un hábitat seguro y saludable, y a una vivienda adecuada y digna, con independencia de su situación social y económica</w:t>
      </w:r>
      <w:r>
        <w:rPr>
          <w:color w:val="000000"/>
          <w:sz w:val="22"/>
          <w:szCs w:val="22"/>
        </w:rPr>
        <w:t>”.</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w:t>
      </w:r>
      <w:r>
        <w:rPr>
          <w:color w:val="000000"/>
          <w:sz w:val="22"/>
          <w:szCs w:val="22"/>
        </w:rPr>
        <w:t>o y consolidados que se encuentran en el Distrito Metropolitano de Quito, siguiendo para el efecto un proceso socio organizativo, legal y técnico, que permita determinar el fraccionamiento de los lotes, en cada asentamiento; y, por tanto, los beneficiarios</w:t>
      </w:r>
      <w:r>
        <w:rPr>
          <w:color w:val="000000"/>
          <w:sz w:val="22"/>
          <w:szCs w:val="22"/>
        </w:rPr>
        <w:t xml:space="preserve"> del proceso de regularización.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 xml:space="preserve">El asentamiento humano de hecho y consolidado de interés social denominado “Santa Inés Pasaje Carrera”, ubicado en la parroquia </w:t>
      </w:r>
      <w:proofErr w:type="spellStart"/>
      <w:r>
        <w:rPr>
          <w:color w:val="000000"/>
          <w:sz w:val="22"/>
          <w:szCs w:val="22"/>
        </w:rPr>
        <w:t>Cumbayá</w:t>
      </w:r>
      <w:proofErr w:type="spellEnd"/>
      <w:r>
        <w:rPr>
          <w:color w:val="000000"/>
          <w:sz w:val="22"/>
          <w:szCs w:val="22"/>
        </w:rPr>
        <w:t>, tiene una consolidación del 92.31%; cuenta actualmente con 26 años de asentamiento, 13 lotes a fraccionar y 71 benefici</w:t>
      </w:r>
      <w:r>
        <w:rPr>
          <w:color w:val="000000"/>
          <w:sz w:val="22"/>
          <w:szCs w:val="22"/>
        </w:rPr>
        <w:t xml:space="preserve">arios.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w:t>
      </w:r>
      <w:r>
        <w:rPr>
          <w:color w:val="000000"/>
          <w:sz w:val="22"/>
          <w:szCs w:val="22"/>
        </w:rPr>
        <w:t>tar a la población beneficiaria de servicios básicos; y, a su vez, permitir que los legítimos propietarios cuenten con títulos de dominio que garanticen su propiedad y el ejercicio del derecho a la vivienda, adecuada y digna, conforme lo prevé la Constituc</w:t>
      </w:r>
      <w:r>
        <w:rPr>
          <w:color w:val="000000"/>
          <w:sz w:val="22"/>
          <w:szCs w:val="22"/>
        </w:rPr>
        <w:t>ión del Ecuador.</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b/>
          <w:color w:val="000000"/>
          <w:sz w:val="22"/>
          <w:szCs w:val="22"/>
        </w:rPr>
      </w:pPr>
      <w:r>
        <w:rPr>
          <w:color w:val="000000"/>
          <w:sz w:val="22"/>
          <w:szCs w:val="22"/>
        </w:rPr>
        <w:t>En este sentido, la presente ordenanza contiene la normativa tendiente al fraccionamiento del predio sobre el que se encuentra el asentamiento humano de hecho y consolidado de interés social denominado “Santa Inés Pasaje Carrera”, a fin d</w:t>
      </w:r>
      <w:r>
        <w:rPr>
          <w:color w:val="000000"/>
          <w:sz w:val="22"/>
          <w:szCs w:val="22"/>
        </w:rPr>
        <w:t>e garantizar a los beneficiarios el ejercicio de su derecho a la vivienda y el acceso a servicios básicos de calidad.</w:t>
      </w: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tabs>
          <w:tab w:val="left" w:pos="2805"/>
        </w:tabs>
        <w:rPr>
          <w:color w:val="000000"/>
          <w:sz w:val="22"/>
          <w:szCs w:val="22"/>
        </w:rPr>
      </w:pPr>
    </w:p>
    <w:p w:rsidR="00A91322" w:rsidRDefault="000C3930">
      <w:pPr>
        <w:pBdr>
          <w:top w:val="nil"/>
          <w:left w:val="nil"/>
          <w:bottom w:val="nil"/>
          <w:right w:val="nil"/>
          <w:between w:val="nil"/>
        </w:pBdr>
        <w:tabs>
          <w:tab w:val="left" w:pos="2805"/>
        </w:tabs>
        <w:rPr>
          <w:color w:val="000000"/>
          <w:sz w:val="22"/>
          <w:szCs w:val="22"/>
        </w:rPr>
      </w:pPr>
      <w:r>
        <w:rPr>
          <w:color w:val="000000"/>
          <w:sz w:val="22"/>
          <w:szCs w:val="22"/>
        </w:rPr>
        <w:tab/>
      </w: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sz w:val="22"/>
          <w:szCs w:val="22"/>
        </w:rPr>
      </w:pPr>
    </w:p>
    <w:p w:rsidR="00A91322" w:rsidRDefault="00A91322">
      <w:pPr>
        <w:pBdr>
          <w:top w:val="nil"/>
          <w:left w:val="nil"/>
          <w:bottom w:val="nil"/>
          <w:right w:val="nil"/>
          <w:between w:val="nil"/>
        </w:pBdr>
        <w:rPr>
          <w:sz w:val="22"/>
          <w:szCs w:val="22"/>
        </w:rPr>
      </w:pPr>
    </w:p>
    <w:p w:rsidR="00A91322" w:rsidRDefault="00A91322">
      <w:pPr>
        <w:pBdr>
          <w:top w:val="nil"/>
          <w:left w:val="nil"/>
          <w:bottom w:val="nil"/>
          <w:right w:val="nil"/>
          <w:between w:val="nil"/>
        </w:pBdr>
        <w:rPr>
          <w:color w:val="000000"/>
          <w:sz w:val="22"/>
          <w:szCs w:val="22"/>
        </w:rPr>
      </w:pPr>
    </w:p>
    <w:p w:rsidR="00A91322" w:rsidRDefault="000C3930">
      <w:pPr>
        <w:pBdr>
          <w:top w:val="nil"/>
          <w:left w:val="nil"/>
          <w:bottom w:val="nil"/>
          <w:right w:val="nil"/>
          <w:between w:val="nil"/>
        </w:pBdr>
        <w:jc w:val="center"/>
        <w:rPr>
          <w:b/>
          <w:color w:val="000000"/>
          <w:sz w:val="22"/>
          <w:szCs w:val="22"/>
        </w:rPr>
      </w:pPr>
      <w:r>
        <w:rPr>
          <w:b/>
          <w:color w:val="000000"/>
          <w:sz w:val="22"/>
          <w:szCs w:val="22"/>
        </w:rPr>
        <w:t>EL CONCEJO METROPOLITANO DE QUITO</w:t>
      </w:r>
    </w:p>
    <w:p w:rsidR="00A91322" w:rsidRDefault="00A91322">
      <w:pPr>
        <w:pBdr>
          <w:top w:val="nil"/>
          <w:left w:val="nil"/>
          <w:bottom w:val="nil"/>
          <w:right w:val="nil"/>
          <w:between w:val="nil"/>
        </w:pBdr>
        <w:jc w:val="center"/>
        <w:rPr>
          <w:b/>
          <w:color w:val="000000"/>
          <w:sz w:val="22"/>
          <w:szCs w:val="22"/>
        </w:rPr>
      </w:pPr>
    </w:p>
    <w:p w:rsidR="00A91322" w:rsidRDefault="000C3930">
      <w:pPr>
        <w:pBdr>
          <w:top w:val="nil"/>
          <w:left w:val="nil"/>
          <w:bottom w:val="nil"/>
          <w:right w:val="nil"/>
          <w:between w:val="nil"/>
        </w:pBdr>
        <w:rPr>
          <w:color w:val="000000"/>
          <w:sz w:val="22"/>
          <w:szCs w:val="22"/>
        </w:rPr>
      </w:pPr>
      <w:r>
        <w:rPr>
          <w:color w:val="000000"/>
          <w:sz w:val="22"/>
          <w:szCs w:val="22"/>
        </w:rPr>
        <w:t>Visto el Informe No. IC-COT-</w:t>
      </w:r>
      <w:r>
        <w:rPr>
          <w:color w:val="000000"/>
          <w:sz w:val="22"/>
          <w:szCs w:val="22"/>
          <w:highlight w:val="white"/>
        </w:rPr>
        <w:t>202</w:t>
      </w:r>
      <w:r>
        <w:rPr>
          <w:sz w:val="22"/>
          <w:szCs w:val="22"/>
          <w:highlight w:val="white"/>
        </w:rPr>
        <w:t>1</w:t>
      </w:r>
      <w:r>
        <w:rPr>
          <w:color w:val="000000"/>
          <w:sz w:val="22"/>
          <w:szCs w:val="22"/>
          <w:highlight w:val="white"/>
        </w:rPr>
        <w:t>-</w:t>
      </w:r>
      <w:r>
        <w:rPr>
          <w:sz w:val="22"/>
          <w:szCs w:val="22"/>
          <w:highlight w:val="white"/>
        </w:rPr>
        <w:t>xxxx</w:t>
      </w:r>
      <w:r>
        <w:rPr>
          <w:color w:val="000000"/>
          <w:sz w:val="22"/>
          <w:szCs w:val="22"/>
          <w:highlight w:val="white"/>
        </w:rPr>
        <w:t xml:space="preserve"> de </w:t>
      </w:r>
      <w:r>
        <w:rPr>
          <w:sz w:val="22"/>
          <w:szCs w:val="22"/>
          <w:highlight w:val="white"/>
        </w:rPr>
        <w:t xml:space="preserve">xx </w:t>
      </w:r>
      <w:r>
        <w:rPr>
          <w:color w:val="000000"/>
          <w:sz w:val="22"/>
          <w:szCs w:val="22"/>
          <w:highlight w:val="white"/>
        </w:rPr>
        <w:t xml:space="preserve">de </w:t>
      </w:r>
      <w:proofErr w:type="spellStart"/>
      <w:r>
        <w:rPr>
          <w:sz w:val="22"/>
          <w:szCs w:val="22"/>
          <w:highlight w:val="white"/>
        </w:rPr>
        <w:t>xxxxxx</w:t>
      </w:r>
      <w:proofErr w:type="spellEnd"/>
      <w:r>
        <w:rPr>
          <w:sz w:val="22"/>
          <w:szCs w:val="22"/>
          <w:highlight w:val="white"/>
        </w:rPr>
        <w:t xml:space="preserve"> </w:t>
      </w:r>
      <w:r>
        <w:rPr>
          <w:color w:val="000000"/>
          <w:sz w:val="22"/>
          <w:szCs w:val="22"/>
          <w:highlight w:val="white"/>
        </w:rPr>
        <w:t>de 2021,</w:t>
      </w:r>
      <w:r>
        <w:rPr>
          <w:color w:val="000000"/>
          <w:sz w:val="22"/>
          <w:szCs w:val="22"/>
        </w:rPr>
        <w:t xml:space="preserve"> expedido por la Comisión de Ordenamiento Territorial;</w:t>
      </w: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A91322">
      <w:pPr>
        <w:pBdr>
          <w:top w:val="nil"/>
          <w:left w:val="nil"/>
          <w:bottom w:val="nil"/>
          <w:right w:val="nil"/>
          <w:between w:val="nil"/>
        </w:pBdr>
        <w:rPr>
          <w:color w:val="000000"/>
          <w:sz w:val="22"/>
          <w:szCs w:val="22"/>
        </w:rPr>
      </w:pPr>
    </w:p>
    <w:p w:rsidR="00A91322" w:rsidRDefault="000C3930">
      <w:pPr>
        <w:pBdr>
          <w:top w:val="nil"/>
          <w:left w:val="nil"/>
          <w:bottom w:val="nil"/>
          <w:right w:val="nil"/>
          <w:between w:val="nil"/>
        </w:pBdr>
        <w:jc w:val="center"/>
        <w:rPr>
          <w:b/>
          <w:color w:val="000000"/>
          <w:sz w:val="22"/>
          <w:szCs w:val="22"/>
        </w:rPr>
      </w:pPr>
      <w:r>
        <w:rPr>
          <w:b/>
          <w:color w:val="000000"/>
          <w:sz w:val="22"/>
          <w:szCs w:val="22"/>
        </w:rPr>
        <w:t>CONSIDERANDO:</w:t>
      </w:r>
    </w:p>
    <w:p w:rsidR="00A91322" w:rsidRDefault="00A91322">
      <w:pPr>
        <w:pBdr>
          <w:top w:val="nil"/>
          <w:left w:val="nil"/>
          <w:bottom w:val="nil"/>
          <w:right w:val="nil"/>
          <w:between w:val="nil"/>
        </w:pBdr>
        <w:jc w:val="center"/>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30 de la Constitución de la República del Ecuador (en adelante “Constitución”) establece que: “</w:t>
      </w:r>
      <w:r>
        <w:rPr>
          <w:i/>
          <w:color w:val="000000"/>
          <w:sz w:val="22"/>
          <w:szCs w:val="22"/>
        </w:rPr>
        <w:t>Las personas tienen derecho a un hábitat seguro y saludable, y a una vivienda adecuada y digna, con independencia de su situación social y económica.</w:t>
      </w:r>
      <w:r>
        <w:rPr>
          <w:color w:val="000000"/>
          <w:sz w:val="22"/>
          <w:szCs w:val="22"/>
        </w:rPr>
        <w:t>”;</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31 de la Constitución expresa que: “</w:t>
      </w:r>
      <w:r>
        <w:rPr>
          <w:i/>
          <w:color w:val="000000"/>
          <w:sz w:val="22"/>
          <w:szCs w:val="22"/>
        </w:rPr>
        <w:t>Las personas tienen derecho al disfrute pleno de l</w:t>
      </w:r>
      <w:r>
        <w:rPr>
          <w:i/>
          <w:color w:val="000000"/>
          <w:sz w:val="22"/>
          <w:szCs w:val="22"/>
        </w:rPr>
        <w:t>a ciudad y de sus espacios públicos, bajo los principios de sustentabilidad, justicia social, respeto a las diferentes culturas urbanas y equilibrio entre lo urbano y lo rural. El ejercicio del derecho a la ciudad se basa en la gestión democrática de ésta,</w:t>
      </w:r>
      <w:r>
        <w:rPr>
          <w:i/>
          <w:color w:val="000000"/>
          <w:sz w:val="22"/>
          <w:szCs w:val="22"/>
        </w:rPr>
        <w:t xml:space="preserve"> en la función social y ambiental de la propiedad y de la ciudad, y en el ejercicio pleno de la ciudadanía.</w:t>
      </w:r>
      <w:r>
        <w:rPr>
          <w:color w:val="000000"/>
          <w:sz w:val="22"/>
          <w:szCs w:val="22"/>
        </w:rPr>
        <w:t xml:space="preserve">”;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240 de la Constitución establece que: “</w:t>
      </w:r>
      <w:r>
        <w:rPr>
          <w:i/>
          <w:color w:val="000000"/>
          <w:sz w:val="22"/>
          <w:szCs w:val="22"/>
        </w:rPr>
        <w:t>Los gobiernos autónomos descentralizados de las regiones, distritos metropolitanos, provincias y cantones tendrán facultades legislativas en el ámbito de sus competencias y jurisdicciones territoriales (…)</w:t>
      </w:r>
      <w:r>
        <w:rPr>
          <w:color w:val="000000"/>
          <w:sz w:val="22"/>
          <w:szCs w:val="22"/>
        </w:rPr>
        <w:t>”;</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el artículo 266 de la Constitución establece que: “</w:t>
      </w:r>
      <w:r>
        <w:rPr>
          <w:i/>
          <w:color w:val="000000"/>
          <w:sz w:val="22"/>
          <w:szCs w:val="22"/>
        </w:rPr>
        <w:t>Los gobiernos de los distritos metropolitanos autónomos ejercerán las competencias que corresponden a los gobiernos cantonales y todas las que sean aplicables de los gobiernos provinciales y regionales, si</w:t>
      </w:r>
      <w:r>
        <w:rPr>
          <w:i/>
          <w:color w:val="000000"/>
          <w:sz w:val="22"/>
          <w:szCs w:val="22"/>
        </w:rPr>
        <w:t>n perjuicio de las adicionales que determine la ley que regule el sistema nacional de competencias.</w:t>
      </w:r>
    </w:p>
    <w:p w:rsidR="00A91322" w:rsidRDefault="00A91322">
      <w:pPr>
        <w:pBdr>
          <w:top w:val="nil"/>
          <w:left w:val="nil"/>
          <w:bottom w:val="nil"/>
          <w:right w:val="nil"/>
          <w:between w:val="nil"/>
        </w:pBdr>
        <w:ind w:left="705" w:hanging="705"/>
        <w:jc w:val="both"/>
        <w:rPr>
          <w:i/>
          <w:color w:val="000000"/>
          <w:sz w:val="22"/>
          <w:szCs w:val="22"/>
        </w:rPr>
      </w:pPr>
    </w:p>
    <w:p w:rsidR="00A91322" w:rsidRDefault="000C3930">
      <w:pPr>
        <w:pBdr>
          <w:top w:val="nil"/>
          <w:left w:val="nil"/>
          <w:bottom w:val="nil"/>
          <w:right w:val="nil"/>
          <w:between w:val="nil"/>
        </w:pBdr>
        <w:ind w:left="705"/>
        <w:jc w:val="both"/>
        <w:rPr>
          <w:i/>
          <w:color w:val="000000"/>
          <w:sz w:val="22"/>
          <w:szCs w:val="22"/>
        </w:rPr>
      </w:pPr>
      <w:r>
        <w:rPr>
          <w:i/>
          <w:color w:val="000000"/>
          <w:sz w:val="22"/>
          <w:szCs w:val="22"/>
        </w:rPr>
        <w:t>En el ámbito de sus competencias y territorio, y en uso de sus facultades, expedirán ordenanzas distritales.”</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el literal c) del artículo 84 del Códig</w:t>
      </w:r>
      <w:r>
        <w:rPr>
          <w:color w:val="000000"/>
          <w:sz w:val="22"/>
          <w:szCs w:val="22"/>
        </w:rPr>
        <w:t xml:space="preserve">o Orgánico de Organización Territorial, Autonomía y Descentralización (en adelante “COOTAD”), señala las funciones del gobierno del distrito autónomo metropolitano, </w:t>
      </w:r>
      <w:r>
        <w:rPr>
          <w:i/>
          <w:color w:val="000000"/>
          <w:sz w:val="22"/>
          <w:szCs w:val="22"/>
        </w:rPr>
        <w:t>“c) Establecer el régimen de uso del suelo y urbanístico para lo cual determinará las condi</w:t>
      </w:r>
      <w:r>
        <w:rPr>
          <w:i/>
          <w:color w:val="000000"/>
          <w:sz w:val="22"/>
          <w:szCs w:val="22"/>
        </w:rPr>
        <w:t>ciones de urbanización, parcelación, lotización, división o cualquier otra forma de fraccionamiento de conformidad con la planificación metropolitana, asegurando porcentajes para zonas verdes y áreas comunales”;</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strike/>
          <w:color w:val="000000"/>
          <w:sz w:val="22"/>
          <w:szCs w:val="22"/>
        </w:rPr>
      </w:pPr>
      <w:r>
        <w:rPr>
          <w:b/>
          <w:color w:val="000000"/>
          <w:sz w:val="22"/>
          <w:szCs w:val="22"/>
        </w:rPr>
        <w:t>Que,</w:t>
      </w:r>
      <w:r>
        <w:rPr>
          <w:b/>
          <w:color w:val="000000"/>
          <w:sz w:val="22"/>
          <w:szCs w:val="22"/>
        </w:rPr>
        <w:tab/>
      </w:r>
      <w:r>
        <w:rPr>
          <w:color w:val="000000"/>
          <w:sz w:val="22"/>
          <w:szCs w:val="22"/>
        </w:rPr>
        <w:t>el literal a) del artículo 87 del COOT</w:t>
      </w:r>
      <w:r>
        <w:rPr>
          <w:color w:val="000000"/>
          <w:sz w:val="22"/>
          <w:szCs w:val="22"/>
        </w:rPr>
        <w:t xml:space="preserve">AD, establece que las funciones del Concejo Metropolitano, entre otras, son: </w:t>
      </w:r>
      <w:r>
        <w:rPr>
          <w:i/>
          <w:color w:val="000000"/>
          <w:sz w:val="22"/>
          <w:szCs w:val="22"/>
        </w:rPr>
        <w:t>“a) Ejercer la facultad normativa en las materias de competencia del gobierno autónomo descentralizado metropolitano, mediante la expedición de ordenanzas metropolitanas, acuerdos</w:t>
      </w:r>
      <w:r>
        <w:rPr>
          <w:i/>
          <w:color w:val="000000"/>
          <w:sz w:val="22"/>
          <w:szCs w:val="22"/>
        </w:rPr>
        <w:t xml:space="preserve"> y resoluciones;</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322 del COOTAD establece el procedimiento para la aprobación de las ordenanzas municipales;</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b/>
          <w:color w:val="000000"/>
          <w:sz w:val="22"/>
          <w:szCs w:val="22"/>
        </w:rPr>
      </w:pPr>
      <w:r>
        <w:rPr>
          <w:b/>
          <w:color w:val="000000"/>
          <w:sz w:val="22"/>
          <w:szCs w:val="22"/>
        </w:rPr>
        <w:lastRenderedPageBreak/>
        <w:t>Que,</w:t>
      </w:r>
      <w:r>
        <w:rPr>
          <w:b/>
          <w:color w:val="000000"/>
          <w:sz w:val="22"/>
          <w:szCs w:val="22"/>
        </w:rPr>
        <w:tab/>
      </w:r>
      <w:r>
        <w:rPr>
          <w:color w:val="000000"/>
          <w:sz w:val="22"/>
          <w:szCs w:val="22"/>
        </w:rPr>
        <w:t>el artículo 486 del COOTAD reformado establece que: “</w:t>
      </w:r>
      <w:r>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w:t>
      </w:r>
      <w:r>
        <w:rPr>
          <w:i/>
          <w:color w:val="000000"/>
          <w:sz w:val="22"/>
          <w:szCs w:val="22"/>
        </w:rPr>
        <w:t>rial en predios que se encuentren proindiviso, la alcaldesa o el alcalde, a través de los órganos administrativos de la municipalidad, de oficio o a petición de parte, estará facultado para ejercer la partición administrativa, (…)</w:t>
      </w:r>
      <w:r>
        <w:rPr>
          <w:color w:val="000000"/>
          <w:sz w:val="22"/>
          <w:szCs w:val="22"/>
        </w:rPr>
        <w:t>”;</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la Disposición Tr</w:t>
      </w:r>
      <w:r>
        <w:rPr>
          <w:color w:val="000000"/>
          <w:sz w:val="22"/>
          <w:szCs w:val="22"/>
        </w:rPr>
        <w:t xml:space="preserve">ansitoria Décima Cuarta del COOTAD, señala: </w:t>
      </w:r>
      <w:r>
        <w:rPr>
          <w:i/>
          <w:color w:val="000000"/>
          <w:sz w:val="22"/>
          <w:szCs w:val="22"/>
        </w:rPr>
        <w:t>“(…) Excepcionalmente en los casos de asentamientos de hecho y consolidados declarados de interés social, en que no se ha previsto el porcentaje de áreas verdes y comunales establecidas en la ley, serán exonerada</w:t>
      </w:r>
      <w:r>
        <w:rPr>
          <w:i/>
          <w:color w:val="000000"/>
          <w:sz w:val="22"/>
          <w:szCs w:val="22"/>
        </w:rPr>
        <w:t>s de este porcentaje.”;</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numeral 1 del artículo 2 de la Ley de Régimen para el Distrito Metropolitano de Quito establece que el Municipio del Distrito Metropolitano de Quito, tiene la competencia exclusiva y privativa de regular el uso y la adecuad</w:t>
      </w:r>
      <w:r>
        <w:rPr>
          <w:color w:val="000000"/>
          <w:sz w:val="22"/>
          <w:szCs w:val="22"/>
        </w:rPr>
        <w:t xml:space="preserve">a ocupación del suelo, ejerciendo el control sobre el mismo;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numeral 1 del artículo 8 de la Ley de Régimen para el Distrito Metropolitano de Quito, establece que le corresponde al Concejo Metropolitano decidir mediante ordenanza, sobre los asunto</w:t>
      </w:r>
      <w:r>
        <w:rPr>
          <w:color w:val="000000"/>
          <w:sz w:val="22"/>
          <w:szCs w:val="22"/>
        </w:rPr>
        <w:t>s de interés general, relativos al desarrollo integral y a la ordenación urbanística del Distrito;</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la Unidad Especial “Regula tu Barrio” es la dependencia encargada de procesar, canalizar y resolver los procedimientos para la regularización de la ocu</w:t>
      </w:r>
      <w:r>
        <w:rPr>
          <w:color w:val="000000"/>
          <w:sz w:val="22"/>
          <w:szCs w:val="22"/>
        </w:rPr>
        <w:t>pación informal del suelo, en procura de agilitar la emisión de informes y demás trámites pertinentes para la legalización de barrios dentro del marco de planificación y el ordenamiento de la ciudad, conforme lo establecido en el artículo 2 de la Resolució</w:t>
      </w:r>
      <w:r>
        <w:rPr>
          <w:color w:val="000000"/>
          <w:sz w:val="22"/>
          <w:szCs w:val="22"/>
        </w:rPr>
        <w:t xml:space="preserve">n No. A0010 de 19 de marzo de 2010;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libro IV.7., título II de la Ordenanza No. 001 de 29 de marzo de 2019, establece los procesos y procedimientos para la regularización integral de los asentamientos humanos de hecho y consolidados, así como su d</w:t>
      </w:r>
      <w:r>
        <w:rPr>
          <w:color w:val="000000"/>
          <w:sz w:val="22"/>
          <w:szCs w:val="22"/>
        </w:rPr>
        <w:t>eclaratoria de interés social, para aquellos asentamientos que cumplen las condiciones socioeconómicas, legales y físicas establecidas para el efecto;</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w:t>
      </w:r>
      <w:r>
        <w:t>artículo</w:t>
      </w:r>
      <w:r>
        <w:rPr>
          <w:color w:val="000000"/>
          <w:sz w:val="22"/>
          <w:szCs w:val="22"/>
        </w:rPr>
        <w:t xml:space="preserve"> 3681, último párrafo de la Ordenanza No. 001 de 29 de marzo de 2019, establece que con </w:t>
      </w:r>
      <w:r>
        <w:rPr>
          <w:color w:val="000000"/>
          <w:sz w:val="22"/>
          <w:szCs w:val="22"/>
        </w:rPr>
        <w:t>la declaratoria de interés social del asentamiento humano de hecho y consolidado dará lugar a la exoneración referentes a la contribución de áreas verdes;</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w:t>
      </w:r>
      <w:r>
        <w:t>artículo</w:t>
      </w:r>
      <w:r>
        <w:rPr>
          <w:color w:val="000000"/>
          <w:sz w:val="22"/>
          <w:szCs w:val="22"/>
        </w:rPr>
        <w:t xml:space="preserve"> 3693 de la Ordenanza No. 001 de 29 de marzo de 2019 establece: “</w:t>
      </w:r>
      <w:r>
        <w:rPr>
          <w:b/>
          <w:i/>
          <w:color w:val="000000"/>
          <w:sz w:val="22"/>
          <w:szCs w:val="22"/>
        </w:rPr>
        <w:t>Ordenamiento territ</w:t>
      </w:r>
      <w:r>
        <w:rPr>
          <w:b/>
          <w:i/>
          <w:color w:val="000000"/>
          <w:sz w:val="22"/>
          <w:szCs w:val="22"/>
        </w:rPr>
        <w:t>orial</w:t>
      </w:r>
      <w:r>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w:t>
      </w:r>
      <w:r>
        <w:rPr>
          <w:i/>
          <w:color w:val="000000"/>
          <w:sz w:val="22"/>
          <w:szCs w:val="22"/>
        </w:rPr>
        <w:t xml:space="preserve">atender a las condiciones territoriales del asentamiento. En caso de que la realidad del asentamiento así lo requiera, el Concejo Metropolitano podrá aprobar para los lotes, áreas de excepción inferiores a las áreas mínimas establecidas en la zonificación </w:t>
      </w:r>
      <w:r>
        <w:rPr>
          <w:i/>
          <w:color w:val="000000"/>
          <w:sz w:val="22"/>
          <w:szCs w:val="22"/>
        </w:rPr>
        <w:t>vigente y, de ser posible, deberá contemplar lo establecido en los planes de ordenamiento territorial.”;</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ind w:left="705" w:hanging="705"/>
        <w:jc w:val="both"/>
        <w:rPr>
          <w:i/>
          <w:color w:val="000000"/>
          <w:sz w:val="22"/>
          <w:szCs w:val="22"/>
        </w:rPr>
      </w:pPr>
      <w:r>
        <w:rPr>
          <w:b/>
          <w:color w:val="000000"/>
          <w:sz w:val="22"/>
          <w:szCs w:val="22"/>
        </w:rPr>
        <w:lastRenderedPageBreak/>
        <w:t>Que,</w:t>
      </w:r>
      <w:r>
        <w:rPr>
          <w:b/>
          <w:color w:val="000000"/>
          <w:sz w:val="22"/>
          <w:szCs w:val="22"/>
        </w:rPr>
        <w:tab/>
      </w:r>
      <w:r>
        <w:rPr>
          <w:color w:val="000000"/>
          <w:sz w:val="22"/>
          <w:szCs w:val="22"/>
        </w:rPr>
        <w:t xml:space="preserve">el </w:t>
      </w:r>
      <w:r>
        <w:t>artículo</w:t>
      </w:r>
      <w:r>
        <w:rPr>
          <w:color w:val="000000"/>
          <w:sz w:val="22"/>
          <w:szCs w:val="22"/>
        </w:rPr>
        <w:t xml:space="preserve"> 3695 de la Ordenanza No. 001 de 29 de marzo de 2019 en su parte pertinente de la excepción de las áreas verdes dispone:</w:t>
      </w:r>
      <w:r>
        <w:rPr>
          <w:i/>
          <w:color w:val="000000"/>
          <w:sz w:val="22"/>
          <w:szCs w:val="22"/>
        </w:rPr>
        <w:t xml:space="preserve"> “(…) El faltante de áreas verdes será compensado pecuniariamente con excepción de los asentamientos declarados de interés social (...)” </w:t>
      </w:r>
    </w:p>
    <w:p w:rsidR="00A91322" w:rsidRDefault="00A91322">
      <w:pPr>
        <w:pBdr>
          <w:top w:val="nil"/>
          <w:left w:val="nil"/>
          <w:bottom w:val="nil"/>
          <w:right w:val="nil"/>
          <w:between w:val="nil"/>
        </w:pBdr>
        <w:ind w:left="705" w:hanging="705"/>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Ordenanza No. 001 de 29 de marzo de 2019, determina en su disposición derogatoria lo siguiente: </w:t>
      </w:r>
      <w:r>
        <w:rPr>
          <w:i/>
          <w:color w:val="000000"/>
          <w:sz w:val="22"/>
          <w:szCs w:val="22"/>
        </w:rPr>
        <w:t>“(…) Deróguen</w:t>
      </w:r>
      <w:r>
        <w:rPr>
          <w:i/>
          <w:color w:val="000000"/>
          <w:sz w:val="22"/>
          <w:szCs w:val="22"/>
        </w:rPr>
        <w:t>se todas las Ordenanzas que se detallan en el cuadro adjunto (Anexo Derogatorias), con excepción de sus disposiciones de carácter transitorio hasta la verificación del efectivo cumplimiento de las mismas;(…)</w:t>
      </w:r>
      <w:r>
        <w:rPr>
          <w:color w:val="000000"/>
          <w:sz w:val="22"/>
          <w:szCs w:val="22"/>
        </w:rPr>
        <w:t xml:space="preserve">”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en concordancia con el considerando prec</w:t>
      </w:r>
      <w:r>
        <w:rPr>
          <w:color w:val="000000"/>
          <w:sz w:val="22"/>
          <w:szCs w:val="22"/>
        </w:rPr>
        <w:t>edente,</w:t>
      </w:r>
      <w:r>
        <w:rPr>
          <w:b/>
          <w:color w:val="000000"/>
          <w:sz w:val="22"/>
          <w:szCs w:val="22"/>
        </w:rPr>
        <w:t xml:space="preserve"> </w:t>
      </w:r>
      <w:r>
        <w:rPr>
          <w:color w:val="000000"/>
          <w:sz w:val="22"/>
          <w:szCs w:val="22"/>
        </w:rPr>
        <w:t>la Disposición Transitoria Segunda de la Ordenanza No. 0147 de 09 de diciembre de 2016, determina que en los procesos de regularización de asentamientos humanos de hecho y consolidados que se encuentren en trámite, se aplicará la norma más benefici</w:t>
      </w:r>
      <w:r>
        <w:rPr>
          <w:color w:val="000000"/>
          <w:sz w:val="22"/>
          <w:szCs w:val="22"/>
        </w:rPr>
        <w:t xml:space="preserve">osa para la regularización del asentamiento;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mediante Resolución No. C 039-2021, se aprueba el plan anual de regularización de los asentamientos humanos de hecho y consolidados para el periodo 2021.</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la Mesa Institucional, reunida el 16 de agos</w:t>
      </w:r>
      <w:r>
        <w:rPr>
          <w:color w:val="000000"/>
          <w:sz w:val="22"/>
          <w:szCs w:val="22"/>
        </w:rPr>
        <w:t>to de 2021,  mediante la aplicación Zoom, siendo las  catorce horas con treinta minutos,  integrada por los señores: Mg. Deysi Martínez, Administradora Zonal Tumbaco; Arq. Fabián Valencia, Director Gestión de Territorio Zonal Tumbaco; Srta. Viviana Chávez,</w:t>
      </w:r>
      <w:r>
        <w:rPr>
          <w:color w:val="000000"/>
          <w:sz w:val="22"/>
          <w:szCs w:val="22"/>
        </w:rPr>
        <w:t xml:space="preserve"> Delegada del Director Jurídico Zonal Tumbaco; Ing. Juan Carlos Arboleda, Delegado de la Dirección Metropolitana de Catastro; Ing. Ángel Barahona, Delegado de la Dirección Metropolitana de Gestión de Riesgos; Arq. Elizabeth Ortiz, Delegada de la Secretaría</w:t>
      </w:r>
      <w:r>
        <w:rPr>
          <w:color w:val="000000"/>
          <w:sz w:val="22"/>
          <w:szCs w:val="22"/>
        </w:rPr>
        <w:t xml:space="preserve"> de Territorio, Hábitat y Vivienda; Arq. Karina Suárez, Delegada de la Secretaría de Territorio, Hábitat y Vivienda; Arq. Christian Naranjo, Delegado y Responsable Técnico de la Dirección de la Unidad Especial Regula Tu Barrio; Ing. Andrés Santacruz, Respo</w:t>
      </w:r>
      <w:r>
        <w:rPr>
          <w:color w:val="000000"/>
          <w:sz w:val="22"/>
          <w:szCs w:val="22"/>
        </w:rPr>
        <w:t>nsable Socio-Organizativo de la Unidad Especial “Regula Tu Barrio” Oficina Central;  Dr. Fernando Quintana, Responsable Legal de la Unidad Especial “Regula Tu Barrio” Oficina Central, aprobaron el Informe Socio Organizativo Legal y Técnico Nº 001-UERB-AZT-</w:t>
      </w:r>
      <w:r>
        <w:rPr>
          <w:color w:val="000000"/>
          <w:sz w:val="22"/>
          <w:szCs w:val="22"/>
        </w:rPr>
        <w:t xml:space="preserve">SOLT-2021, de 28 de julio de 2021, habilitante de la Ordenanza de Reconocimiento del asentamiento humano de hecho y consolidado de interés social, denominado: “Santa Inés Pasaje Carrera”, a favor de sus copropietarios.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mediante Oficio GADDMQ-SGSG-20</w:t>
      </w:r>
      <w:r>
        <w:rPr>
          <w:color w:val="000000"/>
          <w:sz w:val="22"/>
          <w:szCs w:val="22"/>
        </w:rPr>
        <w:t>21-0242-OF, de 28 de enero de 2021, de la Secretaría General de Seguridad y Gobernabilidad, realizada al AHHYC “Santa Inés Pasaje Carrera”, determina que: “</w:t>
      </w:r>
      <w:r>
        <w:rPr>
          <w:i/>
          <w:color w:val="000000"/>
          <w:sz w:val="22"/>
          <w:szCs w:val="22"/>
        </w:rPr>
        <w:t>Para el proceso de regularización de tierras se considera el nivel de riesgos frente a movimientos e</w:t>
      </w:r>
      <w:r>
        <w:rPr>
          <w:i/>
          <w:color w:val="000000"/>
          <w:sz w:val="22"/>
          <w:szCs w:val="22"/>
        </w:rPr>
        <w:t>n masa, ya que representa el fenómeno más importante para la posible 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rsidR="00A91322" w:rsidRDefault="00A91322">
      <w:pPr>
        <w:pBdr>
          <w:top w:val="nil"/>
          <w:left w:val="nil"/>
          <w:bottom w:val="nil"/>
          <w:right w:val="nil"/>
          <w:between w:val="nil"/>
        </w:pBdr>
        <w:ind w:left="705" w:hanging="705"/>
        <w:jc w:val="both"/>
        <w:rPr>
          <w:i/>
          <w:color w:val="000000"/>
          <w:sz w:val="22"/>
          <w:szCs w:val="22"/>
        </w:rPr>
      </w:pPr>
    </w:p>
    <w:p w:rsidR="00A91322" w:rsidRDefault="000C3930">
      <w:pPr>
        <w:spacing w:after="240"/>
        <w:ind w:left="705" w:hanging="705"/>
        <w:jc w:val="both"/>
        <w:rPr>
          <w:i/>
          <w:sz w:val="22"/>
          <w:szCs w:val="22"/>
        </w:rPr>
      </w:pPr>
      <w:r>
        <w:rPr>
          <w:b/>
          <w:sz w:val="22"/>
          <w:szCs w:val="22"/>
        </w:rPr>
        <w:t xml:space="preserve">Que, </w:t>
      </w:r>
      <w:r>
        <w:rPr>
          <w:b/>
          <w:sz w:val="22"/>
          <w:szCs w:val="22"/>
        </w:rPr>
        <w:tab/>
      </w:r>
      <w:r>
        <w:rPr>
          <w:sz w:val="22"/>
          <w:szCs w:val="22"/>
        </w:rPr>
        <w:t>mediante Oficio Nro. EPMAPS-GT-0122-2021, de 12 de febrero de 2021, emitido por el Gerente Técnico de Infraestructura de la Empresa Pública Metropolitana de Agua Potable y Saneamiento remite el Oficio No. EPMAPS-GT-2021-0111, de 10 de febrero de 202</w:t>
      </w:r>
      <w:r>
        <w:rPr>
          <w:sz w:val="22"/>
          <w:szCs w:val="22"/>
        </w:rPr>
        <w:t>1, en el cual informa: “De acuerdo a las “</w:t>
      </w:r>
      <w:r>
        <w:rPr>
          <w:b/>
          <w:i/>
          <w:sz w:val="22"/>
          <w:szCs w:val="22"/>
        </w:rPr>
        <w:t>Normas de Diseño de Sistemas de Agua Potable para la EMAAP-Q, 01-AP-AMAAPQ-2008</w:t>
      </w:r>
      <w:r>
        <w:rPr>
          <w:i/>
          <w:sz w:val="22"/>
          <w:szCs w:val="22"/>
        </w:rPr>
        <w:t>”, la instalación de hidrantes es un requisito técnico obligatorio que se deben considerar en los diseños de redes de agua potable, con</w:t>
      </w:r>
      <w:r>
        <w:rPr>
          <w:i/>
          <w:sz w:val="22"/>
          <w:szCs w:val="22"/>
        </w:rPr>
        <w:t xml:space="preserve"> la finalidad de garantizar obras seguras, durables, de funcionamiento adecuado, sostenibles en el tiempo y costos que garanticen los mayores beneficios de inversión prevista.</w:t>
      </w:r>
    </w:p>
    <w:p w:rsidR="00A91322" w:rsidRDefault="000C3930">
      <w:pPr>
        <w:spacing w:after="240"/>
        <w:ind w:left="705" w:hanging="705"/>
        <w:jc w:val="both"/>
        <w:rPr>
          <w:i/>
          <w:color w:val="000000"/>
          <w:sz w:val="22"/>
          <w:szCs w:val="22"/>
        </w:rPr>
      </w:pPr>
      <w:r>
        <w:rPr>
          <w:i/>
          <w:sz w:val="22"/>
          <w:szCs w:val="22"/>
        </w:rPr>
        <w:lastRenderedPageBreak/>
        <w:t xml:space="preserve">             En este sentido una vez que los barrios cuenten con la respectiva O</w:t>
      </w:r>
      <w:r>
        <w:rPr>
          <w:i/>
          <w:sz w:val="22"/>
          <w:szCs w:val="22"/>
        </w:rPr>
        <w:t>rdenanza, la EPMAPS procederá a realizar los estudios y diseños para la dotación de agua potable en los diferentes sectores de DMQ incluyendo la instalación de hidrantes.”</w:t>
      </w:r>
    </w:p>
    <w:p w:rsidR="00A91322" w:rsidRDefault="000C39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mediante Oficio STHV-DMPPS-2021-0198-O, de 08 de junio de 2021, de la Dirección</w:t>
      </w:r>
      <w:r>
        <w:rPr>
          <w:color w:val="000000"/>
          <w:sz w:val="22"/>
          <w:szCs w:val="22"/>
        </w:rPr>
        <w:t xml:space="preserve"> Metropolitana de Políticas y Planeamiento del Suelo, remite el Informe técnico No. IT-STHV-DMPPS-2021-0052, de 29 de abril de 2021, de pre-factibilidad para el cambio de zonificación, del AHHYC “Santa Inés Pasaje Carrera”, donde manifiesta que </w:t>
      </w:r>
      <w:r>
        <w:rPr>
          <w:i/>
          <w:color w:val="000000"/>
          <w:sz w:val="22"/>
          <w:szCs w:val="22"/>
        </w:rPr>
        <w:t>“(…) consid</w:t>
      </w:r>
      <w:r>
        <w:rPr>
          <w:i/>
          <w:color w:val="000000"/>
          <w:sz w:val="22"/>
          <w:szCs w:val="22"/>
        </w:rPr>
        <w:t>era factible el cambio de zonificación (ocupación y edificabilidad) del Asentamiento Humano de Hecho y Consolidado denominado “SANTA INÉS PASAJE CARRERA”, en los términos que se señalan en el Cuadro No 2, a fin de continuar con el proceso integral de regul</w:t>
      </w:r>
      <w:r>
        <w:rPr>
          <w:i/>
          <w:color w:val="000000"/>
          <w:sz w:val="22"/>
          <w:szCs w:val="22"/>
        </w:rPr>
        <w:t>arización correspondiente.”</w:t>
      </w:r>
    </w:p>
    <w:p w:rsidR="00A91322" w:rsidRDefault="00A91322">
      <w:pPr>
        <w:pBdr>
          <w:top w:val="nil"/>
          <w:left w:val="nil"/>
          <w:bottom w:val="nil"/>
          <w:right w:val="nil"/>
          <w:between w:val="nil"/>
        </w:pBdr>
        <w:ind w:left="705" w:hanging="705"/>
        <w:jc w:val="both"/>
        <w:rPr>
          <w:i/>
          <w:color w:val="000000"/>
          <w:sz w:val="22"/>
          <w:szCs w:val="22"/>
        </w:rPr>
      </w:pPr>
    </w:p>
    <w:p w:rsidR="00A91322" w:rsidRDefault="00A91322">
      <w:pPr>
        <w:pBdr>
          <w:top w:val="nil"/>
          <w:left w:val="nil"/>
          <w:bottom w:val="nil"/>
          <w:right w:val="nil"/>
          <w:between w:val="nil"/>
        </w:pBdr>
        <w:ind w:left="705" w:hanging="705"/>
        <w:jc w:val="both"/>
        <w:rPr>
          <w:b/>
          <w:i/>
          <w:color w:val="000000"/>
          <w:sz w:val="22"/>
          <w:szCs w:val="22"/>
        </w:rPr>
      </w:pPr>
    </w:p>
    <w:p w:rsidR="00A91322" w:rsidRDefault="000C3930">
      <w:pPr>
        <w:pBdr>
          <w:top w:val="nil"/>
          <w:left w:val="nil"/>
          <w:bottom w:val="nil"/>
          <w:right w:val="nil"/>
          <w:between w:val="nil"/>
        </w:pBdr>
        <w:jc w:val="both"/>
        <w:rPr>
          <w:b/>
          <w:color w:val="000000"/>
          <w:sz w:val="22"/>
          <w:szCs w:val="22"/>
        </w:rPr>
      </w:pPr>
      <w:r>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w:t>
      </w:r>
      <w:r>
        <w:rPr>
          <w:b/>
          <w:color w:val="000000"/>
          <w:sz w:val="22"/>
          <w:szCs w:val="22"/>
        </w:rPr>
        <w:t>utonomía y Descentralización; Art. 2 numeral 1, y Art. 8 numeral 1 de la Ley de Régimen para el Distrito Metropolitano de Quito,</w:t>
      </w:r>
    </w:p>
    <w:p w:rsidR="00A91322" w:rsidRDefault="00A91322">
      <w:pPr>
        <w:pBdr>
          <w:top w:val="nil"/>
          <w:left w:val="nil"/>
          <w:bottom w:val="nil"/>
          <w:right w:val="nil"/>
          <w:between w:val="nil"/>
        </w:pBdr>
        <w:rPr>
          <w:b/>
          <w:color w:val="000000"/>
          <w:sz w:val="22"/>
          <w:szCs w:val="22"/>
        </w:rPr>
      </w:pPr>
    </w:p>
    <w:p w:rsidR="00A91322" w:rsidRDefault="000C3930">
      <w:pPr>
        <w:pBdr>
          <w:top w:val="nil"/>
          <w:left w:val="nil"/>
          <w:bottom w:val="nil"/>
          <w:right w:val="nil"/>
          <w:between w:val="nil"/>
        </w:pBdr>
        <w:jc w:val="center"/>
        <w:rPr>
          <w:b/>
          <w:color w:val="000000"/>
          <w:sz w:val="22"/>
          <w:szCs w:val="22"/>
        </w:rPr>
      </w:pPr>
      <w:r>
        <w:rPr>
          <w:b/>
          <w:color w:val="000000"/>
          <w:sz w:val="22"/>
          <w:szCs w:val="22"/>
        </w:rPr>
        <w:t>EXPIDE LA SIGUIENTE:</w:t>
      </w:r>
    </w:p>
    <w:p w:rsidR="00A91322" w:rsidRDefault="00A91322">
      <w:pPr>
        <w:pBdr>
          <w:top w:val="nil"/>
          <w:left w:val="nil"/>
          <w:bottom w:val="nil"/>
          <w:right w:val="nil"/>
          <w:between w:val="nil"/>
        </w:pBdr>
        <w:jc w:val="center"/>
        <w:rPr>
          <w:b/>
          <w:color w:val="000000"/>
          <w:sz w:val="22"/>
          <w:szCs w:val="22"/>
        </w:rPr>
      </w:pPr>
    </w:p>
    <w:p w:rsidR="00A91322" w:rsidRDefault="000C3930">
      <w:pPr>
        <w:pBdr>
          <w:top w:val="nil"/>
          <w:left w:val="nil"/>
          <w:bottom w:val="nil"/>
          <w:right w:val="nil"/>
          <w:between w:val="nil"/>
        </w:pBdr>
        <w:jc w:val="both"/>
        <w:rPr>
          <w:b/>
          <w:color w:val="000000"/>
          <w:sz w:val="22"/>
          <w:szCs w:val="22"/>
        </w:rPr>
      </w:pPr>
      <w:r>
        <w:rPr>
          <w:b/>
          <w:color w:val="000000"/>
          <w:sz w:val="22"/>
          <w:szCs w:val="22"/>
        </w:rPr>
        <w:t xml:space="preserve">ORDENANZA QUE APRUEBA EL PROCESO INTEGRAL DE </w:t>
      </w:r>
      <w:r>
        <w:rPr>
          <w:b/>
          <w:sz w:val="22"/>
          <w:szCs w:val="22"/>
        </w:rPr>
        <w:t>REGULARIZACIÓN</w:t>
      </w:r>
      <w:r>
        <w:rPr>
          <w:b/>
          <w:color w:val="000000"/>
          <w:sz w:val="22"/>
          <w:szCs w:val="22"/>
        </w:rPr>
        <w:t xml:space="preserve"> DEL ASENTAMIENTO</w:t>
      </w:r>
      <w:r>
        <w:rPr>
          <w:b/>
          <w:color w:val="FF0000"/>
          <w:sz w:val="22"/>
          <w:szCs w:val="22"/>
        </w:rPr>
        <w:t xml:space="preserve"> </w:t>
      </w:r>
      <w:r>
        <w:rPr>
          <w:b/>
          <w:color w:val="000000"/>
          <w:sz w:val="22"/>
          <w:szCs w:val="22"/>
        </w:rPr>
        <w:t>HUMANO DE HECHO Y CONSOLIDA</w:t>
      </w:r>
      <w:r>
        <w:rPr>
          <w:b/>
          <w:color w:val="000000"/>
          <w:sz w:val="22"/>
          <w:szCs w:val="22"/>
        </w:rPr>
        <w:t xml:space="preserve">DO DE INTERÉS SOCIAL DENOMINADO “SANTA </w:t>
      </w:r>
      <w:r>
        <w:rPr>
          <w:b/>
          <w:sz w:val="22"/>
          <w:szCs w:val="22"/>
        </w:rPr>
        <w:t>INÉS</w:t>
      </w:r>
      <w:r>
        <w:rPr>
          <w:b/>
          <w:color w:val="000000"/>
          <w:sz w:val="22"/>
          <w:szCs w:val="22"/>
        </w:rPr>
        <w:t xml:space="preserve"> PASAJE CARRERA”, A FAVOR DE SUS COPROPIETARIOS.</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color w:val="000000"/>
          <w:sz w:val="22"/>
          <w:szCs w:val="22"/>
        </w:rPr>
      </w:pPr>
      <w:r>
        <w:rPr>
          <w:b/>
          <w:sz w:val="22"/>
          <w:szCs w:val="22"/>
        </w:rPr>
        <w:t>Artículo</w:t>
      </w:r>
      <w:r>
        <w:rPr>
          <w:b/>
          <w:color w:val="000000"/>
          <w:sz w:val="22"/>
          <w:szCs w:val="22"/>
        </w:rPr>
        <w:t xml:space="preserve"> 1.- Objeto. -</w:t>
      </w:r>
      <w:r>
        <w:rPr>
          <w:color w:val="000000"/>
          <w:sz w:val="22"/>
          <w:szCs w:val="22"/>
        </w:rPr>
        <w:t xml:space="preserve"> La presente ordenanza tiene por objeto reconocer y aprobar el fraccionamiento del predio 313617, su vía, modificando su zonificación actual, sobre la que se encuentra el asentamiento humano de hecho y consolidado de interés social denominado “Santa Inés P</w:t>
      </w:r>
      <w:r>
        <w:rPr>
          <w:color w:val="000000"/>
          <w:sz w:val="22"/>
          <w:szCs w:val="22"/>
        </w:rPr>
        <w:t>asaje Carrera”, a favor de sus copropietarios.</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Artículo 2.- De los planos y documentos presentados.-</w:t>
      </w:r>
      <w:r>
        <w:rPr>
          <w:color w:val="000000"/>
          <w:sz w:val="22"/>
          <w:szCs w:val="22"/>
        </w:rPr>
        <w:t xml:space="preserve"> Los planos y documentos presentados para la aprobación del presente acto normativo son de exclusiva responsabilidad del proyectista y de los copropietario</w:t>
      </w:r>
      <w:r>
        <w:rPr>
          <w:color w:val="000000"/>
          <w:sz w:val="22"/>
          <w:szCs w:val="22"/>
        </w:rPr>
        <w:t xml:space="preserve">s del asentamiento humano de hecho y consolidado de interés social denominado “Santa Inés Pasaje Carrera”, ubicado en la parroquia </w:t>
      </w:r>
      <w:proofErr w:type="spellStart"/>
      <w:r>
        <w:rPr>
          <w:color w:val="000000"/>
          <w:sz w:val="22"/>
          <w:szCs w:val="22"/>
        </w:rPr>
        <w:t>Cumbayá</w:t>
      </w:r>
      <w:proofErr w:type="spellEnd"/>
      <w:r>
        <w:rPr>
          <w:color w:val="000000"/>
          <w:sz w:val="22"/>
          <w:szCs w:val="22"/>
        </w:rPr>
        <w:t>, y de los funcionarios municipales que revisaron los planos y los documentos legales y/o emitieron los informes técni</w:t>
      </w:r>
      <w:r>
        <w:rPr>
          <w:color w:val="000000"/>
          <w:sz w:val="22"/>
          <w:szCs w:val="22"/>
        </w:rPr>
        <w:t>cos habilitantes de este procedimiento de regularización, salvo que estos hayan sido inducidos a engaño o al error.</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En caso de comprobarse ocultación o falsedad en planos, datos, documentos, o de existir reclamos de terceros afectados, será de exclusiva r</w:t>
      </w:r>
      <w:r>
        <w:rPr>
          <w:color w:val="000000"/>
          <w:sz w:val="22"/>
          <w:szCs w:val="22"/>
        </w:rPr>
        <w:t>esponsabilidad del técnico y de los copropietarios del predio.</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Las dimensiones y superficies de los lotes son las determinadas en el plano aprobatorio que forma parte integrante de esta Ordenanza.</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Los copropietarios del asentamiento humano de hecho y con</w:t>
      </w:r>
      <w:r>
        <w:rPr>
          <w:color w:val="000000"/>
          <w:sz w:val="22"/>
          <w:szCs w:val="22"/>
        </w:rPr>
        <w:t xml:space="preserve">solidado de interés social denominado “Santa Inés Pasaje Carrera”, ubicado en la parroquia </w:t>
      </w:r>
      <w:proofErr w:type="spellStart"/>
      <w:r>
        <w:rPr>
          <w:color w:val="000000"/>
          <w:sz w:val="22"/>
          <w:szCs w:val="22"/>
        </w:rPr>
        <w:t>Cumbayá</w:t>
      </w:r>
      <w:proofErr w:type="spellEnd"/>
      <w:r>
        <w:rPr>
          <w:color w:val="000000"/>
          <w:sz w:val="22"/>
          <w:szCs w:val="22"/>
        </w:rPr>
        <w:t>, se comprometen a respetar las características de los lotes establecidas en el plano y en este instrumento; por tanto, no podrán fraccionarlos o dividirlos.</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lastRenderedPageBreak/>
        <w:t xml:space="preserve">El incumplimiento de lo dispuesto en la presente Ordenanza y en la normativa metropolitana y nacional vigente al respecto, dará lugar a la imposición de las sanciones correspondientes.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 xml:space="preserve">Artículo 3.- Declaratoria de Interés Social. - </w:t>
      </w:r>
      <w:r>
        <w:rPr>
          <w:color w:val="000000"/>
          <w:sz w:val="22"/>
          <w:szCs w:val="22"/>
        </w:rPr>
        <w:t>Por las condiciones d</w:t>
      </w:r>
      <w:r>
        <w:rPr>
          <w:color w:val="000000"/>
          <w:sz w:val="22"/>
          <w:szCs w:val="22"/>
        </w:rPr>
        <w:t>el asentamiento humano de hecho y consolidado, se lo aprueba considerándolo de Interés Social de conformidad con la normativa vigente.</w:t>
      </w:r>
    </w:p>
    <w:p w:rsidR="00A91322" w:rsidRDefault="00A91322">
      <w:pPr>
        <w:pBdr>
          <w:top w:val="nil"/>
          <w:left w:val="nil"/>
          <w:bottom w:val="nil"/>
          <w:right w:val="nil"/>
          <w:between w:val="nil"/>
        </w:pBdr>
        <w:rPr>
          <w:b/>
          <w:color w:val="000000"/>
          <w:sz w:val="22"/>
          <w:szCs w:val="22"/>
        </w:rPr>
      </w:pPr>
    </w:p>
    <w:p w:rsidR="00A91322" w:rsidRDefault="000C3930">
      <w:pPr>
        <w:pBdr>
          <w:top w:val="nil"/>
          <w:left w:val="nil"/>
          <w:bottom w:val="nil"/>
          <w:right w:val="nil"/>
          <w:between w:val="nil"/>
        </w:pBdr>
        <w:rPr>
          <w:b/>
          <w:color w:val="000000"/>
          <w:sz w:val="22"/>
          <w:szCs w:val="22"/>
        </w:rPr>
      </w:pPr>
      <w:r>
        <w:rPr>
          <w:b/>
          <w:color w:val="000000"/>
          <w:sz w:val="22"/>
          <w:szCs w:val="22"/>
        </w:rPr>
        <w:t>Artículo 4.- Especificaciones técnicas. –</w:t>
      </w:r>
    </w:p>
    <w:p w:rsidR="00A91322" w:rsidRDefault="00A91322">
      <w:pPr>
        <w:pBdr>
          <w:top w:val="nil"/>
          <w:left w:val="nil"/>
          <w:bottom w:val="nil"/>
          <w:right w:val="nil"/>
          <w:between w:val="nil"/>
        </w:pBdr>
        <w:rPr>
          <w:b/>
          <w:color w:val="000000"/>
          <w:sz w:val="22"/>
          <w:szCs w:val="22"/>
        </w:rPr>
      </w:pPr>
    </w:p>
    <w:tbl>
      <w:tblPr>
        <w:tblStyle w:val="a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91322">
        <w:trPr>
          <w:trHeight w:val="258"/>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Predio Número:</w:t>
            </w:r>
          </w:p>
        </w:tc>
        <w:tc>
          <w:tcPr>
            <w:tcW w:w="4961" w:type="dxa"/>
            <w:vAlign w:val="center"/>
          </w:tcPr>
          <w:p w:rsidR="00A91322" w:rsidRDefault="000C3930">
            <w:pPr>
              <w:pBdr>
                <w:top w:val="nil"/>
                <w:left w:val="nil"/>
                <w:bottom w:val="nil"/>
                <w:right w:val="nil"/>
                <w:between w:val="nil"/>
              </w:pBdr>
              <w:rPr>
                <w:color w:val="000000"/>
                <w:sz w:val="22"/>
                <w:szCs w:val="22"/>
              </w:rPr>
            </w:pPr>
            <w:r>
              <w:rPr>
                <w:sz w:val="22"/>
                <w:szCs w:val="22"/>
              </w:rPr>
              <w:t>313617</w:t>
            </w:r>
          </w:p>
        </w:tc>
      </w:tr>
      <w:tr w:rsidR="00A91322">
        <w:trPr>
          <w:trHeight w:val="154"/>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Zonificación actual:</w:t>
            </w:r>
          </w:p>
        </w:tc>
        <w:tc>
          <w:tcPr>
            <w:tcW w:w="4961" w:type="dxa"/>
            <w:vAlign w:val="center"/>
          </w:tcPr>
          <w:p w:rsidR="00A91322" w:rsidRDefault="000C3930">
            <w:pPr>
              <w:pBdr>
                <w:top w:val="nil"/>
                <w:left w:val="nil"/>
                <w:bottom w:val="nil"/>
                <w:right w:val="nil"/>
                <w:between w:val="nil"/>
              </w:pBdr>
              <w:rPr>
                <w:color w:val="000000"/>
                <w:sz w:val="22"/>
                <w:szCs w:val="22"/>
              </w:rPr>
            </w:pPr>
            <w:r>
              <w:rPr>
                <w:color w:val="000000"/>
                <w:sz w:val="22"/>
                <w:szCs w:val="22"/>
              </w:rPr>
              <w:t>A2(A1002-35)</w:t>
            </w:r>
          </w:p>
        </w:tc>
      </w:tr>
      <w:tr w:rsidR="00A91322">
        <w:trPr>
          <w:trHeight w:val="171"/>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Lote mínimo:</w:t>
            </w:r>
          </w:p>
        </w:tc>
        <w:tc>
          <w:tcPr>
            <w:tcW w:w="4961" w:type="dxa"/>
            <w:vAlign w:val="center"/>
          </w:tcPr>
          <w:p w:rsidR="00A91322" w:rsidRDefault="000C3930">
            <w:pPr>
              <w:pBdr>
                <w:top w:val="nil"/>
                <w:left w:val="nil"/>
                <w:bottom w:val="nil"/>
                <w:right w:val="nil"/>
                <w:between w:val="nil"/>
              </w:pBdr>
              <w:rPr>
                <w:color w:val="000000"/>
                <w:sz w:val="22"/>
                <w:szCs w:val="22"/>
              </w:rPr>
            </w:pPr>
            <w:r>
              <w:rPr>
                <w:color w:val="000000"/>
                <w:sz w:val="22"/>
                <w:szCs w:val="22"/>
              </w:rPr>
              <w:t>1000 m2</w:t>
            </w:r>
          </w:p>
        </w:tc>
      </w:tr>
      <w:tr w:rsidR="00A91322">
        <w:trPr>
          <w:trHeight w:val="233"/>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Forma ocupación del suelo:</w:t>
            </w:r>
          </w:p>
        </w:tc>
        <w:tc>
          <w:tcPr>
            <w:tcW w:w="4961" w:type="dxa"/>
            <w:vAlign w:val="center"/>
          </w:tcPr>
          <w:p w:rsidR="00A91322" w:rsidRDefault="000C3930">
            <w:pPr>
              <w:pBdr>
                <w:top w:val="nil"/>
                <w:left w:val="nil"/>
                <w:bottom w:val="nil"/>
                <w:right w:val="nil"/>
                <w:between w:val="nil"/>
              </w:pBdr>
              <w:rPr>
                <w:color w:val="000000"/>
                <w:sz w:val="22"/>
                <w:szCs w:val="22"/>
              </w:rPr>
            </w:pPr>
            <w:r>
              <w:rPr>
                <w:color w:val="000000"/>
                <w:sz w:val="22"/>
                <w:szCs w:val="22"/>
              </w:rPr>
              <w:t>(A) Aislada</w:t>
            </w:r>
          </w:p>
        </w:tc>
      </w:tr>
      <w:tr w:rsidR="00A91322">
        <w:trPr>
          <w:trHeight w:val="151"/>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Uso principal del suelo:</w:t>
            </w:r>
          </w:p>
        </w:tc>
        <w:tc>
          <w:tcPr>
            <w:tcW w:w="4961" w:type="dxa"/>
            <w:vAlign w:val="center"/>
          </w:tcPr>
          <w:p w:rsidR="00A91322" w:rsidRDefault="000C3930">
            <w:pPr>
              <w:pBdr>
                <w:top w:val="nil"/>
                <w:left w:val="nil"/>
                <w:bottom w:val="nil"/>
                <w:right w:val="nil"/>
                <w:between w:val="nil"/>
              </w:pBdr>
              <w:rPr>
                <w:color w:val="000000"/>
                <w:sz w:val="22"/>
                <w:szCs w:val="22"/>
              </w:rPr>
            </w:pPr>
            <w:r>
              <w:rPr>
                <w:color w:val="000000"/>
                <w:sz w:val="22"/>
                <w:szCs w:val="22"/>
              </w:rPr>
              <w:t>(RU1) Residencial Urbano 1</w:t>
            </w:r>
          </w:p>
        </w:tc>
      </w:tr>
      <w:tr w:rsidR="00A91322">
        <w:trPr>
          <w:trHeight w:val="226"/>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Clasificación del Suelo:</w:t>
            </w:r>
          </w:p>
        </w:tc>
        <w:tc>
          <w:tcPr>
            <w:tcW w:w="4961" w:type="dxa"/>
            <w:vAlign w:val="center"/>
          </w:tcPr>
          <w:p w:rsidR="00A91322" w:rsidRDefault="000C3930">
            <w:pPr>
              <w:pBdr>
                <w:top w:val="nil"/>
                <w:left w:val="nil"/>
                <w:bottom w:val="nil"/>
                <w:right w:val="nil"/>
                <w:between w:val="nil"/>
              </w:pBdr>
              <w:rPr>
                <w:color w:val="000000"/>
                <w:sz w:val="22"/>
                <w:szCs w:val="22"/>
              </w:rPr>
            </w:pPr>
            <w:r>
              <w:rPr>
                <w:color w:val="000000"/>
                <w:sz w:val="22"/>
                <w:szCs w:val="22"/>
              </w:rPr>
              <w:t>(SU) Suelo Urbano</w:t>
            </w:r>
          </w:p>
        </w:tc>
      </w:tr>
      <w:tr w:rsidR="00A91322">
        <w:trPr>
          <w:trHeight w:val="101"/>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Número de lotes:</w:t>
            </w:r>
          </w:p>
        </w:tc>
        <w:tc>
          <w:tcPr>
            <w:tcW w:w="4961" w:type="dxa"/>
            <w:vAlign w:val="center"/>
          </w:tcPr>
          <w:p w:rsidR="00A91322" w:rsidRDefault="000C3930">
            <w:pPr>
              <w:pBdr>
                <w:top w:val="nil"/>
                <w:left w:val="nil"/>
                <w:bottom w:val="nil"/>
                <w:right w:val="nil"/>
                <w:between w:val="nil"/>
              </w:pBdr>
              <w:rPr>
                <w:b/>
                <w:color w:val="000000"/>
                <w:sz w:val="22"/>
                <w:szCs w:val="22"/>
              </w:rPr>
            </w:pPr>
            <w:r>
              <w:rPr>
                <w:color w:val="000000"/>
                <w:sz w:val="22"/>
                <w:szCs w:val="22"/>
              </w:rPr>
              <w:t>13</w:t>
            </w:r>
          </w:p>
        </w:tc>
      </w:tr>
      <w:tr w:rsidR="00A91322">
        <w:trPr>
          <w:trHeight w:val="134"/>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Área útil de lotes:</w:t>
            </w:r>
          </w:p>
        </w:tc>
        <w:tc>
          <w:tcPr>
            <w:tcW w:w="4961" w:type="dxa"/>
            <w:vAlign w:val="center"/>
          </w:tcPr>
          <w:p w:rsidR="00A91322" w:rsidRDefault="000C3930">
            <w:pPr>
              <w:pBdr>
                <w:top w:val="nil"/>
                <w:left w:val="nil"/>
                <w:bottom w:val="nil"/>
                <w:right w:val="nil"/>
                <w:between w:val="nil"/>
              </w:pBdr>
              <w:rPr>
                <w:color w:val="000000"/>
                <w:sz w:val="22"/>
                <w:szCs w:val="22"/>
              </w:rPr>
            </w:pPr>
            <w:r>
              <w:rPr>
                <w:color w:val="000000"/>
                <w:sz w:val="22"/>
                <w:szCs w:val="22"/>
              </w:rPr>
              <w:t xml:space="preserve">  5.098,36 m2</w:t>
            </w:r>
          </w:p>
        </w:tc>
      </w:tr>
      <w:tr w:rsidR="00A91322">
        <w:trPr>
          <w:trHeight w:val="152"/>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Área de Pasaje:</w:t>
            </w:r>
          </w:p>
        </w:tc>
        <w:tc>
          <w:tcPr>
            <w:tcW w:w="4961" w:type="dxa"/>
            <w:vAlign w:val="center"/>
          </w:tcPr>
          <w:p w:rsidR="00A91322" w:rsidRDefault="000C3930">
            <w:pPr>
              <w:pBdr>
                <w:top w:val="nil"/>
                <w:left w:val="nil"/>
                <w:bottom w:val="nil"/>
                <w:right w:val="nil"/>
                <w:between w:val="nil"/>
              </w:pBdr>
              <w:jc w:val="both"/>
              <w:rPr>
                <w:color w:val="000000"/>
                <w:sz w:val="22"/>
                <w:szCs w:val="22"/>
              </w:rPr>
            </w:pPr>
            <w:r>
              <w:rPr>
                <w:color w:val="000000"/>
                <w:sz w:val="22"/>
                <w:szCs w:val="22"/>
              </w:rPr>
              <w:t xml:space="preserve">     474,06 m2</w:t>
            </w:r>
          </w:p>
        </w:tc>
      </w:tr>
      <w:tr w:rsidR="00A91322">
        <w:trPr>
          <w:trHeight w:val="170"/>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Área Afectación Vial (Macro lote)</w:t>
            </w:r>
          </w:p>
        </w:tc>
        <w:tc>
          <w:tcPr>
            <w:tcW w:w="4961" w:type="dxa"/>
            <w:vAlign w:val="center"/>
          </w:tcPr>
          <w:p w:rsidR="00A91322" w:rsidRDefault="000C3930">
            <w:pPr>
              <w:pBdr>
                <w:top w:val="nil"/>
                <w:left w:val="nil"/>
                <w:bottom w:val="nil"/>
                <w:right w:val="nil"/>
                <w:between w:val="nil"/>
              </w:pBdr>
              <w:jc w:val="both"/>
              <w:rPr>
                <w:color w:val="000000"/>
                <w:sz w:val="22"/>
                <w:szCs w:val="22"/>
              </w:rPr>
            </w:pPr>
            <w:r>
              <w:rPr>
                <w:color w:val="000000"/>
                <w:sz w:val="22"/>
                <w:szCs w:val="22"/>
              </w:rPr>
              <w:t xml:space="preserve">     </w:t>
            </w:r>
            <w:r>
              <w:rPr>
                <w:sz w:val="22"/>
                <w:szCs w:val="22"/>
              </w:rPr>
              <w:t>311,20</w:t>
            </w:r>
            <w:r>
              <w:rPr>
                <w:color w:val="000000"/>
                <w:sz w:val="22"/>
                <w:szCs w:val="22"/>
              </w:rPr>
              <w:t xml:space="preserve"> m2</w:t>
            </w:r>
          </w:p>
        </w:tc>
      </w:tr>
      <w:tr w:rsidR="00A91322">
        <w:trPr>
          <w:trHeight w:val="134"/>
        </w:trPr>
        <w:tc>
          <w:tcPr>
            <w:tcW w:w="4248" w:type="dxa"/>
            <w:vAlign w:val="center"/>
          </w:tcPr>
          <w:p w:rsidR="00A91322" w:rsidRDefault="000C3930">
            <w:pPr>
              <w:pBdr>
                <w:top w:val="nil"/>
                <w:left w:val="nil"/>
                <w:bottom w:val="nil"/>
                <w:right w:val="nil"/>
                <w:between w:val="nil"/>
              </w:pBdr>
              <w:rPr>
                <w:b/>
                <w:color w:val="000000"/>
                <w:sz w:val="22"/>
                <w:szCs w:val="22"/>
              </w:rPr>
            </w:pPr>
            <w:r>
              <w:rPr>
                <w:b/>
                <w:color w:val="000000"/>
                <w:sz w:val="22"/>
                <w:szCs w:val="22"/>
              </w:rPr>
              <w:t>Área bruta del terreno (Área Total ):</w:t>
            </w:r>
          </w:p>
        </w:tc>
        <w:tc>
          <w:tcPr>
            <w:tcW w:w="4961" w:type="dxa"/>
            <w:vAlign w:val="center"/>
          </w:tcPr>
          <w:p w:rsidR="00A91322" w:rsidRDefault="000C3930">
            <w:pPr>
              <w:pBdr>
                <w:top w:val="nil"/>
                <w:left w:val="nil"/>
                <w:bottom w:val="nil"/>
                <w:right w:val="nil"/>
                <w:between w:val="nil"/>
              </w:pBdr>
              <w:jc w:val="both"/>
              <w:rPr>
                <w:color w:val="000000"/>
                <w:sz w:val="22"/>
                <w:szCs w:val="22"/>
              </w:rPr>
            </w:pPr>
            <w:r>
              <w:rPr>
                <w:color w:val="000000"/>
                <w:sz w:val="22"/>
                <w:szCs w:val="22"/>
              </w:rPr>
              <w:t xml:space="preserve">  5.883,62 m2</w:t>
            </w:r>
          </w:p>
        </w:tc>
      </w:tr>
    </w:tbl>
    <w:p w:rsidR="00A91322" w:rsidRDefault="00A91322">
      <w:pPr>
        <w:pBdr>
          <w:top w:val="nil"/>
          <w:left w:val="nil"/>
          <w:bottom w:val="nil"/>
          <w:right w:val="nil"/>
          <w:between w:val="nil"/>
        </w:pBdr>
        <w:rPr>
          <w:b/>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El número total de lotes,</w:t>
      </w:r>
      <w:r>
        <w:rPr>
          <w:color w:val="FF0000"/>
          <w:sz w:val="22"/>
          <w:szCs w:val="22"/>
        </w:rPr>
        <w:t xml:space="preserve"> </w:t>
      </w:r>
      <w:r>
        <w:rPr>
          <w:color w:val="000000"/>
          <w:sz w:val="22"/>
          <w:szCs w:val="22"/>
        </w:rPr>
        <w:t xml:space="preserve">producto del fraccionamiento, es de 13, signados del uno (1) al trece (13) cuyo detalle es el que consta en los planos aprobatorios que forman parte de la presente Ordenanza. </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El área total del predio No. 313617, es la que consta en la Resolución de Exced</w:t>
      </w:r>
      <w:r>
        <w:rPr>
          <w:color w:val="000000"/>
          <w:sz w:val="22"/>
          <w:szCs w:val="22"/>
        </w:rPr>
        <w:t>entes y Diferencias de área No. 522-2021, del 06 de noviembre de 2021, emitida por la Dirección Metropolitana de Catastro y se encuentra rectificada y regularizada de conformidad al artículo 2256 de la Ordenanza No. 001 de 29 de marzo de 2019.</w:t>
      </w:r>
    </w:p>
    <w:p w:rsidR="00A91322" w:rsidRDefault="00A91322">
      <w:pPr>
        <w:pBdr>
          <w:top w:val="nil"/>
          <w:left w:val="nil"/>
          <w:bottom w:val="nil"/>
          <w:right w:val="nil"/>
          <w:between w:val="nil"/>
        </w:pBdr>
        <w:rPr>
          <w:b/>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Artículo 5.</w:t>
      </w:r>
      <w:r>
        <w:rPr>
          <w:b/>
          <w:color w:val="000000"/>
          <w:sz w:val="22"/>
          <w:szCs w:val="22"/>
        </w:rPr>
        <w:t>- Zonificación de los lotes. -</w:t>
      </w:r>
      <w:r>
        <w:rPr>
          <w:color w:val="000000"/>
          <w:sz w:val="22"/>
          <w:szCs w:val="22"/>
        </w:rPr>
        <w:t xml:space="preserve"> Los lotes fraccionados modificarán la zonificación vigente conforme se detalla a continuación: </w:t>
      </w:r>
      <w:proofErr w:type="gramStart"/>
      <w:r>
        <w:rPr>
          <w:color w:val="000000"/>
          <w:sz w:val="22"/>
          <w:szCs w:val="22"/>
        </w:rPr>
        <w:t>C2(</w:t>
      </w:r>
      <w:proofErr w:type="gramEnd"/>
      <w:r>
        <w:rPr>
          <w:color w:val="000000"/>
          <w:sz w:val="22"/>
          <w:szCs w:val="22"/>
        </w:rPr>
        <w:t>C302-70) forma de ocupación del suelo: (C) Continua con retiro frontal; Uso Principal del Suelo (RU1) Residencial Urbano 1; lot</w:t>
      </w:r>
      <w:r>
        <w:rPr>
          <w:color w:val="000000"/>
          <w:sz w:val="22"/>
          <w:szCs w:val="22"/>
        </w:rPr>
        <w:t>e mínimo 300 m2; COS en Planta Baja: 70%, COS Total: 140%.</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 xml:space="preserve">Artículo 6.- Clasificación del Suelo. - </w:t>
      </w:r>
      <w:r>
        <w:rPr>
          <w:color w:val="000000"/>
          <w:sz w:val="22"/>
          <w:szCs w:val="22"/>
        </w:rPr>
        <w:t>Los lotes fraccionados mantendrán la clasificación vigente esto es (SU) Suelo Urbano.</w:t>
      </w:r>
    </w:p>
    <w:p w:rsidR="00A91322" w:rsidRDefault="00A91322">
      <w:pPr>
        <w:pBdr>
          <w:top w:val="nil"/>
          <w:left w:val="nil"/>
          <w:bottom w:val="nil"/>
          <w:right w:val="nil"/>
          <w:between w:val="nil"/>
        </w:pBdr>
        <w:rPr>
          <w:b/>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 xml:space="preserve">Artículo 7.- Lotes por excepción. - </w:t>
      </w:r>
      <w:r>
        <w:rPr>
          <w:color w:val="000000"/>
          <w:sz w:val="22"/>
          <w:szCs w:val="22"/>
        </w:rPr>
        <w:t>Por tratarse de un asentamiento d</w:t>
      </w:r>
      <w:r>
        <w:rPr>
          <w:color w:val="000000"/>
          <w:sz w:val="22"/>
          <w:szCs w:val="22"/>
        </w:rPr>
        <w:t>e hecho y consolidado de interés social, se aprueba por excepción, esto es, con áreas inferiores a las mínimas establecidas en la zonificación propuesta, el lote 3, 7, 9, 10, 11 y 12.</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Artículo 8.-</w:t>
      </w:r>
      <w:r>
        <w:rPr>
          <w:color w:val="000000"/>
          <w:sz w:val="22"/>
          <w:szCs w:val="22"/>
        </w:rPr>
        <w:t xml:space="preserve"> </w:t>
      </w:r>
      <w:r>
        <w:rPr>
          <w:b/>
          <w:color w:val="000000"/>
          <w:sz w:val="22"/>
          <w:szCs w:val="22"/>
        </w:rPr>
        <w:t>Exoneración del porcentaje del área verde. -</w:t>
      </w:r>
      <w:r>
        <w:rPr>
          <w:color w:val="000000"/>
          <w:sz w:val="22"/>
          <w:szCs w:val="22"/>
        </w:rPr>
        <w:t xml:space="preserve"> A los copropietarios del predio donde se encuentra el asentamiento humano de hecho y consolidado de interés social denominado “Santa Inés Pasaje Carrera”, conforme a la normativa vigente se les exonera el 15% como contribución del área verde, por ser cons</w:t>
      </w:r>
      <w:r>
        <w:rPr>
          <w:color w:val="000000"/>
          <w:sz w:val="22"/>
          <w:szCs w:val="22"/>
        </w:rPr>
        <w:t xml:space="preserve">iderado como un asentamiento declarado de Interés Social. </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i/>
          <w:color w:val="000000"/>
          <w:sz w:val="22"/>
          <w:szCs w:val="22"/>
        </w:rPr>
      </w:pPr>
      <w:r>
        <w:rPr>
          <w:b/>
          <w:color w:val="000000"/>
          <w:sz w:val="22"/>
          <w:szCs w:val="22"/>
        </w:rPr>
        <w:t xml:space="preserve">Artículo 9- Calificación de Riesgos. - </w:t>
      </w:r>
      <w:r>
        <w:rPr>
          <w:color w:val="000000"/>
          <w:sz w:val="22"/>
          <w:szCs w:val="22"/>
        </w:rPr>
        <w:t>El asentamiento humano de hecho y consolidado de interés social denominado “Santa Inés Pasaje Carrera”, deberá cumplir y acatar las recomendaciones que se en</w:t>
      </w:r>
      <w:r>
        <w:rPr>
          <w:color w:val="000000"/>
          <w:sz w:val="22"/>
          <w:szCs w:val="22"/>
        </w:rPr>
        <w:t>cuentran determinadas en el informe de la Dirección Metropolitana de Gestión de Riesgos No. I-</w:t>
      </w:r>
      <w:r>
        <w:rPr>
          <w:color w:val="000000"/>
          <w:sz w:val="22"/>
          <w:szCs w:val="22"/>
        </w:rPr>
        <w:lastRenderedPageBreak/>
        <w:t>0002-EAH-AT-DMGR-2021, de 20 de enero de 2021,  realizada al AHHYC “Santa Inés Pasaje Carrera”, determina que: “</w:t>
      </w:r>
      <w:r>
        <w:rPr>
          <w:i/>
          <w:color w:val="000000"/>
          <w:sz w:val="22"/>
          <w:szCs w:val="22"/>
        </w:rPr>
        <w:t>Para el proceso de regularización de tierras se co</w:t>
      </w:r>
      <w:r>
        <w:rPr>
          <w:i/>
          <w:color w:val="000000"/>
          <w:sz w:val="22"/>
          <w:szCs w:val="22"/>
        </w:rPr>
        <w:t>nsidera el nivel de riesgos frente a movimientos en masa, ya que representa el fenómeno más importante para la posible 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rsidR="00A91322" w:rsidRDefault="00A91322">
      <w:pPr>
        <w:pBdr>
          <w:top w:val="nil"/>
          <w:left w:val="nil"/>
          <w:bottom w:val="nil"/>
          <w:right w:val="nil"/>
          <w:between w:val="nil"/>
        </w:pBdr>
        <w:jc w:val="both"/>
        <w:rPr>
          <w:i/>
          <w:color w:val="000000"/>
          <w:sz w:val="22"/>
          <w:szCs w:val="22"/>
          <w:highlight w:val="cyan"/>
        </w:rPr>
      </w:pPr>
    </w:p>
    <w:p w:rsidR="00A91322" w:rsidRDefault="000C3930">
      <w:pPr>
        <w:spacing w:after="240"/>
        <w:jc w:val="both"/>
        <w:rPr>
          <w:sz w:val="22"/>
          <w:szCs w:val="22"/>
        </w:rPr>
      </w:pPr>
      <w:r>
        <w:rPr>
          <w:sz w:val="22"/>
          <w:szCs w:val="22"/>
        </w:rPr>
        <w:t>La aprobación de este AHHYC, se realiza en exclusiva consideración a que en el Informe Técnico de Evaluación de Riesgos y sus alcances se concluye expr</w:t>
      </w:r>
      <w:r>
        <w:rPr>
          <w:sz w:val="22"/>
          <w:szCs w:val="22"/>
        </w:rPr>
        <w:t>esamente que el riesgo para el asentamiento es mitigable; y, por tanto, no pone en riesgo la vida o la integridad de las personas, informe cuya responsabilidad es exclusiva de los técnicos que lo suscriben.</w:t>
      </w:r>
    </w:p>
    <w:p w:rsidR="00A91322" w:rsidRDefault="000C3930">
      <w:pPr>
        <w:pBdr>
          <w:top w:val="nil"/>
          <w:left w:val="nil"/>
          <w:bottom w:val="nil"/>
          <w:right w:val="nil"/>
          <w:between w:val="nil"/>
        </w:pBdr>
        <w:jc w:val="both"/>
        <w:rPr>
          <w:color w:val="000000"/>
          <w:sz w:val="22"/>
          <w:szCs w:val="22"/>
        </w:rPr>
      </w:pPr>
      <w:r>
        <w:rPr>
          <w:color w:val="000000"/>
          <w:sz w:val="22"/>
          <w:szCs w:val="22"/>
        </w:rPr>
        <w:t xml:space="preserve">La Secretaria de Territorio, Hábitat y Vivienda, </w:t>
      </w:r>
      <w:r>
        <w:rPr>
          <w:color w:val="000000"/>
          <w:sz w:val="22"/>
          <w:szCs w:val="22"/>
        </w:rPr>
        <w:t>a través de la instancia correspondiente y una vez sancionada la presente Ordenanza, deberá actualizar el Informe de Regulación Metropolitana (I.R.M.), de acuerdo con las observaciones o recomendaciones establecidas en el Informe Técnico de Evaluación de R</w:t>
      </w:r>
      <w:r>
        <w:rPr>
          <w:color w:val="000000"/>
          <w:sz w:val="22"/>
          <w:szCs w:val="22"/>
        </w:rPr>
        <w:t>iesgos de la Secretaría General de Seguridad y Gobernabilidad, que señalan las amenazas de origen natural o antrópico que pueden generar distintos niveles de riesgo que condicionen o limiten el aprovechamiento y utilización del suelo según sus vulnerabilid</w:t>
      </w:r>
      <w:r>
        <w:rPr>
          <w:color w:val="000000"/>
          <w:sz w:val="22"/>
          <w:szCs w:val="22"/>
        </w:rPr>
        <w:t>ades, y deberá darse cumplimiento a lo dispuesto en el numeral 1.2 de la Ordenanza Metropolitana No. 0210, de 12 de abril de 2018, que contiene el Plan de Uso y Ocupación del Suelo del Distrito Metropolitano de Quito.</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Articulo 10.-</w:t>
      </w:r>
      <w:r>
        <w:rPr>
          <w:color w:val="000000"/>
          <w:sz w:val="22"/>
          <w:szCs w:val="22"/>
        </w:rPr>
        <w:t xml:space="preserve"> </w:t>
      </w:r>
      <w:r>
        <w:rPr>
          <w:b/>
          <w:color w:val="000000"/>
          <w:sz w:val="22"/>
          <w:szCs w:val="22"/>
        </w:rPr>
        <w:t xml:space="preserve">De las vías. - </w:t>
      </w:r>
      <w:r>
        <w:rPr>
          <w:color w:val="000000"/>
          <w:sz w:val="22"/>
          <w:szCs w:val="22"/>
        </w:rPr>
        <w:t>El asent</w:t>
      </w:r>
      <w:r>
        <w:rPr>
          <w:color w:val="000000"/>
          <w:sz w:val="22"/>
          <w:szCs w:val="22"/>
        </w:rPr>
        <w:t>amiento humano de hecho y consolidado de interés social denominado “Santa Inés Pasaje Carrera”, contempla un sistema vial de uso público, debido a que éste es un asentamiento humano de hecho y consolidado de interés social de 26 años de existencia, con 92.</w:t>
      </w:r>
      <w:r>
        <w:rPr>
          <w:color w:val="000000"/>
          <w:sz w:val="22"/>
          <w:szCs w:val="22"/>
        </w:rPr>
        <w:t xml:space="preserve">31% de consolidación de viviendas, razón por la cual los anchos viales se sujetarán al plano adjunto a la presente ordenanza. </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Se regulariza el pasaje con el siguiente ancho:</w:t>
      </w:r>
    </w:p>
    <w:p w:rsidR="00A91322" w:rsidRDefault="00A91322">
      <w:pPr>
        <w:pBdr>
          <w:top w:val="nil"/>
          <w:left w:val="nil"/>
          <w:bottom w:val="nil"/>
          <w:right w:val="nil"/>
          <w:between w:val="nil"/>
        </w:pBdr>
        <w:jc w:val="both"/>
        <w:rPr>
          <w:color w:val="000000"/>
          <w:sz w:val="22"/>
          <w:szCs w:val="22"/>
        </w:rPr>
      </w:pPr>
    </w:p>
    <w:tbl>
      <w:tblPr>
        <w:tblStyle w:val="a3"/>
        <w:tblW w:w="86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218"/>
      </w:tblGrid>
      <w:tr w:rsidR="00A91322">
        <w:trPr>
          <w:trHeight w:val="241"/>
        </w:trPr>
        <w:tc>
          <w:tcPr>
            <w:tcW w:w="4453" w:type="dxa"/>
          </w:tcPr>
          <w:p w:rsidR="00A91322" w:rsidRDefault="000C3930">
            <w:pPr>
              <w:pBdr>
                <w:top w:val="nil"/>
                <w:left w:val="nil"/>
                <w:bottom w:val="nil"/>
                <w:right w:val="nil"/>
                <w:between w:val="nil"/>
              </w:pBdr>
              <w:jc w:val="both"/>
              <w:rPr>
                <w:b/>
                <w:color w:val="000000"/>
                <w:sz w:val="22"/>
                <w:szCs w:val="22"/>
              </w:rPr>
            </w:pPr>
            <w:r>
              <w:rPr>
                <w:color w:val="000000"/>
                <w:sz w:val="22"/>
                <w:szCs w:val="22"/>
              </w:rPr>
              <w:t>Pasaje E7H San/</w:t>
            </w:r>
            <w:proofErr w:type="spellStart"/>
            <w:r>
              <w:rPr>
                <w:color w:val="000000"/>
                <w:sz w:val="22"/>
                <w:szCs w:val="22"/>
              </w:rPr>
              <w:t>to</w:t>
            </w:r>
            <w:proofErr w:type="spellEnd"/>
            <w:r>
              <w:rPr>
                <w:color w:val="000000"/>
                <w:sz w:val="22"/>
                <w:szCs w:val="22"/>
              </w:rPr>
              <w:t>/</w:t>
            </w:r>
            <w:proofErr w:type="spellStart"/>
            <w:r>
              <w:rPr>
                <w:color w:val="000000"/>
                <w:sz w:val="22"/>
                <w:szCs w:val="22"/>
              </w:rPr>
              <w:t>ta</w:t>
            </w:r>
            <w:proofErr w:type="spellEnd"/>
            <w:r>
              <w:rPr>
                <w:color w:val="000000"/>
                <w:sz w:val="22"/>
                <w:szCs w:val="22"/>
              </w:rPr>
              <w:t xml:space="preserve"> Vicente</w:t>
            </w:r>
          </w:p>
        </w:tc>
        <w:tc>
          <w:tcPr>
            <w:tcW w:w="4218" w:type="dxa"/>
          </w:tcPr>
          <w:p w:rsidR="00A91322" w:rsidRDefault="000C3930">
            <w:pPr>
              <w:pBdr>
                <w:top w:val="nil"/>
                <w:left w:val="nil"/>
                <w:bottom w:val="nil"/>
                <w:right w:val="nil"/>
                <w:between w:val="nil"/>
              </w:pBdr>
              <w:rPr>
                <w:rFonts w:ascii="Calibri" w:eastAsia="Calibri" w:hAnsi="Calibri" w:cs="Calibri"/>
                <w:color w:val="000000"/>
                <w:sz w:val="22"/>
                <w:szCs w:val="22"/>
              </w:rPr>
            </w:pPr>
            <w:r>
              <w:rPr>
                <w:color w:val="000000"/>
                <w:sz w:val="22"/>
                <w:szCs w:val="22"/>
              </w:rPr>
              <w:t>(variable)     6.00m / 5.85m / 3.01m</w:t>
            </w:r>
          </w:p>
        </w:tc>
      </w:tr>
    </w:tbl>
    <w:p w:rsidR="00A91322" w:rsidRDefault="00A91322">
      <w:pPr>
        <w:pBdr>
          <w:top w:val="nil"/>
          <w:left w:val="nil"/>
          <w:bottom w:val="nil"/>
          <w:right w:val="nil"/>
          <w:between w:val="nil"/>
        </w:pBdr>
        <w:rPr>
          <w:b/>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 xml:space="preserve">Artículo 11.- De la Protocolización e inscripción de la Ordenanza. -  </w:t>
      </w:r>
      <w:r>
        <w:rPr>
          <w:color w:val="000000"/>
          <w:sz w:val="22"/>
          <w:szCs w:val="22"/>
        </w:rPr>
        <w:t>Los copropietarios del predio del asentamiento humano de hecho y consolidado de interés social denominado “Santa Inés Pasaje Carrera”, deberán protocolizar la presente Ordenanza ante Not</w:t>
      </w:r>
      <w:r>
        <w:rPr>
          <w:color w:val="000000"/>
          <w:sz w:val="22"/>
          <w:szCs w:val="22"/>
        </w:rPr>
        <w:t xml:space="preserve">ario Público e inscribirla en el Registro de la Propiedad del Distrito Metropolitano de Quito, con todos sus documentos habilitantes; </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bookmarkStart w:id="1" w:name="_heading=h.gjdgxs" w:colFirst="0" w:colLast="0"/>
      <w:bookmarkEnd w:id="1"/>
      <w:r>
        <w:rPr>
          <w:color w:val="000000"/>
          <w:sz w:val="22"/>
          <w:szCs w:val="22"/>
        </w:rPr>
        <w:t xml:space="preserve">En caso de no inscribir la presente ordenanza, ésta caducará en el plazo de tres (03) años de conformidad con lo dispuesto en el artículo 3714 de la Ordenanza No. 001 de 29 de marzo de 2019. </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 xml:space="preserve">Artículo 12.- </w:t>
      </w:r>
      <w:r>
        <w:rPr>
          <w:b/>
          <w:sz w:val="22"/>
          <w:szCs w:val="22"/>
        </w:rPr>
        <w:t>De la entrega de escrituras individuales. -</w:t>
      </w:r>
      <w:r>
        <w:rPr>
          <w:sz w:val="22"/>
          <w:szCs w:val="22"/>
        </w:rPr>
        <w:t xml:space="preserve"> </w:t>
      </w:r>
      <w:r>
        <w:rPr>
          <w:color w:val="000000"/>
          <w:sz w:val="22"/>
          <w:szCs w:val="22"/>
        </w:rPr>
        <w:t>El as</w:t>
      </w:r>
      <w:r>
        <w:rPr>
          <w:color w:val="000000"/>
          <w:sz w:val="22"/>
          <w:szCs w:val="22"/>
        </w:rPr>
        <w:t xml:space="preserve">entamiento humano de hecho y consolidado de interés social denominado “Santa Inés Pasaje Carrera”, </w:t>
      </w:r>
      <w:r>
        <w:rPr>
          <w:sz w:val="22"/>
          <w:szCs w:val="22"/>
        </w:rPr>
        <w:t>a través de sus propietarios deberán entregar las respectivas escrituras individuales a favor de los beneficiarios conforme a la ley, una vez inscrita la Ord</w:t>
      </w:r>
      <w:r>
        <w:rPr>
          <w:sz w:val="22"/>
          <w:szCs w:val="22"/>
        </w:rPr>
        <w:t xml:space="preserve">enanza en el Registro de la Propiedad del cantón Quito, bajo eventual responsabilidad civil y penal de los propietarios en caso de incumplimiento. </w:t>
      </w:r>
      <w:r>
        <w:rPr>
          <w:color w:val="000000"/>
          <w:sz w:val="22"/>
          <w:szCs w:val="22"/>
        </w:rPr>
        <w:t xml:space="preserve"> </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b/>
          <w:color w:val="000000"/>
          <w:sz w:val="22"/>
          <w:szCs w:val="22"/>
        </w:rPr>
      </w:pPr>
      <w:r>
        <w:rPr>
          <w:b/>
          <w:color w:val="000000"/>
          <w:sz w:val="22"/>
          <w:szCs w:val="22"/>
        </w:rPr>
        <w:t>Artículo 13.- Potestad de ejecución. -</w:t>
      </w:r>
      <w:r>
        <w:rPr>
          <w:color w:val="000000"/>
          <w:sz w:val="22"/>
          <w:szCs w:val="22"/>
        </w:rPr>
        <w:t xml:space="preserve"> Para el fiel cumplimiento de las disposiciones de esta Ordenanza, y</w:t>
      </w:r>
      <w:r>
        <w:rPr>
          <w:color w:val="000000"/>
          <w:sz w:val="22"/>
          <w:szCs w:val="22"/>
        </w:rPr>
        <w:t xml:space="preserve"> en caso de que no se hayan cumplido los plazos establecidos, se podrá solicitar el auxilio de la Policía Nacional o ejecutar en forma subsidiaria, los actos que el obligado no hubiere </w:t>
      </w:r>
      <w:r>
        <w:rPr>
          <w:color w:val="000000"/>
          <w:sz w:val="22"/>
          <w:szCs w:val="22"/>
        </w:rPr>
        <w:lastRenderedPageBreak/>
        <w:t>cumplido, a costa de estos. En este evento, se podrá recuperar los valo</w:t>
      </w:r>
      <w:r>
        <w:rPr>
          <w:color w:val="000000"/>
          <w:sz w:val="22"/>
          <w:szCs w:val="22"/>
        </w:rPr>
        <w:t>res invertidos por la vía coactiva, con un recargo del veinte por ciento (20%) más los intereses correspondientes.</w:t>
      </w:r>
      <w:r>
        <w:rPr>
          <w:b/>
          <w:color w:val="000000"/>
          <w:sz w:val="22"/>
          <w:szCs w:val="22"/>
        </w:rPr>
        <w:t xml:space="preserve"> </w:t>
      </w:r>
    </w:p>
    <w:p w:rsidR="00A91322" w:rsidRDefault="00A91322">
      <w:pPr>
        <w:pBdr>
          <w:top w:val="nil"/>
          <w:left w:val="nil"/>
          <w:bottom w:val="nil"/>
          <w:right w:val="nil"/>
          <w:between w:val="nil"/>
        </w:pBdr>
        <w:jc w:val="both"/>
        <w:rPr>
          <w:b/>
          <w:color w:val="000000"/>
          <w:sz w:val="22"/>
          <w:szCs w:val="22"/>
        </w:rPr>
      </w:pP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b/>
          <w:color w:val="000000"/>
          <w:sz w:val="22"/>
          <w:szCs w:val="22"/>
        </w:rPr>
      </w:pPr>
      <w:r>
        <w:rPr>
          <w:b/>
          <w:color w:val="000000"/>
          <w:sz w:val="22"/>
          <w:szCs w:val="22"/>
        </w:rPr>
        <w:t>Disposiciones Generales</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b/>
          <w:color w:val="000000"/>
          <w:sz w:val="22"/>
          <w:szCs w:val="22"/>
        </w:rPr>
      </w:pPr>
      <w:r>
        <w:rPr>
          <w:b/>
          <w:color w:val="000000"/>
          <w:sz w:val="22"/>
          <w:szCs w:val="22"/>
        </w:rPr>
        <w:t xml:space="preserve">Primera. - </w:t>
      </w:r>
      <w:r>
        <w:rPr>
          <w:color w:val="000000"/>
          <w:sz w:val="22"/>
          <w:szCs w:val="22"/>
        </w:rPr>
        <w:t>Todos los anexos adjuntos al proyecto de regularización son documentos habilitantes de esta Ordenanza</w:t>
      </w:r>
      <w:r>
        <w:rPr>
          <w:b/>
          <w:color w:val="000000"/>
          <w:sz w:val="22"/>
          <w:szCs w:val="22"/>
        </w:rPr>
        <w:t>.</w:t>
      </w:r>
    </w:p>
    <w:p w:rsidR="00A91322" w:rsidRDefault="00A91322">
      <w:pPr>
        <w:pBdr>
          <w:top w:val="nil"/>
          <w:left w:val="nil"/>
          <w:bottom w:val="nil"/>
          <w:right w:val="nil"/>
          <w:between w:val="nil"/>
        </w:pBdr>
        <w:jc w:val="both"/>
        <w:rPr>
          <w:b/>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 xml:space="preserve">Segunda. -  </w:t>
      </w:r>
      <w:r>
        <w:rPr>
          <w:color w:val="000000"/>
          <w:sz w:val="22"/>
          <w:szCs w:val="22"/>
        </w:rPr>
        <w:t>De acuerdo al Oficio GADDMQ-SGSG-2021-0242-OF, de 28 de enero de 2021, los copropietarios del asentamiento deberán cumplir las siguientes disposiciones, además de las recomendaciones generales y normativa legal vigente contenida en este mismo</w:t>
      </w:r>
      <w:r>
        <w:rPr>
          <w:color w:val="000000"/>
          <w:sz w:val="22"/>
          <w:szCs w:val="22"/>
        </w:rPr>
        <w:t xml:space="preserve"> oficio y en el informe No. I-0002-EAH-AT-DMGR-2021, de 20 de enero de 2021.</w:t>
      </w:r>
    </w:p>
    <w:p w:rsidR="00A91322" w:rsidRDefault="00A91322">
      <w:pPr>
        <w:pBdr>
          <w:top w:val="nil"/>
          <w:left w:val="nil"/>
          <w:bottom w:val="nil"/>
          <w:right w:val="nil"/>
          <w:between w:val="nil"/>
        </w:pBdr>
        <w:jc w:val="both"/>
        <w:rPr>
          <w:color w:val="000000"/>
          <w:sz w:val="22"/>
          <w:szCs w:val="22"/>
        </w:rPr>
      </w:pPr>
    </w:p>
    <w:p w:rsidR="00A91322" w:rsidRDefault="000C3930">
      <w:pPr>
        <w:numPr>
          <w:ilvl w:val="0"/>
          <w:numId w:val="1"/>
        </w:numPr>
        <w:pBdr>
          <w:top w:val="nil"/>
          <w:left w:val="nil"/>
          <w:bottom w:val="nil"/>
          <w:right w:val="nil"/>
          <w:between w:val="nil"/>
        </w:pBdr>
        <w:jc w:val="both"/>
        <w:rPr>
          <w:color w:val="000000"/>
          <w:sz w:val="22"/>
          <w:szCs w:val="22"/>
        </w:rPr>
      </w:pPr>
      <w:r>
        <w:rPr>
          <w:color w:val="000000"/>
          <w:sz w:val="22"/>
          <w:szCs w:val="22"/>
        </w:rPr>
        <w:t>Se dispone que los propietarios y/o posesionarios del AHHYC, no construyan más viviendas en el macro lote evaluado, ni aumenten pisos/ plantas sobre las edificaciones existentes, hasta que el proceso de regularización del asentamiento culmine y se determin</w:t>
      </w:r>
      <w:r>
        <w:rPr>
          <w:color w:val="000000"/>
          <w:sz w:val="22"/>
          <w:szCs w:val="22"/>
        </w:rPr>
        <w:t>e su normativa de edificabilidad específica que deberá constar en sus respectivos Informes de Regulación Metropolitana (IRM), previa emisión de la licencia de construcción de la autoridad competente que es la Secretaría de Territorio, Hábitat y Vivienda (S</w:t>
      </w:r>
      <w:r>
        <w:rPr>
          <w:color w:val="000000"/>
          <w:sz w:val="22"/>
          <w:szCs w:val="22"/>
        </w:rPr>
        <w:t>THV).</w:t>
      </w: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La Unidad Especial Regula Tu Barrio deberá comunicar a la comunidad del AHHYC “Santa Inés Pasaje Carrera”, lo descrito en el presente informe, especialmente referente a la calificación del riesgo ante las diferentes amenazas analizadas y las respect</w:t>
      </w:r>
      <w:r>
        <w:rPr>
          <w:color w:val="000000"/>
          <w:sz w:val="22"/>
          <w:szCs w:val="22"/>
        </w:rPr>
        <w:t>ivas recomendaciones técnicas, socializando la importancia de su cumplimiento en reducción del riesgo y seguridad ciudadana.</w:t>
      </w:r>
    </w:p>
    <w:p w:rsidR="00A91322" w:rsidRDefault="00A91322">
      <w:pPr>
        <w:pBdr>
          <w:top w:val="nil"/>
          <w:left w:val="nil"/>
          <w:bottom w:val="nil"/>
          <w:right w:val="nil"/>
          <w:between w:val="nil"/>
        </w:pBdr>
        <w:ind w:left="720"/>
        <w:jc w:val="both"/>
        <w:rPr>
          <w:color w:val="000000"/>
          <w:sz w:val="22"/>
          <w:szCs w:val="22"/>
        </w:rPr>
      </w:pPr>
    </w:p>
    <w:p w:rsidR="00A91322" w:rsidRDefault="000C3930">
      <w:pPr>
        <w:pBdr>
          <w:top w:val="nil"/>
          <w:left w:val="nil"/>
          <w:bottom w:val="nil"/>
          <w:right w:val="nil"/>
          <w:between w:val="nil"/>
        </w:pBdr>
        <w:jc w:val="both"/>
        <w:rPr>
          <w:color w:val="000000"/>
          <w:sz w:val="22"/>
          <w:szCs w:val="22"/>
        </w:rPr>
      </w:pPr>
      <w:r>
        <w:rPr>
          <w:b/>
          <w:color w:val="000000"/>
          <w:sz w:val="22"/>
          <w:szCs w:val="22"/>
        </w:rPr>
        <w:t>Tercera</w:t>
      </w:r>
      <w:r>
        <w:rPr>
          <w:color w:val="000000"/>
          <w:sz w:val="22"/>
          <w:szCs w:val="22"/>
        </w:rPr>
        <w:t xml:space="preserve">. - La Secretaría General del Concejo una vez sellados los planos, remitirá una copia certificada a las administraciones zonales y a las instancias dotadoras de servicios básicos. </w:t>
      </w:r>
    </w:p>
    <w:p w:rsidR="00A91322" w:rsidRDefault="00A91322">
      <w:pPr>
        <w:pBdr>
          <w:top w:val="nil"/>
          <w:left w:val="nil"/>
          <w:bottom w:val="nil"/>
          <w:right w:val="nil"/>
          <w:between w:val="nil"/>
        </w:pBdr>
        <w:jc w:val="both"/>
        <w:rPr>
          <w:color w:val="000000"/>
          <w:sz w:val="22"/>
          <w:szCs w:val="22"/>
        </w:rPr>
      </w:pPr>
    </w:p>
    <w:p w:rsidR="00A91322" w:rsidRDefault="000C3930">
      <w:pPr>
        <w:spacing w:after="240"/>
        <w:jc w:val="both"/>
        <w:rPr>
          <w:sz w:val="22"/>
          <w:szCs w:val="22"/>
        </w:rPr>
      </w:pPr>
      <w:r>
        <w:rPr>
          <w:b/>
          <w:sz w:val="22"/>
          <w:szCs w:val="22"/>
        </w:rPr>
        <w:t xml:space="preserve">Cuarta. -  </w:t>
      </w:r>
      <w:r>
        <w:rPr>
          <w:sz w:val="22"/>
          <w:szCs w:val="22"/>
        </w:rPr>
        <w:t>De acuerdo al Oficio Nro. EPMAPS-GT-0122-2021, de 12 de febrero</w:t>
      </w:r>
      <w:r>
        <w:rPr>
          <w:sz w:val="22"/>
          <w:szCs w:val="22"/>
        </w:rPr>
        <w:t xml:space="preserve"> de 2021, emitido por el Gerente Técnico de Infraestructura, Empresa Pública Metropolitana de Agua Potable y Saneamiento remite el Oficio No. EPMAPS-GT-2021-0111, de 10 de febrero de 2021.</w:t>
      </w:r>
    </w:p>
    <w:p w:rsidR="00A91322" w:rsidRDefault="000C3930">
      <w:pPr>
        <w:numPr>
          <w:ilvl w:val="0"/>
          <w:numId w:val="2"/>
        </w:numPr>
        <w:pBdr>
          <w:top w:val="nil"/>
          <w:left w:val="nil"/>
          <w:bottom w:val="nil"/>
          <w:right w:val="nil"/>
          <w:between w:val="nil"/>
        </w:pBdr>
        <w:spacing w:after="240"/>
        <w:jc w:val="both"/>
        <w:rPr>
          <w:color w:val="000000"/>
          <w:sz w:val="22"/>
          <w:szCs w:val="22"/>
        </w:rPr>
      </w:pPr>
      <w:r>
        <w:rPr>
          <w:color w:val="000000"/>
          <w:sz w:val="22"/>
          <w:szCs w:val="22"/>
        </w:rPr>
        <w:t>Se dispone a la Empresa Pública Metropolitana de Agua Potable y San</w:t>
      </w:r>
      <w:r>
        <w:rPr>
          <w:color w:val="000000"/>
          <w:sz w:val="22"/>
          <w:szCs w:val="22"/>
        </w:rPr>
        <w:t>eamiento EPMAPS proceda a realizar los estudios y diseños para la dotación de agua potable en el asentamiento “Santa Inés Pasaje Carrera”, incluyendo la instalación de hidrantes, que se cumpla con lo señalado en menor tiempo posible y dentro del cronograma</w:t>
      </w:r>
      <w:r>
        <w:rPr>
          <w:color w:val="000000"/>
          <w:sz w:val="22"/>
          <w:szCs w:val="22"/>
        </w:rPr>
        <w:t xml:space="preserve"> de obras por parte de la EPMAPS.</w:t>
      </w:r>
    </w:p>
    <w:p w:rsidR="00A91322" w:rsidRDefault="000C3930">
      <w:pPr>
        <w:pBdr>
          <w:top w:val="nil"/>
          <w:left w:val="nil"/>
          <w:bottom w:val="nil"/>
          <w:right w:val="nil"/>
          <w:between w:val="nil"/>
        </w:pBdr>
        <w:jc w:val="both"/>
        <w:rPr>
          <w:i/>
          <w:color w:val="000000"/>
          <w:sz w:val="22"/>
          <w:szCs w:val="22"/>
        </w:rPr>
      </w:pPr>
      <w:r>
        <w:rPr>
          <w:b/>
          <w:color w:val="000000"/>
          <w:sz w:val="22"/>
          <w:szCs w:val="22"/>
        </w:rPr>
        <w:t xml:space="preserve">Disposición Final. - </w:t>
      </w:r>
      <w:r>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rsidR="00A91322" w:rsidRDefault="00A91322">
      <w:pPr>
        <w:pBdr>
          <w:top w:val="nil"/>
          <w:left w:val="nil"/>
          <w:bottom w:val="nil"/>
          <w:right w:val="nil"/>
          <w:between w:val="nil"/>
        </w:pBdr>
        <w:rPr>
          <w:color w:val="000000"/>
          <w:sz w:val="22"/>
          <w:szCs w:val="22"/>
        </w:rPr>
      </w:pPr>
    </w:p>
    <w:p w:rsidR="00A91322" w:rsidRDefault="000C3930">
      <w:pPr>
        <w:pBdr>
          <w:top w:val="nil"/>
          <w:left w:val="nil"/>
          <w:bottom w:val="nil"/>
          <w:right w:val="nil"/>
          <w:between w:val="nil"/>
        </w:pBdr>
        <w:jc w:val="both"/>
        <w:rPr>
          <w:color w:val="000000"/>
          <w:sz w:val="22"/>
          <w:szCs w:val="22"/>
        </w:rPr>
      </w:pPr>
      <w:r>
        <w:rPr>
          <w:color w:val="000000"/>
          <w:sz w:val="22"/>
          <w:szCs w:val="22"/>
        </w:rPr>
        <w:t xml:space="preserve">Dada, en la Sala de Sesiones del Concejo Metropolitano de Quito, el… </w:t>
      </w:r>
      <w:proofErr w:type="gramStart"/>
      <w:r>
        <w:rPr>
          <w:color w:val="000000"/>
          <w:sz w:val="22"/>
          <w:szCs w:val="22"/>
        </w:rPr>
        <w:t>de …</w:t>
      </w:r>
      <w:proofErr w:type="gramEnd"/>
      <w:r>
        <w:rPr>
          <w:color w:val="000000"/>
          <w:sz w:val="22"/>
          <w:szCs w:val="22"/>
        </w:rPr>
        <w:t>………. de 2022</w:t>
      </w: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center"/>
        <w:rPr>
          <w:color w:val="000000"/>
          <w:sz w:val="22"/>
          <w:szCs w:val="22"/>
        </w:rPr>
      </w:pPr>
      <w:r>
        <w:rPr>
          <w:color w:val="000000"/>
          <w:sz w:val="22"/>
          <w:szCs w:val="22"/>
        </w:rPr>
        <w:t xml:space="preserve">Abg. Pablo Antonio </w:t>
      </w:r>
      <w:proofErr w:type="spellStart"/>
      <w:r>
        <w:rPr>
          <w:color w:val="000000"/>
          <w:sz w:val="22"/>
          <w:szCs w:val="22"/>
        </w:rPr>
        <w:t>Santillan</w:t>
      </w:r>
      <w:proofErr w:type="spellEnd"/>
      <w:r>
        <w:rPr>
          <w:color w:val="000000"/>
          <w:sz w:val="22"/>
          <w:szCs w:val="22"/>
        </w:rPr>
        <w:t xml:space="preserve"> Paredes</w:t>
      </w:r>
    </w:p>
    <w:p w:rsidR="00A91322" w:rsidRDefault="000C3930">
      <w:pPr>
        <w:pBdr>
          <w:top w:val="nil"/>
          <w:left w:val="nil"/>
          <w:bottom w:val="nil"/>
          <w:right w:val="nil"/>
          <w:between w:val="nil"/>
        </w:pBdr>
        <w:jc w:val="center"/>
        <w:rPr>
          <w:b/>
          <w:color w:val="000000"/>
          <w:sz w:val="22"/>
          <w:szCs w:val="22"/>
        </w:rPr>
      </w:pPr>
      <w:r>
        <w:rPr>
          <w:b/>
          <w:color w:val="000000"/>
          <w:sz w:val="22"/>
          <w:szCs w:val="22"/>
        </w:rPr>
        <w:lastRenderedPageBreak/>
        <w:t>SECRETARIA GENERAL DEL CONCEJO METROPOLITANO DE QUITO</w:t>
      </w:r>
    </w:p>
    <w:p w:rsidR="00A91322" w:rsidRDefault="00A91322">
      <w:pPr>
        <w:pBdr>
          <w:top w:val="nil"/>
          <w:left w:val="nil"/>
          <w:bottom w:val="nil"/>
          <w:right w:val="nil"/>
          <w:between w:val="nil"/>
        </w:pBdr>
        <w:jc w:val="center"/>
        <w:rPr>
          <w:color w:val="000000"/>
          <w:sz w:val="22"/>
          <w:szCs w:val="22"/>
        </w:rPr>
      </w:pPr>
    </w:p>
    <w:p w:rsidR="00A91322" w:rsidRDefault="000C3930">
      <w:pPr>
        <w:pBdr>
          <w:top w:val="nil"/>
          <w:left w:val="nil"/>
          <w:bottom w:val="nil"/>
          <w:right w:val="nil"/>
          <w:between w:val="nil"/>
        </w:pBdr>
        <w:jc w:val="center"/>
        <w:rPr>
          <w:color w:val="000000"/>
          <w:sz w:val="22"/>
          <w:szCs w:val="22"/>
        </w:rPr>
      </w:pPr>
      <w:r>
        <w:rPr>
          <w:b/>
          <w:color w:val="000000"/>
          <w:sz w:val="22"/>
          <w:szCs w:val="22"/>
        </w:rPr>
        <w:t>ALCALDÍA DEL DISTRITO METROPOLITANO.-</w:t>
      </w:r>
      <w:r>
        <w:rPr>
          <w:color w:val="000000"/>
          <w:sz w:val="22"/>
          <w:szCs w:val="22"/>
        </w:rPr>
        <w:t xml:space="preserve">  Distrito Metropolitano de Quito,</w:t>
      </w:r>
    </w:p>
    <w:p w:rsidR="00A91322" w:rsidRDefault="000C3930">
      <w:pPr>
        <w:pBdr>
          <w:top w:val="nil"/>
          <w:left w:val="nil"/>
          <w:bottom w:val="nil"/>
          <w:right w:val="nil"/>
          <w:between w:val="nil"/>
        </w:pBdr>
        <w:jc w:val="center"/>
        <w:rPr>
          <w:b/>
          <w:color w:val="000000"/>
          <w:sz w:val="22"/>
          <w:szCs w:val="22"/>
        </w:rPr>
      </w:pPr>
      <w:r>
        <w:rPr>
          <w:b/>
          <w:color w:val="000000"/>
          <w:sz w:val="22"/>
          <w:szCs w:val="22"/>
        </w:rPr>
        <w:t>E</w:t>
      </w:r>
      <w:r>
        <w:rPr>
          <w:b/>
          <w:color w:val="000000"/>
          <w:sz w:val="22"/>
          <w:szCs w:val="22"/>
        </w:rPr>
        <w:t>JECÚTESE:</w:t>
      </w: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center"/>
        <w:rPr>
          <w:color w:val="000000"/>
          <w:sz w:val="22"/>
          <w:szCs w:val="22"/>
        </w:rPr>
      </w:pPr>
      <w:r>
        <w:rPr>
          <w:color w:val="000000"/>
          <w:sz w:val="22"/>
          <w:szCs w:val="22"/>
        </w:rPr>
        <w:t xml:space="preserve">Dr. Santiago Mauricio </w:t>
      </w:r>
      <w:proofErr w:type="spellStart"/>
      <w:r>
        <w:rPr>
          <w:color w:val="000000"/>
          <w:sz w:val="22"/>
          <w:szCs w:val="22"/>
        </w:rPr>
        <w:t>Guarderas</w:t>
      </w:r>
      <w:proofErr w:type="spellEnd"/>
      <w:r>
        <w:rPr>
          <w:color w:val="000000"/>
          <w:sz w:val="22"/>
          <w:szCs w:val="22"/>
        </w:rPr>
        <w:t xml:space="preserve"> Izquierdo</w:t>
      </w:r>
    </w:p>
    <w:p w:rsidR="00A91322" w:rsidRDefault="000C3930">
      <w:pPr>
        <w:pBdr>
          <w:top w:val="nil"/>
          <w:left w:val="nil"/>
          <w:bottom w:val="nil"/>
          <w:right w:val="nil"/>
          <w:between w:val="nil"/>
        </w:pBdr>
        <w:jc w:val="center"/>
        <w:rPr>
          <w:b/>
          <w:color w:val="000000"/>
          <w:sz w:val="22"/>
          <w:szCs w:val="22"/>
        </w:rPr>
      </w:pPr>
      <w:r>
        <w:rPr>
          <w:b/>
          <w:color w:val="000000"/>
          <w:sz w:val="22"/>
          <w:szCs w:val="22"/>
        </w:rPr>
        <w:t>ALCALDE DEL DISTRITO METROPOLITANO DE QUITO</w:t>
      </w:r>
    </w:p>
    <w:p w:rsidR="00A91322" w:rsidRDefault="00A91322">
      <w:pPr>
        <w:pBdr>
          <w:top w:val="nil"/>
          <w:left w:val="nil"/>
          <w:bottom w:val="nil"/>
          <w:right w:val="nil"/>
          <w:between w:val="nil"/>
        </w:pBdr>
        <w:jc w:val="both"/>
        <w:rPr>
          <w:color w:val="000000"/>
          <w:sz w:val="22"/>
          <w:szCs w:val="22"/>
        </w:rPr>
      </w:pPr>
    </w:p>
    <w:p w:rsidR="00A91322" w:rsidRDefault="00A91322">
      <w:pPr>
        <w:pBdr>
          <w:top w:val="nil"/>
          <w:left w:val="nil"/>
          <w:bottom w:val="nil"/>
          <w:right w:val="nil"/>
          <w:between w:val="nil"/>
        </w:pBdr>
        <w:jc w:val="both"/>
        <w:rPr>
          <w:color w:val="000000"/>
          <w:sz w:val="22"/>
          <w:szCs w:val="22"/>
        </w:rPr>
      </w:pPr>
    </w:p>
    <w:p w:rsidR="00A91322" w:rsidRDefault="000C3930">
      <w:pPr>
        <w:pBdr>
          <w:top w:val="nil"/>
          <w:left w:val="nil"/>
          <w:bottom w:val="nil"/>
          <w:right w:val="nil"/>
          <w:between w:val="nil"/>
        </w:pBdr>
        <w:jc w:val="center"/>
        <w:rPr>
          <w:color w:val="000000"/>
          <w:sz w:val="22"/>
          <w:szCs w:val="22"/>
        </w:rPr>
      </w:pPr>
      <w:r>
        <w:rPr>
          <w:b/>
          <w:color w:val="000000"/>
          <w:sz w:val="22"/>
          <w:szCs w:val="22"/>
        </w:rPr>
        <w:t>CERTIFICO,</w:t>
      </w:r>
      <w:r>
        <w:rPr>
          <w:color w:val="000000"/>
          <w:sz w:val="22"/>
          <w:szCs w:val="22"/>
        </w:rPr>
        <w:t xml:space="preserve"> que la presente ordenanza fue sancionada por el Dr. Santiago Mauricio </w:t>
      </w:r>
      <w:proofErr w:type="spellStart"/>
      <w:r>
        <w:rPr>
          <w:color w:val="000000"/>
          <w:sz w:val="22"/>
          <w:szCs w:val="22"/>
        </w:rPr>
        <w:t>Guarderas</w:t>
      </w:r>
      <w:proofErr w:type="spellEnd"/>
      <w:r>
        <w:rPr>
          <w:color w:val="000000"/>
          <w:sz w:val="22"/>
          <w:szCs w:val="22"/>
        </w:rPr>
        <w:t xml:space="preserve"> Izquierdo, Alcalde del Distrito Metropolitano de Quito, el</w:t>
      </w:r>
    </w:p>
    <w:p w:rsidR="00A91322" w:rsidRDefault="000C3930">
      <w:pPr>
        <w:pBdr>
          <w:top w:val="nil"/>
          <w:left w:val="nil"/>
          <w:bottom w:val="nil"/>
          <w:right w:val="nil"/>
          <w:between w:val="nil"/>
        </w:pBdr>
        <w:jc w:val="center"/>
        <w:rPr>
          <w:rFonts w:ascii="Calibri" w:eastAsia="Calibri" w:hAnsi="Calibri" w:cs="Calibri"/>
          <w:color w:val="000000"/>
          <w:sz w:val="22"/>
          <w:szCs w:val="22"/>
        </w:rPr>
      </w:pPr>
      <w:r>
        <w:rPr>
          <w:color w:val="000000"/>
          <w:sz w:val="22"/>
          <w:szCs w:val="22"/>
        </w:rPr>
        <w:t>.- Distrito Metropolitano de Quito</w:t>
      </w:r>
    </w:p>
    <w:p w:rsidR="00A91322" w:rsidRDefault="00A91322">
      <w:pPr>
        <w:pBdr>
          <w:top w:val="nil"/>
          <w:left w:val="nil"/>
          <w:bottom w:val="nil"/>
          <w:right w:val="nil"/>
          <w:between w:val="nil"/>
        </w:pBdr>
        <w:jc w:val="center"/>
        <w:rPr>
          <w:b/>
          <w:color w:val="000000"/>
          <w:sz w:val="22"/>
          <w:szCs w:val="22"/>
        </w:rPr>
      </w:pPr>
    </w:p>
    <w:sectPr w:rsidR="00A91322">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30" w:rsidRDefault="000C3930">
      <w:r>
        <w:separator/>
      </w:r>
    </w:p>
  </w:endnote>
  <w:endnote w:type="continuationSeparator" w:id="0">
    <w:p w:rsidR="000C3930" w:rsidRDefault="000C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22" w:rsidRDefault="00A9132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22" w:rsidRDefault="000C39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653F94">
      <w:rPr>
        <w:b/>
        <w:color w:val="000000"/>
        <w:sz w:val="24"/>
        <w:szCs w:val="24"/>
      </w:rPr>
      <w:fldChar w:fldCharType="separate"/>
    </w:r>
    <w:r w:rsidR="00653F94">
      <w:rPr>
        <w:b/>
        <w:noProof/>
        <w:color w:val="000000"/>
        <w:sz w:val="24"/>
        <w:szCs w:val="24"/>
      </w:rPr>
      <w:t>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653F94">
      <w:rPr>
        <w:b/>
        <w:color w:val="000000"/>
        <w:sz w:val="24"/>
        <w:szCs w:val="24"/>
      </w:rPr>
      <w:fldChar w:fldCharType="separate"/>
    </w:r>
    <w:r w:rsidR="00653F94">
      <w:rPr>
        <w:b/>
        <w:noProof/>
        <w:color w:val="000000"/>
        <w:sz w:val="24"/>
        <w:szCs w:val="24"/>
      </w:rPr>
      <w:t>9</w:t>
    </w:r>
    <w:r>
      <w:rPr>
        <w:b/>
        <w:color w:val="000000"/>
        <w:sz w:val="24"/>
        <w:szCs w:val="24"/>
      </w:rPr>
      <w:fldChar w:fldCharType="end"/>
    </w:r>
  </w:p>
  <w:p w:rsidR="00A91322" w:rsidRDefault="00A9132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22" w:rsidRDefault="00A9132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30" w:rsidRDefault="000C3930">
      <w:r>
        <w:separator/>
      </w:r>
    </w:p>
  </w:footnote>
  <w:footnote w:type="continuationSeparator" w:id="0">
    <w:p w:rsidR="000C3930" w:rsidRDefault="000C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22" w:rsidRDefault="000C3930">
    <w:pPr>
      <w:pBdr>
        <w:top w:val="nil"/>
        <w:left w:val="nil"/>
        <w:bottom w:val="nil"/>
        <w:right w:val="nil"/>
        <w:between w:val="nil"/>
      </w:pBdr>
      <w:tabs>
        <w:tab w:val="center" w:pos="4252"/>
        <w:tab w:val="right" w:pos="8504"/>
      </w:tabs>
      <w:rPr>
        <w:color w:val="00000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375876" o:spid="_x0000_s2049" type="#_x0000_t136" style="position:absolute;margin-left:0;margin-top:0;width:591.25pt;height:28.15pt;rotation:315;z-index:-251657216;visibility:visible;mso-position-horizontal:center;mso-position-horizontal-relative:margin;mso-position-vertical:center;mso-position-vertical-relative:margin" o:allowincell="f" fillcolor="silver" stroked="f">
          <v:fill opacity=".5"/>
          <v:textpath style="font-family:&quot;&amp;quot&quot;;font-size:1pt" string="Proyecto de Ordenanza para Segundo Debate"/>
          <w10:wrap anchorx="margin" anchory="margin"/>
        </v:shape>
      </w:pict>
    </w:r>
    <w:r>
      <w:rPr>
        <w:noProof/>
        <w:color w:val="000000"/>
        <w:lang w:val="es-EC"/>
      </w:rPr>
      <mc:AlternateContent>
        <mc:Choice Requires="wpg">
          <w:drawing>
            <wp:anchor distT="0" distB="0" distL="0" distR="0" simplePos="0" relativeHeight="251656192" behindDoc="1" locked="0" layoutInCell="1" hidden="0" allowOverlap="1">
              <wp:simplePos x="0" y="0"/>
              <wp:positionH relativeFrom="margin">
                <wp:align>center</wp:align>
              </wp:positionH>
              <wp:positionV relativeFrom="margin">
                <wp:align>center</wp:align>
              </wp:positionV>
              <wp:extent cx="7899535" cy="7899535"/>
              <wp:effectExtent l="0" t="0" r="0" b="0"/>
              <wp:wrapNone/>
              <wp:docPr id="4" name="Rectángulo 4"/>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a:noFill/>
                      <a:ln>
                        <a:noFill/>
                      </a:ln>
                    </wps:spPr>
                    <wps:txbx>
                      <w:txbxContent>
                        <w:p w:rsidR="00A91322" w:rsidRDefault="000C39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899535" cy="789953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899535" cy="789953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22" w:rsidRDefault="000C3930">
    <w:pPr>
      <w:pBdr>
        <w:top w:val="nil"/>
        <w:left w:val="nil"/>
        <w:bottom w:val="nil"/>
        <w:right w:val="nil"/>
        <w:between w:val="nil"/>
      </w:pBd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375877" o:spid="_x0000_s2051" type="#_x0000_t136" style="position:absolute;margin-left:0;margin-top:0;width:591.25pt;height:28.15pt;rotation:315;z-index:-251659264;visibility:visible;mso-position-horizontal:center;mso-position-horizontal-relative:margin;mso-position-vertical:center;mso-position-vertical-relative:margin" o:allowincell="f" fillcolor="silver" stroked="f">
          <v:fill opacity=".5"/>
          <v:textpath style="font-family:&quot;&amp;quot&quot;;font-size:1pt" string="Proyecto de Ordenanza para Segundo Debate"/>
          <w10:wrap anchorx="margin" anchory="margin"/>
        </v:shape>
      </w:pict>
    </w:r>
  </w:p>
  <w:p w:rsidR="00A91322" w:rsidRDefault="00A9132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A91322" w:rsidRDefault="00A9132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A91322" w:rsidRDefault="00A91322">
    <w:pPr>
      <w:pStyle w:val="Puesto"/>
    </w:pPr>
  </w:p>
  <w:p w:rsidR="00A91322" w:rsidRDefault="00A91322"/>
  <w:p w:rsidR="00A91322" w:rsidRDefault="000C3930">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22" w:rsidRDefault="000C3930">
    <w:pPr>
      <w:pBdr>
        <w:top w:val="nil"/>
        <w:left w:val="nil"/>
        <w:bottom w:val="nil"/>
        <w:right w:val="nil"/>
        <w:between w:val="nil"/>
      </w:pBdr>
      <w:tabs>
        <w:tab w:val="center" w:pos="4252"/>
        <w:tab w:val="right" w:pos="8504"/>
      </w:tabs>
      <w:rPr>
        <w:color w:val="00000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375875" o:spid="_x0000_s2050" type="#_x0000_t136" style="position:absolute;margin-left:0;margin-top:0;width:591.25pt;height:28.15pt;rotation:315;z-index:-251658240;visibility:visible;mso-position-horizontal:center;mso-position-horizontal-relative:margin;mso-position-vertical:center;mso-position-vertical-relative:margin" o:allowincell="f" fillcolor="silver" stroked="f">
          <v:fill opacity=".5"/>
          <v:textpath style="font-family:&quot;&amp;quot&quot;;font-size:1pt" string="Proyecto de Ordenanza para Segundo Deb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376"/>
    <w:multiLevelType w:val="multilevel"/>
    <w:tmpl w:val="8E502C7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5900F6E"/>
    <w:multiLevelType w:val="multilevel"/>
    <w:tmpl w:val="25348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22"/>
    <w:rsid w:val="000C3930"/>
    <w:rsid w:val="00653F94"/>
    <w:rsid w:val="00A9132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A6D700-6C47-44F3-8F5C-1E53CF04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sxjdRbsaENRGYufU/0bOTTpt7Q==">AMUW2mVAgFchrF8m+ZAL3GcHKJgO6Aan/qWhC4wZjGH4OBfVKdrxhHZryPlJfxA5lk5/D9lEPiEIQVE8j9mfWHRZ5ag+b84pqyEkSxnt3EfZfWXWeVd6cjWPVT42cXw18JZRJ8Cyr4UzIrM7oIEne6Say0hBETLB+7jjeUtUjmfVYTXjkfTt1gk=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3665</Words>
  <Characters>20159</Characters>
  <Application>Microsoft Office Word</Application>
  <DocSecurity>0</DocSecurity>
  <Lines>167</Lines>
  <Paragraphs>47</Paragraphs>
  <ScaleCrop>false</ScaleCrop>
  <Company/>
  <LinksUpToDate>false</LinksUpToDate>
  <CharactersWithSpaces>23777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Patricia Gioconda Pacheco Tituana</cp:lastModifiedBy>
  <cp:revision>3</cp:revision>
  <dcterms:created xsi:type="dcterms:W3CDTF">2022-03-07T15:09:00Z</dcterms:created>
  <dcterms:modified xsi:type="dcterms:W3CDTF">2022-03-29T17:38:00Z</dcterms:modified>
</cp:coreProperties>
</file>