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8A3B9" w14:textId="77777777" w:rsidR="00A16B4B" w:rsidRDefault="000158A4">
      <w:pPr>
        <w:widowControl w:val="0"/>
        <w:pBdr>
          <w:top w:val="nil"/>
          <w:left w:val="nil"/>
          <w:bottom w:val="nil"/>
          <w:right w:val="nil"/>
          <w:between w:val="nil"/>
        </w:pBdr>
        <w:spacing w:line="276" w:lineRule="auto"/>
      </w:pPr>
      <w:bookmarkStart w:id="0" w:name="_Hlk82152882"/>
      <w:bookmarkStart w:id="1" w:name="_GoBack"/>
      <w:bookmarkEnd w:id="1"/>
      <w:r>
        <w:pict w14:anchorId="3343FB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pict w14:anchorId="5206D624">
          <v:shape id="_x0000_s1027" type="#_x0000_t136" style="position:absolute;margin-left:0;margin-top:0;width:50pt;height:50pt;z-index:251657728;visibility:hidden">
            <o:lock v:ext="edit" selection="t"/>
          </v:shape>
        </w:pict>
      </w:r>
      <w:r>
        <w:pict w14:anchorId="6B520E26">
          <v:shape id="_x0000_s1026" type="#_x0000_t136" style="position:absolute;margin-left:0;margin-top:0;width:50pt;height:50pt;z-index:251658752;visibility:hidden">
            <o:lock v:ext="edit" selection="t"/>
          </v:shape>
        </w:pict>
      </w:r>
    </w:p>
    <w:p w14:paraId="6D7DACBF" w14:textId="77777777" w:rsidR="00A16B4B" w:rsidRDefault="00A26F30">
      <w:pPr>
        <w:pBdr>
          <w:top w:val="nil"/>
          <w:left w:val="nil"/>
          <w:bottom w:val="nil"/>
          <w:right w:val="nil"/>
          <w:between w:val="nil"/>
        </w:pBdr>
        <w:jc w:val="center"/>
        <w:rPr>
          <w:b/>
          <w:color w:val="000000"/>
          <w:sz w:val="22"/>
          <w:szCs w:val="22"/>
        </w:rPr>
      </w:pPr>
      <w:r>
        <w:rPr>
          <w:b/>
          <w:color w:val="000000"/>
          <w:sz w:val="22"/>
          <w:szCs w:val="22"/>
        </w:rPr>
        <w:t>EXPOSICIÓN DE MOTIVOS</w:t>
      </w:r>
    </w:p>
    <w:p w14:paraId="0959129A" w14:textId="77777777" w:rsidR="00A16B4B" w:rsidRDefault="00A16B4B">
      <w:pPr>
        <w:pBdr>
          <w:top w:val="nil"/>
          <w:left w:val="nil"/>
          <w:bottom w:val="nil"/>
          <w:right w:val="nil"/>
          <w:between w:val="nil"/>
        </w:pBdr>
        <w:rPr>
          <w:color w:val="000000"/>
          <w:sz w:val="22"/>
          <w:szCs w:val="22"/>
        </w:rPr>
      </w:pPr>
    </w:p>
    <w:p w14:paraId="392B511F" w14:textId="77777777" w:rsidR="00A16B4B" w:rsidRDefault="00A16B4B">
      <w:pPr>
        <w:pBdr>
          <w:top w:val="nil"/>
          <w:left w:val="nil"/>
          <w:bottom w:val="nil"/>
          <w:right w:val="nil"/>
          <w:between w:val="nil"/>
        </w:pBdr>
        <w:jc w:val="both"/>
        <w:rPr>
          <w:color w:val="000000"/>
          <w:sz w:val="22"/>
          <w:szCs w:val="22"/>
        </w:rPr>
      </w:pPr>
    </w:p>
    <w:p w14:paraId="4DD3EE6C" w14:textId="77777777" w:rsidR="00A16B4B" w:rsidRDefault="00A26F30">
      <w:pPr>
        <w:pBdr>
          <w:top w:val="nil"/>
          <w:left w:val="nil"/>
          <w:bottom w:val="nil"/>
          <w:right w:val="nil"/>
          <w:between w:val="nil"/>
        </w:pBdr>
        <w:jc w:val="both"/>
        <w:rPr>
          <w:color w:val="000000"/>
          <w:sz w:val="22"/>
          <w:szCs w:val="22"/>
        </w:rPr>
      </w:pPr>
      <w:r>
        <w:rPr>
          <w:color w:val="000000"/>
          <w:sz w:val="22"/>
          <w:szCs w:val="22"/>
        </w:rPr>
        <w:t>La Constitución de la República del Ecuador, en su artículo 30, garantiza a las personas el “</w:t>
      </w:r>
      <w:r>
        <w:rPr>
          <w:i/>
          <w:color w:val="000000"/>
          <w:sz w:val="22"/>
          <w:szCs w:val="22"/>
        </w:rPr>
        <w:t>derecho a un hábitat seguro y saludable, y a una vivienda adecuada y digna, con independencia de su situación social y económica</w:t>
      </w:r>
      <w:r>
        <w:rPr>
          <w:color w:val="000000"/>
          <w:sz w:val="22"/>
          <w:szCs w:val="22"/>
        </w:rPr>
        <w:t>”.</w:t>
      </w:r>
    </w:p>
    <w:p w14:paraId="566E8F1B" w14:textId="77777777" w:rsidR="00A16B4B" w:rsidRDefault="00A16B4B">
      <w:pPr>
        <w:pBdr>
          <w:top w:val="nil"/>
          <w:left w:val="nil"/>
          <w:bottom w:val="nil"/>
          <w:right w:val="nil"/>
          <w:between w:val="nil"/>
        </w:pBdr>
        <w:jc w:val="both"/>
        <w:rPr>
          <w:b/>
          <w:color w:val="000000"/>
          <w:sz w:val="22"/>
          <w:szCs w:val="22"/>
        </w:rPr>
      </w:pPr>
    </w:p>
    <w:p w14:paraId="6A74F1E5" w14:textId="77777777" w:rsidR="00A16B4B" w:rsidRDefault="00A26F30">
      <w:pPr>
        <w:pBdr>
          <w:top w:val="nil"/>
          <w:left w:val="nil"/>
          <w:bottom w:val="nil"/>
          <w:right w:val="nil"/>
          <w:between w:val="nil"/>
        </w:pBdr>
        <w:jc w:val="both"/>
        <w:rPr>
          <w:color w:val="000000"/>
          <w:sz w:val="22"/>
          <w:szCs w:val="22"/>
        </w:rPr>
      </w:pPr>
      <w:r>
        <w:rPr>
          <w:color w:val="000000"/>
          <w:sz w:val="22"/>
          <w:szCs w:val="22"/>
        </w:rPr>
        <w:t xml:space="preserve">El Concejo Metropolitano y la Administración Municipal, a través de la Comisión de Ordenamiento Territorial y la Unidad Especial “Regula tu Barrio”, determinan la norma y gestiona los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2370DE65" w14:textId="77777777" w:rsidR="00A16B4B" w:rsidRDefault="00A16B4B">
      <w:pPr>
        <w:pBdr>
          <w:top w:val="nil"/>
          <w:left w:val="nil"/>
          <w:bottom w:val="nil"/>
          <w:right w:val="nil"/>
          <w:between w:val="nil"/>
        </w:pBdr>
        <w:jc w:val="both"/>
        <w:rPr>
          <w:b/>
          <w:color w:val="000000"/>
          <w:sz w:val="22"/>
          <w:szCs w:val="22"/>
        </w:rPr>
      </w:pPr>
    </w:p>
    <w:p w14:paraId="3C109A5D" w14:textId="48B266AA" w:rsidR="00A16B4B" w:rsidRDefault="00A26F30">
      <w:pPr>
        <w:pBdr>
          <w:top w:val="nil"/>
          <w:left w:val="nil"/>
          <w:bottom w:val="nil"/>
          <w:right w:val="nil"/>
          <w:between w:val="nil"/>
        </w:pBdr>
        <w:jc w:val="both"/>
        <w:rPr>
          <w:color w:val="000000"/>
          <w:sz w:val="22"/>
          <w:szCs w:val="22"/>
        </w:rPr>
      </w:pPr>
      <w:r>
        <w:rPr>
          <w:color w:val="000000"/>
          <w:sz w:val="22"/>
          <w:szCs w:val="22"/>
        </w:rPr>
        <w:t xml:space="preserve">El asentamiento humano de hecho y consolidado de interés social denominado “Santa Inés Pasaje Carrera”, ubicado en la parroquia Cumbayá, tiene una consolidación del 92.31%; </w:t>
      </w:r>
      <w:r w:rsidR="00CD5914">
        <w:rPr>
          <w:color w:val="000000"/>
          <w:sz w:val="22"/>
          <w:szCs w:val="22"/>
        </w:rPr>
        <w:t>cuenta actualmente</w:t>
      </w:r>
      <w:r>
        <w:rPr>
          <w:color w:val="000000"/>
          <w:sz w:val="22"/>
          <w:szCs w:val="22"/>
        </w:rPr>
        <w:t xml:space="preserve"> con 26 años de asentamiento, 13 lotes a fraccionar y 71 beneficiarios. </w:t>
      </w:r>
    </w:p>
    <w:p w14:paraId="63FEBB2C" w14:textId="77777777" w:rsidR="00A16B4B" w:rsidRDefault="00A16B4B">
      <w:pPr>
        <w:pBdr>
          <w:top w:val="nil"/>
          <w:left w:val="nil"/>
          <w:bottom w:val="nil"/>
          <w:right w:val="nil"/>
          <w:between w:val="nil"/>
        </w:pBdr>
        <w:jc w:val="both"/>
        <w:rPr>
          <w:b/>
          <w:color w:val="000000"/>
          <w:sz w:val="22"/>
          <w:szCs w:val="22"/>
        </w:rPr>
      </w:pPr>
    </w:p>
    <w:p w14:paraId="3E5F7B93" w14:textId="77777777" w:rsidR="00A16B4B" w:rsidRDefault="00A26F30">
      <w:pPr>
        <w:pBdr>
          <w:top w:val="nil"/>
          <w:left w:val="nil"/>
          <w:bottom w:val="nil"/>
          <w:right w:val="nil"/>
          <w:between w:val="nil"/>
        </w:pBdr>
        <w:jc w:val="both"/>
        <w:rPr>
          <w:color w:val="000000"/>
          <w:sz w:val="22"/>
          <w:szCs w:val="22"/>
        </w:rPr>
      </w:pPr>
      <w:r>
        <w:rPr>
          <w:color w:val="000000"/>
          <w:sz w:val="22"/>
          <w:szCs w:val="22"/>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70148227" w14:textId="77777777" w:rsidR="00A16B4B" w:rsidRDefault="00A16B4B">
      <w:pPr>
        <w:pBdr>
          <w:top w:val="nil"/>
          <w:left w:val="nil"/>
          <w:bottom w:val="nil"/>
          <w:right w:val="nil"/>
          <w:between w:val="nil"/>
        </w:pBdr>
        <w:jc w:val="both"/>
        <w:rPr>
          <w:b/>
          <w:color w:val="000000"/>
          <w:sz w:val="22"/>
          <w:szCs w:val="22"/>
        </w:rPr>
      </w:pPr>
    </w:p>
    <w:p w14:paraId="5DD20482" w14:textId="77777777" w:rsidR="00A16B4B" w:rsidRDefault="00A26F30">
      <w:pPr>
        <w:pBdr>
          <w:top w:val="nil"/>
          <w:left w:val="nil"/>
          <w:bottom w:val="nil"/>
          <w:right w:val="nil"/>
          <w:between w:val="nil"/>
        </w:pBdr>
        <w:jc w:val="both"/>
        <w:rPr>
          <w:b/>
          <w:color w:val="000000"/>
          <w:sz w:val="22"/>
          <w:szCs w:val="22"/>
        </w:rPr>
      </w:pPr>
      <w:r>
        <w:rPr>
          <w:color w:val="000000"/>
          <w:sz w:val="22"/>
          <w:szCs w:val="22"/>
        </w:rPr>
        <w:t>En este sentido, la presente ordenanza contiene la normativa tendiente al fraccionamiento del predio sobre el que se encuentra el asentamiento humano de hecho y consolidado de interés social denominado “Santa Inés Pasaje Carrera”, a fin de garantizar a los beneficiarios el ejercicio de su derecho a la vivienda y el acceso a servicios básicos de calidad.</w:t>
      </w:r>
    </w:p>
    <w:p w14:paraId="5D03D042" w14:textId="77777777" w:rsidR="00A16B4B" w:rsidRDefault="00A16B4B">
      <w:pPr>
        <w:pBdr>
          <w:top w:val="nil"/>
          <w:left w:val="nil"/>
          <w:bottom w:val="nil"/>
          <w:right w:val="nil"/>
          <w:between w:val="nil"/>
        </w:pBdr>
        <w:rPr>
          <w:color w:val="000000"/>
          <w:sz w:val="22"/>
          <w:szCs w:val="22"/>
        </w:rPr>
      </w:pPr>
    </w:p>
    <w:p w14:paraId="7659566E" w14:textId="77777777" w:rsidR="00A16B4B" w:rsidRDefault="00A16B4B">
      <w:pPr>
        <w:pBdr>
          <w:top w:val="nil"/>
          <w:left w:val="nil"/>
          <w:bottom w:val="nil"/>
          <w:right w:val="nil"/>
          <w:between w:val="nil"/>
        </w:pBdr>
        <w:rPr>
          <w:color w:val="000000"/>
          <w:sz w:val="22"/>
          <w:szCs w:val="22"/>
        </w:rPr>
      </w:pPr>
    </w:p>
    <w:p w14:paraId="5C55ADB9" w14:textId="77777777" w:rsidR="00A16B4B" w:rsidRDefault="00A16B4B">
      <w:pPr>
        <w:pBdr>
          <w:top w:val="nil"/>
          <w:left w:val="nil"/>
          <w:bottom w:val="nil"/>
          <w:right w:val="nil"/>
          <w:between w:val="nil"/>
        </w:pBdr>
        <w:tabs>
          <w:tab w:val="left" w:pos="2805"/>
        </w:tabs>
        <w:rPr>
          <w:color w:val="000000"/>
          <w:sz w:val="22"/>
          <w:szCs w:val="22"/>
        </w:rPr>
      </w:pPr>
    </w:p>
    <w:p w14:paraId="5DF68479" w14:textId="77777777" w:rsidR="00A16B4B" w:rsidRDefault="00A26F30">
      <w:pPr>
        <w:pBdr>
          <w:top w:val="nil"/>
          <w:left w:val="nil"/>
          <w:bottom w:val="nil"/>
          <w:right w:val="nil"/>
          <w:between w:val="nil"/>
        </w:pBdr>
        <w:tabs>
          <w:tab w:val="left" w:pos="2805"/>
        </w:tabs>
        <w:rPr>
          <w:color w:val="000000"/>
          <w:sz w:val="22"/>
          <w:szCs w:val="22"/>
        </w:rPr>
      </w:pPr>
      <w:r>
        <w:rPr>
          <w:color w:val="000000"/>
          <w:sz w:val="22"/>
          <w:szCs w:val="22"/>
        </w:rPr>
        <w:tab/>
      </w:r>
    </w:p>
    <w:p w14:paraId="5544EFDF" w14:textId="77777777" w:rsidR="00A16B4B" w:rsidRDefault="00A16B4B">
      <w:pPr>
        <w:pBdr>
          <w:top w:val="nil"/>
          <w:left w:val="nil"/>
          <w:bottom w:val="nil"/>
          <w:right w:val="nil"/>
          <w:between w:val="nil"/>
        </w:pBdr>
        <w:rPr>
          <w:color w:val="000000"/>
          <w:sz w:val="22"/>
          <w:szCs w:val="22"/>
        </w:rPr>
      </w:pPr>
    </w:p>
    <w:p w14:paraId="50B316A7" w14:textId="77777777" w:rsidR="00A16B4B" w:rsidRDefault="00A16B4B">
      <w:pPr>
        <w:pBdr>
          <w:top w:val="nil"/>
          <w:left w:val="nil"/>
          <w:bottom w:val="nil"/>
          <w:right w:val="nil"/>
          <w:between w:val="nil"/>
        </w:pBdr>
        <w:rPr>
          <w:color w:val="000000"/>
          <w:sz w:val="22"/>
          <w:szCs w:val="22"/>
        </w:rPr>
      </w:pPr>
    </w:p>
    <w:p w14:paraId="0178D9F1" w14:textId="77777777" w:rsidR="00A16B4B" w:rsidRDefault="00A16B4B">
      <w:pPr>
        <w:pBdr>
          <w:top w:val="nil"/>
          <w:left w:val="nil"/>
          <w:bottom w:val="nil"/>
          <w:right w:val="nil"/>
          <w:between w:val="nil"/>
        </w:pBdr>
        <w:rPr>
          <w:color w:val="000000"/>
          <w:sz w:val="22"/>
          <w:szCs w:val="22"/>
        </w:rPr>
      </w:pPr>
    </w:p>
    <w:p w14:paraId="144D9ACA" w14:textId="77777777" w:rsidR="00A16B4B" w:rsidRDefault="00A16B4B">
      <w:pPr>
        <w:pBdr>
          <w:top w:val="nil"/>
          <w:left w:val="nil"/>
          <w:bottom w:val="nil"/>
          <w:right w:val="nil"/>
          <w:between w:val="nil"/>
        </w:pBdr>
        <w:rPr>
          <w:color w:val="000000"/>
          <w:sz w:val="22"/>
          <w:szCs w:val="22"/>
        </w:rPr>
      </w:pPr>
    </w:p>
    <w:p w14:paraId="0037FF9E" w14:textId="77777777" w:rsidR="00A16B4B" w:rsidRDefault="00A16B4B">
      <w:pPr>
        <w:pBdr>
          <w:top w:val="nil"/>
          <w:left w:val="nil"/>
          <w:bottom w:val="nil"/>
          <w:right w:val="nil"/>
          <w:between w:val="nil"/>
        </w:pBdr>
        <w:rPr>
          <w:color w:val="000000"/>
          <w:sz w:val="22"/>
          <w:szCs w:val="22"/>
        </w:rPr>
      </w:pPr>
    </w:p>
    <w:p w14:paraId="7F561345" w14:textId="77777777" w:rsidR="00A16B4B" w:rsidRDefault="00A16B4B">
      <w:pPr>
        <w:pBdr>
          <w:top w:val="nil"/>
          <w:left w:val="nil"/>
          <w:bottom w:val="nil"/>
          <w:right w:val="nil"/>
          <w:between w:val="nil"/>
        </w:pBdr>
        <w:rPr>
          <w:color w:val="000000"/>
          <w:sz w:val="22"/>
          <w:szCs w:val="22"/>
        </w:rPr>
      </w:pPr>
    </w:p>
    <w:p w14:paraId="242E2F79" w14:textId="77777777" w:rsidR="00A16B4B" w:rsidRDefault="00A16B4B">
      <w:pPr>
        <w:pBdr>
          <w:top w:val="nil"/>
          <w:left w:val="nil"/>
          <w:bottom w:val="nil"/>
          <w:right w:val="nil"/>
          <w:between w:val="nil"/>
        </w:pBdr>
        <w:rPr>
          <w:color w:val="000000"/>
          <w:sz w:val="22"/>
          <w:szCs w:val="22"/>
        </w:rPr>
      </w:pPr>
    </w:p>
    <w:p w14:paraId="1AE006B5" w14:textId="77777777" w:rsidR="00A16B4B" w:rsidRDefault="00A16B4B">
      <w:pPr>
        <w:pBdr>
          <w:top w:val="nil"/>
          <w:left w:val="nil"/>
          <w:bottom w:val="nil"/>
          <w:right w:val="nil"/>
          <w:between w:val="nil"/>
        </w:pBdr>
        <w:rPr>
          <w:color w:val="000000"/>
          <w:sz w:val="22"/>
          <w:szCs w:val="22"/>
        </w:rPr>
      </w:pPr>
    </w:p>
    <w:p w14:paraId="1F6E07C0" w14:textId="77777777" w:rsidR="00A16B4B" w:rsidRDefault="00A16B4B">
      <w:pPr>
        <w:pBdr>
          <w:top w:val="nil"/>
          <w:left w:val="nil"/>
          <w:bottom w:val="nil"/>
          <w:right w:val="nil"/>
          <w:between w:val="nil"/>
        </w:pBdr>
        <w:rPr>
          <w:color w:val="000000"/>
          <w:sz w:val="22"/>
          <w:szCs w:val="22"/>
        </w:rPr>
      </w:pPr>
    </w:p>
    <w:p w14:paraId="5B2C1ADA" w14:textId="77777777" w:rsidR="00A16B4B" w:rsidRDefault="00A16B4B">
      <w:pPr>
        <w:pBdr>
          <w:top w:val="nil"/>
          <w:left w:val="nil"/>
          <w:bottom w:val="nil"/>
          <w:right w:val="nil"/>
          <w:between w:val="nil"/>
        </w:pBdr>
        <w:rPr>
          <w:color w:val="000000"/>
          <w:sz w:val="22"/>
          <w:szCs w:val="22"/>
        </w:rPr>
      </w:pPr>
    </w:p>
    <w:p w14:paraId="460F0FB0" w14:textId="77777777" w:rsidR="00A16B4B" w:rsidRDefault="00A16B4B">
      <w:pPr>
        <w:pBdr>
          <w:top w:val="nil"/>
          <w:left w:val="nil"/>
          <w:bottom w:val="nil"/>
          <w:right w:val="nil"/>
          <w:between w:val="nil"/>
        </w:pBdr>
        <w:rPr>
          <w:color w:val="000000"/>
          <w:sz w:val="22"/>
          <w:szCs w:val="22"/>
        </w:rPr>
      </w:pPr>
    </w:p>
    <w:p w14:paraId="4AD99B65" w14:textId="77777777" w:rsidR="00A16B4B" w:rsidRDefault="00A16B4B">
      <w:pPr>
        <w:pBdr>
          <w:top w:val="nil"/>
          <w:left w:val="nil"/>
          <w:bottom w:val="nil"/>
          <w:right w:val="nil"/>
          <w:between w:val="nil"/>
        </w:pBdr>
        <w:rPr>
          <w:color w:val="000000"/>
          <w:sz w:val="22"/>
          <w:szCs w:val="22"/>
        </w:rPr>
      </w:pPr>
    </w:p>
    <w:p w14:paraId="192B3DF9" w14:textId="77777777" w:rsidR="00A16B4B" w:rsidRDefault="00A16B4B">
      <w:pPr>
        <w:pBdr>
          <w:top w:val="nil"/>
          <w:left w:val="nil"/>
          <w:bottom w:val="nil"/>
          <w:right w:val="nil"/>
          <w:between w:val="nil"/>
        </w:pBdr>
        <w:rPr>
          <w:color w:val="000000"/>
          <w:sz w:val="22"/>
          <w:szCs w:val="22"/>
        </w:rPr>
      </w:pPr>
    </w:p>
    <w:p w14:paraId="2AF5297D" w14:textId="77777777" w:rsidR="00A16B4B" w:rsidRDefault="00A16B4B">
      <w:pPr>
        <w:pBdr>
          <w:top w:val="nil"/>
          <w:left w:val="nil"/>
          <w:bottom w:val="nil"/>
          <w:right w:val="nil"/>
          <w:between w:val="nil"/>
        </w:pBdr>
        <w:rPr>
          <w:color w:val="000000"/>
          <w:sz w:val="22"/>
          <w:szCs w:val="22"/>
        </w:rPr>
      </w:pPr>
    </w:p>
    <w:p w14:paraId="1A456473" w14:textId="77777777" w:rsidR="00A16B4B" w:rsidRDefault="00A16B4B">
      <w:pPr>
        <w:pBdr>
          <w:top w:val="nil"/>
          <w:left w:val="nil"/>
          <w:bottom w:val="nil"/>
          <w:right w:val="nil"/>
          <w:between w:val="nil"/>
        </w:pBdr>
        <w:rPr>
          <w:color w:val="000000"/>
          <w:sz w:val="22"/>
          <w:szCs w:val="22"/>
        </w:rPr>
      </w:pPr>
    </w:p>
    <w:p w14:paraId="732B408E" w14:textId="77777777" w:rsidR="00A16B4B" w:rsidRDefault="00A16B4B">
      <w:pPr>
        <w:pBdr>
          <w:top w:val="nil"/>
          <w:left w:val="nil"/>
          <w:bottom w:val="nil"/>
          <w:right w:val="nil"/>
          <w:between w:val="nil"/>
        </w:pBdr>
        <w:rPr>
          <w:color w:val="000000"/>
          <w:sz w:val="22"/>
          <w:szCs w:val="22"/>
        </w:rPr>
      </w:pPr>
    </w:p>
    <w:p w14:paraId="5D586AF0" w14:textId="77777777" w:rsidR="00A16B4B" w:rsidRDefault="00A16B4B">
      <w:pPr>
        <w:pBdr>
          <w:top w:val="nil"/>
          <w:left w:val="nil"/>
          <w:bottom w:val="nil"/>
          <w:right w:val="nil"/>
          <w:between w:val="nil"/>
        </w:pBdr>
        <w:rPr>
          <w:color w:val="000000"/>
          <w:sz w:val="22"/>
          <w:szCs w:val="22"/>
        </w:rPr>
      </w:pPr>
    </w:p>
    <w:p w14:paraId="240B73FF" w14:textId="77777777" w:rsidR="00A16B4B" w:rsidRDefault="00A26F30">
      <w:pPr>
        <w:pBdr>
          <w:top w:val="nil"/>
          <w:left w:val="nil"/>
          <w:bottom w:val="nil"/>
          <w:right w:val="nil"/>
          <w:between w:val="nil"/>
        </w:pBdr>
        <w:jc w:val="center"/>
        <w:rPr>
          <w:b/>
          <w:color w:val="000000"/>
          <w:sz w:val="22"/>
          <w:szCs w:val="22"/>
        </w:rPr>
      </w:pPr>
      <w:r>
        <w:rPr>
          <w:b/>
          <w:color w:val="000000"/>
          <w:sz w:val="22"/>
          <w:szCs w:val="22"/>
        </w:rPr>
        <w:t>EL CONCEJO METROPOLITANO DE QUITO</w:t>
      </w:r>
    </w:p>
    <w:p w14:paraId="666DCC4F" w14:textId="77777777" w:rsidR="00A16B4B" w:rsidRDefault="00A16B4B">
      <w:pPr>
        <w:pBdr>
          <w:top w:val="nil"/>
          <w:left w:val="nil"/>
          <w:bottom w:val="nil"/>
          <w:right w:val="nil"/>
          <w:between w:val="nil"/>
        </w:pBdr>
        <w:jc w:val="center"/>
        <w:rPr>
          <w:b/>
          <w:color w:val="000000"/>
          <w:sz w:val="22"/>
          <w:szCs w:val="22"/>
        </w:rPr>
      </w:pPr>
    </w:p>
    <w:p w14:paraId="1D43E844" w14:textId="77777777" w:rsidR="00A16B4B" w:rsidRDefault="00A26F30">
      <w:pPr>
        <w:pBdr>
          <w:top w:val="nil"/>
          <w:left w:val="nil"/>
          <w:bottom w:val="nil"/>
          <w:right w:val="nil"/>
          <w:between w:val="nil"/>
        </w:pBdr>
        <w:rPr>
          <w:color w:val="000000"/>
          <w:sz w:val="22"/>
          <w:szCs w:val="22"/>
        </w:rPr>
      </w:pPr>
      <w:r>
        <w:rPr>
          <w:color w:val="000000"/>
          <w:sz w:val="22"/>
          <w:szCs w:val="22"/>
        </w:rPr>
        <w:t>Visto el Informe No. IC-COT-</w:t>
      </w:r>
      <w:r>
        <w:rPr>
          <w:color w:val="000000"/>
          <w:sz w:val="22"/>
          <w:szCs w:val="22"/>
          <w:highlight w:val="white"/>
        </w:rPr>
        <w:t>202</w:t>
      </w:r>
      <w:r>
        <w:rPr>
          <w:sz w:val="22"/>
          <w:szCs w:val="22"/>
          <w:highlight w:val="white"/>
        </w:rPr>
        <w:t>1</w:t>
      </w:r>
      <w:r>
        <w:rPr>
          <w:color w:val="000000"/>
          <w:sz w:val="22"/>
          <w:szCs w:val="22"/>
          <w:highlight w:val="white"/>
        </w:rPr>
        <w:t>-</w:t>
      </w:r>
      <w:r>
        <w:rPr>
          <w:sz w:val="22"/>
          <w:szCs w:val="22"/>
          <w:highlight w:val="white"/>
        </w:rPr>
        <w:t>xxxx</w:t>
      </w:r>
      <w:r>
        <w:rPr>
          <w:color w:val="000000"/>
          <w:sz w:val="22"/>
          <w:szCs w:val="22"/>
          <w:highlight w:val="white"/>
        </w:rPr>
        <w:t xml:space="preserve"> de </w:t>
      </w:r>
      <w:r>
        <w:rPr>
          <w:sz w:val="22"/>
          <w:szCs w:val="22"/>
          <w:highlight w:val="white"/>
        </w:rPr>
        <w:t xml:space="preserve">xx </w:t>
      </w:r>
      <w:r>
        <w:rPr>
          <w:color w:val="000000"/>
          <w:sz w:val="22"/>
          <w:szCs w:val="22"/>
          <w:highlight w:val="white"/>
        </w:rPr>
        <w:t xml:space="preserve">de </w:t>
      </w:r>
      <w:r>
        <w:rPr>
          <w:sz w:val="22"/>
          <w:szCs w:val="22"/>
          <w:highlight w:val="white"/>
        </w:rPr>
        <w:t xml:space="preserve">xxxxxx </w:t>
      </w:r>
      <w:r>
        <w:rPr>
          <w:color w:val="000000"/>
          <w:sz w:val="22"/>
          <w:szCs w:val="22"/>
          <w:highlight w:val="white"/>
        </w:rPr>
        <w:t>de 2021,</w:t>
      </w:r>
      <w:r>
        <w:rPr>
          <w:color w:val="000000"/>
          <w:sz w:val="22"/>
          <w:szCs w:val="22"/>
        </w:rPr>
        <w:t xml:space="preserve"> expedido por la Comisión de Ordenamiento Territorial;</w:t>
      </w:r>
    </w:p>
    <w:p w14:paraId="51322BF4" w14:textId="77777777" w:rsidR="00A16B4B" w:rsidRDefault="00A16B4B">
      <w:pPr>
        <w:pBdr>
          <w:top w:val="nil"/>
          <w:left w:val="nil"/>
          <w:bottom w:val="nil"/>
          <w:right w:val="nil"/>
          <w:between w:val="nil"/>
        </w:pBdr>
        <w:rPr>
          <w:color w:val="000000"/>
          <w:sz w:val="22"/>
          <w:szCs w:val="22"/>
        </w:rPr>
      </w:pPr>
    </w:p>
    <w:p w14:paraId="0CCD12C6" w14:textId="77777777" w:rsidR="00A16B4B" w:rsidRDefault="00A16B4B">
      <w:pPr>
        <w:pBdr>
          <w:top w:val="nil"/>
          <w:left w:val="nil"/>
          <w:bottom w:val="nil"/>
          <w:right w:val="nil"/>
          <w:between w:val="nil"/>
        </w:pBdr>
        <w:rPr>
          <w:color w:val="000000"/>
          <w:sz w:val="22"/>
          <w:szCs w:val="22"/>
        </w:rPr>
      </w:pPr>
    </w:p>
    <w:p w14:paraId="3255F552" w14:textId="77777777" w:rsidR="00A16B4B" w:rsidRDefault="00A16B4B">
      <w:pPr>
        <w:pBdr>
          <w:top w:val="nil"/>
          <w:left w:val="nil"/>
          <w:bottom w:val="nil"/>
          <w:right w:val="nil"/>
          <w:between w:val="nil"/>
        </w:pBdr>
        <w:rPr>
          <w:color w:val="000000"/>
          <w:sz w:val="22"/>
          <w:szCs w:val="22"/>
        </w:rPr>
      </w:pPr>
    </w:p>
    <w:p w14:paraId="26B117E4" w14:textId="77777777" w:rsidR="00A16B4B" w:rsidRDefault="00A26F30">
      <w:pPr>
        <w:pBdr>
          <w:top w:val="nil"/>
          <w:left w:val="nil"/>
          <w:bottom w:val="nil"/>
          <w:right w:val="nil"/>
          <w:between w:val="nil"/>
        </w:pBdr>
        <w:jc w:val="center"/>
        <w:rPr>
          <w:b/>
          <w:color w:val="000000"/>
          <w:sz w:val="22"/>
          <w:szCs w:val="22"/>
        </w:rPr>
      </w:pPr>
      <w:r>
        <w:rPr>
          <w:b/>
          <w:color w:val="000000"/>
          <w:sz w:val="22"/>
          <w:szCs w:val="22"/>
        </w:rPr>
        <w:t>CONSIDERANDO:</w:t>
      </w:r>
    </w:p>
    <w:p w14:paraId="72EE5C25" w14:textId="77777777" w:rsidR="00A16B4B" w:rsidRDefault="00A16B4B">
      <w:pPr>
        <w:pBdr>
          <w:top w:val="nil"/>
          <w:left w:val="nil"/>
          <w:bottom w:val="nil"/>
          <w:right w:val="nil"/>
          <w:between w:val="nil"/>
        </w:pBdr>
        <w:jc w:val="center"/>
        <w:rPr>
          <w:b/>
          <w:color w:val="000000"/>
          <w:sz w:val="22"/>
          <w:szCs w:val="22"/>
        </w:rPr>
      </w:pPr>
    </w:p>
    <w:p w14:paraId="3D51DADF"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el artículo 30 de la Constitución de la República del Ecuador (en adelante “Constitución”) establece que: “</w:t>
      </w:r>
      <w:r>
        <w:rPr>
          <w:i/>
          <w:color w:val="000000"/>
          <w:sz w:val="22"/>
          <w:szCs w:val="22"/>
        </w:rPr>
        <w:t>Las personas tienen derecho a un hábitat seguro y saludable, y a una vivienda adecuada y digna, con independencia de su situación social y económica.</w:t>
      </w:r>
      <w:r>
        <w:rPr>
          <w:color w:val="000000"/>
          <w:sz w:val="22"/>
          <w:szCs w:val="22"/>
        </w:rPr>
        <w:t>”;</w:t>
      </w:r>
    </w:p>
    <w:p w14:paraId="0846785A" w14:textId="77777777" w:rsidR="00A16B4B" w:rsidRDefault="00A16B4B">
      <w:pPr>
        <w:pBdr>
          <w:top w:val="nil"/>
          <w:left w:val="nil"/>
          <w:bottom w:val="nil"/>
          <w:right w:val="nil"/>
          <w:between w:val="nil"/>
        </w:pBdr>
        <w:jc w:val="both"/>
        <w:rPr>
          <w:b/>
          <w:color w:val="000000"/>
          <w:sz w:val="22"/>
          <w:szCs w:val="22"/>
        </w:rPr>
      </w:pPr>
    </w:p>
    <w:p w14:paraId="1283D849"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el artículo 31 de la Constitución expresa que: “</w:t>
      </w:r>
      <w:r>
        <w:rPr>
          <w:i/>
          <w:color w:val="000000"/>
          <w:sz w:val="22"/>
          <w:szCs w:val="22"/>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Pr>
          <w:color w:val="000000"/>
          <w:sz w:val="22"/>
          <w:szCs w:val="22"/>
        </w:rPr>
        <w:t xml:space="preserve">”; </w:t>
      </w:r>
    </w:p>
    <w:p w14:paraId="670D15D9" w14:textId="77777777" w:rsidR="00A16B4B" w:rsidRDefault="00A16B4B">
      <w:pPr>
        <w:pBdr>
          <w:top w:val="nil"/>
          <w:left w:val="nil"/>
          <w:bottom w:val="nil"/>
          <w:right w:val="nil"/>
          <w:between w:val="nil"/>
        </w:pBdr>
        <w:jc w:val="both"/>
        <w:rPr>
          <w:b/>
          <w:color w:val="000000"/>
          <w:sz w:val="22"/>
          <w:szCs w:val="22"/>
        </w:rPr>
      </w:pPr>
    </w:p>
    <w:p w14:paraId="7C0C21E9"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el artículo 240 de la Constitución establece que: “</w:t>
      </w:r>
      <w:r>
        <w:rPr>
          <w:i/>
          <w:color w:val="000000"/>
          <w:sz w:val="22"/>
          <w:szCs w:val="22"/>
        </w:rPr>
        <w:t>Los gobiernos autónomos descentralizados de las regiones, distritos metropolitanos, provincias y cantones tendrán facultades legislativas en el ámbito de sus competencias y jurisdicciones territoriales (…)</w:t>
      </w:r>
      <w:r>
        <w:rPr>
          <w:color w:val="000000"/>
          <w:sz w:val="22"/>
          <w:szCs w:val="22"/>
        </w:rPr>
        <w:t>”;</w:t>
      </w:r>
    </w:p>
    <w:p w14:paraId="787DE00D" w14:textId="77777777" w:rsidR="00A16B4B" w:rsidRDefault="00A16B4B">
      <w:pPr>
        <w:pBdr>
          <w:top w:val="nil"/>
          <w:left w:val="nil"/>
          <w:bottom w:val="nil"/>
          <w:right w:val="nil"/>
          <w:between w:val="nil"/>
        </w:pBdr>
        <w:jc w:val="both"/>
        <w:rPr>
          <w:b/>
          <w:color w:val="000000"/>
          <w:sz w:val="22"/>
          <w:szCs w:val="22"/>
        </w:rPr>
      </w:pPr>
    </w:p>
    <w:p w14:paraId="10094F08" w14:textId="77777777" w:rsidR="00A16B4B" w:rsidRDefault="00A26F30">
      <w:pPr>
        <w:pBdr>
          <w:top w:val="nil"/>
          <w:left w:val="nil"/>
          <w:bottom w:val="nil"/>
          <w:right w:val="nil"/>
          <w:between w:val="nil"/>
        </w:pBdr>
        <w:ind w:left="705" w:hanging="705"/>
        <w:jc w:val="both"/>
        <w:rPr>
          <w:i/>
          <w:color w:val="000000"/>
          <w:sz w:val="22"/>
          <w:szCs w:val="22"/>
        </w:rPr>
      </w:pPr>
      <w:r>
        <w:rPr>
          <w:b/>
          <w:color w:val="000000"/>
          <w:sz w:val="22"/>
          <w:szCs w:val="22"/>
        </w:rPr>
        <w:t>Que,</w:t>
      </w:r>
      <w:r>
        <w:rPr>
          <w:b/>
          <w:color w:val="000000"/>
          <w:sz w:val="22"/>
          <w:szCs w:val="22"/>
        </w:rPr>
        <w:tab/>
      </w:r>
      <w:r>
        <w:rPr>
          <w:color w:val="000000"/>
          <w:sz w:val="22"/>
          <w:szCs w:val="22"/>
        </w:rPr>
        <w:t>el artículo 266 de la Constitución establece que: “</w:t>
      </w:r>
      <w:r>
        <w:rPr>
          <w:i/>
          <w:color w:val="000000"/>
          <w:sz w:val="22"/>
          <w:szCs w:val="22"/>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5029A692" w14:textId="77777777" w:rsidR="00A16B4B" w:rsidRDefault="00A16B4B">
      <w:pPr>
        <w:pBdr>
          <w:top w:val="nil"/>
          <w:left w:val="nil"/>
          <w:bottom w:val="nil"/>
          <w:right w:val="nil"/>
          <w:between w:val="nil"/>
        </w:pBdr>
        <w:ind w:left="705" w:hanging="705"/>
        <w:jc w:val="both"/>
        <w:rPr>
          <w:i/>
          <w:color w:val="000000"/>
          <w:sz w:val="22"/>
          <w:szCs w:val="22"/>
        </w:rPr>
      </w:pPr>
    </w:p>
    <w:p w14:paraId="68E7FF83" w14:textId="77777777" w:rsidR="00A16B4B" w:rsidRDefault="00A26F30">
      <w:pPr>
        <w:pBdr>
          <w:top w:val="nil"/>
          <w:left w:val="nil"/>
          <w:bottom w:val="nil"/>
          <w:right w:val="nil"/>
          <w:between w:val="nil"/>
        </w:pBdr>
        <w:ind w:left="705"/>
        <w:jc w:val="both"/>
        <w:rPr>
          <w:i/>
          <w:color w:val="000000"/>
          <w:sz w:val="22"/>
          <w:szCs w:val="22"/>
        </w:rPr>
      </w:pPr>
      <w:r>
        <w:rPr>
          <w:i/>
          <w:color w:val="000000"/>
          <w:sz w:val="22"/>
          <w:szCs w:val="22"/>
        </w:rPr>
        <w:t>En el ámbito de sus competencias y territorio, y en uso de sus facultades, expedirán ordenanzas distritales.”</w:t>
      </w:r>
    </w:p>
    <w:p w14:paraId="27422194" w14:textId="77777777" w:rsidR="00A16B4B" w:rsidRDefault="00A16B4B">
      <w:pPr>
        <w:pBdr>
          <w:top w:val="nil"/>
          <w:left w:val="nil"/>
          <w:bottom w:val="nil"/>
          <w:right w:val="nil"/>
          <w:between w:val="nil"/>
        </w:pBdr>
        <w:jc w:val="both"/>
        <w:rPr>
          <w:b/>
          <w:color w:val="000000"/>
          <w:sz w:val="22"/>
          <w:szCs w:val="22"/>
        </w:rPr>
      </w:pPr>
    </w:p>
    <w:p w14:paraId="2F0EEE34" w14:textId="77777777" w:rsidR="00A16B4B" w:rsidRDefault="00A26F30">
      <w:pPr>
        <w:pBdr>
          <w:top w:val="nil"/>
          <w:left w:val="nil"/>
          <w:bottom w:val="nil"/>
          <w:right w:val="nil"/>
          <w:between w:val="nil"/>
        </w:pBdr>
        <w:ind w:left="705" w:hanging="705"/>
        <w:jc w:val="both"/>
        <w:rPr>
          <w:i/>
          <w:color w:val="000000"/>
          <w:sz w:val="22"/>
          <w:szCs w:val="22"/>
        </w:rPr>
      </w:pPr>
      <w:r>
        <w:rPr>
          <w:b/>
          <w:color w:val="000000"/>
          <w:sz w:val="22"/>
          <w:szCs w:val="22"/>
        </w:rPr>
        <w:t>Que,</w:t>
      </w:r>
      <w:r>
        <w:rPr>
          <w:color w:val="000000"/>
          <w:sz w:val="22"/>
          <w:szCs w:val="22"/>
        </w:rPr>
        <w:tab/>
        <w:t xml:space="preserve">el literal c) del artículo 84 del Código Orgánico de Organización Territorial, Autonomía y Descentralización (en adelante “COOTAD”), señala las funciones del gobierno del distrito autónomo metropolitano, </w:t>
      </w:r>
      <w:r>
        <w:rPr>
          <w:i/>
          <w:color w:val="000000"/>
          <w:sz w:val="22"/>
          <w:szCs w:val="22"/>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6AD506A6" w14:textId="77777777" w:rsidR="00A16B4B" w:rsidRDefault="00A16B4B">
      <w:pPr>
        <w:pBdr>
          <w:top w:val="nil"/>
          <w:left w:val="nil"/>
          <w:bottom w:val="nil"/>
          <w:right w:val="nil"/>
          <w:between w:val="nil"/>
        </w:pBdr>
        <w:jc w:val="both"/>
        <w:rPr>
          <w:b/>
          <w:color w:val="000000"/>
          <w:sz w:val="22"/>
          <w:szCs w:val="22"/>
        </w:rPr>
      </w:pPr>
    </w:p>
    <w:p w14:paraId="096CEC45" w14:textId="403AF75A" w:rsidR="00A16B4B" w:rsidRDefault="00A26F30">
      <w:pPr>
        <w:pBdr>
          <w:top w:val="nil"/>
          <w:left w:val="nil"/>
          <w:bottom w:val="nil"/>
          <w:right w:val="nil"/>
          <w:between w:val="nil"/>
        </w:pBdr>
        <w:ind w:left="705" w:hanging="705"/>
        <w:jc w:val="both"/>
        <w:rPr>
          <w:strike/>
          <w:color w:val="000000"/>
          <w:sz w:val="22"/>
          <w:szCs w:val="22"/>
        </w:rPr>
      </w:pPr>
      <w:r>
        <w:rPr>
          <w:b/>
          <w:color w:val="000000"/>
          <w:sz w:val="22"/>
          <w:szCs w:val="22"/>
        </w:rPr>
        <w:t>Que,</w:t>
      </w:r>
      <w:r>
        <w:rPr>
          <w:b/>
          <w:color w:val="000000"/>
          <w:sz w:val="22"/>
          <w:szCs w:val="22"/>
        </w:rPr>
        <w:tab/>
      </w:r>
      <w:r>
        <w:rPr>
          <w:color w:val="000000"/>
          <w:sz w:val="22"/>
          <w:szCs w:val="22"/>
        </w:rPr>
        <w:t xml:space="preserve">el literal a) del artículo 87 del COOTAD, establece que las funciones del Concejo Metropolitano, entre otras, son: </w:t>
      </w:r>
      <w:r>
        <w:rPr>
          <w:i/>
          <w:color w:val="000000"/>
          <w:sz w:val="22"/>
          <w:szCs w:val="22"/>
        </w:rPr>
        <w:t>“a) Ejercer la facultad normativa en las materias de competencia del gobierno autónomo descentralizado metropolitano, mediante la expedición de ordenanzas metropolitanas, acuerdos y resoluciones;</w:t>
      </w:r>
    </w:p>
    <w:p w14:paraId="32B0BE27" w14:textId="77777777" w:rsidR="00A16B4B" w:rsidRDefault="00A16B4B">
      <w:pPr>
        <w:pBdr>
          <w:top w:val="nil"/>
          <w:left w:val="nil"/>
          <w:bottom w:val="nil"/>
          <w:right w:val="nil"/>
          <w:between w:val="nil"/>
        </w:pBdr>
        <w:jc w:val="both"/>
        <w:rPr>
          <w:b/>
          <w:color w:val="000000"/>
          <w:sz w:val="22"/>
          <w:szCs w:val="22"/>
        </w:rPr>
      </w:pPr>
    </w:p>
    <w:p w14:paraId="417BA2A7"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el artículo 322 del COOTAD establece el procedimiento para la aprobación de las ordenanzas municipales;</w:t>
      </w:r>
    </w:p>
    <w:p w14:paraId="3F1BBB42" w14:textId="77777777" w:rsidR="00A16B4B" w:rsidRDefault="00A16B4B">
      <w:pPr>
        <w:pBdr>
          <w:top w:val="nil"/>
          <w:left w:val="nil"/>
          <w:bottom w:val="nil"/>
          <w:right w:val="nil"/>
          <w:between w:val="nil"/>
        </w:pBdr>
        <w:jc w:val="both"/>
        <w:rPr>
          <w:b/>
          <w:color w:val="000000"/>
          <w:sz w:val="22"/>
          <w:szCs w:val="22"/>
        </w:rPr>
      </w:pPr>
    </w:p>
    <w:p w14:paraId="25EB9D9B" w14:textId="77777777" w:rsidR="00A16B4B" w:rsidRDefault="00A26F30">
      <w:pPr>
        <w:pBdr>
          <w:top w:val="nil"/>
          <w:left w:val="nil"/>
          <w:bottom w:val="nil"/>
          <w:right w:val="nil"/>
          <w:between w:val="nil"/>
        </w:pBdr>
        <w:ind w:left="705" w:hanging="705"/>
        <w:jc w:val="both"/>
        <w:rPr>
          <w:b/>
          <w:color w:val="000000"/>
          <w:sz w:val="22"/>
          <w:szCs w:val="22"/>
        </w:rPr>
      </w:pPr>
      <w:r>
        <w:rPr>
          <w:b/>
          <w:color w:val="000000"/>
          <w:sz w:val="22"/>
          <w:szCs w:val="22"/>
        </w:rPr>
        <w:lastRenderedPageBreak/>
        <w:t>Que,</w:t>
      </w:r>
      <w:r>
        <w:rPr>
          <w:b/>
          <w:color w:val="000000"/>
          <w:sz w:val="22"/>
          <w:szCs w:val="22"/>
        </w:rPr>
        <w:tab/>
      </w:r>
      <w:r>
        <w:rPr>
          <w:color w:val="000000"/>
          <w:sz w:val="22"/>
          <w:szCs w:val="22"/>
        </w:rPr>
        <w:t>el artículo 486 del COOTAD reformado establece que: “</w:t>
      </w:r>
      <w:r>
        <w:rPr>
          <w:i/>
          <w:color w:val="000000"/>
          <w:sz w:val="22"/>
          <w:szCs w:val="22"/>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Pr>
          <w:color w:val="000000"/>
          <w:sz w:val="22"/>
          <w:szCs w:val="22"/>
        </w:rPr>
        <w:t>”;</w:t>
      </w:r>
    </w:p>
    <w:p w14:paraId="5B0A19D9" w14:textId="77777777" w:rsidR="00A16B4B" w:rsidRDefault="00A16B4B">
      <w:pPr>
        <w:pBdr>
          <w:top w:val="nil"/>
          <w:left w:val="nil"/>
          <w:bottom w:val="nil"/>
          <w:right w:val="nil"/>
          <w:between w:val="nil"/>
        </w:pBdr>
        <w:jc w:val="both"/>
        <w:rPr>
          <w:b/>
          <w:color w:val="000000"/>
          <w:sz w:val="22"/>
          <w:szCs w:val="22"/>
        </w:rPr>
      </w:pPr>
    </w:p>
    <w:p w14:paraId="2D8E922B" w14:textId="77777777" w:rsidR="00A16B4B" w:rsidRDefault="00A26F30">
      <w:pPr>
        <w:pBdr>
          <w:top w:val="nil"/>
          <w:left w:val="nil"/>
          <w:bottom w:val="nil"/>
          <w:right w:val="nil"/>
          <w:between w:val="nil"/>
        </w:pBdr>
        <w:ind w:left="705" w:hanging="705"/>
        <w:jc w:val="both"/>
        <w:rPr>
          <w:i/>
          <w:color w:val="000000"/>
          <w:sz w:val="22"/>
          <w:szCs w:val="22"/>
        </w:rPr>
      </w:pPr>
      <w:r>
        <w:rPr>
          <w:b/>
          <w:color w:val="000000"/>
          <w:sz w:val="22"/>
          <w:szCs w:val="22"/>
        </w:rPr>
        <w:t>Que,</w:t>
      </w:r>
      <w:r>
        <w:rPr>
          <w:b/>
          <w:color w:val="000000"/>
          <w:sz w:val="22"/>
          <w:szCs w:val="22"/>
        </w:rPr>
        <w:tab/>
      </w:r>
      <w:r>
        <w:rPr>
          <w:color w:val="000000"/>
          <w:sz w:val="22"/>
          <w:szCs w:val="22"/>
        </w:rPr>
        <w:t xml:space="preserve">la Disposición Transitoria Décima Cuarta del COOTAD, señala: </w:t>
      </w:r>
      <w:r>
        <w:rPr>
          <w:i/>
          <w:color w:val="000000"/>
          <w:sz w:val="22"/>
          <w:szCs w:val="22"/>
        </w:rPr>
        <w:t>“(…) Excepcionalmente en los casos de asentamientos de hecho y consolidados declarados de interés social, en que no se ha previsto el porcentaje de áreas verdes y comunales establecidas en la ley, serán exoneradas de este porcentaje.”;</w:t>
      </w:r>
    </w:p>
    <w:p w14:paraId="518A4A85" w14:textId="77777777" w:rsidR="00A16B4B" w:rsidRDefault="00A16B4B">
      <w:pPr>
        <w:pBdr>
          <w:top w:val="nil"/>
          <w:left w:val="nil"/>
          <w:bottom w:val="nil"/>
          <w:right w:val="nil"/>
          <w:between w:val="nil"/>
        </w:pBdr>
        <w:jc w:val="both"/>
        <w:rPr>
          <w:b/>
          <w:color w:val="000000"/>
          <w:sz w:val="22"/>
          <w:szCs w:val="22"/>
        </w:rPr>
      </w:pPr>
    </w:p>
    <w:p w14:paraId="4159B46C"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296B607D" w14:textId="77777777" w:rsidR="00A16B4B" w:rsidRDefault="00A16B4B">
      <w:pPr>
        <w:pBdr>
          <w:top w:val="nil"/>
          <w:left w:val="nil"/>
          <w:bottom w:val="nil"/>
          <w:right w:val="nil"/>
          <w:between w:val="nil"/>
        </w:pBdr>
        <w:jc w:val="both"/>
        <w:rPr>
          <w:b/>
          <w:color w:val="000000"/>
          <w:sz w:val="22"/>
          <w:szCs w:val="22"/>
        </w:rPr>
      </w:pPr>
    </w:p>
    <w:p w14:paraId="1761594E"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0CABBA2A" w14:textId="77777777" w:rsidR="00A16B4B" w:rsidRDefault="00A16B4B">
      <w:pPr>
        <w:pBdr>
          <w:top w:val="nil"/>
          <w:left w:val="nil"/>
          <w:bottom w:val="nil"/>
          <w:right w:val="nil"/>
          <w:between w:val="nil"/>
        </w:pBdr>
        <w:jc w:val="both"/>
        <w:rPr>
          <w:b/>
          <w:color w:val="000000"/>
          <w:sz w:val="22"/>
          <w:szCs w:val="22"/>
        </w:rPr>
      </w:pPr>
    </w:p>
    <w:p w14:paraId="331192E8"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443DAA38" w14:textId="77777777" w:rsidR="00A16B4B" w:rsidRDefault="00A16B4B">
      <w:pPr>
        <w:pBdr>
          <w:top w:val="nil"/>
          <w:left w:val="nil"/>
          <w:bottom w:val="nil"/>
          <w:right w:val="nil"/>
          <w:between w:val="nil"/>
        </w:pBdr>
        <w:jc w:val="both"/>
        <w:rPr>
          <w:b/>
          <w:color w:val="000000"/>
          <w:sz w:val="22"/>
          <w:szCs w:val="22"/>
        </w:rPr>
      </w:pPr>
    </w:p>
    <w:p w14:paraId="0CB7FB51"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09310528" w14:textId="77777777" w:rsidR="00A16B4B" w:rsidRDefault="00A16B4B">
      <w:pPr>
        <w:pBdr>
          <w:top w:val="nil"/>
          <w:left w:val="nil"/>
          <w:bottom w:val="nil"/>
          <w:right w:val="nil"/>
          <w:between w:val="nil"/>
        </w:pBdr>
        <w:jc w:val="both"/>
        <w:rPr>
          <w:color w:val="000000"/>
          <w:sz w:val="22"/>
          <w:szCs w:val="22"/>
        </w:rPr>
      </w:pPr>
    </w:p>
    <w:p w14:paraId="389F81E2" w14:textId="255E545E"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 xml:space="preserve">el </w:t>
      </w:r>
      <w:r w:rsidR="00AA3667" w:rsidRPr="00DD065D">
        <w:rPr>
          <w:bCs/>
        </w:rPr>
        <w:t>artículo</w:t>
      </w:r>
      <w:r>
        <w:rPr>
          <w:color w:val="000000"/>
          <w:sz w:val="22"/>
          <w:szCs w:val="22"/>
        </w:rPr>
        <w:t xml:space="preserve"> 3681, último párrafo de la Ordenanza No. 001 de 29 de marzo de 2019, establece que con la declaratoria de interés social del asentamiento humano de hecho y consolidado dará lugar a la exoneración referentes a la contribución de áreas verdes;</w:t>
      </w:r>
    </w:p>
    <w:p w14:paraId="5A469756" w14:textId="77777777" w:rsidR="00A16B4B" w:rsidRDefault="00A16B4B">
      <w:pPr>
        <w:pBdr>
          <w:top w:val="nil"/>
          <w:left w:val="nil"/>
          <w:bottom w:val="nil"/>
          <w:right w:val="nil"/>
          <w:between w:val="nil"/>
        </w:pBdr>
        <w:jc w:val="both"/>
        <w:rPr>
          <w:color w:val="000000"/>
          <w:sz w:val="22"/>
          <w:szCs w:val="22"/>
        </w:rPr>
      </w:pPr>
    </w:p>
    <w:p w14:paraId="6128AF15" w14:textId="56E1C588" w:rsidR="00A16B4B" w:rsidRPr="00D3671A" w:rsidRDefault="00A26F30">
      <w:pPr>
        <w:pBdr>
          <w:top w:val="nil"/>
          <w:left w:val="nil"/>
          <w:bottom w:val="nil"/>
          <w:right w:val="nil"/>
          <w:between w:val="nil"/>
        </w:pBdr>
        <w:ind w:left="705" w:hanging="705"/>
        <w:jc w:val="both"/>
        <w:rPr>
          <w:color w:val="000000"/>
          <w:sz w:val="22"/>
          <w:szCs w:val="22"/>
        </w:rPr>
      </w:pPr>
      <w:r w:rsidRPr="00D3671A">
        <w:rPr>
          <w:b/>
          <w:color w:val="000000"/>
          <w:sz w:val="22"/>
          <w:szCs w:val="22"/>
        </w:rPr>
        <w:t>Que,</w:t>
      </w:r>
      <w:r w:rsidRPr="00D3671A">
        <w:rPr>
          <w:b/>
          <w:color w:val="000000"/>
          <w:sz w:val="22"/>
          <w:szCs w:val="22"/>
        </w:rPr>
        <w:tab/>
      </w:r>
      <w:r w:rsidRPr="00D3671A">
        <w:rPr>
          <w:color w:val="000000"/>
          <w:sz w:val="22"/>
          <w:szCs w:val="22"/>
        </w:rPr>
        <w:t xml:space="preserve">el </w:t>
      </w:r>
      <w:r w:rsidR="00AA3667" w:rsidRPr="00D3671A">
        <w:rPr>
          <w:bCs/>
        </w:rPr>
        <w:t>artículo</w:t>
      </w:r>
      <w:r w:rsidRPr="00D3671A">
        <w:rPr>
          <w:color w:val="000000"/>
          <w:sz w:val="22"/>
          <w:szCs w:val="22"/>
        </w:rPr>
        <w:t xml:space="preserve"> 3693 de la Ordenanza No. 001 de 29 de marzo de 2019 establece: “</w:t>
      </w:r>
      <w:r w:rsidRPr="00D3671A">
        <w:rPr>
          <w:b/>
          <w:i/>
          <w:color w:val="000000"/>
          <w:sz w:val="22"/>
          <w:szCs w:val="22"/>
        </w:rPr>
        <w:t>Ordenamiento territorial</w:t>
      </w:r>
      <w:r w:rsidRPr="00D3671A">
        <w:rPr>
          <w:i/>
          <w:color w:val="000000"/>
          <w:sz w:val="22"/>
          <w:szCs w:val="22"/>
        </w:rPr>
        <w:t>. -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70D1A798" w14:textId="77777777" w:rsidR="00A16B4B" w:rsidRDefault="00A16B4B">
      <w:pPr>
        <w:pBdr>
          <w:top w:val="nil"/>
          <w:left w:val="nil"/>
          <w:bottom w:val="nil"/>
          <w:right w:val="nil"/>
          <w:between w:val="nil"/>
        </w:pBdr>
        <w:jc w:val="both"/>
        <w:rPr>
          <w:color w:val="000000"/>
          <w:sz w:val="22"/>
          <w:szCs w:val="22"/>
        </w:rPr>
      </w:pPr>
    </w:p>
    <w:p w14:paraId="361772CC" w14:textId="31E8E2D0" w:rsidR="00A16B4B" w:rsidRDefault="00A26F30">
      <w:pPr>
        <w:pBdr>
          <w:top w:val="nil"/>
          <w:left w:val="nil"/>
          <w:bottom w:val="nil"/>
          <w:right w:val="nil"/>
          <w:between w:val="nil"/>
        </w:pBdr>
        <w:ind w:left="705" w:hanging="705"/>
        <w:jc w:val="both"/>
        <w:rPr>
          <w:i/>
          <w:color w:val="000000"/>
          <w:sz w:val="22"/>
          <w:szCs w:val="22"/>
        </w:rPr>
      </w:pPr>
      <w:r>
        <w:rPr>
          <w:b/>
          <w:color w:val="000000"/>
          <w:sz w:val="22"/>
          <w:szCs w:val="22"/>
        </w:rPr>
        <w:lastRenderedPageBreak/>
        <w:t>Que,</w:t>
      </w:r>
      <w:r>
        <w:rPr>
          <w:b/>
          <w:color w:val="000000"/>
          <w:sz w:val="22"/>
          <w:szCs w:val="22"/>
        </w:rPr>
        <w:tab/>
      </w:r>
      <w:r>
        <w:rPr>
          <w:color w:val="000000"/>
          <w:sz w:val="22"/>
          <w:szCs w:val="22"/>
        </w:rPr>
        <w:t xml:space="preserve">el </w:t>
      </w:r>
      <w:r w:rsidR="00AA3667" w:rsidRPr="00E65600">
        <w:rPr>
          <w:bCs/>
        </w:rPr>
        <w:t>artículo</w:t>
      </w:r>
      <w:r>
        <w:rPr>
          <w:color w:val="000000"/>
          <w:sz w:val="22"/>
          <w:szCs w:val="22"/>
        </w:rPr>
        <w:t xml:space="preserve"> 3695 de la Ordenanza No. 001 de 29 de marzo de 2019 en su parte pertinente de la excepción de las áreas verdes dispone:</w:t>
      </w:r>
      <w:r>
        <w:rPr>
          <w:i/>
          <w:color w:val="000000"/>
          <w:sz w:val="22"/>
          <w:szCs w:val="22"/>
        </w:rPr>
        <w:t xml:space="preserve"> “(…) El faltante de áreas verdes será compensado pecuniariamente con excepción de los asentamientos declarados de interés social (...)” </w:t>
      </w:r>
    </w:p>
    <w:p w14:paraId="3C9BCA43" w14:textId="77777777" w:rsidR="00A16B4B" w:rsidRDefault="00A16B4B">
      <w:pPr>
        <w:pBdr>
          <w:top w:val="nil"/>
          <w:left w:val="nil"/>
          <w:bottom w:val="nil"/>
          <w:right w:val="nil"/>
          <w:between w:val="nil"/>
        </w:pBdr>
        <w:ind w:left="705" w:hanging="705"/>
        <w:jc w:val="both"/>
        <w:rPr>
          <w:b/>
          <w:color w:val="000000"/>
          <w:sz w:val="22"/>
          <w:szCs w:val="22"/>
        </w:rPr>
      </w:pPr>
    </w:p>
    <w:p w14:paraId="3FAB3120"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 xml:space="preserve">la Ordenanza No. 001 de 29 de marzo de 2019, determina en su disposición derogatoria lo siguiente: </w:t>
      </w:r>
      <w:r>
        <w:rPr>
          <w:i/>
          <w:color w:val="000000"/>
          <w:sz w:val="22"/>
          <w:szCs w:val="22"/>
        </w:rPr>
        <w:t>“(…) Deróguense todas las Ordenanzas que se detallan en el cuadro adjunto (Anexo Derogatorias), con excepción de sus disposiciones de carácter transitorio hasta la verificación del efectivo cumplimiento de las mismas;(…)</w:t>
      </w:r>
      <w:r>
        <w:rPr>
          <w:color w:val="000000"/>
          <w:sz w:val="22"/>
          <w:szCs w:val="22"/>
        </w:rPr>
        <w:t xml:space="preserve">” </w:t>
      </w:r>
    </w:p>
    <w:p w14:paraId="258868BA" w14:textId="77777777" w:rsidR="00A16B4B" w:rsidRDefault="00A16B4B">
      <w:pPr>
        <w:pBdr>
          <w:top w:val="nil"/>
          <w:left w:val="nil"/>
          <w:bottom w:val="nil"/>
          <w:right w:val="nil"/>
          <w:between w:val="nil"/>
        </w:pBdr>
        <w:jc w:val="both"/>
        <w:rPr>
          <w:b/>
          <w:color w:val="000000"/>
          <w:sz w:val="22"/>
          <w:szCs w:val="22"/>
        </w:rPr>
      </w:pPr>
    </w:p>
    <w:p w14:paraId="7D2661B6"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en concordancia con el considerando precedente,</w:t>
      </w:r>
      <w:r>
        <w:rPr>
          <w:b/>
          <w:color w:val="000000"/>
          <w:sz w:val="22"/>
          <w:szCs w:val="22"/>
        </w:rPr>
        <w:t xml:space="preserve"> </w:t>
      </w:r>
      <w:r>
        <w:rPr>
          <w:color w:val="000000"/>
          <w:sz w:val="22"/>
          <w:szCs w:val="22"/>
        </w:rPr>
        <w:t xml:space="preserve">la Disposición Transitoria Segunda de la Ordenanza No. 0147 de 09 de diciembre de 2016, determina que en los procesos de regularización de asentamientos humanos de hecho y consolidados que se encuentren en trámite, se aplicará la norma más beneficiosa para la regularización del asentamiento; </w:t>
      </w:r>
    </w:p>
    <w:p w14:paraId="447F8185" w14:textId="77777777" w:rsidR="00A16B4B" w:rsidRDefault="00A16B4B">
      <w:pPr>
        <w:pBdr>
          <w:top w:val="nil"/>
          <w:left w:val="nil"/>
          <w:bottom w:val="nil"/>
          <w:right w:val="nil"/>
          <w:between w:val="nil"/>
        </w:pBdr>
        <w:jc w:val="both"/>
        <w:rPr>
          <w:b/>
          <w:color w:val="000000"/>
          <w:sz w:val="22"/>
          <w:szCs w:val="22"/>
        </w:rPr>
      </w:pPr>
    </w:p>
    <w:p w14:paraId="6A98B5A3"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mediante Resolución No. C 039-2021, se aprueba el plan anual de regularización de los asentamientos humanos de hecho y consolidados para el periodo 2021.</w:t>
      </w:r>
    </w:p>
    <w:p w14:paraId="7F7D24BF" w14:textId="77777777" w:rsidR="00A16B4B" w:rsidRDefault="00A16B4B">
      <w:pPr>
        <w:pBdr>
          <w:top w:val="nil"/>
          <w:left w:val="nil"/>
          <w:bottom w:val="nil"/>
          <w:right w:val="nil"/>
          <w:between w:val="nil"/>
        </w:pBdr>
        <w:jc w:val="both"/>
        <w:rPr>
          <w:b/>
          <w:color w:val="000000"/>
          <w:sz w:val="22"/>
          <w:szCs w:val="22"/>
        </w:rPr>
      </w:pPr>
    </w:p>
    <w:p w14:paraId="7EF7C139"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 xml:space="preserve">la Mesa Institucional, reunida el 16 de agosto de 2021,  mediante la aplicación Zoom, siendo las  catorce horas con treinta minutos,  integrada por los señores: Mg. Deysi Martínez, Administradora Zonal Tumbaco; Arq. Fabián Valencia, Director Gestión de Territorio Zonal Tumbaco; Srta. Viviana Chávez, Delegada del Director Jurídico Zonal Tumbaco; Ing. Juan Carlos Arboleda, Delegado de la Dirección Metropolitana de Catastro; Ing. Ángel Barahona, Delegado de la Dirección Metropolitana de Gestión de Riesgos; Arq. Elizabeth Ortiz, Delegada de la Secretaría de Territorio, Hábitat y Vivienda; Arq. Karina Suárez, Delegada de la Secretaría de Territorio, Hábitat y Vivienda; Arq. Christian Naranjo, Delegado y Responsable Técnico de la Dirección de la Unidad Especial Regula Tu Barrio; Ing. Andrés Santacruz, Responsable Socio-Organizativo de la Unidad Especial “Regula Tu Barrio” Oficina Central;  Dr. Fernando Quintana, Responsable Legal de la Unidad Especial “Regula Tu Barrio” Oficina Central, aprobaron el Informe Socio Organizativo Legal y Técnico Nº 001-UERB-AZT-SOLT-2021, de 28 de julio de 2021, habilitante de la Ordenanza de Reconocimiento del asentamiento humano de hecho y consolidado de interés social, denominado: “Santa Inés Pasaje Carrera”, a favor de sus copropietarios. </w:t>
      </w:r>
    </w:p>
    <w:p w14:paraId="01BCA212" w14:textId="77777777" w:rsidR="00A16B4B" w:rsidRDefault="00A16B4B">
      <w:pPr>
        <w:pBdr>
          <w:top w:val="nil"/>
          <w:left w:val="nil"/>
          <w:bottom w:val="nil"/>
          <w:right w:val="nil"/>
          <w:between w:val="nil"/>
        </w:pBdr>
        <w:jc w:val="both"/>
        <w:rPr>
          <w:b/>
          <w:color w:val="000000"/>
          <w:sz w:val="22"/>
          <w:szCs w:val="22"/>
        </w:rPr>
      </w:pPr>
    </w:p>
    <w:p w14:paraId="3CA2317B" w14:textId="47B50635" w:rsidR="00A16B4B" w:rsidRDefault="00A26F30">
      <w:pPr>
        <w:pBdr>
          <w:top w:val="nil"/>
          <w:left w:val="nil"/>
          <w:bottom w:val="nil"/>
          <w:right w:val="nil"/>
          <w:between w:val="nil"/>
        </w:pBdr>
        <w:ind w:left="705" w:hanging="705"/>
        <w:jc w:val="both"/>
        <w:rPr>
          <w:i/>
          <w:color w:val="000000"/>
          <w:sz w:val="22"/>
          <w:szCs w:val="22"/>
        </w:rPr>
      </w:pPr>
      <w:r w:rsidRPr="00C001B3">
        <w:rPr>
          <w:b/>
          <w:color w:val="000000"/>
          <w:sz w:val="22"/>
          <w:szCs w:val="22"/>
        </w:rPr>
        <w:t>Que,</w:t>
      </w:r>
      <w:r w:rsidRPr="00C001B3">
        <w:rPr>
          <w:color w:val="000000"/>
          <w:sz w:val="22"/>
          <w:szCs w:val="22"/>
        </w:rPr>
        <w:tab/>
        <w:t xml:space="preserve">mediante Oficio GADDMQ-SGSG-2021-0242-OF, de 28 de enero de 2021, </w:t>
      </w:r>
      <w:r w:rsidR="00C91590" w:rsidRPr="00C001B3">
        <w:rPr>
          <w:color w:val="000000"/>
          <w:sz w:val="22"/>
          <w:szCs w:val="22"/>
        </w:rPr>
        <w:t>de la Secretaría General de Seguridad y Gobernabilidad</w:t>
      </w:r>
      <w:r w:rsidRPr="00C001B3">
        <w:rPr>
          <w:color w:val="000000"/>
          <w:sz w:val="22"/>
          <w:szCs w:val="22"/>
        </w:rPr>
        <w:t>, realizada al AHHYC “Santa Inés Pasaje Carrera”, determina que: “</w:t>
      </w:r>
      <w:r w:rsidRPr="00C001B3">
        <w:rPr>
          <w:i/>
          <w:color w:val="000000"/>
          <w:sz w:val="22"/>
          <w:szCs w:val="22"/>
        </w:rPr>
        <w:t>Para el proceso de regularización de tierras se considera el nivel de riesgos frente a movimientos en masa, ya que representa el fenómeno más importante para la posible pérdida del terreno, en tal virtud se considera que:</w:t>
      </w:r>
      <w:r w:rsidRPr="00C001B3">
        <w:rPr>
          <w:b/>
          <w:i/>
          <w:color w:val="000000"/>
          <w:sz w:val="22"/>
          <w:szCs w:val="22"/>
        </w:rPr>
        <w:t xml:space="preserve"> Movimientos en masa: el AHHYC </w:t>
      </w:r>
      <w:r w:rsidRPr="00C001B3">
        <w:rPr>
          <w:i/>
          <w:color w:val="000000"/>
          <w:sz w:val="22"/>
          <w:szCs w:val="22"/>
        </w:rPr>
        <w:t>“Santa Inés Pasaje Carrera” en general presenta un Riesgo Moderado Mitigable para los lotes expuestos.”</w:t>
      </w:r>
    </w:p>
    <w:p w14:paraId="06BBFF9E" w14:textId="77777777" w:rsidR="00307C7A" w:rsidRDefault="00307C7A">
      <w:pPr>
        <w:pBdr>
          <w:top w:val="nil"/>
          <w:left w:val="nil"/>
          <w:bottom w:val="nil"/>
          <w:right w:val="nil"/>
          <w:between w:val="nil"/>
        </w:pBdr>
        <w:ind w:left="705" w:hanging="705"/>
        <w:jc w:val="both"/>
        <w:rPr>
          <w:i/>
          <w:color w:val="000000"/>
          <w:sz w:val="22"/>
          <w:szCs w:val="22"/>
        </w:rPr>
      </w:pPr>
    </w:p>
    <w:p w14:paraId="14A30505" w14:textId="70AC8464" w:rsidR="00307C7A" w:rsidRPr="00307C7A" w:rsidRDefault="00307C7A" w:rsidP="00307C7A">
      <w:pPr>
        <w:spacing w:after="240"/>
        <w:ind w:left="705" w:hanging="705"/>
        <w:jc w:val="both"/>
        <w:rPr>
          <w:i/>
          <w:sz w:val="22"/>
          <w:szCs w:val="22"/>
        </w:rPr>
      </w:pPr>
      <w:r w:rsidRPr="00307C7A">
        <w:rPr>
          <w:b/>
          <w:bCs/>
          <w:sz w:val="22"/>
          <w:szCs w:val="22"/>
        </w:rPr>
        <w:t xml:space="preserve">Que, </w:t>
      </w:r>
      <w:r w:rsidRPr="00307C7A">
        <w:rPr>
          <w:b/>
          <w:bCs/>
          <w:sz w:val="22"/>
          <w:szCs w:val="22"/>
        </w:rPr>
        <w:tab/>
      </w:r>
      <w:r w:rsidRPr="00307C7A">
        <w:rPr>
          <w:bCs/>
          <w:sz w:val="22"/>
          <w:szCs w:val="22"/>
        </w:rPr>
        <w:t>mediante Oficio Nro. EPMAPS-GT-0122-</w:t>
      </w:r>
      <w:r w:rsidRPr="00307C7A">
        <w:rPr>
          <w:rFonts w:eastAsiaTheme="minorHAnsi"/>
          <w:bCs/>
          <w:sz w:val="22"/>
          <w:szCs w:val="22"/>
        </w:rPr>
        <w:t>2021</w:t>
      </w:r>
      <w:r w:rsidRPr="00307C7A">
        <w:rPr>
          <w:bCs/>
          <w:sz w:val="22"/>
          <w:szCs w:val="22"/>
        </w:rPr>
        <w:t xml:space="preserve">, de 12 de febrero de 2021, emitido por el </w:t>
      </w:r>
      <w:r w:rsidRPr="00307C7A">
        <w:rPr>
          <w:rFonts w:eastAsiaTheme="minorHAnsi"/>
          <w:bCs/>
          <w:sz w:val="22"/>
          <w:szCs w:val="22"/>
        </w:rPr>
        <w:t xml:space="preserve">Gerente Técnico de Infraestructura de la Empresa Pública Metropolitana de Agua Potable y Saneamiento </w:t>
      </w:r>
      <w:r w:rsidRPr="00307C7A">
        <w:rPr>
          <w:bCs/>
          <w:sz w:val="22"/>
          <w:szCs w:val="22"/>
        </w:rPr>
        <w:t>remite el Oficio No. EPMAPS-GT-2021-0111</w:t>
      </w:r>
      <w:r w:rsidRPr="00307C7A">
        <w:rPr>
          <w:sz w:val="22"/>
          <w:szCs w:val="22"/>
        </w:rPr>
        <w:t>, de 10 de febrero de 2021, en el cual informa</w:t>
      </w:r>
      <w:r w:rsidRPr="00307C7A">
        <w:rPr>
          <w:bCs/>
          <w:sz w:val="22"/>
          <w:szCs w:val="22"/>
        </w:rPr>
        <w:t>: “</w:t>
      </w:r>
      <w:r w:rsidRPr="00307C7A">
        <w:rPr>
          <w:sz w:val="22"/>
          <w:szCs w:val="22"/>
        </w:rPr>
        <w:t>De acuerdo a las “</w:t>
      </w:r>
      <w:r w:rsidRPr="00307C7A">
        <w:rPr>
          <w:b/>
          <w:i/>
          <w:sz w:val="22"/>
          <w:szCs w:val="22"/>
        </w:rPr>
        <w:t>Normas de Diseño de Sistemas de Agua Potable para la EMAAP-Q, 01-AP-AMAAPQ-2008</w:t>
      </w:r>
      <w:r w:rsidRPr="00307C7A">
        <w:rPr>
          <w:i/>
          <w:sz w:val="22"/>
          <w:szCs w:val="22"/>
        </w:rPr>
        <w:t>”,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p>
    <w:p w14:paraId="35510438" w14:textId="3127D535" w:rsidR="00A16B4B" w:rsidRDefault="00307C7A" w:rsidP="00307C7A">
      <w:pPr>
        <w:spacing w:after="240"/>
        <w:ind w:left="705" w:hanging="705"/>
        <w:jc w:val="both"/>
        <w:rPr>
          <w:i/>
          <w:color w:val="000000"/>
          <w:sz w:val="22"/>
          <w:szCs w:val="22"/>
        </w:rPr>
      </w:pPr>
      <w:r w:rsidRPr="00307C7A">
        <w:rPr>
          <w:bCs/>
          <w:i/>
          <w:sz w:val="22"/>
          <w:szCs w:val="22"/>
        </w:rPr>
        <w:lastRenderedPageBreak/>
        <w:t xml:space="preserve">             En este sentido u</w:t>
      </w:r>
      <w:r w:rsidRPr="00307C7A">
        <w:rPr>
          <w:i/>
          <w:sz w:val="22"/>
          <w:szCs w:val="22"/>
        </w:rPr>
        <w:t>na vez que los barrios cuenten con la respectiva Ordenanza, la EPMAPS procederá a realizar los estudios y diseños para la dotación de agua potable en los diferentes sectores de DMQ incluyendo la instalación de hidrantes.”</w:t>
      </w:r>
    </w:p>
    <w:p w14:paraId="001B9C3C" w14:textId="5787AABF" w:rsidR="00A16B4B" w:rsidRDefault="00A26F30">
      <w:pPr>
        <w:pBdr>
          <w:top w:val="nil"/>
          <w:left w:val="nil"/>
          <w:bottom w:val="nil"/>
          <w:right w:val="nil"/>
          <w:between w:val="nil"/>
        </w:pBdr>
        <w:ind w:left="705" w:hanging="705"/>
        <w:jc w:val="both"/>
        <w:rPr>
          <w:i/>
          <w:color w:val="000000"/>
          <w:sz w:val="22"/>
          <w:szCs w:val="22"/>
        </w:rPr>
      </w:pPr>
      <w:r>
        <w:rPr>
          <w:b/>
          <w:color w:val="000000"/>
          <w:sz w:val="22"/>
          <w:szCs w:val="22"/>
        </w:rPr>
        <w:t>Que,</w:t>
      </w:r>
      <w:r>
        <w:rPr>
          <w:color w:val="000000"/>
          <w:sz w:val="22"/>
          <w:szCs w:val="22"/>
        </w:rPr>
        <w:tab/>
      </w:r>
      <w:r w:rsidRPr="00C001B3">
        <w:rPr>
          <w:color w:val="000000"/>
          <w:sz w:val="22"/>
          <w:szCs w:val="22"/>
        </w:rPr>
        <w:t>mediante Oficio STHV-DMPPS-2021-0198-O, de 08 de junio de 2021,</w:t>
      </w:r>
      <w:r w:rsidR="00C91590" w:rsidRPr="00C001B3">
        <w:rPr>
          <w:color w:val="000000"/>
          <w:sz w:val="22"/>
          <w:szCs w:val="22"/>
        </w:rPr>
        <w:t xml:space="preserve"> de la Dirección Metropolitana de Políticas y Planeamiento del Suelo</w:t>
      </w:r>
      <w:r w:rsidRPr="00C001B3">
        <w:rPr>
          <w:color w:val="000000"/>
          <w:sz w:val="22"/>
          <w:szCs w:val="22"/>
        </w:rPr>
        <w:t xml:space="preserve">, remite el Informe técnico No. IT-STHV-DMPPS-2021-0052, de 29 de abril de 2021, de pre-factibilidad para el cambio de zonificación, del AHHYC “Santa Inés Pasaje Carrera”, donde manifiesta que </w:t>
      </w:r>
      <w:r w:rsidRPr="00C001B3">
        <w:rPr>
          <w:i/>
          <w:color w:val="000000"/>
          <w:sz w:val="22"/>
          <w:szCs w:val="22"/>
        </w:rPr>
        <w:t>“(…) considera factible el cambio de zonificación (ocupación y edificabilidad) del Asentamiento Humano de Hecho y Consolidado denominado “SANTA INÉS PASAJE CARRERA”, en los términos que se señalan en el Cuadro No 2, a fin de continuar con el proceso integral de regularización correspondiente.”</w:t>
      </w:r>
    </w:p>
    <w:p w14:paraId="3E454CA4" w14:textId="77777777" w:rsidR="00A16B4B" w:rsidRDefault="00A16B4B">
      <w:pPr>
        <w:pBdr>
          <w:top w:val="nil"/>
          <w:left w:val="nil"/>
          <w:bottom w:val="nil"/>
          <w:right w:val="nil"/>
          <w:between w:val="nil"/>
        </w:pBdr>
        <w:ind w:left="705" w:hanging="705"/>
        <w:jc w:val="both"/>
        <w:rPr>
          <w:i/>
          <w:color w:val="000000"/>
          <w:sz w:val="22"/>
          <w:szCs w:val="22"/>
        </w:rPr>
      </w:pPr>
    </w:p>
    <w:p w14:paraId="0399F4D1" w14:textId="77777777" w:rsidR="00A16B4B" w:rsidRDefault="00A16B4B">
      <w:pPr>
        <w:pBdr>
          <w:top w:val="nil"/>
          <w:left w:val="nil"/>
          <w:bottom w:val="nil"/>
          <w:right w:val="nil"/>
          <w:between w:val="nil"/>
        </w:pBdr>
        <w:ind w:left="705" w:hanging="705"/>
        <w:jc w:val="both"/>
        <w:rPr>
          <w:b/>
          <w:i/>
          <w:color w:val="000000"/>
          <w:sz w:val="22"/>
          <w:szCs w:val="22"/>
        </w:rPr>
      </w:pPr>
    </w:p>
    <w:p w14:paraId="4451B17E" w14:textId="77777777" w:rsidR="00A16B4B" w:rsidRDefault="00A26F30">
      <w:pPr>
        <w:pBdr>
          <w:top w:val="nil"/>
          <w:left w:val="nil"/>
          <w:bottom w:val="nil"/>
          <w:right w:val="nil"/>
          <w:between w:val="nil"/>
        </w:pBdr>
        <w:jc w:val="both"/>
        <w:rPr>
          <w:b/>
          <w:color w:val="000000"/>
          <w:sz w:val="22"/>
          <w:szCs w:val="22"/>
        </w:rPr>
      </w:pPr>
      <w:r>
        <w:rPr>
          <w:b/>
          <w:color w:val="000000"/>
          <w:sz w:val="22"/>
          <w:szCs w:val="22"/>
        </w:rPr>
        <w:t>En ejercicio de sus atribuciones legales constantes en los artículos 30, 31, 240 numerales 1 y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0D131820" w14:textId="77777777" w:rsidR="00A16B4B" w:rsidRDefault="00A16B4B">
      <w:pPr>
        <w:pBdr>
          <w:top w:val="nil"/>
          <w:left w:val="nil"/>
          <w:bottom w:val="nil"/>
          <w:right w:val="nil"/>
          <w:between w:val="nil"/>
        </w:pBdr>
        <w:rPr>
          <w:b/>
          <w:color w:val="000000"/>
          <w:sz w:val="22"/>
          <w:szCs w:val="22"/>
        </w:rPr>
      </w:pPr>
    </w:p>
    <w:p w14:paraId="309145F0" w14:textId="77777777" w:rsidR="00A16B4B" w:rsidRDefault="00A26F30">
      <w:pPr>
        <w:pBdr>
          <w:top w:val="nil"/>
          <w:left w:val="nil"/>
          <w:bottom w:val="nil"/>
          <w:right w:val="nil"/>
          <w:between w:val="nil"/>
        </w:pBdr>
        <w:jc w:val="center"/>
        <w:rPr>
          <w:b/>
          <w:color w:val="000000"/>
          <w:sz w:val="22"/>
          <w:szCs w:val="22"/>
        </w:rPr>
      </w:pPr>
      <w:r>
        <w:rPr>
          <w:b/>
          <w:color w:val="000000"/>
          <w:sz w:val="22"/>
          <w:szCs w:val="22"/>
        </w:rPr>
        <w:t>EXPIDE LA SIGUIENTE:</w:t>
      </w:r>
    </w:p>
    <w:p w14:paraId="5034D883" w14:textId="77777777" w:rsidR="00A16B4B" w:rsidRDefault="00A16B4B">
      <w:pPr>
        <w:pBdr>
          <w:top w:val="nil"/>
          <w:left w:val="nil"/>
          <w:bottom w:val="nil"/>
          <w:right w:val="nil"/>
          <w:between w:val="nil"/>
        </w:pBdr>
        <w:jc w:val="center"/>
        <w:rPr>
          <w:b/>
          <w:color w:val="000000"/>
          <w:sz w:val="22"/>
          <w:szCs w:val="22"/>
        </w:rPr>
      </w:pPr>
    </w:p>
    <w:p w14:paraId="1662E8A4" w14:textId="77777777" w:rsidR="00A16B4B" w:rsidRDefault="00A26F30">
      <w:pPr>
        <w:pBdr>
          <w:top w:val="nil"/>
          <w:left w:val="nil"/>
          <w:bottom w:val="nil"/>
          <w:right w:val="nil"/>
          <w:between w:val="nil"/>
        </w:pBdr>
        <w:jc w:val="both"/>
        <w:rPr>
          <w:b/>
          <w:color w:val="000000"/>
          <w:sz w:val="22"/>
          <w:szCs w:val="22"/>
        </w:rPr>
      </w:pPr>
      <w:r>
        <w:rPr>
          <w:b/>
          <w:color w:val="000000"/>
          <w:sz w:val="22"/>
          <w:szCs w:val="22"/>
        </w:rPr>
        <w:t xml:space="preserve">ORDENANZA QUE APRUEBA EL PROCESO INTEGRAL DE </w:t>
      </w:r>
      <w:r>
        <w:rPr>
          <w:b/>
          <w:sz w:val="22"/>
          <w:szCs w:val="22"/>
        </w:rPr>
        <w:t>REGULARIZACIÓN</w:t>
      </w:r>
      <w:r>
        <w:rPr>
          <w:b/>
          <w:color w:val="000000"/>
          <w:sz w:val="22"/>
          <w:szCs w:val="22"/>
        </w:rPr>
        <w:t xml:space="preserve"> DEL ASENTAMIENTO</w:t>
      </w:r>
      <w:r>
        <w:rPr>
          <w:b/>
          <w:color w:val="FF0000"/>
          <w:sz w:val="22"/>
          <w:szCs w:val="22"/>
        </w:rPr>
        <w:t xml:space="preserve"> </w:t>
      </w:r>
      <w:r>
        <w:rPr>
          <w:b/>
          <w:color w:val="000000"/>
          <w:sz w:val="22"/>
          <w:szCs w:val="22"/>
        </w:rPr>
        <w:t xml:space="preserve">HUMANO DE HECHO Y CONSOLIDADO DE INTERÉS SOCIAL DENOMINADO “SANTA </w:t>
      </w:r>
      <w:r>
        <w:rPr>
          <w:b/>
          <w:sz w:val="22"/>
          <w:szCs w:val="22"/>
        </w:rPr>
        <w:t>INÉS</w:t>
      </w:r>
      <w:r>
        <w:rPr>
          <w:b/>
          <w:color w:val="000000"/>
          <w:sz w:val="22"/>
          <w:szCs w:val="22"/>
        </w:rPr>
        <w:t xml:space="preserve"> PASAJE CARRERA”, A FAVOR DE SUS COPROPIETARIOS.</w:t>
      </w:r>
    </w:p>
    <w:p w14:paraId="6B83A741" w14:textId="77777777" w:rsidR="00A16B4B" w:rsidRDefault="00A16B4B">
      <w:pPr>
        <w:pBdr>
          <w:top w:val="nil"/>
          <w:left w:val="nil"/>
          <w:bottom w:val="nil"/>
          <w:right w:val="nil"/>
          <w:between w:val="nil"/>
        </w:pBdr>
        <w:jc w:val="both"/>
        <w:rPr>
          <w:b/>
          <w:color w:val="000000"/>
          <w:sz w:val="22"/>
          <w:szCs w:val="22"/>
        </w:rPr>
      </w:pPr>
    </w:p>
    <w:p w14:paraId="34B453FD" w14:textId="460D21F7" w:rsidR="00A16B4B" w:rsidRDefault="00A26F30">
      <w:pPr>
        <w:pBdr>
          <w:top w:val="nil"/>
          <w:left w:val="nil"/>
          <w:bottom w:val="nil"/>
          <w:right w:val="nil"/>
          <w:between w:val="nil"/>
        </w:pBdr>
        <w:jc w:val="both"/>
        <w:rPr>
          <w:color w:val="000000"/>
          <w:sz w:val="22"/>
          <w:szCs w:val="22"/>
        </w:rPr>
      </w:pPr>
      <w:r>
        <w:rPr>
          <w:b/>
          <w:sz w:val="22"/>
          <w:szCs w:val="22"/>
        </w:rPr>
        <w:t>Artículo</w:t>
      </w:r>
      <w:r>
        <w:rPr>
          <w:b/>
          <w:color w:val="000000"/>
          <w:sz w:val="22"/>
          <w:szCs w:val="22"/>
        </w:rPr>
        <w:t xml:space="preserve"> 1.- Objeto. -</w:t>
      </w:r>
      <w:r>
        <w:rPr>
          <w:color w:val="000000"/>
          <w:sz w:val="22"/>
          <w:szCs w:val="22"/>
        </w:rPr>
        <w:t xml:space="preserve"> La presente ordenanza tiene por objeto reconocer y aprobar el fraccionamiento del predio 313617, su vía, </w:t>
      </w:r>
      <w:r w:rsidR="0071088D" w:rsidRPr="005921E8">
        <w:rPr>
          <w:color w:val="000000"/>
          <w:sz w:val="22"/>
          <w:szCs w:val="22"/>
        </w:rPr>
        <w:t>modifica</w:t>
      </w:r>
      <w:r w:rsidR="009C018E" w:rsidRPr="005921E8">
        <w:rPr>
          <w:color w:val="000000"/>
          <w:sz w:val="22"/>
          <w:szCs w:val="22"/>
        </w:rPr>
        <w:t>ndo su</w:t>
      </w:r>
      <w:r w:rsidRPr="005921E8">
        <w:rPr>
          <w:color w:val="000000"/>
          <w:sz w:val="22"/>
          <w:szCs w:val="22"/>
        </w:rPr>
        <w:t xml:space="preserve"> zonificación</w:t>
      </w:r>
      <w:r>
        <w:rPr>
          <w:color w:val="000000"/>
          <w:sz w:val="22"/>
          <w:szCs w:val="22"/>
        </w:rPr>
        <w:t xml:space="preserve"> actual, sobre la que se encuentra el asentamiento humano de hecho y consolidado de interés social denominado “Santa Inés Pasaje Carrera”, a favor de sus copropietarios.</w:t>
      </w:r>
    </w:p>
    <w:p w14:paraId="0506CFA1" w14:textId="77777777" w:rsidR="00A16B4B" w:rsidRDefault="00A16B4B">
      <w:pPr>
        <w:pBdr>
          <w:top w:val="nil"/>
          <w:left w:val="nil"/>
          <w:bottom w:val="nil"/>
          <w:right w:val="nil"/>
          <w:between w:val="nil"/>
        </w:pBdr>
        <w:jc w:val="both"/>
        <w:rPr>
          <w:color w:val="000000"/>
          <w:sz w:val="22"/>
          <w:szCs w:val="22"/>
        </w:rPr>
      </w:pPr>
    </w:p>
    <w:p w14:paraId="7158083C" w14:textId="77777777" w:rsidR="00A16B4B" w:rsidRDefault="00A26F30">
      <w:pPr>
        <w:pBdr>
          <w:top w:val="nil"/>
          <w:left w:val="nil"/>
          <w:bottom w:val="nil"/>
          <w:right w:val="nil"/>
          <w:between w:val="nil"/>
        </w:pBdr>
        <w:jc w:val="both"/>
        <w:rPr>
          <w:color w:val="000000"/>
          <w:sz w:val="22"/>
          <w:szCs w:val="22"/>
        </w:rPr>
      </w:pPr>
      <w:r>
        <w:rPr>
          <w:b/>
          <w:color w:val="000000"/>
          <w:sz w:val="22"/>
          <w:szCs w:val="22"/>
        </w:rPr>
        <w:t>Artículo 2.- De los planos y documentos presentados.-</w:t>
      </w:r>
      <w:r>
        <w:rPr>
          <w:color w:val="000000"/>
          <w:sz w:val="22"/>
          <w:szCs w:val="22"/>
        </w:rPr>
        <w:t xml:space="preserve"> Los planos y documentos presentados para la aprobación del presente acto normativo son de exclusiva responsabilidad del proyectista y de los copropietarios del asentamiento humano de hecho y consolidado de interés social denominado “Santa Inés Pasaje Carrera”, ubicado en la parroquia Cumbayá, y de los funcionarios municipales que revisaron los planos y los documentos legales y/o emitieron los informes técnicos habilitantes de este procedimiento de regularización, salvo que estos hayan sido inducidos a engaño o al error.</w:t>
      </w:r>
    </w:p>
    <w:p w14:paraId="5940E134" w14:textId="77777777" w:rsidR="00A16B4B" w:rsidRDefault="00A16B4B">
      <w:pPr>
        <w:pBdr>
          <w:top w:val="nil"/>
          <w:left w:val="nil"/>
          <w:bottom w:val="nil"/>
          <w:right w:val="nil"/>
          <w:between w:val="nil"/>
        </w:pBdr>
        <w:jc w:val="both"/>
        <w:rPr>
          <w:color w:val="000000"/>
          <w:sz w:val="22"/>
          <w:szCs w:val="22"/>
        </w:rPr>
      </w:pPr>
    </w:p>
    <w:p w14:paraId="290C6806" w14:textId="77777777" w:rsidR="00A16B4B" w:rsidRDefault="00A26F30">
      <w:pPr>
        <w:pBdr>
          <w:top w:val="nil"/>
          <w:left w:val="nil"/>
          <w:bottom w:val="nil"/>
          <w:right w:val="nil"/>
          <w:between w:val="nil"/>
        </w:pBdr>
        <w:jc w:val="both"/>
        <w:rPr>
          <w:color w:val="000000"/>
          <w:sz w:val="22"/>
          <w:szCs w:val="22"/>
        </w:rPr>
      </w:pPr>
      <w:r>
        <w:rPr>
          <w:color w:val="000000"/>
          <w:sz w:val="22"/>
          <w:szCs w:val="22"/>
        </w:rPr>
        <w:t>En caso de comprobarse ocultación o falsedad en planos, datos, documentos, o de existir reclamos de terceros afectados, será de exclusiva responsabilidad del técnico y de los copropietarios del predio.</w:t>
      </w:r>
    </w:p>
    <w:p w14:paraId="5BFF89BE" w14:textId="77777777" w:rsidR="00A16B4B" w:rsidRDefault="00A16B4B">
      <w:pPr>
        <w:pBdr>
          <w:top w:val="nil"/>
          <w:left w:val="nil"/>
          <w:bottom w:val="nil"/>
          <w:right w:val="nil"/>
          <w:between w:val="nil"/>
        </w:pBdr>
        <w:jc w:val="both"/>
        <w:rPr>
          <w:color w:val="000000"/>
          <w:sz w:val="22"/>
          <w:szCs w:val="22"/>
        </w:rPr>
      </w:pPr>
    </w:p>
    <w:p w14:paraId="75541683" w14:textId="77777777" w:rsidR="00A16B4B" w:rsidRDefault="00A26F30">
      <w:pPr>
        <w:pBdr>
          <w:top w:val="nil"/>
          <w:left w:val="nil"/>
          <w:bottom w:val="nil"/>
          <w:right w:val="nil"/>
          <w:between w:val="nil"/>
        </w:pBdr>
        <w:jc w:val="both"/>
        <w:rPr>
          <w:color w:val="000000"/>
          <w:sz w:val="22"/>
          <w:szCs w:val="22"/>
        </w:rPr>
      </w:pPr>
      <w:r>
        <w:rPr>
          <w:color w:val="000000"/>
          <w:sz w:val="22"/>
          <w:szCs w:val="22"/>
        </w:rPr>
        <w:t xml:space="preserve">Las dimensiones y superficies de los lotes son las determinadas en el </w:t>
      </w:r>
      <w:r w:rsidRPr="000B52D3">
        <w:rPr>
          <w:color w:val="000000"/>
          <w:sz w:val="22"/>
          <w:szCs w:val="22"/>
        </w:rPr>
        <w:t>plano</w:t>
      </w:r>
      <w:r>
        <w:rPr>
          <w:color w:val="000000"/>
          <w:sz w:val="22"/>
          <w:szCs w:val="22"/>
        </w:rPr>
        <w:t xml:space="preserve"> aprobatorio que forma parte integrante de esta Ordenanza.</w:t>
      </w:r>
    </w:p>
    <w:p w14:paraId="35F08D49" w14:textId="77777777" w:rsidR="00A16B4B" w:rsidRDefault="00A16B4B">
      <w:pPr>
        <w:pBdr>
          <w:top w:val="nil"/>
          <w:left w:val="nil"/>
          <w:bottom w:val="nil"/>
          <w:right w:val="nil"/>
          <w:between w:val="nil"/>
        </w:pBdr>
        <w:jc w:val="both"/>
        <w:rPr>
          <w:color w:val="000000"/>
          <w:sz w:val="22"/>
          <w:szCs w:val="22"/>
        </w:rPr>
      </w:pPr>
    </w:p>
    <w:p w14:paraId="6869005C" w14:textId="1A47AB2A" w:rsidR="00A16B4B" w:rsidRDefault="00A26F30">
      <w:pPr>
        <w:pBdr>
          <w:top w:val="nil"/>
          <w:left w:val="nil"/>
          <w:bottom w:val="nil"/>
          <w:right w:val="nil"/>
          <w:between w:val="nil"/>
        </w:pBdr>
        <w:jc w:val="both"/>
        <w:rPr>
          <w:color w:val="000000"/>
          <w:sz w:val="22"/>
          <w:szCs w:val="22"/>
        </w:rPr>
      </w:pPr>
      <w:r>
        <w:rPr>
          <w:color w:val="000000"/>
          <w:sz w:val="22"/>
          <w:szCs w:val="22"/>
        </w:rPr>
        <w:t>Los copropietarios del asentamiento humano de hecho y consolidado de interés social denominado “Santa Inés Pasaje Carrera”,</w:t>
      </w:r>
      <w:r w:rsidR="007618D2">
        <w:rPr>
          <w:color w:val="000000"/>
          <w:sz w:val="22"/>
          <w:szCs w:val="22"/>
        </w:rPr>
        <w:t xml:space="preserve"> ubicado en la parroquia Cumbayá</w:t>
      </w:r>
      <w:r>
        <w:rPr>
          <w:color w:val="000000"/>
          <w:sz w:val="22"/>
          <w:szCs w:val="22"/>
        </w:rPr>
        <w:t>, se comprometen a respetar las características de los lotes establecidas en el plano y en este instrumento; por tanto, no podrán fraccionarlos o dividirlos.</w:t>
      </w:r>
    </w:p>
    <w:p w14:paraId="1F3FB745" w14:textId="77777777" w:rsidR="00A16B4B" w:rsidRDefault="00A16B4B">
      <w:pPr>
        <w:pBdr>
          <w:top w:val="nil"/>
          <w:left w:val="nil"/>
          <w:bottom w:val="nil"/>
          <w:right w:val="nil"/>
          <w:between w:val="nil"/>
        </w:pBdr>
        <w:jc w:val="both"/>
        <w:rPr>
          <w:color w:val="000000"/>
          <w:sz w:val="22"/>
          <w:szCs w:val="22"/>
        </w:rPr>
      </w:pPr>
    </w:p>
    <w:p w14:paraId="6A66907B" w14:textId="77777777" w:rsidR="00A16B4B" w:rsidRDefault="00A26F30">
      <w:pPr>
        <w:pBdr>
          <w:top w:val="nil"/>
          <w:left w:val="nil"/>
          <w:bottom w:val="nil"/>
          <w:right w:val="nil"/>
          <w:between w:val="nil"/>
        </w:pBdr>
        <w:jc w:val="both"/>
        <w:rPr>
          <w:color w:val="000000"/>
          <w:sz w:val="22"/>
          <w:szCs w:val="22"/>
        </w:rPr>
      </w:pPr>
      <w:r>
        <w:rPr>
          <w:color w:val="000000"/>
          <w:sz w:val="22"/>
          <w:szCs w:val="22"/>
        </w:rPr>
        <w:lastRenderedPageBreak/>
        <w:t xml:space="preserve">El incumplimiento de lo dispuesto en la presente Ordenanza y en la normativa metropolitana y nacional vigente al respecto, dará lugar a la imposición de las sanciones correspondientes. </w:t>
      </w:r>
    </w:p>
    <w:p w14:paraId="7BC1A448" w14:textId="77777777" w:rsidR="00A16B4B" w:rsidRDefault="00A16B4B">
      <w:pPr>
        <w:pBdr>
          <w:top w:val="nil"/>
          <w:left w:val="nil"/>
          <w:bottom w:val="nil"/>
          <w:right w:val="nil"/>
          <w:between w:val="nil"/>
        </w:pBdr>
        <w:jc w:val="both"/>
        <w:rPr>
          <w:b/>
          <w:color w:val="000000"/>
          <w:sz w:val="22"/>
          <w:szCs w:val="22"/>
        </w:rPr>
      </w:pPr>
    </w:p>
    <w:p w14:paraId="4EC86A0C" w14:textId="77777777" w:rsidR="00A16B4B" w:rsidRDefault="00A26F30">
      <w:pPr>
        <w:pBdr>
          <w:top w:val="nil"/>
          <w:left w:val="nil"/>
          <w:bottom w:val="nil"/>
          <w:right w:val="nil"/>
          <w:between w:val="nil"/>
        </w:pBdr>
        <w:jc w:val="both"/>
        <w:rPr>
          <w:color w:val="000000"/>
          <w:sz w:val="22"/>
          <w:szCs w:val="22"/>
        </w:rPr>
      </w:pPr>
      <w:r>
        <w:rPr>
          <w:b/>
          <w:color w:val="000000"/>
          <w:sz w:val="22"/>
          <w:szCs w:val="22"/>
        </w:rPr>
        <w:t xml:space="preserve">Artículo 3.- Declaratoria de Interés Social. - </w:t>
      </w:r>
      <w:r>
        <w:rPr>
          <w:color w:val="000000"/>
          <w:sz w:val="22"/>
          <w:szCs w:val="22"/>
        </w:rPr>
        <w:t>Por las condiciones del asentamiento humano de hecho y consolidado, se lo aprueba considerándolo de Interés Social de conformidad con la normativa vigente.</w:t>
      </w:r>
    </w:p>
    <w:p w14:paraId="79992CFE" w14:textId="77777777" w:rsidR="00A16B4B" w:rsidRDefault="00A16B4B">
      <w:pPr>
        <w:pBdr>
          <w:top w:val="nil"/>
          <w:left w:val="nil"/>
          <w:bottom w:val="nil"/>
          <w:right w:val="nil"/>
          <w:between w:val="nil"/>
        </w:pBdr>
        <w:rPr>
          <w:b/>
          <w:color w:val="000000"/>
          <w:sz w:val="22"/>
          <w:szCs w:val="22"/>
        </w:rPr>
      </w:pPr>
    </w:p>
    <w:p w14:paraId="045FF5ED" w14:textId="3FC78286" w:rsidR="00A16B4B" w:rsidRDefault="00A26F30">
      <w:pPr>
        <w:pBdr>
          <w:top w:val="nil"/>
          <w:left w:val="nil"/>
          <w:bottom w:val="nil"/>
          <w:right w:val="nil"/>
          <w:between w:val="nil"/>
        </w:pBdr>
        <w:rPr>
          <w:b/>
          <w:color w:val="000000"/>
          <w:sz w:val="22"/>
          <w:szCs w:val="22"/>
        </w:rPr>
      </w:pPr>
      <w:r>
        <w:rPr>
          <w:b/>
          <w:color w:val="000000"/>
          <w:sz w:val="22"/>
          <w:szCs w:val="22"/>
        </w:rPr>
        <w:t xml:space="preserve">Artículo 4.- Especificaciones técnicas. </w:t>
      </w:r>
      <w:r w:rsidR="005413B1">
        <w:rPr>
          <w:b/>
          <w:color w:val="000000"/>
          <w:sz w:val="22"/>
          <w:szCs w:val="22"/>
        </w:rPr>
        <w:t>–</w:t>
      </w:r>
    </w:p>
    <w:p w14:paraId="2F275A35" w14:textId="77777777" w:rsidR="005413B1" w:rsidRDefault="005413B1">
      <w:pPr>
        <w:pBdr>
          <w:top w:val="nil"/>
          <w:left w:val="nil"/>
          <w:bottom w:val="nil"/>
          <w:right w:val="nil"/>
          <w:between w:val="nil"/>
        </w:pBdr>
        <w:rPr>
          <w:b/>
          <w:color w:val="000000"/>
          <w:sz w:val="22"/>
          <w:szCs w:val="22"/>
        </w:rPr>
      </w:pPr>
    </w:p>
    <w:tbl>
      <w:tblPr>
        <w:tblStyle w:val="a0"/>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961"/>
      </w:tblGrid>
      <w:tr w:rsidR="00A16B4B" w14:paraId="722D50E1" w14:textId="77777777">
        <w:trPr>
          <w:trHeight w:val="258"/>
        </w:trPr>
        <w:tc>
          <w:tcPr>
            <w:tcW w:w="4248" w:type="dxa"/>
            <w:vAlign w:val="center"/>
          </w:tcPr>
          <w:p w14:paraId="706A3D11" w14:textId="77777777" w:rsidR="00A16B4B" w:rsidRDefault="00A26F30">
            <w:pPr>
              <w:pBdr>
                <w:top w:val="nil"/>
                <w:left w:val="nil"/>
                <w:bottom w:val="nil"/>
                <w:right w:val="nil"/>
                <w:between w:val="nil"/>
              </w:pBdr>
              <w:rPr>
                <w:b/>
                <w:color w:val="000000"/>
                <w:sz w:val="22"/>
                <w:szCs w:val="22"/>
              </w:rPr>
            </w:pPr>
            <w:r>
              <w:rPr>
                <w:b/>
                <w:color w:val="000000"/>
                <w:sz w:val="22"/>
                <w:szCs w:val="22"/>
              </w:rPr>
              <w:t>Predio Número:</w:t>
            </w:r>
          </w:p>
        </w:tc>
        <w:tc>
          <w:tcPr>
            <w:tcW w:w="4961" w:type="dxa"/>
            <w:vAlign w:val="center"/>
          </w:tcPr>
          <w:p w14:paraId="36B5A951" w14:textId="77777777" w:rsidR="00A16B4B" w:rsidRDefault="00A26F30">
            <w:pPr>
              <w:pBdr>
                <w:top w:val="nil"/>
                <w:left w:val="nil"/>
                <w:bottom w:val="nil"/>
                <w:right w:val="nil"/>
                <w:between w:val="nil"/>
              </w:pBdr>
              <w:rPr>
                <w:color w:val="000000"/>
                <w:sz w:val="22"/>
                <w:szCs w:val="22"/>
              </w:rPr>
            </w:pPr>
            <w:r>
              <w:rPr>
                <w:sz w:val="22"/>
                <w:szCs w:val="22"/>
              </w:rPr>
              <w:t>313617</w:t>
            </w:r>
          </w:p>
        </w:tc>
      </w:tr>
      <w:tr w:rsidR="00A16B4B" w14:paraId="36BE57A1" w14:textId="77777777">
        <w:trPr>
          <w:trHeight w:val="154"/>
        </w:trPr>
        <w:tc>
          <w:tcPr>
            <w:tcW w:w="4248" w:type="dxa"/>
            <w:vAlign w:val="center"/>
          </w:tcPr>
          <w:p w14:paraId="4F84BA61" w14:textId="77777777" w:rsidR="00A16B4B" w:rsidRDefault="00A26F30">
            <w:pPr>
              <w:pBdr>
                <w:top w:val="nil"/>
                <w:left w:val="nil"/>
                <w:bottom w:val="nil"/>
                <w:right w:val="nil"/>
                <w:between w:val="nil"/>
              </w:pBdr>
              <w:rPr>
                <w:b/>
                <w:color w:val="000000"/>
                <w:sz w:val="22"/>
                <w:szCs w:val="22"/>
              </w:rPr>
            </w:pPr>
            <w:r>
              <w:rPr>
                <w:b/>
                <w:color w:val="000000"/>
                <w:sz w:val="22"/>
                <w:szCs w:val="22"/>
              </w:rPr>
              <w:t>Zonificación actual:</w:t>
            </w:r>
          </w:p>
        </w:tc>
        <w:tc>
          <w:tcPr>
            <w:tcW w:w="4961" w:type="dxa"/>
            <w:vAlign w:val="center"/>
          </w:tcPr>
          <w:p w14:paraId="31EEF1C8" w14:textId="77777777" w:rsidR="00A16B4B" w:rsidRDefault="00A26F30">
            <w:pPr>
              <w:pBdr>
                <w:top w:val="nil"/>
                <w:left w:val="nil"/>
                <w:bottom w:val="nil"/>
                <w:right w:val="nil"/>
                <w:between w:val="nil"/>
              </w:pBdr>
              <w:rPr>
                <w:color w:val="000000"/>
                <w:sz w:val="22"/>
                <w:szCs w:val="22"/>
              </w:rPr>
            </w:pPr>
            <w:r>
              <w:rPr>
                <w:color w:val="000000"/>
                <w:sz w:val="22"/>
                <w:szCs w:val="22"/>
              </w:rPr>
              <w:t>A2(A1002-35)</w:t>
            </w:r>
          </w:p>
        </w:tc>
      </w:tr>
      <w:tr w:rsidR="00A16B4B" w14:paraId="71E06BCA" w14:textId="77777777">
        <w:trPr>
          <w:trHeight w:val="171"/>
        </w:trPr>
        <w:tc>
          <w:tcPr>
            <w:tcW w:w="4248" w:type="dxa"/>
            <w:vAlign w:val="center"/>
          </w:tcPr>
          <w:p w14:paraId="3F348A63" w14:textId="77777777" w:rsidR="00A16B4B" w:rsidRDefault="00A26F30">
            <w:pPr>
              <w:pBdr>
                <w:top w:val="nil"/>
                <w:left w:val="nil"/>
                <w:bottom w:val="nil"/>
                <w:right w:val="nil"/>
                <w:between w:val="nil"/>
              </w:pBdr>
              <w:rPr>
                <w:b/>
                <w:color w:val="000000"/>
                <w:sz w:val="22"/>
                <w:szCs w:val="22"/>
              </w:rPr>
            </w:pPr>
            <w:r>
              <w:rPr>
                <w:b/>
                <w:color w:val="000000"/>
                <w:sz w:val="22"/>
                <w:szCs w:val="22"/>
              </w:rPr>
              <w:t>Lote mínimo:</w:t>
            </w:r>
          </w:p>
        </w:tc>
        <w:tc>
          <w:tcPr>
            <w:tcW w:w="4961" w:type="dxa"/>
            <w:vAlign w:val="center"/>
          </w:tcPr>
          <w:p w14:paraId="5DADDC11" w14:textId="77777777" w:rsidR="00A16B4B" w:rsidRDefault="00A26F30">
            <w:pPr>
              <w:pBdr>
                <w:top w:val="nil"/>
                <w:left w:val="nil"/>
                <w:bottom w:val="nil"/>
                <w:right w:val="nil"/>
                <w:between w:val="nil"/>
              </w:pBdr>
              <w:rPr>
                <w:color w:val="000000"/>
                <w:sz w:val="22"/>
                <w:szCs w:val="22"/>
              </w:rPr>
            </w:pPr>
            <w:r>
              <w:rPr>
                <w:color w:val="000000"/>
                <w:sz w:val="22"/>
                <w:szCs w:val="22"/>
              </w:rPr>
              <w:t>1000 m2</w:t>
            </w:r>
          </w:p>
        </w:tc>
      </w:tr>
      <w:tr w:rsidR="00A16B4B" w14:paraId="077F7B2D" w14:textId="77777777">
        <w:trPr>
          <w:trHeight w:val="233"/>
        </w:trPr>
        <w:tc>
          <w:tcPr>
            <w:tcW w:w="4248" w:type="dxa"/>
            <w:vAlign w:val="center"/>
          </w:tcPr>
          <w:p w14:paraId="499408A3" w14:textId="77777777" w:rsidR="00A16B4B" w:rsidRDefault="00A26F30">
            <w:pPr>
              <w:pBdr>
                <w:top w:val="nil"/>
                <w:left w:val="nil"/>
                <w:bottom w:val="nil"/>
                <w:right w:val="nil"/>
                <w:between w:val="nil"/>
              </w:pBdr>
              <w:rPr>
                <w:b/>
                <w:color w:val="000000"/>
                <w:sz w:val="22"/>
                <w:szCs w:val="22"/>
              </w:rPr>
            </w:pPr>
            <w:r>
              <w:rPr>
                <w:b/>
                <w:color w:val="000000"/>
                <w:sz w:val="22"/>
                <w:szCs w:val="22"/>
              </w:rPr>
              <w:t>Forma ocupación del suelo:</w:t>
            </w:r>
          </w:p>
        </w:tc>
        <w:tc>
          <w:tcPr>
            <w:tcW w:w="4961" w:type="dxa"/>
            <w:vAlign w:val="center"/>
          </w:tcPr>
          <w:p w14:paraId="4F1C308D" w14:textId="77777777" w:rsidR="00A16B4B" w:rsidRDefault="00A26F30">
            <w:pPr>
              <w:pBdr>
                <w:top w:val="nil"/>
                <w:left w:val="nil"/>
                <w:bottom w:val="nil"/>
                <w:right w:val="nil"/>
                <w:between w:val="nil"/>
              </w:pBdr>
              <w:rPr>
                <w:color w:val="000000"/>
                <w:sz w:val="22"/>
                <w:szCs w:val="22"/>
              </w:rPr>
            </w:pPr>
            <w:r>
              <w:rPr>
                <w:color w:val="000000"/>
                <w:sz w:val="22"/>
                <w:szCs w:val="22"/>
              </w:rPr>
              <w:t>(A) Aislada</w:t>
            </w:r>
          </w:p>
        </w:tc>
      </w:tr>
      <w:tr w:rsidR="00A16B4B" w14:paraId="4A962E82" w14:textId="77777777">
        <w:trPr>
          <w:trHeight w:val="151"/>
        </w:trPr>
        <w:tc>
          <w:tcPr>
            <w:tcW w:w="4248" w:type="dxa"/>
            <w:vAlign w:val="center"/>
          </w:tcPr>
          <w:p w14:paraId="40A51AAE" w14:textId="77777777" w:rsidR="00A16B4B" w:rsidRDefault="00A26F30">
            <w:pPr>
              <w:pBdr>
                <w:top w:val="nil"/>
                <w:left w:val="nil"/>
                <w:bottom w:val="nil"/>
                <w:right w:val="nil"/>
                <w:between w:val="nil"/>
              </w:pBdr>
              <w:rPr>
                <w:b/>
                <w:color w:val="000000"/>
                <w:sz w:val="22"/>
                <w:szCs w:val="22"/>
              </w:rPr>
            </w:pPr>
            <w:r>
              <w:rPr>
                <w:b/>
                <w:color w:val="000000"/>
                <w:sz w:val="22"/>
                <w:szCs w:val="22"/>
              </w:rPr>
              <w:t>Uso principal del suelo:</w:t>
            </w:r>
          </w:p>
        </w:tc>
        <w:tc>
          <w:tcPr>
            <w:tcW w:w="4961" w:type="dxa"/>
            <w:vAlign w:val="center"/>
          </w:tcPr>
          <w:p w14:paraId="18FD5AEE" w14:textId="77777777" w:rsidR="00A16B4B" w:rsidRDefault="00A26F30">
            <w:pPr>
              <w:pBdr>
                <w:top w:val="nil"/>
                <w:left w:val="nil"/>
                <w:bottom w:val="nil"/>
                <w:right w:val="nil"/>
                <w:between w:val="nil"/>
              </w:pBdr>
              <w:rPr>
                <w:color w:val="000000"/>
                <w:sz w:val="22"/>
                <w:szCs w:val="22"/>
              </w:rPr>
            </w:pPr>
            <w:r>
              <w:rPr>
                <w:color w:val="000000"/>
                <w:sz w:val="22"/>
                <w:szCs w:val="22"/>
              </w:rPr>
              <w:t>(RU1) Residencial Urbano 1</w:t>
            </w:r>
          </w:p>
        </w:tc>
      </w:tr>
      <w:tr w:rsidR="00A16B4B" w14:paraId="2BFEDE18" w14:textId="77777777">
        <w:trPr>
          <w:trHeight w:val="226"/>
        </w:trPr>
        <w:tc>
          <w:tcPr>
            <w:tcW w:w="4248" w:type="dxa"/>
            <w:vAlign w:val="center"/>
          </w:tcPr>
          <w:p w14:paraId="7E830717" w14:textId="77777777" w:rsidR="00A16B4B" w:rsidRDefault="00A26F30">
            <w:pPr>
              <w:pBdr>
                <w:top w:val="nil"/>
                <w:left w:val="nil"/>
                <w:bottom w:val="nil"/>
                <w:right w:val="nil"/>
                <w:between w:val="nil"/>
              </w:pBdr>
              <w:rPr>
                <w:b/>
                <w:color w:val="000000"/>
                <w:sz w:val="22"/>
                <w:szCs w:val="22"/>
              </w:rPr>
            </w:pPr>
            <w:r>
              <w:rPr>
                <w:b/>
                <w:color w:val="000000"/>
                <w:sz w:val="22"/>
                <w:szCs w:val="22"/>
              </w:rPr>
              <w:t>Clasificación del Suelo:</w:t>
            </w:r>
          </w:p>
        </w:tc>
        <w:tc>
          <w:tcPr>
            <w:tcW w:w="4961" w:type="dxa"/>
            <w:vAlign w:val="center"/>
          </w:tcPr>
          <w:p w14:paraId="03B403B5" w14:textId="77777777" w:rsidR="00A16B4B" w:rsidRDefault="00A26F30">
            <w:pPr>
              <w:pBdr>
                <w:top w:val="nil"/>
                <w:left w:val="nil"/>
                <w:bottom w:val="nil"/>
                <w:right w:val="nil"/>
                <w:between w:val="nil"/>
              </w:pBdr>
              <w:rPr>
                <w:color w:val="000000"/>
                <w:sz w:val="22"/>
                <w:szCs w:val="22"/>
              </w:rPr>
            </w:pPr>
            <w:r>
              <w:rPr>
                <w:color w:val="000000"/>
                <w:sz w:val="22"/>
                <w:szCs w:val="22"/>
              </w:rPr>
              <w:t>(SU) Suelo Urbano</w:t>
            </w:r>
          </w:p>
        </w:tc>
      </w:tr>
      <w:tr w:rsidR="00A16B4B" w14:paraId="157C25FB" w14:textId="77777777">
        <w:trPr>
          <w:trHeight w:val="101"/>
        </w:trPr>
        <w:tc>
          <w:tcPr>
            <w:tcW w:w="4248" w:type="dxa"/>
            <w:vAlign w:val="center"/>
          </w:tcPr>
          <w:p w14:paraId="6B9B000E" w14:textId="77777777" w:rsidR="00A16B4B" w:rsidRDefault="00A26F30">
            <w:pPr>
              <w:pBdr>
                <w:top w:val="nil"/>
                <w:left w:val="nil"/>
                <w:bottom w:val="nil"/>
                <w:right w:val="nil"/>
                <w:between w:val="nil"/>
              </w:pBdr>
              <w:rPr>
                <w:b/>
                <w:color w:val="000000"/>
                <w:sz w:val="22"/>
                <w:szCs w:val="22"/>
              </w:rPr>
            </w:pPr>
            <w:r>
              <w:rPr>
                <w:b/>
                <w:color w:val="000000"/>
                <w:sz w:val="22"/>
                <w:szCs w:val="22"/>
              </w:rPr>
              <w:t>Número de lotes:</w:t>
            </w:r>
          </w:p>
        </w:tc>
        <w:tc>
          <w:tcPr>
            <w:tcW w:w="4961" w:type="dxa"/>
            <w:vAlign w:val="center"/>
          </w:tcPr>
          <w:p w14:paraId="345E01E9" w14:textId="77777777" w:rsidR="00A16B4B" w:rsidRDefault="00A26F30">
            <w:pPr>
              <w:pBdr>
                <w:top w:val="nil"/>
                <w:left w:val="nil"/>
                <w:bottom w:val="nil"/>
                <w:right w:val="nil"/>
                <w:between w:val="nil"/>
              </w:pBdr>
              <w:rPr>
                <w:b/>
                <w:color w:val="000000"/>
                <w:sz w:val="22"/>
                <w:szCs w:val="22"/>
              </w:rPr>
            </w:pPr>
            <w:r>
              <w:rPr>
                <w:color w:val="000000"/>
                <w:sz w:val="22"/>
                <w:szCs w:val="22"/>
              </w:rPr>
              <w:t>13</w:t>
            </w:r>
          </w:p>
        </w:tc>
      </w:tr>
      <w:tr w:rsidR="00A16B4B" w14:paraId="6AD98F30" w14:textId="77777777">
        <w:trPr>
          <w:trHeight w:val="134"/>
        </w:trPr>
        <w:tc>
          <w:tcPr>
            <w:tcW w:w="4248" w:type="dxa"/>
            <w:vAlign w:val="center"/>
          </w:tcPr>
          <w:p w14:paraId="56C9DBF5" w14:textId="77777777" w:rsidR="00A16B4B" w:rsidRDefault="00A26F30">
            <w:pPr>
              <w:pBdr>
                <w:top w:val="nil"/>
                <w:left w:val="nil"/>
                <w:bottom w:val="nil"/>
                <w:right w:val="nil"/>
                <w:between w:val="nil"/>
              </w:pBdr>
              <w:rPr>
                <w:b/>
                <w:color w:val="000000"/>
                <w:sz w:val="22"/>
                <w:szCs w:val="22"/>
              </w:rPr>
            </w:pPr>
            <w:r>
              <w:rPr>
                <w:b/>
                <w:color w:val="000000"/>
                <w:sz w:val="22"/>
                <w:szCs w:val="22"/>
              </w:rPr>
              <w:t>Área útil de lotes:</w:t>
            </w:r>
          </w:p>
        </w:tc>
        <w:tc>
          <w:tcPr>
            <w:tcW w:w="4961" w:type="dxa"/>
            <w:vAlign w:val="center"/>
          </w:tcPr>
          <w:p w14:paraId="190834AD" w14:textId="77777777" w:rsidR="00A16B4B" w:rsidRDefault="00A26F30" w:rsidP="00FC510A">
            <w:pPr>
              <w:pBdr>
                <w:top w:val="nil"/>
                <w:left w:val="nil"/>
                <w:bottom w:val="nil"/>
                <w:right w:val="nil"/>
                <w:between w:val="nil"/>
              </w:pBdr>
              <w:rPr>
                <w:color w:val="000000"/>
                <w:sz w:val="22"/>
                <w:szCs w:val="22"/>
              </w:rPr>
            </w:pPr>
            <w:r>
              <w:rPr>
                <w:color w:val="000000"/>
                <w:sz w:val="22"/>
                <w:szCs w:val="22"/>
              </w:rPr>
              <w:t xml:space="preserve">  5.098,36 m2</w:t>
            </w:r>
          </w:p>
        </w:tc>
      </w:tr>
      <w:tr w:rsidR="00A16B4B" w14:paraId="2E72F67F" w14:textId="77777777">
        <w:trPr>
          <w:trHeight w:val="152"/>
        </w:trPr>
        <w:tc>
          <w:tcPr>
            <w:tcW w:w="4248" w:type="dxa"/>
            <w:vAlign w:val="center"/>
          </w:tcPr>
          <w:p w14:paraId="37570313" w14:textId="77777777" w:rsidR="00A16B4B" w:rsidRDefault="00A26F30">
            <w:pPr>
              <w:pBdr>
                <w:top w:val="nil"/>
                <w:left w:val="nil"/>
                <w:bottom w:val="nil"/>
                <w:right w:val="nil"/>
                <w:between w:val="nil"/>
              </w:pBdr>
              <w:rPr>
                <w:b/>
                <w:color w:val="000000"/>
                <w:sz w:val="22"/>
                <w:szCs w:val="22"/>
              </w:rPr>
            </w:pPr>
            <w:r>
              <w:rPr>
                <w:b/>
                <w:color w:val="000000"/>
                <w:sz w:val="22"/>
                <w:szCs w:val="22"/>
              </w:rPr>
              <w:t>Área de Pasaje:</w:t>
            </w:r>
          </w:p>
        </w:tc>
        <w:tc>
          <w:tcPr>
            <w:tcW w:w="4961" w:type="dxa"/>
            <w:vAlign w:val="center"/>
          </w:tcPr>
          <w:p w14:paraId="201DB344" w14:textId="77777777" w:rsidR="00A16B4B" w:rsidRDefault="00A26F30" w:rsidP="00FC510A">
            <w:pPr>
              <w:pBdr>
                <w:top w:val="nil"/>
                <w:left w:val="nil"/>
                <w:bottom w:val="nil"/>
                <w:right w:val="nil"/>
                <w:between w:val="nil"/>
              </w:pBdr>
              <w:jc w:val="both"/>
              <w:rPr>
                <w:color w:val="000000"/>
                <w:sz w:val="22"/>
                <w:szCs w:val="22"/>
              </w:rPr>
            </w:pPr>
            <w:r>
              <w:rPr>
                <w:color w:val="000000"/>
                <w:sz w:val="22"/>
                <w:szCs w:val="22"/>
              </w:rPr>
              <w:t xml:space="preserve">     474,06 m2</w:t>
            </w:r>
          </w:p>
        </w:tc>
      </w:tr>
      <w:tr w:rsidR="00A16B4B" w14:paraId="7715121D" w14:textId="77777777">
        <w:trPr>
          <w:trHeight w:val="170"/>
        </w:trPr>
        <w:tc>
          <w:tcPr>
            <w:tcW w:w="4248" w:type="dxa"/>
            <w:vAlign w:val="center"/>
          </w:tcPr>
          <w:p w14:paraId="0B6721DC" w14:textId="77777777" w:rsidR="00A16B4B" w:rsidRDefault="00A26F30">
            <w:pPr>
              <w:pBdr>
                <w:top w:val="nil"/>
                <w:left w:val="nil"/>
                <w:bottom w:val="nil"/>
                <w:right w:val="nil"/>
                <w:between w:val="nil"/>
              </w:pBdr>
              <w:rPr>
                <w:b/>
                <w:color w:val="000000"/>
                <w:sz w:val="22"/>
                <w:szCs w:val="22"/>
              </w:rPr>
            </w:pPr>
            <w:r>
              <w:rPr>
                <w:b/>
                <w:color w:val="000000"/>
                <w:sz w:val="22"/>
                <w:szCs w:val="22"/>
              </w:rPr>
              <w:t>Área Afectación Vial (Macro lote)</w:t>
            </w:r>
          </w:p>
        </w:tc>
        <w:tc>
          <w:tcPr>
            <w:tcW w:w="4961" w:type="dxa"/>
            <w:vAlign w:val="center"/>
          </w:tcPr>
          <w:p w14:paraId="0E8A9F7C" w14:textId="4A7E2154" w:rsidR="00A16B4B" w:rsidRDefault="00A26F30" w:rsidP="00FC510A">
            <w:pPr>
              <w:pBdr>
                <w:top w:val="nil"/>
                <w:left w:val="nil"/>
                <w:bottom w:val="nil"/>
                <w:right w:val="nil"/>
                <w:between w:val="nil"/>
              </w:pBdr>
              <w:jc w:val="both"/>
              <w:rPr>
                <w:color w:val="000000"/>
                <w:sz w:val="22"/>
                <w:szCs w:val="22"/>
              </w:rPr>
            </w:pPr>
            <w:r>
              <w:rPr>
                <w:color w:val="000000"/>
                <w:sz w:val="22"/>
                <w:szCs w:val="22"/>
              </w:rPr>
              <w:t xml:space="preserve">  </w:t>
            </w:r>
            <w:r w:rsidR="007618D2">
              <w:rPr>
                <w:color w:val="000000"/>
                <w:sz w:val="22"/>
                <w:szCs w:val="22"/>
              </w:rPr>
              <w:t xml:space="preserve">   </w:t>
            </w:r>
            <w:r>
              <w:rPr>
                <w:sz w:val="22"/>
                <w:szCs w:val="22"/>
              </w:rPr>
              <w:t>311,20</w:t>
            </w:r>
            <w:r>
              <w:rPr>
                <w:color w:val="000000"/>
                <w:sz w:val="22"/>
                <w:szCs w:val="22"/>
              </w:rPr>
              <w:t xml:space="preserve"> m2</w:t>
            </w:r>
          </w:p>
        </w:tc>
      </w:tr>
      <w:tr w:rsidR="00A16B4B" w14:paraId="044A76E2" w14:textId="77777777">
        <w:trPr>
          <w:trHeight w:val="134"/>
        </w:trPr>
        <w:tc>
          <w:tcPr>
            <w:tcW w:w="4248" w:type="dxa"/>
            <w:vAlign w:val="center"/>
          </w:tcPr>
          <w:p w14:paraId="7E64D9F8" w14:textId="77777777" w:rsidR="00A16B4B" w:rsidRDefault="00A26F30">
            <w:pPr>
              <w:pBdr>
                <w:top w:val="nil"/>
                <w:left w:val="nil"/>
                <w:bottom w:val="nil"/>
                <w:right w:val="nil"/>
                <w:between w:val="nil"/>
              </w:pBdr>
              <w:rPr>
                <w:b/>
                <w:color w:val="000000"/>
                <w:sz w:val="22"/>
                <w:szCs w:val="22"/>
              </w:rPr>
            </w:pPr>
            <w:r>
              <w:rPr>
                <w:b/>
                <w:color w:val="000000"/>
                <w:sz w:val="22"/>
                <w:szCs w:val="22"/>
              </w:rPr>
              <w:t>Área bruta del terreno (Área Total ):</w:t>
            </w:r>
          </w:p>
        </w:tc>
        <w:tc>
          <w:tcPr>
            <w:tcW w:w="4961" w:type="dxa"/>
            <w:vAlign w:val="center"/>
          </w:tcPr>
          <w:p w14:paraId="7E0AED9C" w14:textId="77777777" w:rsidR="00A16B4B" w:rsidRDefault="00A26F30" w:rsidP="00FC510A">
            <w:pPr>
              <w:pBdr>
                <w:top w:val="nil"/>
                <w:left w:val="nil"/>
                <w:bottom w:val="nil"/>
                <w:right w:val="nil"/>
                <w:between w:val="nil"/>
              </w:pBdr>
              <w:jc w:val="both"/>
              <w:rPr>
                <w:color w:val="000000"/>
                <w:sz w:val="22"/>
                <w:szCs w:val="22"/>
              </w:rPr>
            </w:pPr>
            <w:r>
              <w:rPr>
                <w:color w:val="000000"/>
                <w:sz w:val="22"/>
                <w:szCs w:val="22"/>
              </w:rPr>
              <w:t xml:space="preserve">  5.883,62 m2</w:t>
            </w:r>
          </w:p>
        </w:tc>
      </w:tr>
    </w:tbl>
    <w:p w14:paraId="37BF5D4C" w14:textId="77777777" w:rsidR="00A16B4B" w:rsidRDefault="00A16B4B">
      <w:pPr>
        <w:pBdr>
          <w:top w:val="nil"/>
          <w:left w:val="nil"/>
          <w:bottom w:val="nil"/>
          <w:right w:val="nil"/>
          <w:between w:val="nil"/>
        </w:pBdr>
        <w:rPr>
          <w:b/>
          <w:color w:val="000000"/>
          <w:sz w:val="22"/>
          <w:szCs w:val="22"/>
        </w:rPr>
      </w:pPr>
    </w:p>
    <w:p w14:paraId="436AF1FE" w14:textId="77777777" w:rsidR="00A16B4B" w:rsidRDefault="00A26F30">
      <w:pPr>
        <w:pBdr>
          <w:top w:val="nil"/>
          <w:left w:val="nil"/>
          <w:bottom w:val="nil"/>
          <w:right w:val="nil"/>
          <w:between w:val="nil"/>
        </w:pBdr>
        <w:jc w:val="both"/>
        <w:rPr>
          <w:color w:val="000000"/>
          <w:sz w:val="22"/>
          <w:szCs w:val="22"/>
        </w:rPr>
      </w:pPr>
      <w:r>
        <w:rPr>
          <w:color w:val="000000"/>
          <w:sz w:val="22"/>
          <w:szCs w:val="22"/>
        </w:rPr>
        <w:t>El número total de lotes,</w:t>
      </w:r>
      <w:r>
        <w:rPr>
          <w:color w:val="FF0000"/>
          <w:sz w:val="22"/>
          <w:szCs w:val="22"/>
        </w:rPr>
        <w:t xml:space="preserve"> </w:t>
      </w:r>
      <w:r>
        <w:rPr>
          <w:color w:val="000000"/>
          <w:sz w:val="22"/>
          <w:szCs w:val="22"/>
        </w:rPr>
        <w:t xml:space="preserve">producto del fraccionamiento, es de 13, signados del uno (1) al trece (13) cuyo detalle es el que consta en los planos aprobatorios que forman parte de la presente Ordenanza. </w:t>
      </w:r>
    </w:p>
    <w:p w14:paraId="78D27EC1" w14:textId="77777777" w:rsidR="00A16B4B" w:rsidRDefault="00A16B4B">
      <w:pPr>
        <w:pBdr>
          <w:top w:val="nil"/>
          <w:left w:val="nil"/>
          <w:bottom w:val="nil"/>
          <w:right w:val="nil"/>
          <w:between w:val="nil"/>
        </w:pBdr>
        <w:jc w:val="both"/>
        <w:rPr>
          <w:color w:val="000000"/>
          <w:sz w:val="22"/>
          <w:szCs w:val="22"/>
        </w:rPr>
      </w:pPr>
    </w:p>
    <w:p w14:paraId="3E559804" w14:textId="21D9F94A" w:rsidR="00A16B4B" w:rsidRDefault="00A26F30">
      <w:pPr>
        <w:pBdr>
          <w:top w:val="nil"/>
          <w:left w:val="nil"/>
          <w:bottom w:val="nil"/>
          <w:right w:val="nil"/>
          <w:between w:val="nil"/>
        </w:pBdr>
        <w:jc w:val="both"/>
        <w:rPr>
          <w:color w:val="000000"/>
          <w:sz w:val="22"/>
          <w:szCs w:val="22"/>
        </w:rPr>
      </w:pPr>
      <w:r>
        <w:rPr>
          <w:color w:val="000000"/>
          <w:sz w:val="22"/>
          <w:szCs w:val="22"/>
        </w:rPr>
        <w:t xml:space="preserve">El área total del predio No. 313617, es la que consta en la Resolución de Excedentes y Diferencias de área No. 522-2021, del </w:t>
      </w:r>
      <w:r w:rsidR="005413B1">
        <w:rPr>
          <w:color w:val="000000"/>
          <w:sz w:val="22"/>
          <w:szCs w:val="22"/>
        </w:rPr>
        <w:t>0</w:t>
      </w:r>
      <w:r>
        <w:rPr>
          <w:color w:val="000000"/>
          <w:sz w:val="22"/>
          <w:szCs w:val="22"/>
        </w:rPr>
        <w:t xml:space="preserve">6 de noviembre de 2021, emitida por la Dirección Metropolitana de Catastro y se encuentra rectificada y regularizada de conformidad al </w:t>
      </w:r>
      <w:r w:rsidR="00CF5F93">
        <w:rPr>
          <w:color w:val="000000"/>
          <w:sz w:val="22"/>
          <w:szCs w:val="22"/>
        </w:rPr>
        <w:t>artículo</w:t>
      </w:r>
      <w:r>
        <w:rPr>
          <w:color w:val="000000"/>
          <w:sz w:val="22"/>
          <w:szCs w:val="22"/>
        </w:rPr>
        <w:t xml:space="preserve"> 2256 </w:t>
      </w:r>
      <w:r w:rsidR="00CF5F93">
        <w:rPr>
          <w:color w:val="000000"/>
          <w:sz w:val="22"/>
          <w:szCs w:val="22"/>
        </w:rPr>
        <w:t>de la Ordenanza No. 001 de 29 de marzo de 2019.</w:t>
      </w:r>
    </w:p>
    <w:p w14:paraId="74B5AC7D" w14:textId="77777777" w:rsidR="00A16B4B" w:rsidRDefault="00A16B4B">
      <w:pPr>
        <w:pBdr>
          <w:top w:val="nil"/>
          <w:left w:val="nil"/>
          <w:bottom w:val="nil"/>
          <w:right w:val="nil"/>
          <w:between w:val="nil"/>
        </w:pBdr>
        <w:rPr>
          <w:b/>
          <w:color w:val="000000"/>
          <w:sz w:val="22"/>
          <w:szCs w:val="22"/>
        </w:rPr>
      </w:pPr>
    </w:p>
    <w:p w14:paraId="78A72BD8" w14:textId="22E99AE5" w:rsidR="00A16B4B" w:rsidRDefault="00A26F30">
      <w:pPr>
        <w:pBdr>
          <w:top w:val="nil"/>
          <w:left w:val="nil"/>
          <w:bottom w:val="nil"/>
          <w:right w:val="nil"/>
          <w:between w:val="nil"/>
        </w:pBdr>
        <w:jc w:val="both"/>
        <w:rPr>
          <w:color w:val="000000"/>
          <w:sz w:val="22"/>
          <w:szCs w:val="22"/>
        </w:rPr>
      </w:pPr>
      <w:r>
        <w:rPr>
          <w:b/>
          <w:color w:val="000000"/>
          <w:sz w:val="22"/>
          <w:szCs w:val="22"/>
        </w:rPr>
        <w:t>Artículo 5.- Zonificación de los lotes. -</w:t>
      </w:r>
      <w:r>
        <w:rPr>
          <w:color w:val="000000"/>
          <w:sz w:val="22"/>
          <w:szCs w:val="22"/>
        </w:rPr>
        <w:t xml:space="preserve"> Los lotes fraccionados modificarán la zonificación vigente conforme se detalla a continuación: C2(C302-70) </w:t>
      </w:r>
      <w:r w:rsidR="007618D2">
        <w:rPr>
          <w:color w:val="000000"/>
          <w:sz w:val="22"/>
          <w:szCs w:val="22"/>
        </w:rPr>
        <w:t>forma de ocupación del suelo: (</w:t>
      </w:r>
      <w:r>
        <w:rPr>
          <w:color w:val="000000"/>
          <w:sz w:val="22"/>
          <w:szCs w:val="22"/>
        </w:rPr>
        <w:t>C) Continua con retiro frontal; Uso Principal del Suelo (RU1) Res</w:t>
      </w:r>
      <w:r w:rsidR="007618D2">
        <w:rPr>
          <w:color w:val="000000"/>
          <w:sz w:val="22"/>
          <w:szCs w:val="22"/>
        </w:rPr>
        <w:t>idencial Urbano 1; lote mínimo 3</w:t>
      </w:r>
      <w:r>
        <w:rPr>
          <w:color w:val="000000"/>
          <w:sz w:val="22"/>
          <w:szCs w:val="22"/>
        </w:rPr>
        <w:t>00 m2; COS en Planta Baja: 70%, COS Total: 140%.</w:t>
      </w:r>
    </w:p>
    <w:p w14:paraId="404A0829" w14:textId="77777777" w:rsidR="00A16B4B" w:rsidRDefault="00A16B4B">
      <w:pPr>
        <w:pBdr>
          <w:top w:val="nil"/>
          <w:left w:val="nil"/>
          <w:bottom w:val="nil"/>
          <w:right w:val="nil"/>
          <w:between w:val="nil"/>
        </w:pBdr>
        <w:jc w:val="both"/>
        <w:rPr>
          <w:b/>
          <w:color w:val="000000"/>
          <w:sz w:val="22"/>
          <w:szCs w:val="22"/>
        </w:rPr>
      </w:pPr>
    </w:p>
    <w:p w14:paraId="7327EF1F" w14:textId="77777777" w:rsidR="00A16B4B" w:rsidRDefault="00A26F30">
      <w:pPr>
        <w:pBdr>
          <w:top w:val="nil"/>
          <w:left w:val="nil"/>
          <w:bottom w:val="nil"/>
          <w:right w:val="nil"/>
          <w:between w:val="nil"/>
        </w:pBdr>
        <w:jc w:val="both"/>
        <w:rPr>
          <w:color w:val="000000"/>
          <w:sz w:val="22"/>
          <w:szCs w:val="22"/>
        </w:rPr>
      </w:pPr>
      <w:r>
        <w:rPr>
          <w:b/>
          <w:color w:val="000000"/>
          <w:sz w:val="22"/>
          <w:szCs w:val="22"/>
        </w:rPr>
        <w:t xml:space="preserve">Artículo 6.- Clasificación del Suelo. - </w:t>
      </w:r>
      <w:r>
        <w:rPr>
          <w:color w:val="000000"/>
          <w:sz w:val="22"/>
          <w:szCs w:val="22"/>
        </w:rPr>
        <w:t>Los lotes fraccionados mantendrán la clasificación vigente esto es (SU) Suelo Urbano.</w:t>
      </w:r>
    </w:p>
    <w:p w14:paraId="5E0D7D7C" w14:textId="77777777" w:rsidR="00A16B4B" w:rsidRDefault="00A16B4B">
      <w:pPr>
        <w:pBdr>
          <w:top w:val="nil"/>
          <w:left w:val="nil"/>
          <w:bottom w:val="nil"/>
          <w:right w:val="nil"/>
          <w:between w:val="nil"/>
        </w:pBdr>
        <w:rPr>
          <w:b/>
          <w:color w:val="000000"/>
          <w:sz w:val="22"/>
          <w:szCs w:val="22"/>
        </w:rPr>
      </w:pPr>
    </w:p>
    <w:p w14:paraId="4693D663" w14:textId="77777777" w:rsidR="00A16B4B" w:rsidRDefault="00A26F30">
      <w:pPr>
        <w:pBdr>
          <w:top w:val="nil"/>
          <w:left w:val="nil"/>
          <w:bottom w:val="nil"/>
          <w:right w:val="nil"/>
          <w:between w:val="nil"/>
        </w:pBdr>
        <w:jc w:val="both"/>
        <w:rPr>
          <w:color w:val="000000"/>
          <w:sz w:val="22"/>
          <w:szCs w:val="22"/>
        </w:rPr>
      </w:pPr>
      <w:r>
        <w:rPr>
          <w:b/>
          <w:color w:val="000000"/>
          <w:sz w:val="22"/>
          <w:szCs w:val="22"/>
        </w:rPr>
        <w:t xml:space="preserve">Artículo 7.- Lotes por excepción. - </w:t>
      </w:r>
      <w:r>
        <w:rPr>
          <w:color w:val="000000"/>
          <w:sz w:val="22"/>
          <w:szCs w:val="22"/>
        </w:rPr>
        <w:t>Por tratarse de un asentamiento de hecho y consolidado de interés social, se aprueba por excepción, esto es, con áreas inferiores a las mínimas establecidas en la zonificación propuesta, el lote 3, 7, 9, 10, 11 y 12.</w:t>
      </w:r>
    </w:p>
    <w:p w14:paraId="309473B9" w14:textId="77777777" w:rsidR="00A16B4B" w:rsidRDefault="00A16B4B">
      <w:pPr>
        <w:pBdr>
          <w:top w:val="nil"/>
          <w:left w:val="nil"/>
          <w:bottom w:val="nil"/>
          <w:right w:val="nil"/>
          <w:between w:val="nil"/>
        </w:pBdr>
        <w:jc w:val="both"/>
        <w:rPr>
          <w:color w:val="000000"/>
          <w:sz w:val="22"/>
          <w:szCs w:val="22"/>
        </w:rPr>
      </w:pPr>
    </w:p>
    <w:p w14:paraId="4A285F4A" w14:textId="2315962D" w:rsidR="00A16B4B" w:rsidRDefault="00A26F30">
      <w:pPr>
        <w:pBdr>
          <w:top w:val="nil"/>
          <w:left w:val="nil"/>
          <w:bottom w:val="nil"/>
          <w:right w:val="nil"/>
          <w:between w:val="nil"/>
        </w:pBdr>
        <w:jc w:val="both"/>
        <w:rPr>
          <w:color w:val="000000"/>
          <w:sz w:val="22"/>
          <w:szCs w:val="22"/>
        </w:rPr>
      </w:pPr>
      <w:r>
        <w:rPr>
          <w:b/>
          <w:color w:val="000000"/>
          <w:sz w:val="22"/>
          <w:szCs w:val="22"/>
        </w:rPr>
        <w:t>Artículo 8.-</w:t>
      </w:r>
      <w:r>
        <w:rPr>
          <w:color w:val="000000"/>
          <w:sz w:val="22"/>
          <w:szCs w:val="22"/>
        </w:rPr>
        <w:t xml:space="preserve"> </w:t>
      </w:r>
      <w:r>
        <w:rPr>
          <w:b/>
          <w:color w:val="000000"/>
          <w:sz w:val="22"/>
          <w:szCs w:val="22"/>
        </w:rPr>
        <w:t xml:space="preserve">Exoneración del porcentaje del área </w:t>
      </w:r>
      <w:r w:rsidR="00E858EC">
        <w:rPr>
          <w:b/>
          <w:color w:val="000000"/>
          <w:sz w:val="22"/>
          <w:szCs w:val="22"/>
        </w:rPr>
        <w:t>verde. -</w:t>
      </w:r>
      <w:r>
        <w:rPr>
          <w:color w:val="000000"/>
          <w:sz w:val="22"/>
          <w:szCs w:val="22"/>
        </w:rPr>
        <w:t xml:space="preserve"> A los copropietarios del predio donde se encuentra el asentamiento humano de hecho y consolidado de interés social denominado “Santa Inés Pasaje Carrera</w:t>
      </w:r>
      <w:r w:rsidR="00E858EC">
        <w:rPr>
          <w:color w:val="000000"/>
          <w:sz w:val="22"/>
          <w:szCs w:val="22"/>
        </w:rPr>
        <w:t>”, conforme</w:t>
      </w:r>
      <w:r>
        <w:rPr>
          <w:color w:val="000000"/>
          <w:sz w:val="22"/>
          <w:szCs w:val="22"/>
        </w:rPr>
        <w:t xml:space="preserve"> a la normativa vigente se les exonera el 15% como contribución del área verde, por ser considerado como un asentamiento declarado de Interés Social. </w:t>
      </w:r>
    </w:p>
    <w:p w14:paraId="09DC86FB" w14:textId="77777777" w:rsidR="00A16B4B" w:rsidRDefault="00A16B4B">
      <w:pPr>
        <w:pBdr>
          <w:top w:val="nil"/>
          <w:left w:val="nil"/>
          <w:bottom w:val="nil"/>
          <w:right w:val="nil"/>
          <w:between w:val="nil"/>
        </w:pBdr>
        <w:jc w:val="both"/>
        <w:rPr>
          <w:color w:val="000000"/>
          <w:sz w:val="22"/>
          <w:szCs w:val="22"/>
        </w:rPr>
      </w:pPr>
    </w:p>
    <w:p w14:paraId="6C3310A4" w14:textId="3A2BFDE5" w:rsidR="00A16B4B" w:rsidRDefault="00A26F30">
      <w:pPr>
        <w:pBdr>
          <w:top w:val="nil"/>
          <w:left w:val="nil"/>
          <w:bottom w:val="nil"/>
          <w:right w:val="nil"/>
          <w:between w:val="nil"/>
        </w:pBdr>
        <w:jc w:val="both"/>
        <w:rPr>
          <w:i/>
          <w:color w:val="000000"/>
          <w:sz w:val="22"/>
          <w:szCs w:val="22"/>
        </w:rPr>
      </w:pPr>
      <w:r>
        <w:rPr>
          <w:b/>
          <w:color w:val="000000"/>
          <w:sz w:val="22"/>
          <w:szCs w:val="22"/>
        </w:rPr>
        <w:t xml:space="preserve">Artículo 9- Calificación de Riesgos. - </w:t>
      </w:r>
      <w:r>
        <w:rPr>
          <w:color w:val="000000"/>
          <w:sz w:val="22"/>
          <w:szCs w:val="22"/>
        </w:rPr>
        <w:t xml:space="preserve">El asentamiento humano de hecho y consolidado de interés social denominado “Santa Inés Pasaje Carrera”, deberá cumplir y acatar las recomendaciones que se encuentran determinadas en el informe de la Dirección Metropolitana de Gestión de </w:t>
      </w:r>
      <w:r w:rsidR="00E858EC">
        <w:rPr>
          <w:color w:val="000000"/>
          <w:sz w:val="22"/>
          <w:szCs w:val="22"/>
        </w:rPr>
        <w:t>Riesgos No</w:t>
      </w:r>
      <w:r>
        <w:rPr>
          <w:color w:val="000000"/>
          <w:sz w:val="22"/>
          <w:szCs w:val="22"/>
        </w:rPr>
        <w:t>. I-</w:t>
      </w:r>
      <w:r>
        <w:rPr>
          <w:color w:val="000000"/>
          <w:sz w:val="22"/>
          <w:szCs w:val="22"/>
        </w:rPr>
        <w:lastRenderedPageBreak/>
        <w:t>0002-EAH-AT-DMGR-2021, de 20 de enero de 2021,  realizada al AHHYC “Santa Inés Pasaje Carrera”, determina que: “</w:t>
      </w:r>
      <w:r>
        <w:rPr>
          <w:i/>
          <w:color w:val="000000"/>
          <w:sz w:val="22"/>
          <w:szCs w:val="22"/>
        </w:rPr>
        <w:t>Para el proceso de regularización de tierras se considera el nivel de riesgos frente a movimientos en masa, ya que representa el fenómeno más importante para la posible pérdida del terreno, en tal virtud se considera que:</w:t>
      </w:r>
      <w:r>
        <w:rPr>
          <w:b/>
          <w:i/>
          <w:color w:val="000000"/>
          <w:sz w:val="22"/>
          <w:szCs w:val="22"/>
        </w:rPr>
        <w:t xml:space="preserve"> Movimientos en masa: el AHHYC </w:t>
      </w:r>
      <w:r>
        <w:rPr>
          <w:i/>
          <w:color w:val="000000"/>
          <w:sz w:val="22"/>
          <w:szCs w:val="22"/>
        </w:rPr>
        <w:t>“Santa Inés Pasaje Carrera” en general presenta un Riesgo Moderado Mitigable para los lotes expuestos.”</w:t>
      </w:r>
    </w:p>
    <w:p w14:paraId="7E124C06" w14:textId="77777777" w:rsidR="00A16B4B" w:rsidRDefault="00A16B4B">
      <w:pPr>
        <w:pBdr>
          <w:top w:val="nil"/>
          <w:left w:val="nil"/>
          <w:bottom w:val="nil"/>
          <w:right w:val="nil"/>
          <w:between w:val="nil"/>
        </w:pBdr>
        <w:jc w:val="both"/>
        <w:rPr>
          <w:i/>
          <w:color w:val="000000"/>
          <w:sz w:val="22"/>
          <w:szCs w:val="22"/>
          <w:highlight w:val="cyan"/>
        </w:rPr>
      </w:pPr>
    </w:p>
    <w:p w14:paraId="1EFB8A7A" w14:textId="77777777" w:rsidR="00A16B4B" w:rsidRDefault="00A26F30">
      <w:pPr>
        <w:spacing w:after="240"/>
        <w:jc w:val="both"/>
        <w:rPr>
          <w:sz w:val="22"/>
          <w:szCs w:val="22"/>
        </w:rPr>
      </w:pPr>
      <w:r>
        <w:rPr>
          <w:sz w:val="22"/>
          <w:szCs w:val="22"/>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32FC2D62" w14:textId="77777777" w:rsidR="00A16B4B" w:rsidRDefault="00A26F30">
      <w:pPr>
        <w:pBdr>
          <w:top w:val="nil"/>
          <w:left w:val="nil"/>
          <w:bottom w:val="nil"/>
          <w:right w:val="nil"/>
          <w:between w:val="nil"/>
        </w:pBdr>
        <w:jc w:val="both"/>
        <w:rPr>
          <w:color w:val="000000"/>
          <w:sz w:val="22"/>
          <w:szCs w:val="22"/>
        </w:rPr>
      </w:pPr>
      <w:r>
        <w:rPr>
          <w:color w:val="000000"/>
          <w:sz w:val="22"/>
          <w:szCs w:val="22"/>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0210, de 12 de abril de 2018, que contiene el Plan de Uso y Ocupación del Suelo del Distrito Metropolitano de Quito.</w:t>
      </w:r>
    </w:p>
    <w:p w14:paraId="0F65D1E2" w14:textId="77777777" w:rsidR="00A16B4B" w:rsidRDefault="00A16B4B">
      <w:pPr>
        <w:pBdr>
          <w:top w:val="nil"/>
          <w:left w:val="nil"/>
          <w:bottom w:val="nil"/>
          <w:right w:val="nil"/>
          <w:between w:val="nil"/>
        </w:pBdr>
        <w:jc w:val="both"/>
        <w:rPr>
          <w:b/>
          <w:color w:val="000000"/>
          <w:sz w:val="22"/>
          <w:szCs w:val="22"/>
        </w:rPr>
      </w:pPr>
    </w:p>
    <w:p w14:paraId="5031974E" w14:textId="77777777" w:rsidR="00A16B4B" w:rsidRDefault="00A26F30">
      <w:pPr>
        <w:pBdr>
          <w:top w:val="nil"/>
          <w:left w:val="nil"/>
          <w:bottom w:val="nil"/>
          <w:right w:val="nil"/>
          <w:between w:val="nil"/>
        </w:pBdr>
        <w:jc w:val="both"/>
        <w:rPr>
          <w:color w:val="000000"/>
          <w:sz w:val="22"/>
          <w:szCs w:val="22"/>
        </w:rPr>
      </w:pPr>
      <w:r>
        <w:rPr>
          <w:b/>
          <w:color w:val="000000"/>
          <w:sz w:val="22"/>
          <w:szCs w:val="22"/>
        </w:rPr>
        <w:t>Articulo 10.-</w:t>
      </w:r>
      <w:r>
        <w:rPr>
          <w:color w:val="000000"/>
          <w:sz w:val="22"/>
          <w:szCs w:val="22"/>
        </w:rPr>
        <w:t xml:space="preserve"> </w:t>
      </w:r>
      <w:r>
        <w:rPr>
          <w:b/>
          <w:color w:val="000000"/>
          <w:sz w:val="22"/>
          <w:szCs w:val="22"/>
        </w:rPr>
        <w:t xml:space="preserve">De las vías. - </w:t>
      </w:r>
      <w:r>
        <w:rPr>
          <w:color w:val="000000"/>
          <w:sz w:val="22"/>
          <w:szCs w:val="22"/>
        </w:rPr>
        <w:t xml:space="preserve">El asentamiento humano de hecho y consolidado de interés social denominado “Santa Inés Pasaje Carrera”, contempla un sistema vial de uso público, debido a que éste es un asentamiento humano de hecho y consolidado de interés social de 26 años de existencia, con 92.31% de consolidación de viviendas y se encuentra ejecutando obras de infraestructura, razón por la cual los anchos viales se sujetarán al plano adjunto a la presente ordenanza. </w:t>
      </w:r>
    </w:p>
    <w:p w14:paraId="19865AC3" w14:textId="77777777" w:rsidR="00A16B4B" w:rsidRDefault="00A16B4B">
      <w:pPr>
        <w:pBdr>
          <w:top w:val="nil"/>
          <w:left w:val="nil"/>
          <w:bottom w:val="nil"/>
          <w:right w:val="nil"/>
          <w:between w:val="nil"/>
        </w:pBdr>
        <w:jc w:val="both"/>
        <w:rPr>
          <w:color w:val="000000"/>
          <w:sz w:val="22"/>
          <w:szCs w:val="22"/>
        </w:rPr>
      </w:pPr>
    </w:p>
    <w:p w14:paraId="5254B2FF" w14:textId="77777777" w:rsidR="00A16B4B" w:rsidRDefault="00A26F30">
      <w:pPr>
        <w:pBdr>
          <w:top w:val="nil"/>
          <w:left w:val="nil"/>
          <w:bottom w:val="nil"/>
          <w:right w:val="nil"/>
          <w:between w:val="nil"/>
        </w:pBdr>
        <w:jc w:val="both"/>
        <w:rPr>
          <w:color w:val="000000"/>
          <w:sz w:val="22"/>
          <w:szCs w:val="22"/>
        </w:rPr>
      </w:pPr>
      <w:r>
        <w:rPr>
          <w:color w:val="000000"/>
          <w:sz w:val="22"/>
          <w:szCs w:val="22"/>
        </w:rPr>
        <w:t>Se regulariza el pasaje con el siguiente ancho:</w:t>
      </w:r>
    </w:p>
    <w:p w14:paraId="1663B768" w14:textId="77777777" w:rsidR="00A16B4B" w:rsidRDefault="00A16B4B">
      <w:pPr>
        <w:pBdr>
          <w:top w:val="nil"/>
          <w:left w:val="nil"/>
          <w:bottom w:val="nil"/>
          <w:right w:val="nil"/>
          <w:between w:val="nil"/>
        </w:pBdr>
        <w:jc w:val="both"/>
        <w:rPr>
          <w:color w:val="000000"/>
          <w:sz w:val="22"/>
          <w:szCs w:val="22"/>
        </w:rPr>
      </w:pPr>
    </w:p>
    <w:tbl>
      <w:tblPr>
        <w:tblStyle w:val="a1"/>
        <w:tblW w:w="86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3"/>
        <w:gridCol w:w="4218"/>
      </w:tblGrid>
      <w:tr w:rsidR="00A16B4B" w14:paraId="132457AC" w14:textId="77777777">
        <w:trPr>
          <w:trHeight w:val="241"/>
        </w:trPr>
        <w:tc>
          <w:tcPr>
            <w:tcW w:w="4453" w:type="dxa"/>
          </w:tcPr>
          <w:p w14:paraId="0A7FD14C" w14:textId="2EF49155" w:rsidR="00A16B4B" w:rsidRDefault="00A26F30">
            <w:pPr>
              <w:pBdr>
                <w:top w:val="nil"/>
                <w:left w:val="nil"/>
                <w:bottom w:val="nil"/>
                <w:right w:val="nil"/>
                <w:between w:val="nil"/>
              </w:pBdr>
              <w:jc w:val="both"/>
              <w:rPr>
                <w:b/>
                <w:color w:val="000000"/>
                <w:sz w:val="22"/>
                <w:szCs w:val="22"/>
              </w:rPr>
            </w:pPr>
            <w:r>
              <w:rPr>
                <w:color w:val="000000"/>
                <w:sz w:val="22"/>
                <w:szCs w:val="22"/>
              </w:rPr>
              <w:t>Pasaje E7H San</w:t>
            </w:r>
            <w:r w:rsidR="00CF5F93">
              <w:rPr>
                <w:color w:val="000000"/>
                <w:sz w:val="22"/>
                <w:szCs w:val="22"/>
              </w:rPr>
              <w:t>/</w:t>
            </w:r>
            <w:r>
              <w:rPr>
                <w:color w:val="000000"/>
                <w:sz w:val="22"/>
                <w:szCs w:val="22"/>
              </w:rPr>
              <w:t>to</w:t>
            </w:r>
            <w:r w:rsidR="00CF5F93">
              <w:rPr>
                <w:color w:val="000000"/>
                <w:sz w:val="22"/>
                <w:szCs w:val="22"/>
              </w:rPr>
              <w:t>/ta</w:t>
            </w:r>
            <w:r>
              <w:rPr>
                <w:color w:val="000000"/>
                <w:sz w:val="22"/>
                <w:szCs w:val="22"/>
              </w:rPr>
              <w:t xml:space="preserve"> Vicente</w:t>
            </w:r>
          </w:p>
        </w:tc>
        <w:tc>
          <w:tcPr>
            <w:tcW w:w="4218" w:type="dxa"/>
          </w:tcPr>
          <w:p w14:paraId="648D1325" w14:textId="77777777" w:rsidR="00A16B4B" w:rsidRDefault="00A26F30">
            <w:pPr>
              <w:pBdr>
                <w:top w:val="nil"/>
                <w:left w:val="nil"/>
                <w:bottom w:val="nil"/>
                <w:right w:val="nil"/>
                <w:between w:val="nil"/>
              </w:pBdr>
              <w:rPr>
                <w:rFonts w:ascii="Calibri" w:eastAsia="Calibri" w:hAnsi="Calibri" w:cs="Calibri"/>
                <w:color w:val="000000"/>
                <w:sz w:val="22"/>
                <w:szCs w:val="22"/>
              </w:rPr>
            </w:pPr>
            <w:r>
              <w:rPr>
                <w:color w:val="000000"/>
                <w:sz w:val="22"/>
                <w:szCs w:val="22"/>
              </w:rPr>
              <w:t>(variable)     6.00m / 5.85m / 3.01m</w:t>
            </w:r>
          </w:p>
        </w:tc>
      </w:tr>
    </w:tbl>
    <w:p w14:paraId="7444242B" w14:textId="77777777" w:rsidR="00A16B4B" w:rsidRDefault="00A16B4B">
      <w:pPr>
        <w:pBdr>
          <w:top w:val="nil"/>
          <w:left w:val="nil"/>
          <w:bottom w:val="nil"/>
          <w:right w:val="nil"/>
          <w:between w:val="nil"/>
        </w:pBdr>
        <w:rPr>
          <w:b/>
          <w:color w:val="000000"/>
          <w:sz w:val="22"/>
          <w:szCs w:val="22"/>
        </w:rPr>
      </w:pPr>
    </w:p>
    <w:p w14:paraId="752C78C8" w14:textId="77777777" w:rsidR="00A16B4B" w:rsidRDefault="00A26F30">
      <w:pPr>
        <w:pBdr>
          <w:top w:val="nil"/>
          <w:left w:val="nil"/>
          <w:bottom w:val="nil"/>
          <w:right w:val="nil"/>
          <w:between w:val="nil"/>
        </w:pBdr>
        <w:jc w:val="both"/>
        <w:rPr>
          <w:color w:val="000000"/>
          <w:sz w:val="22"/>
          <w:szCs w:val="22"/>
        </w:rPr>
      </w:pPr>
      <w:r>
        <w:rPr>
          <w:b/>
          <w:color w:val="000000"/>
          <w:sz w:val="22"/>
          <w:szCs w:val="22"/>
        </w:rPr>
        <w:t xml:space="preserve">Artículo 11.- De la Protocolización e inscripción de la Ordenanza. -  </w:t>
      </w:r>
      <w:r>
        <w:rPr>
          <w:color w:val="000000"/>
          <w:sz w:val="22"/>
          <w:szCs w:val="22"/>
        </w:rPr>
        <w:t xml:space="preserve">Los copropietarios del predio del asentamiento humano de hecho y consolidado de interés social denominado “Santa Inés Pasaje Carrera”, deberán protocolizar la presente Ordenanza ante Notario Público e inscribirla en el Registro de la Propiedad del Distrito Metropolitano de Quito, con todos sus documentos habilitantes; </w:t>
      </w:r>
    </w:p>
    <w:p w14:paraId="462297E7" w14:textId="77777777" w:rsidR="00A16B4B" w:rsidRDefault="00A16B4B">
      <w:pPr>
        <w:pBdr>
          <w:top w:val="nil"/>
          <w:left w:val="nil"/>
          <w:bottom w:val="nil"/>
          <w:right w:val="nil"/>
          <w:between w:val="nil"/>
        </w:pBdr>
        <w:jc w:val="both"/>
        <w:rPr>
          <w:color w:val="000000"/>
          <w:sz w:val="22"/>
          <w:szCs w:val="22"/>
        </w:rPr>
      </w:pPr>
    </w:p>
    <w:p w14:paraId="382A4D83" w14:textId="77777777" w:rsidR="00A16B4B" w:rsidRDefault="00A26F30">
      <w:pPr>
        <w:pBdr>
          <w:top w:val="nil"/>
          <w:left w:val="nil"/>
          <w:bottom w:val="nil"/>
          <w:right w:val="nil"/>
          <w:between w:val="nil"/>
        </w:pBdr>
        <w:jc w:val="both"/>
        <w:rPr>
          <w:color w:val="000000"/>
          <w:sz w:val="22"/>
          <w:szCs w:val="22"/>
        </w:rPr>
      </w:pPr>
      <w:bookmarkStart w:id="2" w:name="_heading=h.gjdgxs" w:colFirst="0" w:colLast="0"/>
      <w:bookmarkEnd w:id="2"/>
      <w:r>
        <w:rPr>
          <w:color w:val="000000"/>
          <w:sz w:val="22"/>
          <w:szCs w:val="22"/>
        </w:rPr>
        <w:t xml:space="preserve">En caso de no inscribir la presente ordenanza, ésta caducará en el plazo de tres (03) años de conformidad con lo dispuesto en el artículo 3714 de la Ordenanza No. 001 de 29 de marzo de 2019. </w:t>
      </w:r>
    </w:p>
    <w:p w14:paraId="49EC7733" w14:textId="77777777" w:rsidR="00A16B4B" w:rsidRDefault="00A16B4B">
      <w:pPr>
        <w:pBdr>
          <w:top w:val="nil"/>
          <w:left w:val="nil"/>
          <w:bottom w:val="nil"/>
          <w:right w:val="nil"/>
          <w:between w:val="nil"/>
        </w:pBdr>
        <w:jc w:val="both"/>
        <w:rPr>
          <w:color w:val="000000"/>
          <w:sz w:val="22"/>
          <w:szCs w:val="22"/>
        </w:rPr>
      </w:pPr>
    </w:p>
    <w:p w14:paraId="0FA5CCDA" w14:textId="228C2F61" w:rsidR="00A16B4B" w:rsidRDefault="00A26F30">
      <w:pPr>
        <w:pBdr>
          <w:top w:val="nil"/>
          <w:left w:val="nil"/>
          <w:bottom w:val="nil"/>
          <w:right w:val="nil"/>
          <w:between w:val="nil"/>
        </w:pBdr>
        <w:jc w:val="both"/>
        <w:rPr>
          <w:color w:val="000000"/>
          <w:sz w:val="22"/>
          <w:szCs w:val="22"/>
        </w:rPr>
      </w:pPr>
      <w:r w:rsidRPr="00D3671A">
        <w:rPr>
          <w:b/>
          <w:color w:val="000000"/>
          <w:sz w:val="22"/>
          <w:szCs w:val="22"/>
        </w:rPr>
        <w:t xml:space="preserve">Artículo 12.- </w:t>
      </w:r>
      <w:r w:rsidR="007579AF" w:rsidRPr="00D3671A">
        <w:rPr>
          <w:b/>
          <w:sz w:val="22"/>
          <w:szCs w:val="22"/>
          <w:lang w:val="es-ES_tradnl"/>
        </w:rPr>
        <w:t xml:space="preserve">De la entrega de escrituras </w:t>
      </w:r>
      <w:r w:rsidR="00E858EC" w:rsidRPr="00D3671A">
        <w:rPr>
          <w:b/>
          <w:sz w:val="22"/>
          <w:szCs w:val="22"/>
          <w:lang w:val="es-ES_tradnl"/>
        </w:rPr>
        <w:t>individuales. -</w:t>
      </w:r>
      <w:r w:rsidR="007579AF" w:rsidRPr="00D3671A">
        <w:rPr>
          <w:sz w:val="22"/>
          <w:szCs w:val="22"/>
          <w:lang w:val="es-ES_tradnl"/>
        </w:rPr>
        <w:t xml:space="preserve"> </w:t>
      </w:r>
      <w:r w:rsidR="007579AF" w:rsidRPr="00D3671A">
        <w:rPr>
          <w:color w:val="000000"/>
          <w:sz w:val="22"/>
          <w:szCs w:val="22"/>
        </w:rPr>
        <w:t xml:space="preserve">El asentamiento humano de hecho y consolidado de interés social denominado “Santa Inés Pasaje Carrera”, </w:t>
      </w:r>
      <w:r w:rsidR="007579AF" w:rsidRPr="00D3671A">
        <w:rPr>
          <w:sz w:val="22"/>
          <w:szCs w:val="22"/>
          <w:lang w:val="es-ES_tradnl"/>
        </w:rPr>
        <w:t xml:space="preserve">a través de sus propietarios deberán entregar las respectivas escrituras individuales a favor de los beneficiarios conforme a la </w:t>
      </w:r>
      <w:r w:rsidR="00E858EC" w:rsidRPr="00D3671A">
        <w:rPr>
          <w:sz w:val="22"/>
          <w:szCs w:val="22"/>
          <w:lang w:val="es-ES_tradnl"/>
        </w:rPr>
        <w:t>ley, una</w:t>
      </w:r>
      <w:r w:rsidR="007579AF" w:rsidRPr="00D3671A">
        <w:rPr>
          <w:sz w:val="22"/>
          <w:szCs w:val="22"/>
          <w:lang w:val="es-ES_tradnl"/>
        </w:rPr>
        <w:t xml:space="preserve"> vez inscrita la Ordenanza en el Registro de la Propiedad del cantón Quito, bajo eventual responsabilidad civil y penal de los propietarios en caso de incumplimiento.</w:t>
      </w:r>
      <w:r w:rsidR="007579AF" w:rsidRPr="00EA5857">
        <w:rPr>
          <w:sz w:val="22"/>
          <w:szCs w:val="22"/>
          <w:lang w:val="es-ES_tradnl"/>
        </w:rPr>
        <w:t xml:space="preserve"> </w:t>
      </w:r>
      <w:r>
        <w:rPr>
          <w:color w:val="000000"/>
          <w:sz w:val="22"/>
          <w:szCs w:val="22"/>
        </w:rPr>
        <w:t xml:space="preserve"> </w:t>
      </w:r>
    </w:p>
    <w:p w14:paraId="66B07B32" w14:textId="77777777" w:rsidR="00A16B4B" w:rsidRDefault="00A16B4B">
      <w:pPr>
        <w:pBdr>
          <w:top w:val="nil"/>
          <w:left w:val="nil"/>
          <w:bottom w:val="nil"/>
          <w:right w:val="nil"/>
          <w:between w:val="nil"/>
        </w:pBdr>
        <w:jc w:val="both"/>
        <w:rPr>
          <w:b/>
          <w:color w:val="000000"/>
          <w:sz w:val="22"/>
          <w:szCs w:val="22"/>
        </w:rPr>
      </w:pPr>
    </w:p>
    <w:p w14:paraId="1B730941" w14:textId="77777777" w:rsidR="00A16B4B" w:rsidRDefault="00A26F30">
      <w:pPr>
        <w:pBdr>
          <w:top w:val="nil"/>
          <w:left w:val="nil"/>
          <w:bottom w:val="nil"/>
          <w:right w:val="nil"/>
          <w:between w:val="nil"/>
        </w:pBdr>
        <w:jc w:val="both"/>
        <w:rPr>
          <w:b/>
          <w:color w:val="000000"/>
          <w:sz w:val="22"/>
          <w:szCs w:val="22"/>
        </w:rPr>
      </w:pPr>
      <w:r>
        <w:rPr>
          <w:b/>
          <w:color w:val="000000"/>
          <w:sz w:val="22"/>
          <w:szCs w:val="22"/>
        </w:rPr>
        <w:t>Artículo 13.- Potestad de ejecución. -</w:t>
      </w:r>
      <w:r>
        <w:rPr>
          <w:color w:val="000000"/>
          <w:sz w:val="22"/>
          <w:szCs w:val="22"/>
        </w:rPr>
        <w:t xml:space="preserve"> Para el fiel cumplimiento de las disposiciones de esta Ordenanza, y en caso de que no se hayan cumplido los plazos establecidos, se podrá solicitar el auxilio de la Policía Nacional o ejecutar en forma subsidiaria, los actos que el obligado no hubiere </w:t>
      </w:r>
      <w:r>
        <w:rPr>
          <w:color w:val="000000"/>
          <w:sz w:val="22"/>
          <w:szCs w:val="22"/>
        </w:rPr>
        <w:lastRenderedPageBreak/>
        <w:t>cumplido, a costa de estos. En este evento, se podrá recuperar los valores invertidos por la vía coactiva, con un recargo del veinte por ciento (20%) más los intereses correspondientes.</w:t>
      </w:r>
      <w:r>
        <w:rPr>
          <w:b/>
          <w:color w:val="000000"/>
          <w:sz w:val="22"/>
          <w:szCs w:val="22"/>
        </w:rPr>
        <w:t xml:space="preserve"> </w:t>
      </w:r>
    </w:p>
    <w:p w14:paraId="2736BF28" w14:textId="77777777" w:rsidR="00A16B4B" w:rsidRDefault="00A16B4B">
      <w:pPr>
        <w:pBdr>
          <w:top w:val="nil"/>
          <w:left w:val="nil"/>
          <w:bottom w:val="nil"/>
          <w:right w:val="nil"/>
          <w:between w:val="nil"/>
        </w:pBdr>
        <w:jc w:val="both"/>
        <w:rPr>
          <w:b/>
          <w:color w:val="000000"/>
          <w:sz w:val="22"/>
          <w:szCs w:val="22"/>
        </w:rPr>
      </w:pPr>
    </w:p>
    <w:p w14:paraId="7A503260" w14:textId="77777777" w:rsidR="00A16B4B" w:rsidRDefault="00A26F30">
      <w:pPr>
        <w:pBdr>
          <w:top w:val="nil"/>
          <w:left w:val="nil"/>
          <w:bottom w:val="nil"/>
          <w:right w:val="nil"/>
          <w:between w:val="nil"/>
        </w:pBdr>
        <w:jc w:val="both"/>
        <w:rPr>
          <w:b/>
          <w:color w:val="000000"/>
          <w:sz w:val="22"/>
          <w:szCs w:val="22"/>
        </w:rPr>
      </w:pPr>
      <w:r>
        <w:rPr>
          <w:b/>
          <w:color w:val="000000"/>
          <w:sz w:val="22"/>
          <w:szCs w:val="22"/>
        </w:rPr>
        <w:t>Disposiciones Generales</w:t>
      </w:r>
    </w:p>
    <w:p w14:paraId="71A98CB3" w14:textId="77777777" w:rsidR="00A16B4B" w:rsidRDefault="00A16B4B">
      <w:pPr>
        <w:pBdr>
          <w:top w:val="nil"/>
          <w:left w:val="nil"/>
          <w:bottom w:val="nil"/>
          <w:right w:val="nil"/>
          <w:between w:val="nil"/>
        </w:pBdr>
        <w:jc w:val="both"/>
        <w:rPr>
          <w:b/>
          <w:color w:val="000000"/>
          <w:sz w:val="22"/>
          <w:szCs w:val="22"/>
        </w:rPr>
      </w:pPr>
    </w:p>
    <w:p w14:paraId="1087AABD" w14:textId="04DE5590" w:rsidR="00A16B4B" w:rsidRDefault="00E858EC">
      <w:pPr>
        <w:pBdr>
          <w:top w:val="nil"/>
          <w:left w:val="nil"/>
          <w:bottom w:val="nil"/>
          <w:right w:val="nil"/>
          <w:between w:val="nil"/>
        </w:pBdr>
        <w:jc w:val="both"/>
        <w:rPr>
          <w:b/>
          <w:color w:val="000000"/>
          <w:sz w:val="22"/>
          <w:szCs w:val="22"/>
        </w:rPr>
      </w:pPr>
      <w:r>
        <w:rPr>
          <w:b/>
          <w:color w:val="000000"/>
          <w:sz w:val="22"/>
          <w:szCs w:val="22"/>
        </w:rPr>
        <w:t>Primera. -</w:t>
      </w:r>
      <w:r w:rsidR="00A26F30">
        <w:rPr>
          <w:b/>
          <w:color w:val="000000"/>
          <w:sz w:val="22"/>
          <w:szCs w:val="22"/>
        </w:rPr>
        <w:t xml:space="preserve"> </w:t>
      </w:r>
      <w:r w:rsidR="00A26F30">
        <w:rPr>
          <w:color w:val="000000"/>
          <w:sz w:val="22"/>
          <w:szCs w:val="22"/>
        </w:rPr>
        <w:t>Todos los anexos adjuntos al proyecto de regularización son documentos habilitantes de esta Ordenanza</w:t>
      </w:r>
      <w:r w:rsidR="00A26F30">
        <w:rPr>
          <w:b/>
          <w:color w:val="000000"/>
          <w:sz w:val="22"/>
          <w:szCs w:val="22"/>
        </w:rPr>
        <w:t>.</w:t>
      </w:r>
    </w:p>
    <w:p w14:paraId="3FADC3F1" w14:textId="77777777" w:rsidR="00A16B4B" w:rsidRDefault="00A16B4B">
      <w:pPr>
        <w:pBdr>
          <w:top w:val="nil"/>
          <w:left w:val="nil"/>
          <w:bottom w:val="nil"/>
          <w:right w:val="nil"/>
          <w:between w:val="nil"/>
        </w:pBdr>
        <w:jc w:val="both"/>
        <w:rPr>
          <w:b/>
          <w:color w:val="000000"/>
          <w:sz w:val="22"/>
          <w:szCs w:val="22"/>
        </w:rPr>
      </w:pPr>
    </w:p>
    <w:p w14:paraId="0842BFA2" w14:textId="6789DBD7" w:rsidR="00A16B4B" w:rsidRDefault="00E858EC">
      <w:pPr>
        <w:pBdr>
          <w:top w:val="nil"/>
          <w:left w:val="nil"/>
          <w:bottom w:val="nil"/>
          <w:right w:val="nil"/>
          <w:between w:val="nil"/>
        </w:pBdr>
        <w:jc w:val="both"/>
        <w:rPr>
          <w:color w:val="000000"/>
          <w:sz w:val="22"/>
          <w:szCs w:val="22"/>
        </w:rPr>
      </w:pPr>
      <w:r>
        <w:rPr>
          <w:b/>
          <w:color w:val="000000"/>
          <w:sz w:val="22"/>
          <w:szCs w:val="22"/>
        </w:rPr>
        <w:t>Segunda. -</w:t>
      </w:r>
      <w:r w:rsidR="00A26F30">
        <w:rPr>
          <w:b/>
          <w:color w:val="000000"/>
          <w:sz w:val="22"/>
          <w:szCs w:val="22"/>
        </w:rPr>
        <w:t xml:space="preserve">  </w:t>
      </w:r>
      <w:r w:rsidR="00A26F30">
        <w:rPr>
          <w:color w:val="000000"/>
          <w:sz w:val="22"/>
          <w:szCs w:val="22"/>
        </w:rPr>
        <w:t>De acuerdo al Oficio GADDMQ-SGSG-2021-0242-OF, de 28 de enero de 2021, los copropietarios del asentamiento deberán cumplir las siguientes disposiciones, además de las recomendaciones generales y normativa legal vigente contenida en este mismo oficio y en el informe No. I-0002-EAH-AT-DMGR-2021, de 20 de enero de 2021.</w:t>
      </w:r>
    </w:p>
    <w:p w14:paraId="03BE5D7B" w14:textId="77777777" w:rsidR="00A16B4B" w:rsidRDefault="00A16B4B">
      <w:pPr>
        <w:pBdr>
          <w:top w:val="nil"/>
          <w:left w:val="nil"/>
          <w:bottom w:val="nil"/>
          <w:right w:val="nil"/>
          <w:between w:val="nil"/>
        </w:pBdr>
        <w:jc w:val="both"/>
        <w:rPr>
          <w:color w:val="000000"/>
          <w:sz w:val="22"/>
          <w:szCs w:val="22"/>
        </w:rPr>
      </w:pPr>
    </w:p>
    <w:p w14:paraId="3914F0EE" w14:textId="77777777" w:rsidR="00A16B4B" w:rsidRDefault="00A26F30">
      <w:pPr>
        <w:numPr>
          <w:ilvl w:val="0"/>
          <w:numId w:val="1"/>
        </w:numPr>
        <w:pBdr>
          <w:top w:val="nil"/>
          <w:left w:val="nil"/>
          <w:bottom w:val="nil"/>
          <w:right w:val="nil"/>
          <w:between w:val="nil"/>
        </w:pBdr>
        <w:jc w:val="both"/>
        <w:rPr>
          <w:color w:val="000000"/>
          <w:sz w:val="22"/>
          <w:szCs w:val="22"/>
        </w:rPr>
      </w:pPr>
      <w:r>
        <w:rPr>
          <w:color w:val="000000"/>
          <w:sz w:val="22"/>
          <w:szCs w:val="22"/>
        </w:rPr>
        <w:t>Se dispone que los propietarios y/o posesionarios del AHHYC, no construyan más viviendas en el macro 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w:t>
      </w:r>
    </w:p>
    <w:p w14:paraId="736BAB9B" w14:textId="77777777" w:rsidR="00A16B4B" w:rsidRDefault="00A16B4B">
      <w:pPr>
        <w:pBdr>
          <w:top w:val="nil"/>
          <w:left w:val="nil"/>
          <w:bottom w:val="nil"/>
          <w:right w:val="nil"/>
          <w:between w:val="nil"/>
        </w:pBdr>
        <w:jc w:val="both"/>
        <w:rPr>
          <w:color w:val="000000"/>
          <w:sz w:val="22"/>
          <w:szCs w:val="22"/>
        </w:rPr>
      </w:pPr>
    </w:p>
    <w:p w14:paraId="04A34EA6" w14:textId="77777777" w:rsidR="00A16B4B" w:rsidRDefault="00A26F30">
      <w:pPr>
        <w:pBdr>
          <w:top w:val="nil"/>
          <w:left w:val="nil"/>
          <w:bottom w:val="nil"/>
          <w:right w:val="nil"/>
          <w:between w:val="nil"/>
        </w:pBdr>
        <w:jc w:val="both"/>
        <w:rPr>
          <w:color w:val="000000"/>
          <w:sz w:val="22"/>
          <w:szCs w:val="22"/>
        </w:rPr>
      </w:pPr>
      <w:r>
        <w:rPr>
          <w:color w:val="000000"/>
          <w:sz w:val="22"/>
          <w:szCs w:val="22"/>
        </w:rPr>
        <w:t>La Unidad Especial Regula Tu Barrio deberá comunicar a la comunidad del AHHYC “Santa Inés Pasaje Carrera”,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14:paraId="080CFB2B" w14:textId="77777777" w:rsidR="00A16B4B" w:rsidRDefault="00A16B4B">
      <w:pPr>
        <w:pBdr>
          <w:top w:val="nil"/>
          <w:left w:val="nil"/>
          <w:bottom w:val="nil"/>
          <w:right w:val="nil"/>
          <w:between w:val="nil"/>
        </w:pBdr>
        <w:ind w:left="720"/>
        <w:jc w:val="both"/>
        <w:rPr>
          <w:color w:val="000000"/>
          <w:sz w:val="22"/>
          <w:szCs w:val="22"/>
        </w:rPr>
      </w:pPr>
    </w:p>
    <w:p w14:paraId="750C5152" w14:textId="06103AE5" w:rsidR="00A16B4B" w:rsidRDefault="00A26F30">
      <w:pPr>
        <w:pBdr>
          <w:top w:val="nil"/>
          <w:left w:val="nil"/>
          <w:bottom w:val="nil"/>
          <w:right w:val="nil"/>
          <w:between w:val="nil"/>
        </w:pBdr>
        <w:jc w:val="both"/>
        <w:rPr>
          <w:color w:val="000000"/>
          <w:sz w:val="22"/>
          <w:szCs w:val="22"/>
        </w:rPr>
      </w:pPr>
      <w:r>
        <w:rPr>
          <w:b/>
          <w:color w:val="000000"/>
          <w:sz w:val="22"/>
          <w:szCs w:val="22"/>
        </w:rPr>
        <w:t>Tercera</w:t>
      </w:r>
      <w:r>
        <w:rPr>
          <w:color w:val="000000"/>
          <w:sz w:val="22"/>
          <w:szCs w:val="22"/>
        </w:rPr>
        <w:t xml:space="preserve">. - La Secretaría General del Concejo una vez sellados los planos, remitirá una copia certificada a las administraciones zonales y a las instancias dotadoras de servicios básicos. </w:t>
      </w:r>
    </w:p>
    <w:p w14:paraId="37B0116C" w14:textId="789938D8" w:rsidR="00307C7A" w:rsidRDefault="00307C7A">
      <w:pPr>
        <w:pBdr>
          <w:top w:val="nil"/>
          <w:left w:val="nil"/>
          <w:bottom w:val="nil"/>
          <w:right w:val="nil"/>
          <w:between w:val="nil"/>
        </w:pBdr>
        <w:jc w:val="both"/>
        <w:rPr>
          <w:color w:val="000000"/>
          <w:sz w:val="22"/>
          <w:szCs w:val="22"/>
        </w:rPr>
      </w:pPr>
    </w:p>
    <w:p w14:paraId="4A6656D2" w14:textId="116C1870" w:rsidR="00307C7A" w:rsidRPr="00CA4861" w:rsidRDefault="00307C7A" w:rsidP="00307C7A">
      <w:pPr>
        <w:spacing w:after="240"/>
        <w:jc w:val="both"/>
        <w:rPr>
          <w:sz w:val="22"/>
          <w:szCs w:val="22"/>
        </w:rPr>
      </w:pPr>
      <w:r w:rsidRPr="00CA4861">
        <w:rPr>
          <w:b/>
          <w:sz w:val="22"/>
          <w:szCs w:val="22"/>
          <w:lang w:val="es-ES_tradnl"/>
        </w:rPr>
        <w:t xml:space="preserve">Cuarta. -  </w:t>
      </w:r>
      <w:r w:rsidRPr="00CA4861">
        <w:rPr>
          <w:sz w:val="22"/>
          <w:szCs w:val="22"/>
          <w:lang w:val="es-ES_tradnl"/>
        </w:rPr>
        <w:t xml:space="preserve">De acuerdo al </w:t>
      </w:r>
      <w:r w:rsidRPr="00CA4861">
        <w:rPr>
          <w:bCs/>
          <w:sz w:val="22"/>
          <w:szCs w:val="22"/>
        </w:rPr>
        <w:t>Oficio Nro. EPMAPS-GT-0122-</w:t>
      </w:r>
      <w:r w:rsidRPr="00CA4861">
        <w:rPr>
          <w:rFonts w:eastAsiaTheme="minorHAnsi"/>
          <w:bCs/>
          <w:sz w:val="22"/>
          <w:szCs w:val="22"/>
        </w:rPr>
        <w:t>2021</w:t>
      </w:r>
      <w:r w:rsidRPr="00CA4861">
        <w:rPr>
          <w:bCs/>
          <w:sz w:val="22"/>
          <w:szCs w:val="22"/>
        </w:rPr>
        <w:t xml:space="preserve">, de 12 de febrero de 2021, emitido por el </w:t>
      </w:r>
      <w:r w:rsidRPr="00CA4861">
        <w:rPr>
          <w:rFonts w:eastAsiaTheme="minorHAnsi"/>
          <w:bCs/>
          <w:sz w:val="22"/>
          <w:szCs w:val="22"/>
        </w:rPr>
        <w:t xml:space="preserve">Gerente Técnico de Infraestructura, Empresa Pública Metropolitana de Agua Potable y Saneamiento </w:t>
      </w:r>
      <w:r w:rsidRPr="00CA4861">
        <w:rPr>
          <w:bCs/>
          <w:sz w:val="22"/>
          <w:szCs w:val="22"/>
        </w:rPr>
        <w:t>remite el Oficio No. EPMAPS-GT-2021-0111</w:t>
      </w:r>
      <w:r w:rsidRPr="00CA4861">
        <w:rPr>
          <w:sz w:val="22"/>
          <w:szCs w:val="22"/>
        </w:rPr>
        <w:t>, de 10 de febrero de 2021.</w:t>
      </w:r>
    </w:p>
    <w:p w14:paraId="531D9958" w14:textId="2C06FBF0" w:rsidR="00307C7A" w:rsidRPr="00CA4861" w:rsidRDefault="00307C7A" w:rsidP="00307C7A">
      <w:pPr>
        <w:pStyle w:val="Prrafodelista"/>
        <w:numPr>
          <w:ilvl w:val="0"/>
          <w:numId w:val="2"/>
        </w:numPr>
        <w:spacing w:after="240"/>
        <w:jc w:val="both"/>
        <w:rPr>
          <w:sz w:val="22"/>
          <w:szCs w:val="22"/>
        </w:rPr>
      </w:pPr>
      <w:r w:rsidRPr="00CA4861">
        <w:rPr>
          <w:sz w:val="22"/>
          <w:szCs w:val="22"/>
        </w:rPr>
        <w:t>Se dispone a la Empresa Pública Metropolitana de Agua Potable y Saneamiento EPMAPS proced</w:t>
      </w:r>
      <w:r w:rsidR="00EB27E6">
        <w:rPr>
          <w:sz w:val="22"/>
          <w:szCs w:val="22"/>
        </w:rPr>
        <w:t>a</w:t>
      </w:r>
      <w:r w:rsidRPr="00CA4861">
        <w:rPr>
          <w:sz w:val="22"/>
          <w:szCs w:val="22"/>
        </w:rPr>
        <w:t xml:space="preserve"> a realizar los estudios y diseños para la dotación de agua potable en </w:t>
      </w:r>
      <w:r w:rsidR="00EB27E6" w:rsidRPr="00D3671A">
        <w:rPr>
          <w:sz w:val="22"/>
          <w:szCs w:val="22"/>
        </w:rPr>
        <w:t xml:space="preserve">el asentamiento </w:t>
      </w:r>
      <w:r w:rsidR="00EB27E6" w:rsidRPr="00D3671A">
        <w:rPr>
          <w:color w:val="000000"/>
          <w:sz w:val="22"/>
          <w:szCs w:val="22"/>
        </w:rPr>
        <w:t>“Santa Inés Pasaje Carrera”,</w:t>
      </w:r>
      <w:r w:rsidR="00EB27E6">
        <w:rPr>
          <w:color w:val="000000"/>
          <w:sz w:val="22"/>
          <w:szCs w:val="22"/>
        </w:rPr>
        <w:t xml:space="preserve"> </w:t>
      </w:r>
      <w:r w:rsidRPr="00CA4861">
        <w:rPr>
          <w:sz w:val="22"/>
          <w:szCs w:val="22"/>
        </w:rPr>
        <w:t>incluyendo la instalación de hidrantes, que se cumpla con lo señalado en menor tiempo posible y dentro del cronograma de obras por parte de la EPMAPS.</w:t>
      </w:r>
    </w:p>
    <w:p w14:paraId="2212BBA0" w14:textId="77777777" w:rsidR="00A16B4B" w:rsidRDefault="00A26F30">
      <w:pPr>
        <w:pBdr>
          <w:top w:val="nil"/>
          <w:left w:val="nil"/>
          <w:bottom w:val="nil"/>
          <w:right w:val="nil"/>
          <w:between w:val="nil"/>
        </w:pBdr>
        <w:jc w:val="both"/>
        <w:rPr>
          <w:i/>
          <w:color w:val="000000"/>
          <w:sz w:val="22"/>
          <w:szCs w:val="22"/>
        </w:rPr>
      </w:pPr>
      <w:r>
        <w:rPr>
          <w:b/>
          <w:color w:val="000000"/>
          <w:sz w:val="22"/>
          <w:szCs w:val="22"/>
        </w:rPr>
        <w:t xml:space="preserve">Disposición Final. - </w:t>
      </w:r>
      <w:r>
        <w:rPr>
          <w:color w:val="000000"/>
          <w:sz w:val="22"/>
          <w:szCs w:val="22"/>
        </w:rPr>
        <w:t xml:space="preserve"> Esta Ordenanza entrará en vigencia a partir de la fecha de su sanción, sin perjuicio de su publicación en el Registro Oficial, Gaceta Municipal o la página web institucional de la Municipalidad.</w:t>
      </w:r>
    </w:p>
    <w:p w14:paraId="43B4B088" w14:textId="77777777" w:rsidR="00A16B4B" w:rsidRDefault="00A16B4B">
      <w:pPr>
        <w:pBdr>
          <w:top w:val="nil"/>
          <w:left w:val="nil"/>
          <w:bottom w:val="nil"/>
          <w:right w:val="nil"/>
          <w:between w:val="nil"/>
        </w:pBdr>
        <w:rPr>
          <w:color w:val="000000"/>
          <w:sz w:val="22"/>
          <w:szCs w:val="22"/>
        </w:rPr>
      </w:pPr>
    </w:p>
    <w:p w14:paraId="05E52F38" w14:textId="77777777" w:rsidR="00A16B4B" w:rsidRDefault="00A26F30">
      <w:pPr>
        <w:pBdr>
          <w:top w:val="nil"/>
          <w:left w:val="nil"/>
          <w:bottom w:val="nil"/>
          <w:right w:val="nil"/>
          <w:between w:val="nil"/>
        </w:pBdr>
        <w:jc w:val="both"/>
        <w:rPr>
          <w:color w:val="000000"/>
          <w:sz w:val="22"/>
          <w:szCs w:val="22"/>
        </w:rPr>
      </w:pPr>
      <w:r>
        <w:rPr>
          <w:color w:val="000000"/>
          <w:sz w:val="22"/>
          <w:szCs w:val="22"/>
        </w:rPr>
        <w:t>Dada, en la Sala de Sesiones del Concejo Metropolitano de Quito, el… de …………. de 2021</w:t>
      </w:r>
    </w:p>
    <w:p w14:paraId="44513AB4" w14:textId="77777777" w:rsidR="00A16B4B" w:rsidRDefault="00A16B4B">
      <w:pPr>
        <w:pBdr>
          <w:top w:val="nil"/>
          <w:left w:val="nil"/>
          <w:bottom w:val="nil"/>
          <w:right w:val="nil"/>
          <w:between w:val="nil"/>
        </w:pBdr>
        <w:jc w:val="both"/>
        <w:rPr>
          <w:color w:val="000000"/>
          <w:sz w:val="22"/>
          <w:szCs w:val="22"/>
        </w:rPr>
      </w:pPr>
    </w:p>
    <w:p w14:paraId="7B45F08A" w14:textId="77777777" w:rsidR="00A16B4B" w:rsidRDefault="00A16B4B">
      <w:pPr>
        <w:pBdr>
          <w:top w:val="nil"/>
          <w:left w:val="nil"/>
          <w:bottom w:val="nil"/>
          <w:right w:val="nil"/>
          <w:between w:val="nil"/>
        </w:pBdr>
        <w:jc w:val="both"/>
        <w:rPr>
          <w:color w:val="000000"/>
          <w:sz w:val="22"/>
          <w:szCs w:val="22"/>
        </w:rPr>
      </w:pPr>
    </w:p>
    <w:p w14:paraId="4529E694" w14:textId="77777777" w:rsidR="00A16B4B" w:rsidRDefault="00A16B4B">
      <w:pPr>
        <w:pBdr>
          <w:top w:val="nil"/>
          <w:left w:val="nil"/>
          <w:bottom w:val="nil"/>
          <w:right w:val="nil"/>
          <w:between w:val="nil"/>
        </w:pBdr>
        <w:jc w:val="both"/>
        <w:rPr>
          <w:color w:val="000000"/>
          <w:sz w:val="22"/>
          <w:szCs w:val="22"/>
        </w:rPr>
      </w:pPr>
    </w:p>
    <w:p w14:paraId="737F8CC3" w14:textId="77777777" w:rsidR="00A16B4B" w:rsidRDefault="00A16B4B">
      <w:pPr>
        <w:pBdr>
          <w:top w:val="nil"/>
          <w:left w:val="nil"/>
          <w:bottom w:val="nil"/>
          <w:right w:val="nil"/>
          <w:between w:val="nil"/>
        </w:pBdr>
        <w:jc w:val="both"/>
        <w:rPr>
          <w:color w:val="000000"/>
          <w:sz w:val="22"/>
          <w:szCs w:val="22"/>
        </w:rPr>
      </w:pPr>
    </w:p>
    <w:p w14:paraId="7F47FC3D" w14:textId="77777777" w:rsidR="00A16B4B" w:rsidRDefault="00A16B4B">
      <w:pPr>
        <w:pBdr>
          <w:top w:val="nil"/>
          <w:left w:val="nil"/>
          <w:bottom w:val="nil"/>
          <w:right w:val="nil"/>
          <w:between w:val="nil"/>
        </w:pBdr>
        <w:jc w:val="both"/>
        <w:rPr>
          <w:color w:val="000000"/>
          <w:sz w:val="22"/>
          <w:szCs w:val="22"/>
        </w:rPr>
      </w:pPr>
    </w:p>
    <w:bookmarkEnd w:id="0"/>
    <w:p w14:paraId="12D1CB2C" w14:textId="77777777" w:rsidR="00FC510A" w:rsidRPr="0099312A" w:rsidRDefault="00FC510A" w:rsidP="00FC510A">
      <w:pPr>
        <w:pStyle w:val="Sinespaciado"/>
        <w:jc w:val="center"/>
        <w:rPr>
          <w:rFonts w:ascii="Times New Roman" w:eastAsia="MS Mincho" w:hAnsi="Times New Roman"/>
        </w:rPr>
      </w:pPr>
      <w:r w:rsidRPr="0099312A">
        <w:rPr>
          <w:rFonts w:ascii="Times New Roman" w:eastAsia="MS Mincho" w:hAnsi="Times New Roman"/>
        </w:rPr>
        <w:t xml:space="preserve">Abg. </w:t>
      </w:r>
      <w:r w:rsidRPr="00991EE6">
        <w:rPr>
          <w:rFonts w:ascii="Times New Roman" w:eastAsia="MS Mincho" w:hAnsi="Times New Roman"/>
        </w:rPr>
        <w:t>Pablo Antonio Santillan Paredes</w:t>
      </w:r>
    </w:p>
    <w:p w14:paraId="156C0CDC" w14:textId="77777777" w:rsidR="00FC510A" w:rsidRPr="0099312A" w:rsidRDefault="00FC510A" w:rsidP="00FC510A">
      <w:pPr>
        <w:pStyle w:val="Sinespaciado"/>
        <w:jc w:val="center"/>
        <w:rPr>
          <w:rFonts w:ascii="Times New Roman" w:eastAsia="MS Mincho" w:hAnsi="Times New Roman"/>
          <w:b/>
          <w:bCs/>
        </w:rPr>
      </w:pPr>
      <w:r w:rsidRPr="0099312A">
        <w:rPr>
          <w:rFonts w:ascii="Times New Roman" w:eastAsia="MS Mincho" w:hAnsi="Times New Roman"/>
          <w:b/>
          <w:bCs/>
        </w:rPr>
        <w:t>SECRETARIA GENERAL DEL CONCEJO METROPOLITANO DE QUITO</w:t>
      </w:r>
    </w:p>
    <w:p w14:paraId="6D361E66" w14:textId="77777777" w:rsidR="00FC510A" w:rsidRPr="0099312A" w:rsidRDefault="00FC510A" w:rsidP="00FC510A">
      <w:pPr>
        <w:pStyle w:val="Sinespaciado"/>
        <w:jc w:val="center"/>
        <w:rPr>
          <w:rFonts w:ascii="Times New Roman" w:eastAsia="MS Mincho" w:hAnsi="Times New Roman"/>
        </w:rPr>
      </w:pPr>
    </w:p>
    <w:p w14:paraId="50391E06" w14:textId="77777777" w:rsidR="00FC510A" w:rsidRPr="0099312A" w:rsidRDefault="00FC510A" w:rsidP="00FC510A">
      <w:pPr>
        <w:pStyle w:val="Sinespaciado"/>
        <w:jc w:val="center"/>
        <w:rPr>
          <w:rFonts w:ascii="Times New Roman" w:eastAsia="MS Mincho" w:hAnsi="Times New Roman"/>
        </w:rPr>
      </w:pPr>
      <w:r w:rsidRPr="0099312A">
        <w:rPr>
          <w:rFonts w:ascii="Times New Roman" w:eastAsia="MS Mincho" w:hAnsi="Times New Roman"/>
          <w:b/>
          <w:bCs/>
        </w:rPr>
        <w:t>ALCALDÍA DEL DISTRITO METROPOLITANO. -</w:t>
      </w:r>
      <w:r w:rsidRPr="0099312A">
        <w:rPr>
          <w:rFonts w:ascii="Times New Roman" w:eastAsia="MS Mincho" w:hAnsi="Times New Roman"/>
        </w:rPr>
        <w:t xml:space="preserve">  Distrito Metropolitano de Quito,</w:t>
      </w:r>
    </w:p>
    <w:p w14:paraId="3A41A678" w14:textId="77777777" w:rsidR="00FC510A" w:rsidRPr="0099312A" w:rsidRDefault="00FC510A" w:rsidP="00FC510A">
      <w:pPr>
        <w:pStyle w:val="Sinespaciado"/>
        <w:jc w:val="both"/>
        <w:rPr>
          <w:rFonts w:ascii="Times New Roman" w:eastAsia="MS Mincho" w:hAnsi="Times New Roman"/>
          <w:b/>
        </w:rPr>
      </w:pPr>
    </w:p>
    <w:p w14:paraId="039C1EB7" w14:textId="77777777" w:rsidR="00FC510A" w:rsidRPr="0099312A" w:rsidRDefault="00FC510A" w:rsidP="00FC510A">
      <w:pPr>
        <w:pStyle w:val="Sinespaciado"/>
        <w:jc w:val="center"/>
        <w:rPr>
          <w:rFonts w:ascii="Times New Roman" w:eastAsia="MS Mincho" w:hAnsi="Times New Roman"/>
          <w:b/>
        </w:rPr>
      </w:pPr>
      <w:r w:rsidRPr="0099312A">
        <w:rPr>
          <w:rFonts w:ascii="Times New Roman" w:eastAsia="MS Mincho" w:hAnsi="Times New Roman"/>
          <w:b/>
        </w:rPr>
        <w:t>EJECÚTESE:</w:t>
      </w:r>
    </w:p>
    <w:p w14:paraId="17531325" w14:textId="77777777" w:rsidR="00FC510A" w:rsidRPr="0099312A" w:rsidRDefault="00FC510A" w:rsidP="00FC510A">
      <w:pPr>
        <w:pStyle w:val="Sinespaciado"/>
        <w:jc w:val="both"/>
        <w:rPr>
          <w:rFonts w:ascii="Times New Roman" w:eastAsia="MS Mincho" w:hAnsi="Times New Roman"/>
        </w:rPr>
      </w:pPr>
    </w:p>
    <w:p w14:paraId="691242EA" w14:textId="77777777" w:rsidR="00FC510A" w:rsidRPr="0099312A" w:rsidRDefault="00FC510A" w:rsidP="00FC510A">
      <w:pPr>
        <w:pStyle w:val="Sinespaciado"/>
        <w:jc w:val="both"/>
        <w:rPr>
          <w:rFonts w:ascii="Times New Roman" w:eastAsia="MS Mincho" w:hAnsi="Times New Roman"/>
        </w:rPr>
      </w:pPr>
    </w:p>
    <w:p w14:paraId="7C9DE7FE" w14:textId="77777777" w:rsidR="00FC510A" w:rsidRPr="0099312A" w:rsidRDefault="00FC510A" w:rsidP="00FC510A">
      <w:pPr>
        <w:pStyle w:val="Sinespaciado"/>
        <w:jc w:val="both"/>
        <w:rPr>
          <w:rFonts w:ascii="Times New Roman" w:eastAsia="MS Mincho" w:hAnsi="Times New Roman"/>
        </w:rPr>
      </w:pPr>
    </w:p>
    <w:p w14:paraId="50D9E512" w14:textId="77777777" w:rsidR="00FC510A" w:rsidRPr="0099312A" w:rsidRDefault="00FC510A" w:rsidP="00FC510A">
      <w:pPr>
        <w:pStyle w:val="Sinespaciado"/>
        <w:jc w:val="both"/>
        <w:rPr>
          <w:rFonts w:ascii="Times New Roman" w:eastAsia="MS Mincho" w:hAnsi="Times New Roman"/>
        </w:rPr>
      </w:pPr>
    </w:p>
    <w:p w14:paraId="5235CFA9" w14:textId="77777777" w:rsidR="00FC510A" w:rsidRPr="0099312A" w:rsidRDefault="00FC510A" w:rsidP="00FC510A">
      <w:pPr>
        <w:pStyle w:val="Sinespaciado"/>
        <w:jc w:val="both"/>
        <w:rPr>
          <w:rFonts w:ascii="Times New Roman" w:eastAsia="MS Mincho" w:hAnsi="Times New Roman"/>
        </w:rPr>
      </w:pPr>
    </w:p>
    <w:p w14:paraId="756C645A" w14:textId="77777777" w:rsidR="00FC510A" w:rsidRPr="00991EE6" w:rsidRDefault="00FC510A" w:rsidP="00FC510A">
      <w:pPr>
        <w:pStyle w:val="Sinespaciado"/>
        <w:jc w:val="center"/>
        <w:rPr>
          <w:rFonts w:ascii="Times New Roman" w:eastAsia="MS Mincho" w:hAnsi="Times New Roman"/>
        </w:rPr>
      </w:pPr>
      <w:r w:rsidRPr="00991EE6">
        <w:rPr>
          <w:rFonts w:ascii="Times New Roman" w:eastAsia="MS Mincho" w:hAnsi="Times New Roman"/>
        </w:rPr>
        <w:t xml:space="preserve">Dr. Santiago </w:t>
      </w:r>
      <w:r>
        <w:rPr>
          <w:rFonts w:ascii="Times New Roman" w:eastAsia="MS Mincho" w:hAnsi="Times New Roman"/>
        </w:rPr>
        <w:t xml:space="preserve">Mauricio </w:t>
      </w:r>
      <w:r w:rsidRPr="00991EE6">
        <w:rPr>
          <w:rFonts w:ascii="Times New Roman" w:eastAsia="MS Mincho" w:hAnsi="Times New Roman"/>
        </w:rPr>
        <w:t xml:space="preserve">Guarderas </w:t>
      </w:r>
      <w:r>
        <w:rPr>
          <w:rFonts w:ascii="Times New Roman" w:eastAsia="MS Mincho" w:hAnsi="Times New Roman"/>
        </w:rPr>
        <w:t>Izquierdo</w:t>
      </w:r>
    </w:p>
    <w:p w14:paraId="5A52C85B" w14:textId="77777777" w:rsidR="00FC510A" w:rsidRPr="0099312A" w:rsidRDefault="00FC510A" w:rsidP="00FC510A">
      <w:pPr>
        <w:pStyle w:val="Sinespaciado"/>
        <w:jc w:val="center"/>
        <w:rPr>
          <w:rFonts w:ascii="Times New Roman" w:eastAsia="MS Mincho" w:hAnsi="Times New Roman"/>
          <w:b/>
          <w:bCs/>
        </w:rPr>
      </w:pPr>
      <w:r w:rsidRPr="0099312A">
        <w:rPr>
          <w:rFonts w:ascii="Times New Roman" w:eastAsia="MS Mincho" w:hAnsi="Times New Roman"/>
          <w:b/>
          <w:bCs/>
        </w:rPr>
        <w:t>ALCALDE DEL DISTRITO METROPOLITANO DE QUITO</w:t>
      </w:r>
    </w:p>
    <w:p w14:paraId="34DD280C" w14:textId="77777777" w:rsidR="00FC510A" w:rsidRPr="0099312A" w:rsidRDefault="00FC510A" w:rsidP="00FC510A">
      <w:pPr>
        <w:pStyle w:val="Sinespaciado"/>
        <w:jc w:val="both"/>
        <w:rPr>
          <w:rFonts w:ascii="Times New Roman" w:eastAsia="MS Mincho" w:hAnsi="Times New Roman"/>
        </w:rPr>
      </w:pPr>
    </w:p>
    <w:p w14:paraId="235617CC" w14:textId="77777777" w:rsidR="00FC510A" w:rsidRPr="0099312A" w:rsidRDefault="00FC510A" w:rsidP="00FC510A">
      <w:pPr>
        <w:pStyle w:val="Sinespaciado"/>
        <w:jc w:val="both"/>
        <w:rPr>
          <w:rFonts w:ascii="Times New Roman" w:eastAsia="MS Mincho" w:hAnsi="Times New Roman"/>
        </w:rPr>
      </w:pPr>
    </w:p>
    <w:p w14:paraId="38DBB2DE" w14:textId="77777777" w:rsidR="00FC510A" w:rsidRPr="0099312A" w:rsidRDefault="00FC510A" w:rsidP="00FC510A">
      <w:pPr>
        <w:pStyle w:val="Sinespaciado"/>
        <w:jc w:val="center"/>
        <w:rPr>
          <w:rFonts w:ascii="Times New Roman" w:eastAsia="MS Mincho" w:hAnsi="Times New Roman"/>
        </w:rPr>
      </w:pPr>
      <w:r w:rsidRPr="0099312A">
        <w:rPr>
          <w:rFonts w:ascii="Times New Roman" w:eastAsia="MS Mincho" w:hAnsi="Times New Roman"/>
          <w:b/>
          <w:bCs/>
        </w:rPr>
        <w:t>CERTIFICO,</w:t>
      </w:r>
      <w:r w:rsidRPr="0099312A">
        <w:rPr>
          <w:rFonts w:ascii="Times New Roman" w:eastAsia="MS Mincho" w:hAnsi="Times New Roman"/>
        </w:rPr>
        <w:t xml:space="preserve"> que la presente ordenanza fue sancionada por el </w:t>
      </w:r>
      <w:r w:rsidRPr="00991EE6">
        <w:rPr>
          <w:rFonts w:ascii="Times New Roman" w:eastAsia="MS Mincho" w:hAnsi="Times New Roman"/>
        </w:rPr>
        <w:t xml:space="preserve">Dr. Santiago </w:t>
      </w:r>
      <w:r>
        <w:rPr>
          <w:rFonts w:ascii="Times New Roman" w:eastAsia="MS Mincho" w:hAnsi="Times New Roman"/>
        </w:rPr>
        <w:t xml:space="preserve">Mauricio </w:t>
      </w:r>
      <w:r w:rsidRPr="00991EE6">
        <w:rPr>
          <w:rFonts w:ascii="Times New Roman" w:eastAsia="MS Mincho" w:hAnsi="Times New Roman"/>
        </w:rPr>
        <w:t xml:space="preserve">Guarderas </w:t>
      </w:r>
      <w:r>
        <w:rPr>
          <w:rFonts w:ascii="Times New Roman" w:eastAsia="MS Mincho" w:hAnsi="Times New Roman"/>
        </w:rPr>
        <w:t>Izquierdo</w:t>
      </w:r>
      <w:r w:rsidRPr="0099312A">
        <w:rPr>
          <w:rFonts w:ascii="Times New Roman" w:eastAsia="MS Mincho" w:hAnsi="Times New Roman"/>
        </w:rPr>
        <w:t>,</w:t>
      </w:r>
      <w:r>
        <w:rPr>
          <w:rFonts w:ascii="Times New Roman" w:eastAsia="MS Mincho" w:hAnsi="Times New Roman"/>
        </w:rPr>
        <w:t xml:space="preserve"> </w:t>
      </w:r>
      <w:r w:rsidRPr="0099312A">
        <w:rPr>
          <w:rFonts w:ascii="Times New Roman" w:eastAsia="MS Mincho" w:hAnsi="Times New Roman"/>
        </w:rPr>
        <w:t>Alcalde  del Distrito Metropolitano de Quito, el</w:t>
      </w:r>
    </w:p>
    <w:p w14:paraId="5F69CC9B" w14:textId="77777777" w:rsidR="00FC510A" w:rsidRPr="0099312A" w:rsidRDefault="00FC510A" w:rsidP="00FC510A">
      <w:pPr>
        <w:pStyle w:val="Sinespaciado"/>
        <w:jc w:val="center"/>
      </w:pPr>
      <w:r w:rsidRPr="0099312A">
        <w:rPr>
          <w:rFonts w:ascii="Times New Roman" w:eastAsia="MS Mincho" w:hAnsi="Times New Roman"/>
        </w:rPr>
        <w:t>.- Distrito Metropolitano de Quito</w:t>
      </w:r>
    </w:p>
    <w:p w14:paraId="09EF0FF6" w14:textId="58BE2D04" w:rsidR="00A16B4B" w:rsidRDefault="00A16B4B" w:rsidP="00FC510A">
      <w:pPr>
        <w:pBdr>
          <w:top w:val="nil"/>
          <w:left w:val="nil"/>
          <w:bottom w:val="nil"/>
          <w:right w:val="nil"/>
          <w:between w:val="nil"/>
        </w:pBdr>
        <w:jc w:val="center"/>
        <w:rPr>
          <w:b/>
          <w:color w:val="000000"/>
          <w:sz w:val="22"/>
          <w:szCs w:val="22"/>
        </w:rPr>
      </w:pPr>
    </w:p>
    <w:sectPr w:rsidR="00A16B4B">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294"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28551" w14:textId="77777777" w:rsidR="000158A4" w:rsidRDefault="000158A4">
      <w:r>
        <w:separator/>
      </w:r>
    </w:p>
  </w:endnote>
  <w:endnote w:type="continuationSeparator" w:id="0">
    <w:p w14:paraId="22D34069" w14:textId="77777777" w:rsidR="000158A4" w:rsidRDefault="00015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A2AC" w14:textId="77777777" w:rsidR="00A16B4B" w:rsidRDefault="00A16B4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A79D8" w14:textId="77777777" w:rsidR="00A16B4B" w:rsidRDefault="00A26F3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1142C">
      <w:rPr>
        <w:b/>
        <w:noProof/>
        <w:color w:val="000000"/>
        <w:sz w:val="24"/>
        <w:szCs w:val="24"/>
      </w:rPr>
      <w:t>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1142C">
      <w:rPr>
        <w:b/>
        <w:noProof/>
        <w:color w:val="000000"/>
        <w:sz w:val="24"/>
        <w:szCs w:val="24"/>
      </w:rPr>
      <w:t>9</w:t>
    </w:r>
    <w:r>
      <w:rPr>
        <w:b/>
        <w:color w:val="000000"/>
        <w:sz w:val="24"/>
        <w:szCs w:val="24"/>
      </w:rPr>
      <w:fldChar w:fldCharType="end"/>
    </w:r>
  </w:p>
  <w:p w14:paraId="7E81432F" w14:textId="77777777" w:rsidR="00A16B4B" w:rsidRDefault="00A16B4B">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790BA" w14:textId="77777777" w:rsidR="00A16B4B" w:rsidRDefault="00A16B4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E0940" w14:textId="77777777" w:rsidR="000158A4" w:rsidRDefault="000158A4">
      <w:r>
        <w:separator/>
      </w:r>
    </w:p>
  </w:footnote>
  <w:footnote w:type="continuationSeparator" w:id="0">
    <w:p w14:paraId="071875BF" w14:textId="77777777" w:rsidR="000158A4" w:rsidRDefault="000158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26DF2" w14:textId="18828AE4" w:rsidR="00A16B4B" w:rsidRDefault="000158A4">
    <w:pPr>
      <w:pBdr>
        <w:top w:val="nil"/>
        <w:left w:val="nil"/>
        <w:bottom w:val="nil"/>
        <w:right w:val="nil"/>
        <w:between w:val="nil"/>
      </w:pBdr>
      <w:tabs>
        <w:tab w:val="center" w:pos="4252"/>
        <w:tab w:val="right" w:pos="8504"/>
      </w:tabs>
      <w:rPr>
        <w:color w:val="000000"/>
      </w:rPr>
    </w:pPr>
    <w:r>
      <w:rPr>
        <w:noProof/>
      </w:rPr>
      <w:pict w14:anchorId="50FD17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378251" o:spid="_x0000_s2050" type="#_x0000_t136" style="position:absolute;margin-left:0;margin-top:0;width:555.5pt;height:64.05pt;rotation:315;z-index:-251652096;mso-position-horizontal:center;mso-position-horizontal-relative:margin;mso-position-vertical:center;mso-position-vertical-relative:margin" o:allowincell="f" fillcolor="silver" stroked="f">
          <v:fill opacity=".5"/>
          <v:textpath style="font-family:&quot;Calibri&quot;;font-size:1pt" string="Ordenanza de mesa de Asesores"/>
          <w10:wrap anchorx="margin" anchory="margin"/>
        </v:shape>
      </w:pict>
    </w:r>
    <w:r w:rsidR="00A26F30">
      <w:rPr>
        <w:noProof/>
        <w:color w:val="000000"/>
        <w:lang w:val="es-419" w:eastAsia="es-419"/>
      </w:rPr>
      <mc:AlternateContent>
        <mc:Choice Requires="wps">
          <w:drawing>
            <wp:anchor distT="0" distB="0" distL="114300" distR="114300" simplePos="0" relativeHeight="251660288" behindDoc="1" locked="0" layoutInCell="1" hidden="0" allowOverlap="1" wp14:anchorId="14B20940" wp14:editId="0D198863">
              <wp:simplePos x="0" y="0"/>
              <wp:positionH relativeFrom="margin">
                <wp:align>center</wp:align>
              </wp:positionH>
              <wp:positionV relativeFrom="margin">
                <wp:align>center</wp:align>
              </wp:positionV>
              <wp:extent cx="5576290" cy="5576290"/>
              <wp:effectExtent l="0" t="0" r="0" b="0"/>
              <wp:wrapNone/>
              <wp:docPr id="3" name="Rectángulo 3"/>
              <wp:cNvGraphicFramePr/>
              <a:graphic xmlns:a="http://schemas.openxmlformats.org/drawingml/2006/main">
                <a:graphicData uri="http://schemas.microsoft.com/office/word/2010/wordprocessingShape">
                  <wps:wsp>
                    <wps:cNvSpPr/>
                    <wps:spPr>
                      <a:xfrm rot="-2700000">
                        <a:off x="1903983" y="3288510"/>
                        <a:ext cx="6884035" cy="982980"/>
                      </a:xfrm>
                      <a:prstGeom prst="rect">
                        <a:avLst/>
                      </a:prstGeom>
                    </wps:spPr>
                    <wps:txbx>
                      <w:txbxContent>
                        <w:p w14:paraId="6FED6325" w14:textId="77777777" w:rsidR="00A16B4B" w:rsidRDefault="00A26F30">
                          <w:pPr>
                            <w:jc w:val="center"/>
                            <w:textDirection w:val="btLr"/>
                          </w:pPr>
                          <w:r>
                            <w:rPr>
                              <w:rFonts w:ascii="Calibri" w:eastAsia="Calibri" w:hAnsi="Calibri" w:cs="Calibri"/>
                              <w:color w:val="C0C0C0"/>
                              <w:sz w:val="144"/>
                            </w:rPr>
                            <w:t>Proyecto Ordenanza UERB</w:t>
                          </w: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B20940" id="Rectángulo 3" o:spid="_x0000_s1026" style="position:absolute;margin-left:0;margin-top:0;width:439.1pt;height:439.1pt;rotation:-45;z-index:-251656192;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" filled="f" stroked="f">
              <v:textbox inset="2.53958mm,2.53958mm,2.53958mm,2.53958mm">
                <w:txbxContent>
                  <w:p w14:paraId="6FED6325" w14:textId="77777777" w:rsidR="00A16B4B" w:rsidRDefault="00A26F30">
                    <w:pPr>
                      <w:jc w:val="center"/>
                      <w:textDirection w:val="btLr"/>
                    </w:pPr>
                    <w:r>
                      <w:rPr>
                        <w:rFonts w:ascii="Calibri" w:eastAsia="Calibri" w:hAnsi="Calibri" w:cs="Calibri"/>
                        <w:color w:val="C0C0C0"/>
                        <w:sz w:val="144"/>
                      </w:rPr>
                      <w:t>Proyecto Ordenanza UERB</w:t>
                    </w:r>
                  </w:p>
                </w:txbxContent>
              </v:textbox>
              <w10:wrap anchorx="margin" anchory="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8AB3B" w14:textId="7609EFB0" w:rsidR="00A16B4B" w:rsidRDefault="000158A4">
    <w:pPr>
      <w:pBdr>
        <w:top w:val="nil"/>
        <w:left w:val="nil"/>
        <w:bottom w:val="nil"/>
        <w:right w:val="nil"/>
        <w:between w:val="nil"/>
      </w:pBdr>
      <w:rPr>
        <w:rFonts w:ascii="Palatino Linotype" w:eastAsia="Palatino Linotype" w:hAnsi="Palatino Linotype" w:cs="Palatino Linotype"/>
        <w:b/>
        <w:color w:val="000000"/>
        <w:sz w:val="22"/>
        <w:szCs w:val="22"/>
      </w:rPr>
    </w:pPr>
    <w:r>
      <w:rPr>
        <w:noProof/>
      </w:rPr>
      <w:pict w14:anchorId="36FAA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378252" o:spid="_x0000_s2051" type="#_x0000_t136" style="position:absolute;margin-left:0;margin-top:0;width:555.5pt;height:64.05pt;rotation:315;z-index:-251650048;mso-position-horizontal:center;mso-position-horizontal-relative:margin;mso-position-vertical:center;mso-position-vertical-relative:margin" o:allowincell="f" fillcolor="silver" stroked="f">
          <v:fill opacity=".5"/>
          <v:textpath style="font-family:&quot;Calibri&quot;;font-size:1pt" string="Ordenanza de mesa de Asesores"/>
          <w10:wrap anchorx="margin" anchory="margin"/>
        </v:shape>
      </w:pict>
    </w:r>
  </w:p>
  <w:p w14:paraId="5FCDEE2B" w14:textId="77777777" w:rsidR="00A16B4B" w:rsidRDefault="00A16B4B">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7A36CBA6" w14:textId="77777777" w:rsidR="00A16B4B" w:rsidRDefault="00A16B4B">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232F8BF4" w14:textId="77777777" w:rsidR="00A16B4B" w:rsidRDefault="00A16B4B">
    <w:pPr>
      <w:pStyle w:val="Puesto"/>
    </w:pPr>
  </w:p>
  <w:p w14:paraId="7218D1CD" w14:textId="77777777" w:rsidR="00A16B4B" w:rsidRDefault="00A16B4B"/>
  <w:p w14:paraId="3D358E39" w14:textId="77777777" w:rsidR="00A16B4B" w:rsidRDefault="00A26F30">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63B20" w14:textId="6E0A1F12" w:rsidR="00A16B4B" w:rsidRDefault="000158A4">
    <w:pPr>
      <w:pBdr>
        <w:top w:val="nil"/>
        <w:left w:val="nil"/>
        <w:bottom w:val="nil"/>
        <w:right w:val="nil"/>
        <w:between w:val="nil"/>
      </w:pBdr>
      <w:tabs>
        <w:tab w:val="center" w:pos="4252"/>
        <w:tab w:val="right" w:pos="8504"/>
      </w:tabs>
      <w:rPr>
        <w:color w:val="000000"/>
      </w:rPr>
    </w:pPr>
    <w:r>
      <w:rPr>
        <w:noProof/>
      </w:rPr>
      <w:pict w14:anchorId="73DC85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378250" o:spid="_x0000_s2049" type="#_x0000_t136" style="position:absolute;margin-left:0;margin-top:0;width:555.5pt;height:64.05pt;rotation:315;z-index:-251654144;mso-position-horizontal:center;mso-position-horizontal-relative:margin;mso-position-vertical:center;mso-position-vertical-relative:margin" o:allowincell="f" fillcolor="silver" stroked="f">
          <v:fill opacity=".5"/>
          <v:textpath style="font-family:&quot;Calibri&quot;;font-size:1pt" string="Ordenanza de mesa de Asesore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340616F2"/>
    <w:multiLevelType w:val="multilevel"/>
    <w:tmpl w:val="EEC24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B4B"/>
    <w:rsid w:val="000158A4"/>
    <w:rsid w:val="000B52D3"/>
    <w:rsid w:val="000C59E7"/>
    <w:rsid w:val="0011142C"/>
    <w:rsid w:val="00225244"/>
    <w:rsid w:val="002B772C"/>
    <w:rsid w:val="002C73CA"/>
    <w:rsid w:val="002F1F67"/>
    <w:rsid w:val="00307C7A"/>
    <w:rsid w:val="004A2FC7"/>
    <w:rsid w:val="005413B1"/>
    <w:rsid w:val="0057127E"/>
    <w:rsid w:val="005921E8"/>
    <w:rsid w:val="00592419"/>
    <w:rsid w:val="005F0BE3"/>
    <w:rsid w:val="0071088D"/>
    <w:rsid w:val="007579AF"/>
    <w:rsid w:val="007618D2"/>
    <w:rsid w:val="008C18CC"/>
    <w:rsid w:val="009A12A8"/>
    <w:rsid w:val="009C018E"/>
    <w:rsid w:val="00A16B4B"/>
    <w:rsid w:val="00A25DB1"/>
    <w:rsid w:val="00A26F30"/>
    <w:rsid w:val="00AA3667"/>
    <w:rsid w:val="00AF6344"/>
    <w:rsid w:val="00C001B3"/>
    <w:rsid w:val="00C1571A"/>
    <w:rsid w:val="00C91590"/>
    <w:rsid w:val="00CA4861"/>
    <w:rsid w:val="00CD5914"/>
    <w:rsid w:val="00CF5F93"/>
    <w:rsid w:val="00D044E2"/>
    <w:rsid w:val="00D3671A"/>
    <w:rsid w:val="00E0218A"/>
    <w:rsid w:val="00E858EC"/>
    <w:rsid w:val="00EB27E6"/>
    <w:rsid w:val="00EC48FC"/>
    <w:rsid w:val="00F03F3A"/>
    <w:rsid w:val="00F86CD8"/>
    <w:rsid w:val="00FC510A"/>
    <w:rsid w:val="00FF79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DCB993"/>
  <w15:docId w15:val="{DF5E4706-18EF-4FC3-95F4-71E66392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C"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rPr>
      <w:lang w:val="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361728"/>
    <w:pPr>
      <w:keepNext/>
      <w:spacing w:before="240" w:after="60"/>
      <w:outlineLvl w:val="2"/>
    </w:pPr>
    <w:rPr>
      <w:rFonts w:ascii="Arial" w:hAnsi="Arial" w:cs="Arial"/>
      <w:b/>
      <w:bCs/>
      <w:sz w:val="26"/>
      <w:szCs w:val="26"/>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rPr>
      <w:rFonts w:ascii="Calibri" w:eastAsia="Calibri" w:hAnsi="Calibri"/>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1A5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581F71"/>
    <w:pPr>
      <w:spacing w:before="100" w:beforeAutospacing="1" w:after="100" w:afterAutospacing="1"/>
    </w:pPr>
    <w:rPr>
      <w:sz w:val="24"/>
      <w:szCs w:val="24"/>
      <w:lang w:val="es-EC" w:eastAsia="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EcrkUpTLn7Ui9BX8Dd8utxYqzw==">AMUW2mU+Q/mDPrzrmyIZSY+ve+g+vJTMxAyvWawClGJONjE/U8Og/+UC2cKjnYNO8oLCGrJriNrdpwCehGqPPWcgS4nuajfp2pfUU1TVPGRj5F89TZ/3caqzcnP+nh/vHIVIzN1G4fbc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3673</Words>
  <Characters>20203</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Giovanna Herrera Camacho</dc:creator>
  <cp:lastModifiedBy>Glenda Alexandra Allan Alegria</cp:lastModifiedBy>
  <cp:revision>2</cp:revision>
  <dcterms:created xsi:type="dcterms:W3CDTF">2021-11-24T15:20:00Z</dcterms:created>
  <dcterms:modified xsi:type="dcterms:W3CDTF">2021-11-24T15:20:00Z</dcterms:modified>
</cp:coreProperties>
</file>