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5588" w:type="dxa"/>
        <w:tblLayout w:type="fixed"/>
        <w:tblLook w:val="04A0" w:firstRow="1" w:lastRow="0" w:firstColumn="1" w:lastColumn="0" w:noHBand="0" w:noVBand="1"/>
      </w:tblPr>
      <w:tblGrid>
        <w:gridCol w:w="1271"/>
        <w:gridCol w:w="4253"/>
        <w:gridCol w:w="708"/>
        <w:gridCol w:w="709"/>
        <w:gridCol w:w="425"/>
        <w:gridCol w:w="709"/>
        <w:gridCol w:w="709"/>
        <w:gridCol w:w="3260"/>
        <w:gridCol w:w="2977"/>
        <w:gridCol w:w="567"/>
      </w:tblGrid>
      <w:tr w:rsidR="00DF1246" w:rsidRPr="00A709B9" w14:paraId="5F363C37" w14:textId="77777777" w:rsidTr="00DD7FD7">
        <w:trPr>
          <w:trHeight w:val="557"/>
        </w:trPr>
        <w:tc>
          <w:tcPr>
            <w:tcW w:w="5524" w:type="dxa"/>
            <w:gridSpan w:val="2"/>
            <w:vAlign w:val="center"/>
          </w:tcPr>
          <w:p w14:paraId="0F818881" w14:textId="2348BAF4" w:rsidR="00DF1246" w:rsidRPr="00CD462F" w:rsidRDefault="00DF1246" w:rsidP="00292359">
            <w:pPr>
              <w:jc w:val="center"/>
              <w:rPr>
                <w:rFonts w:ascii="Tahoma" w:hAnsi="Tahoma" w:cs="Tahoma"/>
                <w:b/>
                <w:bCs/>
                <w:color w:val="FF0000"/>
                <w:szCs w:val="20"/>
              </w:rPr>
            </w:pPr>
            <w:bookmarkStart w:id="0" w:name="_GoBack"/>
            <w:bookmarkEnd w:id="0"/>
            <w:r w:rsidRPr="00A709B9">
              <w:rPr>
                <w:rFonts w:ascii="Tahoma" w:hAnsi="Tahoma" w:cs="Tahoma"/>
                <w:b/>
                <w:bCs/>
                <w:szCs w:val="20"/>
              </w:rPr>
              <w:t>SESION No. 185</w:t>
            </w:r>
          </w:p>
        </w:tc>
        <w:tc>
          <w:tcPr>
            <w:tcW w:w="10064" w:type="dxa"/>
            <w:gridSpan w:val="8"/>
            <w:vAlign w:val="center"/>
          </w:tcPr>
          <w:p w14:paraId="7EE2D5EF" w14:textId="220FFF2A" w:rsidR="00DF1246" w:rsidRPr="00CD462F" w:rsidRDefault="00DF1246" w:rsidP="00292359">
            <w:pPr>
              <w:jc w:val="center"/>
              <w:rPr>
                <w:rFonts w:ascii="Tahoma" w:hAnsi="Tahoma" w:cs="Tahoma"/>
                <w:b/>
                <w:bCs/>
                <w:color w:val="FF0000"/>
                <w:szCs w:val="20"/>
              </w:rPr>
            </w:pPr>
            <w:r w:rsidRPr="00A709B9">
              <w:rPr>
                <w:rFonts w:ascii="Tahoma" w:hAnsi="Tahoma" w:cs="Tahoma"/>
                <w:b/>
                <w:bCs/>
                <w:szCs w:val="20"/>
              </w:rPr>
              <w:t>Concejo Metropolitano de Quito</w:t>
            </w:r>
          </w:p>
        </w:tc>
      </w:tr>
      <w:tr w:rsidR="00491540" w:rsidRPr="00A709B9" w14:paraId="78D38808" w14:textId="77777777" w:rsidTr="002574E5">
        <w:trPr>
          <w:trHeight w:val="557"/>
        </w:trPr>
        <w:tc>
          <w:tcPr>
            <w:tcW w:w="5524" w:type="dxa"/>
            <w:gridSpan w:val="2"/>
            <w:vAlign w:val="center"/>
          </w:tcPr>
          <w:p w14:paraId="3D82F97A" w14:textId="52871BAB" w:rsidR="00491540" w:rsidRPr="00CD462F" w:rsidRDefault="00491540" w:rsidP="00292359">
            <w:pPr>
              <w:jc w:val="center"/>
              <w:rPr>
                <w:rFonts w:ascii="Tahoma" w:hAnsi="Tahoma" w:cs="Tahoma"/>
                <w:b/>
                <w:bCs/>
                <w:color w:val="FF0000"/>
                <w:szCs w:val="20"/>
              </w:rPr>
            </w:pPr>
            <w:r w:rsidRPr="00CD462F">
              <w:rPr>
                <w:rFonts w:ascii="Tahoma" w:hAnsi="Tahoma" w:cs="Tahoma"/>
                <w:b/>
                <w:bCs/>
                <w:color w:val="FF0000"/>
                <w:szCs w:val="20"/>
              </w:rPr>
              <w:t>RESOLUCION</w:t>
            </w:r>
            <w:r>
              <w:rPr>
                <w:rFonts w:ascii="Tahoma" w:hAnsi="Tahoma" w:cs="Tahoma"/>
                <w:b/>
                <w:bCs/>
                <w:color w:val="FF0000"/>
                <w:szCs w:val="20"/>
              </w:rPr>
              <w:t xml:space="preserve"> </w:t>
            </w:r>
            <w:r w:rsidRPr="00CD462F">
              <w:rPr>
                <w:rFonts w:ascii="Tahoma" w:hAnsi="Tahoma" w:cs="Tahoma"/>
                <w:b/>
                <w:bCs/>
                <w:color w:val="FF0000"/>
                <w:szCs w:val="20"/>
              </w:rPr>
              <w:t>No. C-74</w:t>
            </w:r>
          </w:p>
        </w:tc>
        <w:tc>
          <w:tcPr>
            <w:tcW w:w="10064" w:type="dxa"/>
            <w:gridSpan w:val="8"/>
            <w:vAlign w:val="center"/>
          </w:tcPr>
          <w:p w14:paraId="412DD110" w14:textId="77777777" w:rsidR="00491540" w:rsidRDefault="00491540" w:rsidP="00292359">
            <w:pPr>
              <w:jc w:val="center"/>
              <w:rPr>
                <w:rFonts w:ascii="Tahoma" w:hAnsi="Tahoma" w:cs="Tahoma"/>
                <w:b/>
                <w:bCs/>
                <w:color w:val="FF0000"/>
                <w:szCs w:val="20"/>
              </w:rPr>
            </w:pPr>
            <w:r w:rsidRPr="00CD462F">
              <w:rPr>
                <w:rFonts w:ascii="Tahoma" w:hAnsi="Tahoma" w:cs="Tahoma"/>
                <w:b/>
                <w:bCs/>
                <w:color w:val="FF0000"/>
                <w:szCs w:val="20"/>
              </w:rPr>
              <w:t>Concejo Metropolitano de Quito</w:t>
            </w:r>
          </w:p>
          <w:p w14:paraId="599D0B9E" w14:textId="15BA290F" w:rsidR="00491540" w:rsidRPr="00CD462F" w:rsidRDefault="00491540" w:rsidP="00491540">
            <w:pPr>
              <w:jc w:val="center"/>
              <w:rPr>
                <w:rFonts w:ascii="Tahoma" w:hAnsi="Tahoma" w:cs="Tahoma"/>
                <w:b/>
                <w:bCs/>
                <w:color w:val="FF0000"/>
                <w:szCs w:val="20"/>
              </w:rPr>
            </w:pPr>
            <w:r w:rsidRPr="00491540">
              <w:rPr>
                <w:rFonts w:ascii="Tahoma" w:hAnsi="Tahoma" w:cs="Tahoma"/>
                <w:b/>
                <w:bCs/>
                <w:color w:val="FF0000"/>
              </w:rPr>
              <w:t>Of</w:t>
            </w:r>
            <w:r>
              <w:rPr>
                <w:rFonts w:ascii="Tahoma" w:hAnsi="Tahoma" w:cs="Tahoma"/>
                <w:b/>
                <w:bCs/>
                <w:color w:val="FF0000"/>
              </w:rPr>
              <w:t>icio</w:t>
            </w:r>
            <w:r w:rsidRPr="00491540">
              <w:rPr>
                <w:rFonts w:ascii="Tahoma" w:hAnsi="Tahoma" w:cs="Tahoma"/>
                <w:b/>
                <w:bCs/>
                <w:color w:val="FF0000"/>
              </w:rPr>
              <w:t xml:space="preserve"> GADDMQ-SGCM-2021-5271-O</w:t>
            </w:r>
          </w:p>
        </w:tc>
      </w:tr>
      <w:tr w:rsidR="00292359" w:rsidRPr="006F6E02" w14:paraId="118729BC" w14:textId="77777777" w:rsidTr="00491540">
        <w:tc>
          <w:tcPr>
            <w:tcW w:w="1271" w:type="dxa"/>
            <w:vMerge w:val="restart"/>
            <w:vAlign w:val="center"/>
          </w:tcPr>
          <w:p w14:paraId="1A68EDA4" w14:textId="77777777" w:rsidR="00292359" w:rsidRPr="006F6E02" w:rsidRDefault="00292359" w:rsidP="00292359">
            <w:pPr>
              <w:jc w:val="center"/>
              <w:rPr>
                <w:rFonts w:ascii="Tahoma" w:hAnsi="Tahoma" w:cs="Tahoma"/>
                <w:b/>
                <w:bCs/>
                <w:sz w:val="20"/>
                <w:szCs w:val="20"/>
              </w:rPr>
            </w:pPr>
            <w:r w:rsidRPr="006F6E02">
              <w:rPr>
                <w:rFonts w:ascii="Tahoma" w:hAnsi="Tahoma" w:cs="Tahoma"/>
                <w:b/>
                <w:bCs/>
                <w:sz w:val="20"/>
                <w:szCs w:val="20"/>
              </w:rPr>
              <w:t>CONCEJAL</w:t>
            </w:r>
          </w:p>
        </w:tc>
        <w:tc>
          <w:tcPr>
            <w:tcW w:w="4253" w:type="dxa"/>
            <w:vMerge w:val="restart"/>
            <w:vAlign w:val="center"/>
          </w:tcPr>
          <w:p w14:paraId="467166A6" w14:textId="77777777" w:rsidR="00292359" w:rsidRPr="006F6E02" w:rsidRDefault="00292359" w:rsidP="00292359">
            <w:pPr>
              <w:jc w:val="center"/>
              <w:rPr>
                <w:rFonts w:ascii="Tahoma" w:hAnsi="Tahoma" w:cs="Tahoma"/>
                <w:b/>
                <w:bCs/>
                <w:sz w:val="20"/>
                <w:szCs w:val="20"/>
              </w:rPr>
            </w:pPr>
            <w:r w:rsidRPr="006F6E02">
              <w:rPr>
                <w:rFonts w:ascii="Tahoma" w:hAnsi="Tahoma" w:cs="Tahoma"/>
                <w:b/>
                <w:bCs/>
                <w:sz w:val="20"/>
                <w:szCs w:val="20"/>
              </w:rPr>
              <w:t>OBSERVACIÓN DE CONCEJAL</w:t>
            </w:r>
          </w:p>
        </w:tc>
        <w:tc>
          <w:tcPr>
            <w:tcW w:w="1417" w:type="dxa"/>
            <w:gridSpan w:val="2"/>
            <w:vAlign w:val="center"/>
          </w:tcPr>
          <w:p w14:paraId="077BBF62" w14:textId="77777777" w:rsidR="00292359" w:rsidRPr="006F6E02" w:rsidRDefault="00292359" w:rsidP="00292359">
            <w:pPr>
              <w:jc w:val="center"/>
              <w:rPr>
                <w:rFonts w:ascii="Tahoma" w:hAnsi="Tahoma" w:cs="Tahoma"/>
                <w:b/>
                <w:bCs/>
                <w:sz w:val="20"/>
                <w:szCs w:val="20"/>
              </w:rPr>
            </w:pPr>
            <w:r w:rsidRPr="006F6E02">
              <w:rPr>
                <w:rFonts w:ascii="Tahoma" w:hAnsi="Tahoma" w:cs="Tahoma"/>
                <w:b/>
                <w:bCs/>
                <w:sz w:val="20"/>
                <w:szCs w:val="20"/>
              </w:rPr>
              <w:t>SE ACOGE</w:t>
            </w:r>
          </w:p>
          <w:p w14:paraId="3169B43F" w14:textId="77777777" w:rsidR="00292359" w:rsidRPr="006F6E02" w:rsidRDefault="00292359" w:rsidP="00292359">
            <w:pPr>
              <w:jc w:val="center"/>
              <w:rPr>
                <w:rFonts w:ascii="Tahoma" w:hAnsi="Tahoma" w:cs="Tahoma"/>
                <w:b/>
                <w:bCs/>
                <w:sz w:val="20"/>
                <w:szCs w:val="20"/>
              </w:rPr>
            </w:pPr>
          </w:p>
        </w:tc>
        <w:tc>
          <w:tcPr>
            <w:tcW w:w="5103" w:type="dxa"/>
            <w:gridSpan w:val="4"/>
            <w:vMerge w:val="restart"/>
            <w:vAlign w:val="center"/>
          </w:tcPr>
          <w:p w14:paraId="3F349DB8" w14:textId="77777777" w:rsidR="00292359" w:rsidRPr="006F6E02" w:rsidRDefault="00292359" w:rsidP="00292359">
            <w:pPr>
              <w:jc w:val="center"/>
              <w:rPr>
                <w:rFonts w:ascii="Tahoma" w:hAnsi="Tahoma" w:cs="Tahoma"/>
                <w:b/>
                <w:bCs/>
                <w:sz w:val="20"/>
                <w:szCs w:val="20"/>
              </w:rPr>
            </w:pPr>
            <w:r w:rsidRPr="006F6E02">
              <w:rPr>
                <w:rFonts w:ascii="Tahoma" w:hAnsi="Tahoma" w:cs="Tahoma"/>
                <w:b/>
                <w:bCs/>
                <w:sz w:val="20"/>
                <w:szCs w:val="20"/>
              </w:rPr>
              <w:t>OBSERVACIÓN DE CATASTRO</w:t>
            </w:r>
          </w:p>
        </w:tc>
        <w:tc>
          <w:tcPr>
            <w:tcW w:w="3544" w:type="dxa"/>
            <w:gridSpan w:val="2"/>
            <w:vMerge w:val="restart"/>
            <w:vAlign w:val="center"/>
          </w:tcPr>
          <w:p w14:paraId="60936499" w14:textId="77777777" w:rsidR="00292359" w:rsidRPr="006F6E02" w:rsidRDefault="00292359" w:rsidP="00292359">
            <w:pPr>
              <w:jc w:val="center"/>
              <w:rPr>
                <w:rFonts w:ascii="Tahoma" w:hAnsi="Tahoma" w:cs="Tahoma"/>
                <w:b/>
                <w:bCs/>
                <w:sz w:val="20"/>
                <w:szCs w:val="20"/>
              </w:rPr>
            </w:pPr>
            <w:r w:rsidRPr="006F6E02">
              <w:rPr>
                <w:rFonts w:ascii="Tahoma" w:hAnsi="Tahoma" w:cs="Tahoma"/>
                <w:b/>
                <w:bCs/>
                <w:sz w:val="20"/>
                <w:szCs w:val="20"/>
              </w:rPr>
              <w:t>TEXTO FINAL</w:t>
            </w:r>
          </w:p>
        </w:tc>
      </w:tr>
      <w:tr w:rsidR="00292359" w:rsidRPr="006F6E02" w14:paraId="4BE3D34B" w14:textId="77777777" w:rsidTr="00491540">
        <w:tc>
          <w:tcPr>
            <w:tcW w:w="1271" w:type="dxa"/>
            <w:vMerge/>
            <w:vAlign w:val="center"/>
          </w:tcPr>
          <w:p w14:paraId="0958D735" w14:textId="77777777" w:rsidR="00292359" w:rsidRPr="006F6E02" w:rsidRDefault="00292359" w:rsidP="00292359">
            <w:pPr>
              <w:jc w:val="center"/>
              <w:rPr>
                <w:rFonts w:ascii="Tahoma" w:hAnsi="Tahoma" w:cs="Tahoma"/>
                <w:b/>
                <w:bCs/>
                <w:sz w:val="20"/>
                <w:szCs w:val="20"/>
              </w:rPr>
            </w:pPr>
          </w:p>
        </w:tc>
        <w:tc>
          <w:tcPr>
            <w:tcW w:w="4253" w:type="dxa"/>
            <w:vMerge/>
            <w:vAlign w:val="center"/>
          </w:tcPr>
          <w:p w14:paraId="3044D1CA" w14:textId="77777777" w:rsidR="00292359" w:rsidRPr="006F6E02" w:rsidRDefault="00292359" w:rsidP="00292359">
            <w:pPr>
              <w:jc w:val="center"/>
              <w:rPr>
                <w:rFonts w:ascii="Tahoma" w:hAnsi="Tahoma" w:cs="Tahoma"/>
                <w:b/>
                <w:bCs/>
                <w:sz w:val="20"/>
                <w:szCs w:val="20"/>
              </w:rPr>
            </w:pPr>
          </w:p>
        </w:tc>
        <w:tc>
          <w:tcPr>
            <w:tcW w:w="1417" w:type="dxa"/>
            <w:gridSpan w:val="2"/>
            <w:vAlign w:val="center"/>
          </w:tcPr>
          <w:p w14:paraId="5B30FB70" w14:textId="77777777" w:rsidR="00292359" w:rsidRPr="006F6E02" w:rsidRDefault="00292359" w:rsidP="00292359">
            <w:pPr>
              <w:jc w:val="center"/>
              <w:rPr>
                <w:rFonts w:ascii="Tahoma" w:hAnsi="Tahoma" w:cs="Tahoma"/>
                <w:b/>
                <w:bCs/>
                <w:sz w:val="20"/>
                <w:szCs w:val="20"/>
              </w:rPr>
            </w:pPr>
            <w:r w:rsidRPr="006F6E02">
              <w:rPr>
                <w:rFonts w:ascii="Tahoma" w:hAnsi="Tahoma" w:cs="Tahoma"/>
                <w:b/>
                <w:bCs/>
                <w:sz w:val="20"/>
                <w:szCs w:val="20"/>
              </w:rPr>
              <w:t>SI - NO</w:t>
            </w:r>
          </w:p>
        </w:tc>
        <w:tc>
          <w:tcPr>
            <w:tcW w:w="5103" w:type="dxa"/>
            <w:gridSpan w:val="4"/>
            <w:vMerge/>
            <w:vAlign w:val="center"/>
          </w:tcPr>
          <w:p w14:paraId="012AD55A" w14:textId="77777777" w:rsidR="00292359" w:rsidRPr="006F6E02" w:rsidRDefault="00292359" w:rsidP="00292359">
            <w:pPr>
              <w:jc w:val="center"/>
              <w:rPr>
                <w:rFonts w:ascii="Tahoma" w:hAnsi="Tahoma" w:cs="Tahoma"/>
                <w:b/>
                <w:bCs/>
                <w:sz w:val="20"/>
                <w:szCs w:val="20"/>
              </w:rPr>
            </w:pPr>
          </w:p>
        </w:tc>
        <w:tc>
          <w:tcPr>
            <w:tcW w:w="3544" w:type="dxa"/>
            <w:gridSpan w:val="2"/>
            <w:vMerge/>
            <w:vAlign w:val="center"/>
          </w:tcPr>
          <w:p w14:paraId="6347931E" w14:textId="77777777" w:rsidR="00292359" w:rsidRPr="006F6E02" w:rsidRDefault="00292359" w:rsidP="00292359">
            <w:pPr>
              <w:jc w:val="center"/>
              <w:rPr>
                <w:rFonts w:ascii="Tahoma" w:hAnsi="Tahoma" w:cs="Tahoma"/>
                <w:b/>
                <w:bCs/>
                <w:sz w:val="20"/>
                <w:szCs w:val="20"/>
              </w:rPr>
            </w:pPr>
          </w:p>
        </w:tc>
      </w:tr>
      <w:tr w:rsidR="00292359" w:rsidRPr="006F6E02" w14:paraId="41DE9937" w14:textId="77777777" w:rsidTr="00491540">
        <w:tc>
          <w:tcPr>
            <w:tcW w:w="1271" w:type="dxa"/>
            <w:vMerge w:val="restart"/>
            <w:vAlign w:val="center"/>
          </w:tcPr>
          <w:p w14:paraId="7E2DD10A" w14:textId="77777777" w:rsidR="00292359" w:rsidRPr="006F6E02" w:rsidRDefault="00292359" w:rsidP="00292359">
            <w:pPr>
              <w:jc w:val="center"/>
              <w:rPr>
                <w:rFonts w:ascii="Tahoma" w:hAnsi="Tahoma" w:cs="Tahoma"/>
                <w:b/>
                <w:bCs/>
                <w:sz w:val="20"/>
                <w:szCs w:val="20"/>
                <w:u w:val="single"/>
              </w:rPr>
            </w:pPr>
            <w:r w:rsidRPr="006F6E02">
              <w:rPr>
                <w:rFonts w:ascii="Tahoma" w:hAnsi="Tahoma" w:cs="Tahoma"/>
                <w:b/>
                <w:bCs/>
                <w:sz w:val="20"/>
                <w:szCs w:val="20"/>
                <w:u w:val="single"/>
              </w:rPr>
              <w:t>Soledad Benitez</w:t>
            </w:r>
          </w:p>
        </w:tc>
        <w:tc>
          <w:tcPr>
            <w:tcW w:w="4253" w:type="dxa"/>
            <w:vAlign w:val="center"/>
          </w:tcPr>
          <w:p w14:paraId="6A475B27" w14:textId="77777777" w:rsidR="00632A3A" w:rsidRDefault="00632A3A" w:rsidP="00292359">
            <w:pPr>
              <w:autoSpaceDE w:val="0"/>
              <w:autoSpaceDN w:val="0"/>
              <w:adjustRightInd w:val="0"/>
              <w:jc w:val="both"/>
              <w:rPr>
                <w:rFonts w:ascii="Tahoma" w:hAnsi="Tahoma" w:cs="Tahoma"/>
                <w:sz w:val="22"/>
                <w:szCs w:val="22"/>
              </w:rPr>
            </w:pPr>
          </w:p>
          <w:p w14:paraId="6C13156D" w14:textId="3329EBC9" w:rsidR="00292359" w:rsidRDefault="00292359" w:rsidP="00292359">
            <w:pPr>
              <w:autoSpaceDE w:val="0"/>
              <w:autoSpaceDN w:val="0"/>
              <w:adjustRightInd w:val="0"/>
              <w:jc w:val="both"/>
              <w:rPr>
                <w:rFonts w:ascii="Tahoma" w:hAnsi="Tahoma" w:cs="Tahoma"/>
                <w:sz w:val="22"/>
                <w:szCs w:val="22"/>
              </w:rPr>
            </w:pPr>
            <w:r w:rsidRPr="006F6E02">
              <w:rPr>
                <w:rFonts w:ascii="Tahoma" w:hAnsi="Tahoma" w:cs="Tahoma"/>
                <w:sz w:val="22"/>
                <w:szCs w:val="22"/>
              </w:rPr>
              <w:t>Solicita se incluyan dentro del ámbito de aplicación de la norma materia de debate, regulaciones específicas para los casos especiales previstos en la disposición transitoria tercera de la Ordenanza Metropolitana No. 007 y se incorporen ejemplos guías para facilitar la comprensión sobre la forma en la que se aplicarán los factores de corrección para casos específicos.</w:t>
            </w:r>
          </w:p>
          <w:p w14:paraId="3EB962F2" w14:textId="08E59F0B" w:rsidR="00632A3A" w:rsidRPr="006F6E02" w:rsidRDefault="00632A3A" w:rsidP="00292359">
            <w:pPr>
              <w:autoSpaceDE w:val="0"/>
              <w:autoSpaceDN w:val="0"/>
              <w:adjustRightInd w:val="0"/>
              <w:jc w:val="both"/>
              <w:rPr>
                <w:rFonts w:ascii="Tahoma" w:hAnsi="Tahoma" w:cs="Tahoma"/>
                <w:sz w:val="22"/>
                <w:szCs w:val="22"/>
              </w:rPr>
            </w:pPr>
          </w:p>
        </w:tc>
        <w:tc>
          <w:tcPr>
            <w:tcW w:w="708" w:type="dxa"/>
            <w:vAlign w:val="center"/>
          </w:tcPr>
          <w:p w14:paraId="6915B08F" w14:textId="15AAE3B9" w:rsidR="00292359" w:rsidRPr="006F6E02" w:rsidRDefault="00292359" w:rsidP="00292359">
            <w:pPr>
              <w:pBdr>
                <w:top w:val="nil"/>
                <w:left w:val="nil"/>
                <w:bottom w:val="nil"/>
                <w:right w:val="nil"/>
                <w:between w:val="nil"/>
              </w:pBdr>
              <w:jc w:val="both"/>
              <w:rPr>
                <w:rFonts w:ascii="Tahoma" w:hAnsi="Tahoma" w:cs="Tahoma"/>
                <w:sz w:val="22"/>
                <w:szCs w:val="22"/>
              </w:rPr>
            </w:pPr>
          </w:p>
        </w:tc>
        <w:tc>
          <w:tcPr>
            <w:tcW w:w="709" w:type="dxa"/>
            <w:vAlign w:val="center"/>
          </w:tcPr>
          <w:p w14:paraId="00234534" w14:textId="06A973D2" w:rsidR="00292359" w:rsidRPr="006F6E02" w:rsidRDefault="00632A3A" w:rsidP="00292359">
            <w:pPr>
              <w:pBdr>
                <w:top w:val="nil"/>
                <w:left w:val="nil"/>
                <w:bottom w:val="nil"/>
                <w:right w:val="nil"/>
                <w:between w:val="nil"/>
              </w:pBdr>
              <w:jc w:val="both"/>
              <w:rPr>
                <w:rFonts w:ascii="Tahoma" w:hAnsi="Tahoma" w:cs="Tahoma"/>
                <w:sz w:val="22"/>
                <w:szCs w:val="22"/>
              </w:rPr>
            </w:pPr>
            <w:r>
              <w:rPr>
                <w:rFonts w:ascii="Tahoma" w:hAnsi="Tahoma" w:cs="Tahoma"/>
                <w:sz w:val="22"/>
                <w:szCs w:val="22"/>
              </w:rPr>
              <w:t>No</w:t>
            </w:r>
          </w:p>
        </w:tc>
        <w:tc>
          <w:tcPr>
            <w:tcW w:w="5103" w:type="dxa"/>
            <w:gridSpan w:val="4"/>
            <w:vAlign w:val="center"/>
          </w:tcPr>
          <w:p w14:paraId="64229AE7" w14:textId="0038B52E" w:rsidR="00292359" w:rsidRPr="006F6E02" w:rsidRDefault="00292359" w:rsidP="00292359">
            <w:pPr>
              <w:jc w:val="both"/>
              <w:rPr>
                <w:rFonts w:ascii="Tahoma" w:hAnsi="Tahoma" w:cs="Tahoma"/>
                <w:sz w:val="22"/>
                <w:szCs w:val="22"/>
              </w:rPr>
            </w:pPr>
            <w:r w:rsidRPr="006F6E02">
              <w:rPr>
                <w:rFonts w:ascii="Tahoma" w:hAnsi="Tahoma" w:cs="Tahoma"/>
                <w:sz w:val="22"/>
                <w:szCs w:val="22"/>
              </w:rPr>
              <w:t xml:space="preserve">Las fórmulas de cálculo, porcentajes y ejemplos para cada uno de los factores se encuentran incorporadas en la Norma Técnica de Valoración para los Bienes inmuebles Urbanos y Rurales del </w:t>
            </w:r>
            <w:r w:rsidR="00484634" w:rsidRPr="006F6E02">
              <w:rPr>
                <w:rFonts w:ascii="Tahoma" w:hAnsi="Tahoma" w:cs="Tahoma"/>
                <w:sz w:val="22"/>
                <w:szCs w:val="22"/>
              </w:rPr>
              <w:t>DMQ</w:t>
            </w:r>
          </w:p>
          <w:p w14:paraId="1C4D453B" w14:textId="2CF9DED0" w:rsidR="00292359" w:rsidRPr="006F6E02" w:rsidRDefault="00292359" w:rsidP="00491540">
            <w:pPr>
              <w:jc w:val="both"/>
              <w:rPr>
                <w:rFonts w:ascii="Tahoma" w:hAnsi="Tahoma" w:cs="Tahoma"/>
                <w:sz w:val="22"/>
                <w:szCs w:val="22"/>
              </w:rPr>
            </w:pPr>
          </w:p>
        </w:tc>
        <w:tc>
          <w:tcPr>
            <w:tcW w:w="3544" w:type="dxa"/>
            <w:gridSpan w:val="2"/>
            <w:vAlign w:val="center"/>
          </w:tcPr>
          <w:p w14:paraId="6C24264F" w14:textId="32342637" w:rsidR="00292359" w:rsidRPr="00F83A8D" w:rsidRDefault="00292359" w:rsidP="00491540">
            <w:pPr>
              <w:autoSpaceDE w:val="0"/>
              <w:autoSpaceDN w:val="0"/>
              <w:adjustRightInd w:val="0"/>
              <w:jc w:val="both"/>
              <w:rPr>
                <w:rFonts w:ascii="Tahoma" w:hAnsi="Tahoma" w:cs="Tahoma"/>
                <w:sz w:val="20"/>
                <w:szCs w:val="20"/>
              </w:rPr>
            </w:pPr>
          </w:p>
        </w:tc>
      </w:tr>
      <w:tr w:rsidR="00292359" w:rsidRPr="006F6E02" w14:paraId="56E420E2" w14:textId="77777777" w:rsidTr="00491540">
        <w:tc>
          <w:tcPr>
            <w:tcW w:w="1271" w:type="dxa"/>
            <w:vMerge/>
            <w:vAlign w:val="center"/>
          </w:tcPr>
          <w:p w14:paraId="13A897D8" w14:textId="77777777" w:rsidR="00292359" w:rsidRPr="006F6E02" w:rsidRDefault="00292359" w:rsidP="00292359">
            <w:pPr>
              <w:jc w:val="center"/>
              <w:rPr>
                <w:rFonts w:ascii="Tahoma" w:hAnsi="Tahoma" w:cs="Tahoma"/>
                <w:sz w:val="20"/>
                <w:szCs w:val="20"/>
              </w:rPr>
            </w:pPr>
          </w:p>
        </w:tc>
        <w:tc>
          <w:tcPr>
            <w:tcW w:w="4253" w:type="dxa"/>
            <w:vAlign w:val="center"/>
          </w:tcPr>
          <w:p w14:paraId="650C2B7B" w14:textId="77777777" w:rsidR="00292359" w:rsidRPr="006F6E02" w:rsidRDefault="00292359" w:rsidP="00292359">
            <w:pPr>
              <w:autoSpaceDE w:val="0"/>
              <w:autoSpaceDN w:val="0"/>
              <w:adjustRightInd w:val="0"/>
              <w:jc w:val="both"/>
              <w:rPr>
                <w:rFonts w:ascii="Tahoma" w:hAnsi="Tahoma" w:cs="Tahoma"/>
                <w:sz w:val="22"/>
                <w:szCs w:val="22"/>
              </w:rPr>
            </w:pPr>
          </w:p>
          <w:p w14:paraId="18A18DBE" w14:textId="08C768CD" w:rsidR="00292359" w:rsidRPr="006F6E02" w:rsidRDefault="00292359" w:rsidP="00292359">
            <w:pPr>
              <w:autoSpaceDE w:val="0"/>
              <w:autoSpaceDN w:val="0"/>
              <w:adjustRightInd w:val="0"/>
              <w:jc w:val="both"/>
              <w:rPr>
                <w:rFonts w:ascii="Tahoma" w:hAnsi="Tahoma" w:cs="Tahoma"/>
                <w:sz w:val="22"/>
                <w:szCs w:val="22"/>
              </w:rPr>
            </w:pPr>
            <w:r w:rsidRPr="006F6E02">
              <w:rPr>
                <w:rFonts w:ascii="Tahoma" w:hAnsi="Tahoma" w:cs="Tahoma"/>
                <w:sz w:val="22"/>
                <w:szCs w:val="22"/>
              </w:rPr>
              <w:t>Indica que, debe contemplarse la creación de un Observatorio local del valor del suelo y edificaciones, a fin de contar con un registro de catastros y valoraciones más precisas, transparentes y cumplir con lo dispuesto en la disposición general séptima del Acuerdo No. 029, expedido por el Ministerio de Vivienda.</w:t>
            </w:r>
          </w:p>
          <w:p w14:paraId="3A85765F" w14:textId="41D4B7F2" w:rsidR="00292359" w:rsidRPr="006F6E02" w:rsidRDefault="00292359" w:rsidP="00292359">
            <w:pPr>
              <w:autoSpaceDE w:val="0"/>
              <w:autoSpaceDN w:val="0"/>
              <w:adjustRightInd w:val="0"/>
              <w:jc w:val="both"/>
              <w:rPr>
                <w:rFonts w:ascii="Tahoma" w:hAnsi="Tahoma" w:cs="Tahoma"/>
                <w:sz w:val="22"/>
                <w:szCs w:val="22"/>
              </w:rPr>
            </w:pPr>
          </w:p>
        </w:tc>
        <w:tc>
          <w:tcPr>
            <w:tcW w:w="708" w:type="dxa"/>
            <w:vAlign w:val="center"/>
          </w:tcPr>
          <w:p w14:paraId="2D1AF2EE" w14:textId="77777777" w:rsidR="00292359" w:rsidRPr="006F6E02" w:rsidRDefault="00292359" w:rsidP="00292359">
            <w:pPr>
              <w:pBdr>
                <w:top w:val="nil"/>
                <w:left w:val="nil"/>
                <w:bottom w:val="nil"/>
                <w:right w:val="nil"/>
                <w:between w:val="nil"/>
              </w:pBdr>
              <w:jc w:val="both"/>
              <w:rPr>
                <w:rFonts w:ascii="Tahoma" w:hAnsi="Tahoma" w:cs="Tahoma"/>
                <w:sz w:val="22"/>
                <w:szCs w:val="22"/>
              </w:rPr>
            </w:pPr>
          </w:p>
        </w:tc>
        <w:tc>
          <w:tcPr>
            <w:tcW w:w="709" w:type="dxa"/>
            <w:vAlign w:val="center"/>
          </w:tcPr>
          <w:p w14:paraId="7DE654D2" w14:textId="210D4366" w:rsidR="00292359" w:rsidRPr="00632A3A" w:rsidRDefault="00632A3A" w:rsidP="00292359">
            <w:pPr>
              <w:pBdr>
                <w:top w:val="nil"/>
                <w:left w:val="nil"/>
                <w:bottom w:val="nil"/>
                <w:right w:val="nil"/>
                <w:between w:val="nil"/>
              </w:pBdr>
              <w:jc w:val="both"/>
              <w:rPr>
                <w:rFonts w:ascii="Tahoma" w:eastAsia="Palatino Linotype" w:hAnsi="Tahoma" w:cs="Tahoma"/>
                <w:sz w:val="22"/>
                <w:szCs w:val="22"/>
              </w:rPr>
            </w:pPr>
            <w:r w:rsidRPr="00632A3A">
              <w:rPr>
                <w:rFonts w:ascii="Tahoma" w:eastAsia="Palatino Linotype" w:hAnsi="Tahoma" w:cs="Tahoma"/>
                <w:sz w:val="22"/>
                <w:szCs w:val="22"/>
              </w:rPr>
              <w:t>No</w:t>
            </w:r>
          </w:p>
        </w:tc>
        <w:tc>
          <w:tcPr>
            <w:tcW w:w="5103" w:type="dxa"/>
            <w:gridSpan w:val="4"/>
            <w:vAlign w:val="center"/>
          </w:tcPr>
          <w:p w14:paraId="6FA8AEBE" w14:textId="77777777" w:rsidR="00F83A8D" w:rsidRDefault="00F83A8D" w:rsidP="00292359">
            <w:pPr>
              <w:jc w:val="both"/>
              <w:rPr>
                <w:rFonts w:ascii="Tahoma" w:hAnsi="Tahoma" w:cs="Tahoma"/>
                <w:sz w:val="22"/>
                <w:szCs w:val="22"/>
              </w:rPr>
            </w:pPr>
          </w:p>
          <w:p w14:paraId="5AD08744" w14:textId="19EB36F9" w:rsidR="003B3EF4" w:rsidRPr="006F6E02" w:rsidRDefault="00292359" w:rsidP="00292359">
            <w:pPr>
              <w:jc w:val="both"/>
              <w:rPr>
                <w:rFonts w:ascii="Tahoma" w:hAnsi="Tahoma" w:cs="Tahoma"/>
                <w:sz w:val="22"/>
                <w:szCs w:val="22"/>
              </w:rPr>
            </w:pPr>
            <w:r w:rsidRPr="006F6E02">
              <w:rPr>
                <w:rFonts w:ascii="Tahoma" w:hAnsi="Tahoma" w:cs="Tahoma"/>
                <w:sz w:val="22"/>
                <w:szCs w:val="22"/>
              </w:rPr>
              <w:t xml:space="preserve">El observatorio </w:t>
            </w:r>
            <w:r w:rsidR="003B3EF4" w:rsidRPr="006F6E02">
              <w:rPr>
                <w:rFonts w:ascii="Tahoma" w:hAnsi="Tahoma" w:cs="Tahoma"/>
                <w:sz w:val="22"/>
                <w:szCs w:val="22"/>
              </w:rPr>
              <w:t xml:space="preserve">está considerado como un instrumento de estrategia colaborativa con el objetivo de transparentar la información institucional. </w:t>
            </w:r>
            <w:r w:rsidR="007A4781" w:rsidRPr="006F6E02">
              <w:rPr>
                <w:rFonts w:ascii="Tahoma" w:hAnsi="Tahoma" w:cs="Tahoma"/>
                <w:sz w:val="22"/>
                <w:szCs w:val="22"/>
              </w:rPr>
              <w:t>En su</w:t>
            </w:r>
            <w:r w:rsidR="003B3EF4" w:rsidRPr="006F6E02">
              <w:rPr>
                <w:rFonts w:ascii="Tahoma" w:hAnsi="Tahoma" w:cs="Tahoma"/>
                <w:sz w:val="22"/>
                <w:szCs w:val="22"/>
              </w:rPr>
              <w:t xml:space="preserve"> primera fase será de carácter informativo a través de la implementación de </w:t>
            </w:r>
            <w:r w:rsidRPr="006F6E02">
              <w:rPr>
                <w:rFonts w:ascii="Tahoma" w:hAnsi="Tahoma" w:cs="Tahoma"/>
                <w:sz w:val="22"/>
                <w:szCs w:val="22"/>
              </w:rPr>
              <w:t xml:space="preserve">mapas </w:t>
            </w:r>
            <w:r w:rsidR="003B3EF4" w:rsidRPr="006F6E02">
              <w:rPr>
                <w:rFonts w:ascii="Tahoma" w:hAnsi="Tahoma" w:cs="Tahoma"/>
                <w:sz w:val="22"/>
                <w:szCs w:val="22"/>
              </w:rPr>
              <w:t xml:space="preserve">temáticos </w:t>
            </w:r>
            <w:r w:rsidRPr="006F6E02">
              <w:rPr>
                <w:rFonts w:ascii="Tahoma" w:hAnsi="Tahoma" w:cs="Tahoma"/>
                <w:sz w:val="22"/>
                <w:szCs w:val="22"/>
              </w:rPr>
              <w:t>con acceso al público en general</w:t>
            </w:r>
            <w:r w:rsidR="003B3EF4" w:rsidRPr="006F6E02">
              <w:rPr>
                <w:rFonts w:ascii="Tahoma" w:hAnsi="Tahoma" w:cs="Tahoma"/>
                <w:sz w:val="22"/>
                <w:szCs w:val="22"/>
              </w:rPr>
              <w:t xml:space="preserve"> con información valorativa histórica y estudios actuales que permiten </w:t>
            </w:r>
            <w:r w:rsidRPr="006F6E02">
              <w:rPr>
                <w:rFonts w:ascii="Tahoma" w:hAnsi="Tahoma" w:cs="Tahoma"/>
                <w:sz w:val="22"/>
                <w:szCs w:val="22"/>
              </w:rPr>
              <w:t xml:space="preserve">generar </w:t>
            </w:r>
            <w:r w:rsidR="003B3EF4" w:rsidRPr="006F6E02">
              <w:rPr>
                <w:rFonts w:ascii="Tahoma" w:hAnsi="Tahoma" w:cs="Tahoma"/>
                <w:sz w:val="22"/>
                <w:szCs w:val="22"/>
              </w:rPr>
              <w:t>la propuesta de</w:t>
            </w:r>
            <w:r w:rsidRPr="006F6E02">
              <w:rPr>
                <w:rFonts w:ascii="Tahoma" w:hAnsi="Tahoma" w:cs="Tahoma"/>
                <w:sz w:val="22"/>
                <w:szCs w:val="22"/>
              </w:rPr>
              <w:t>l valor del suelo para el Bienio 2022-2023</w:t>
            </w:r>
            <w:r w:rsidR="003B3EF4" w:rsidRPr="006F6E02">
              <w:rPr>
                <w:rFonts w:ascii="Tahoma" w:hAnsi="Tahoma" w:cs="Tahoma"/>
                <w:sz w:val="22"/>
                <w:szCs w:val="22"/>
              </w:rPr>
              <w:t>.</w:t>
            </w:r>
          </w:p>
          <w:p w14:paraId="659136F8" w14:textId="77777777" w:rsidR="00292359" w:rsidRPr="006F6E02" w:rsidRDefault="003B3EF4" w:rsidP="007A4781">
            <w:pPr>
              <w:jc w:val="both"/>
              <w:rPr>
                <w:rFonts w:ascii="Tahoma" w:hAnsi="Tahoma" w:cs="Tahoma"/>
                <w:sz w:val="22"/>
                <w:szCs w:val="22"/>
              </w:rPr>
            </w:pPr>
            <w:r w:rsidRPr="006F6E02">
              <w:rPr>
                <w:rFonts w:ascii="Tahoma" w:hAnsi="Tahoma" w:cs="Tahoma"/>
                <w:sz w:val="22"/>
                <w:szCs w:val="22"/>
              </w:rPr>
              <w:t xml:space="preserve">En su segunda fase se </w:t>
            </w:r>
            <w:r w:rsidR="007A4781" w:rsidRPr="006F6E02">
              <w:rPr>
                <w:rFonts w:ascii="Tahoma" w:hAnsi="Tahoma" w:cs="Tahoma"/>
                <w:sz w:val="22"/>
                <w:szCs w:val="22"/>
              </w:rPr>
              <w:t>estima</w:t>
            </w:r>
            <w:r w:rsidRPr="006F6E02">
              <w:rPr>
                <w:rFonts w:ascii="Tahoma" w:hAnsi="Tahoma" w:cs="Tahoma"/>
                <w:sz w:val="22"/>
                <w:szCs w:val="22"/>
              </w:rPr>
              <w:t xml:space="preserve"> incorporar información de diferentes instancias </w:t>
            </w:r>
            <w:r w:rsidR="007A4781" w:rsidRPr="006F6E02">
              <w:rPr>
                <w:rFonts w:ascii="Tahoma" w:hAnsi="Tahoma" w:cs="Tahoma"/>
                <w:sz w:val="22"/>
                <w:szCs w:val="22"/>
              </w:rPr>
              <w:t xml:space="preserve">públicas y privadas </w:t>
            </w:r>
            <w:r w:rsidRPr="006F6E02">
              <w:rPr>
                <w:rFonts w:ascii="Tahoma" w:hAnsi="Tahoma" w:cs="Tahoma"/>
                <w:sz w:val="22"/>
                <w:szCs w:val="22"/>
              </w:rPr>
              <w:t xml:space="preserve">que alimente la información </w:t>
            </w:r>
            <w:r w:rsidR="007A4781" w:rsidRPr="006F6E02">
              <w:rPr>
                <w:rFonts w:ascii="Tahoma" w:hAnsi="Tahoma" w:cs="Tahoma"/>
                <w:sz w:val="22"/>
                <w:szCs w:val="22"/>
              </w:rPr>
              <w:t>inmobiliaria en el DMQ.</w:t>
            </w:r>
          </w:p>
          <w:p w14:paraId="261E5DA8" w14:textId="5483F66B" w:rsidR="001F78FA" w:rsidRPr="006F6E02" w:rsidRDefault="001F78FA" w:rsidP="007A4781">
            <w:pPr>
              <w:jc w:val="both"/>
              <w:rPr>
                <w:rFonts w:ascii="Tahoma" w:hAnsi="Tahoma" w:cs="Tahoma"/>
                <w:sz w:val="22"/>
                <w:szCs w:val="22"/>
              </w:rPr>
            </w:pPr>
          </w:p>
        </w:tc>
        <w:tc>
          <w:tcPr>
            <w:tcW w:w="3544" w:type="dxa"/>
            <w:gridSpan w:val="2"/>
          </w:tcPr>
          <w:p w14:paraId="2622DFE8" w14:textId="77777777" w:rsidR="00F83A8D" w:rsidRDefault="00F83A8D" w:rsidP="007A4781">
            <w:pPr>
              <w:jc w:val="both"/>
              <w:rPr>
                <w:rFonts w:ascii="Tahoma" w:hAnsi="Tahoma" w:cs="Tahoma"/>
                <w:sz w:val="22"/>
                <w:szCs w:val="22"/>
              </w:rPr>
            </w:pPr>
          </w:p>
          <w:p w14:paraId="75FBC5E7" w14:textId="2DCD0307" w:rsidR="00292359" w:rsidRPr="006F6E02" w:rsidRDefault="00292359" w:rsidP="007A4781">
            <w:pPr>
              <w:jc w:val="both"/>
              <w:rPr>
                <w:rFonts w:ascii="Tahoma" w:hAnsi="Tahoma" w:cs="Tahoma"/>
                <w:sz w:val="22"/>
                <w:szCs w:val="22"/>
              </w:rPr>
            </w:pPr>
          </w:p>
        </w:tc>
      </w:tr>
      <w:tr w:rsidR="00292359" w:rsidRPr="006F6E02" w14:paraId="5E67EB38" w14:textId="77777777" w:rsidTr="00491540">
        <w:tc>
          <w:tcPr>
            <w:tcW w:w="1271" w:type="dxa"/>
            <w:vMerge w:val="restart"/>
            <w:vAlign w:val="center"/>
          </w:tcPr>
          <w:p w14:paraId="08CE6296" w14:textId="77777777" w:rsidR="00292359" w:rsidRPr="006F6E02" w:rsidRDefault="00292359" w:rsidP="00292359">
            <w:pPr>
              <w:jc w:val="center"/>
              <w:rPr>
                <w:rFonts w:ascii="Tahoma" w:hAnsi="Tahoma" w:cs="Tahoma"/>
                <w:b/>
                <w:sz w:val="20"/>
                <w:szCs w:val="20"/>
                <w:u w:val="single"/>
              </w:rPr>
            </w:pPr>
            <w:r w:rsidRPr="006F6E02">
              <w:rPr>
                <w:rFonts w:ascii="Tahoma" w:hAnsi="Tahoma" w:cs="Tahoma"/>
                <w:b/>
                <w:w w:val="105"/>
                <w:sz w:val="20"/>
                <w:szCs w:val="20"/>
                <w:u w:val="single"/>
              </w:rPr>
              <w:t>Ren</w:t>
            </w:r>
            <w:r w:rsidRPr="006F6E02">
              <w:rPr>
                <w:rFonts w:ascii="Tahoma" w:hAnsi="Tahoma" w:cs="Tahoma"/>
                <w:b/>
                <w:bCs/>
                <w:sz w:val="18"/>
                <w:szCs w:val="18"/>
              </w:rPr>
              <w:t>é</w:t>
            </w:r>
            <w:r w:rsidRPr="006F6E02">
              <w:rPr>
                <w:rFonts w:ascii="Tahoma" w:hAnsi="Tahoma" w:cs="Tahoma"/>
                <w:b/>
                <w:w w:val="105"/>
                <w:sz w:val="20"/>
                <w:szCs w:val="20"/>
                <w:u w:val="single"/>
              </w:rPr>
              <w:t xml:space="preserve"> </w:t>
            </w:r>
            <w:r w:rsidRPr="006F6E02">
              <w:rPr>
                <w:rFonts w:ascii="Tahoma" w:hAnsi="Tahoma" w:cs="Tahoma"/>
                <w:b/>
                <w:w w:val="105"/>
                <w:sz w:val="20"/>
                <w:szCs w:val="20"/>
                <w:u w:val="single"/>
              </w:rPr>
              <w:lastRenderedPageBreak/>
              <w:t>Bedón</w:t>
            </w:r>
          </w:p>
        </w:tc>
        <w:tc>
          <w:tcPr>
            <w:tcW w:w="4253" w:type="dxa"/>
            <w:vAlign w:val="center"/>
          </w:tcPr>
          <w:p w14:paraId="13A24293" w14:textId="1985B62B" w:rsidR="00292359" w:rsidRPr="006F6E02" w:rsidRDefault="00292359" w:rsidP="007A4781">
            <w:pPr>
              <w:autoSpaceDE w:val="0"/>
              <w:autoSpaceDN w:val="0"/>
              <w:adjustRightInd w:val="0"/>
              <w:jc w:val="both"/>
              <w:rPr>
                <w:rFonts w:ascii="Tahoma" w:hAnsi="Tahoma" w:cs="Tahoma"/>
                <w:sz w:val="22"/>
                <w:szCs w:val="22"/>
              </w:rPr>
            </w:pPr>
            <w:r w:rsidRPr="006F6E02">
              <w:rPr>
                <w:rFonts w:ascii="Tahoma" w:hAnsi="Tahoma" w:cs="Tahoma"/>
                <w:sz w:val="22"/>
                <w:szCs w:val="22"/>
              </w:rPr>
              <w:lastRenderedPageBreak/>
              <w:t xml:space="preserve">Recomienda establecer una disposición </w:t>
            </w:r>
            <w:r w:rsidRPr="006F6E02">
              <w:rPr>
                <w:rFonts w:ascii="Tahoma" w:hAnsi="Tahoma" w:cs="Tahoma"/>
                <w:sz w:val="22"/>
                <w:szCs w:val="22"/>
              </w:rPr>
              <w:lastRenderedPageBreak/>
              <w:t>derogatoria expresa, a efectos de que se establezca con claridad, la fecha en la que entrará en vigencia y será aplicable la metodología que el Concejo Metropolitano apruebe.</w:t>
            </w:r>
          </w:p>
        </w:tc>
        <w:tc>
          <w:tcPr>
            <w:tcW w:w="708" w:type="dxa"/>
            <w:vAlign w:val="center"/>
          </w:tcPr>
          <w:p w14:paraId="52E0B82D" w14:textId="59CA7517" w:rsidR="00292359" w:rsidRPr="006F6E02" w:rsidRDefault="00632A3A" w:rsidP="00292359">
            <w:pPr>
              <w:jc w:val="both"/>
              <w:rPr>
                <w:rFonts w:ascii="Tahoma" w:hAnsi="Tahoma" w:cs="Tahoma"/>
                <w:sz w:val="22"/>
                <w:szCs w:val="22"/>
              </w:rPr>
            </w:pPr>
            <w:r>
              <w:rPr>
                <w:rFonts w:ascii="Tahoma" w:hAnsi="Tahoma" w:cs="Tahoma"/>
                <w:sz w:val="22"/>
                <w:szCs w:val="22"/>
              </w:rPr>
              <w:lastRenderedPageBreak/>
              <w:t>Si</w:t>
            </w:r>
          </w:p>
        </w:tc>
        <w:tc>
          <w:tcPr>
            <w:tcW w:w="709" w:type="dxa"/>
            <w:vAlign w:val="center"/>
          </w:tcPr>
          <w:p w14:paraId="120667B9" w14:textId="77777777" w:rsidR="00292359" w:rsidRPr="006F6E02" w:rsidRDefault="00292359" w:rsidP="00292359">
            <w:pPr>
              <w:jc w:val="both"/>
              <w:rPr>
                <w:rFonts w:ascii="Tahoma" w:hAnsi="Tahoma" w:cs="Tahoma"/>
                <w:sz w:val="22"/>
                <w:szCs w:val="22"/>
              </w:rPr>
            </w:pPr>
          </w:p>
        </w:tc>
        <w:tc>
          <w:tcPr>
            <w:tcW w:w="5103" w:type="dxa"/>
            <w:gridSpan w:val="4"/>
            <w:vAlign w:val="center"/>
          </w:tcPr>
          <w:p w14:paraId="7AD3859F" w14:textId="14DDBC19" w:rsidR="00292359" w:rsidRPr="006F6E02" w:rsidRDefault="007A4781" w:rsidP="007A4781">
            <w:pPr>
              <w:jc w:val="both"/>
              <w:rPr>
                <w:rFonts w:ascii="Tahoma" w:hAnsi="Tahoma" w:cs="Tahoma"/>
                <w:w w:val="105"/>
                <w:sz w:val="22"/>
                <w:szCs w:val="22"/>
              </w:rPr>
            </w:pPr>
            <w:r w:rsidRPr="006F6E02">
              <w:rPr>
                <w:rFonts w:ascii="Tahoma" w:hAnsi="Tahoma" w:cs="Tahoma"/>
                <w:w w:val="105"/>
                <w:sz w:val="22"/>
                <w:szCs w:val="22"/>
              </w:rPr>
              <w:t>Consta en la</w:t>
            </w:r>
            <w:r w:rsidR="00292359" w:rsidRPr="006F6E02">
              <w:rPr>
                <w:rFonts w:ascii="Tahoma" w:hAnsi="Tahoma" w:cs="Tahoma"/>
                <w:w w:val="105"/>
                <w:sz w:val="22"/>
                <w:szCs w:val="22"/>
              </w:rPr>
              <w:t xml:space="preserve"> Disposición </w:t>
            </w:r>
            <w:r w:rsidRPr="006F6E02">
              <w:rPr>
                <w:rFonts w:ascii="Tahoma" w:hAnsi="Tahoma" w:cs="Tahoma"/>
                <w:w w:val="105"/>
                <w:sz w:val="22"/>
                <w:szCs w:val="22"/>
              </w:rPr>
              <w:t>Transitoria Segunda</w:t>
            </w:r>
          </w:p>
        </w:tc>
        <w:tc>
          <w:tcPr>
            <w:tcW w:w="3544" w:type="dxa"/>
            <w:gridSpan w:val="2"/>
          </w:tcPr>
          <w:p w14:paraId="4C06A798" w14:textId="77777777" w:rsidR="001F78FA" w:rsidRPr="006F6E02" w:rsidRDefault="001F78FA" w:rsidP="007A4781">
            <w:pPr>
              <w:jc w:val="both"/>
              <w:rPr>
                <w:rFonts w:ascii="Tahoma" w:hAnsi="Tahoma" w:cs="Tahoma"/>
                <w:sz w:val="22"/>
                <w:szCs w:val="22"/>
              </w:rPr>
            </w:pPr>
          </w:p>
          <w:p w14:paraId="6222E927" w14:textId="77777777" w:rsidR="00292359" w:rsidRDefault="007A4781" w:rsidP="007A4781">
            <w:pPr>
              <w:jc w:val="both"/>
              <w:rPr>
                <w:rFonts w:ascii="Tahoma" w:hAnsi="Tahoma" w:cs="Tahoma"/>
                <w:sz w:val="22"/>
                <w:szCs w:val="22"/>
              </w:rPr>
            </w:pPr>
            <w:r w:rsidRPr="006F6E02">
              <w:rPr>
                <w:rFonts w:ascii="Tahoma" w:hAnsi="Tahoma" w:cs="Tahoma"/>
                <w:sz w:val="22"/>
                <w:szCs w:val="22"/>
              </w:rPr>
              <w:lastRenderedPageBreak/>
              <w:t xml:space="preserve">Disposición Transitoria </w:t>
            </w:r>
            <w:r w:rsidR="00292359" w:rsidRPr="006F6E02">
              <w:rPr>
                <w:rFonts w:ascii="Tahoma" w:hAnsi="Tahoma" w:cs="Tahoma"/>
                <w:sz w:val="22"/>
                <w:szCs w:val="22"/>
              </w:rPr>
              <w:t>Segunda. - Encárguese al Director Metropolitano de Catastro, en coordinación con el Director Metropolitano de Informática, hasta el 31 de diciembre de 2021, la implementación de los Factores que se aprueban en la presente ordenanza en el Sistema Integrado de Registro Catastral.</w:t>
            </w:r>
          </w:p>
          <w:p w14:paraId="4331892A" w14:textId="61F3D443" w:rsidR="00632A3A" w:rsidRPr="006F6E02" w:rsidRDefault="00632A3A" w:rsidP="007A4781">
            <w:pPr>
              <w:jc w:val="both"/>
              <w:rPr>
                <w:rFonts w:ascii="Arial Narrow" w:hAnsi="Arial Narrow" w:cs="Tahoma"/>
                <w:b/>
                <w:sz w:val="22"/>
                <w:szCs w:val="22"/>
              </w:rPr>
            </w:pPr>
          </w:p>
        </w:tc>
      </w:tr>
      <w:tr w:rsidR="00292359" w:rsidRPr="006F6E02" w14:paraId="468E7604" w14:textId="77777777" w:rsidTr="00491540">
        <w:tc>
          <w:tcPr>
            <w:tcW w:w="1271" w:type="dxa"/>
            <w:vMerge/>
            <w:vAlign w:val="center"/>
          </w:tcPr>
          <w:p w14:paraId="53B7B0D0" w14:textId="77777777" w:rsidR="00292359" w:rsidRPr="006F6E02" w:rsidRDefault="00292359" w:rsidP="00292359">
            <w:pPr>
              <w:jc w:val="center"/>
              <w:rPr>
                <w:rFonts w:ascii="Tahoma" w:hAnsi="Tahoma" w:cs="Tahoma"/>
                <w:sz w:val="20"/>
                <w:szCs w:val="20"/>
              </w:rPr>
            </w:pPr>
          </w:p>
        </w:tc>
        <w:tc>
          <w:tcPr>
            <w:tcW w:w="4253" w:type="dxa"/>
            <w:vAlign w:val="center"/>
          </w:tcPr>
          <w:p w14:paraId="490703DD" w14:textId="2979D2BF" w:rsidR="00292359" w:rsidRPr="006F6E02" w:rsidRDefault="00292359" w:rsidP="00292359">
            <w:pPr>
              <w:autoSpaceDE w:val="0"/>
              <w:autoSpaceDN w:val="0"/>
              <w:adjustRightInd w:val="0"/>
              <w:jc w:val="both"/>
              <w:rPr>
                <w:rFonts w:ascii="Tahoma" w:hAnsi="Tahoma" w:cs="Tahoma"/>
                <w:sz w:val="22"/>
                <w:szCs w:val="22"/>
              </w:rPr>
            </w:pPr>
            <w:r w:rsidRPr="006F6E02">
              <w:rPr>
                <w:rFonts w:ascii="Tahoma" w:hAnsi="Tahoma" w:cs="Tahoma"/>
                <w:sz w:val="22"/>
                <w:szCs w:val="22"/>
              </w:rPr>
              <w:t>A fin de evitar confusiones, indica que, debe establecerse una disposición general que especifique que, a partir de la adopción de la norma en debate, en todo texto que se refiera a “factor agrícola residencial” debe leerse, “factor agro productivo”</w:t>
            </w:r>
          </w:p>
          <w:p w14:paraId="2D2C0922" w14:textId="77777777" w:rsidR="00292359" w:rsidRPr="006F6E02" w:rsidRDefault="00292359" w:rsidP="00292359">
            <w:pPr>
              <w:autoSpaceDE w:val="0"/>
              <w:autoSpaceDN w:val="0"/>
              <w:adjustRightInd w:val="0"/>
              <w:jc w:val="both"/>
              <w:rPr>
                <w:rFonts w:ascii="Tahoma" w:hAnsi="Tahoma" w:cs="Tahoma"/>
                <w:sz w:val="22"/>
                <w:szCs w:val="22"/>
              </w:rPr>
            </w:pPr>
          </w:p>
        </w:tc>
        <w:tc>
          <w:tcPr>
            <w:tcW w:w="708" w:type="dxa"/>
            <w:vAlign w:val="center"/>
          </w:tcPr>
          <w:p w14:paraId="0D671AA5" w14:textId="2025B740" w:rsidR="00292359" w:rsidRPr="006F6E02" w:rsidRDefault="00632A3A" w:rsidP="00292359">
            <w:pPr>
              <w:jc w:val="both"/>
              <w:rPr>
                <w:rFonts w:ascii="Tahoma" w:hAnsi="Tahoma" w:cs="Tahoma"/>
                <w:sz w:val="20"/>
                <w:szCs w:val="20"/>
              </w:rPr>
            </w:pPr>
            <w:r w:rsidRPr="00632A3A">
              <w:rPr>
                <w:rFonts w:ascii="Tahoma" w:hAnsi="Tahoma" w:cs="Tahoma"/>
                <w:sz w:val="22"/>
                <w:szCs w:val="22"/>
              </w:rPr>
              <w:t>Si</w:t>
            </w:r>
          </w:p>
        </w:tc>
        <w:tc>
          <w:tcPr>
            <w:tcW w:w="709" w:type="dxa"/>
            <w:vAlign w:val="center"/>
          </w:tcPr>
          <w:p w14:paraId="4775F5BF" w14:textId="77777777" w:rsidR="00292359" w:rsidRPr="006F6E02" w:rsidRDefault="00292359" w:rsidP="00292359">
            <w:pPr>
              <w:jc w:val="both"/>
              <w:rPr>
                <w:rFonts w:ascii="Tahoma" w:hAnsi="Tahoma" w:cs="Tahoma"/>
                <w:sz w:val="20"/>
                <w:szCs w:val="20"/>
              </w:rPr>
            </w:pPr>
          </w:p>
        </w:tc>
        <w:tc>
          <w:tcPr>
            <w:tcW w:w="5103" w:type="dxa"/>
            <w:gridSpan w:val="4"/>
            <w:vAlign w:val="center"/>
          </w:tcPr>
          <w:p w14:paraId="1D1F3A4E" w14:textId="4E8BE437" w:rsidR="00292359" w:rsidRPr="006F6E02" w:rsidRDefault="00292359" w:rsidP="007A4781">
            <w:pPr>
              <w:jc w:val="both"/>
              <w:rPr>
                <w:rFonts w:ascii="Tahoma" w:hAnsi="Tahoma" w:cs="Tahoma"/>
                <w:sz w:val="22"/>
                <w:szCs w:val="22"/>
              </w:rPr>
            </w:pPr>
            <w:r w:rsidRPr="006F6E02">
              <w:rPr>
                <w:rFonts w:ascii="Tahoma" w:hAnsi="Tahoma" w:cs="Tahoma"/>
                <w:sz w:val="22"/>
                <w:szCs w:val="22"/>
              </w:rPr>
              <w:t xml:space="preserve">Se  incorpora la Disposición General </w:t>
            </w:r>
            <w:r w:rsidR="007A4781" w:rsidRPr="006F6E02">
              <w:rPr>
                <w:rFonts w:ascii="Tahoma" w:hAnsi="Tahoma" w:cs="Tahoma"/>
                <w:sz w:val="22"/>
                <w:szCs w:val="22"/>
              </w:rPr>
              <w:t>Séptima</w:t>
            </w:r>
          </w:p>
        </w:tc>
        <w:tc>
          <w:tcPr>
            <w:tcW w:w="3544" w:type="dxa"/>
            <w:gridSpan w:val="2"/>
          </w:tcPr>
          <w:p w14:paraId="0A63A560" w14:textId="77777777" w:rsidR="001F78FA" w:rsidRPr="006F6E02" w:rsidRDefault="001F78FA" w:rsidP="007A4781">
            <w:pPr>
              <w:jc w:val="both"/>
              <w:rPr>
                <w:rFonts w:ascii="Tahoma" w:hAnsi="Tahoma" w:cs="Tahoma"/>
                <w:sz w:val="22"/>
                <w:szCs w:val="22"/>
              </w:rPr>
            </w:pPr>
          </w:p>
          <w:p w14:paraId="734B3A0D" w14:textId="77777777" w:rsidR="00292359" w:rsidRPr="006F6E02" w:rsidRDefault="007A4781" w:rsidP="007A4781">
            <w:pPr>
              <w:jc w:val="both"/>
              <w:rPr>
                <w:rFonts w:ascii="Tahoma" w:hAnsi="Tahoma" w:cs="Tahoma"/>
                <w:sz w:val="22"/>
                <w:szCs w:val="22"/>
              </w:rPr>
            </w:pPr>
            <w:r w:rsidRPr="006F6E02">
              <w:rPr>
                <w:rFonts w:ascii="Tahoma" w:hAnsi="Tahoma" w:cs="Tahoma"/>
                <w:sz w:val="22"/>
                <w:szCs w:val="22"/>
              </w:rPr>
              <w:t>Disposición General Séptima</w:t>
            </w:r>
            <w:r w:rsidR="00292359" w:rsidRPr="006F6E02">
              <w:rPr>
                <w:rFonts w:ascii="Tahoma" w:hAnsi="Tahoma" w:cs="Tahoma"/>
                <w:sz w:val="22"/>
                <w:szCs w:val="22"/>
              </w:rPr>
              <w:t>.- En toda las disposiciones de la normativa del Distrito Metropolitano de Quito en la cual conste “Factor Agrícola Residencial”, a partir de la vigencia de la presente Ordenanza se entenderá “Factor Agro Productivo”</w:t>
            </w:r>
          </w:p>
          <w:p w14:paraId="520C8D1D" w14:textId="36584491" w:rsidR="001F78FA" w:rsidRPr="006F6E02" w:rsidRDefault="001F78FA" w:rsidP="007A4781">
            <w:pPr>
              <w:jc w:val="both"/>
              <w:rPr>
                <w:rFonts w:ascii="Arial Narrow" w:hAnsi="Arial Narrow" w:cs="Tahoma"/>
                <w:sz w:val="22"/>
                <w:szCs w:val="22"/>
              </w:rPr>
            </w:pPr>
          </w:p>
        </w:tc>
      </w:tr>
      <w:tr w:rsidR="00292359" w:rsidRPr="006F6E02" w14:paraId="701CC317" w14:textId="77777777" w:rsidTr="00491540">
        <w:tc>
          <w:tcPr>
            <w:tcW w:w="1271" w:type="dxa"/>
            <w:vMerge/>
            <w:vAlign w:val="center"/>
          </w:tcPr>
          <w:p w14:paraId="6252412E" w14:textId="77777777" w:rsidR="00292359" w:rsidRPr="006F6E02" w:rsidRDefault="00292359" w:rsidP="00292359">
            <w:pPr>
              <w:jc w:val="center"/>
              <w:rPr>
                <w:rFonts w:ascii="Tahoma" w:hAnsi="Tahoma" w:cs="Tahoma"/>
                <w:sz w:val="20"/>
                <w:szCs w:val="20"/>
              </w:rPr>
            </w:pPr>
          </w:p>
        </w:tc>
        <w:tc>
          <w:tcPr>
            <w:tcW w:w="4253" w:type="dxa"/>
            <w:vAlign w:val="center"/>
          </w:tcPr>
          <w:p w14:paraId="089B77BA" w14:textId="77777777" w:rsidR="00292359" w:rsidRPr="006F6E02" w:rsidRDefault="00292359" w:rsidP="00292359">
            <w:pPr>
              <w:autoSpaceDE w:val="0"/>
              <w:autoSpaceDN w:val="0"/>
              <w:adjustRightInd w:val="0"/>
              <w:jc w:val="both"/>
              <w:rPr>
                <w:rFonts w:ascii="Tahoma" w:hAnsi="Tahoma" w:cs="Tahoma"/>
                <w:b/>
                <w:w w:val="105"/>
                <w:sz w:val="22"/>
                <w:szCs w:val="22"/>
              </w:rPr>
            </w:pPr>
            <w:r w:rsidRPr="006F6E02">
              <w:rPr>
                <w:rFonts w:ascii="Tahoma" w:hAnsi="Tahoma" w:cs="Tahoma"/>
                <w:sz w:val="22"/>
                <w:szCs w:val="22"/>
              </w:rPr>
              <w:t>En lo relativo a los factores de corrección, no es posible desvalorizar del predio, se trata de sincerar y transparentar el valor de los lotes.</w:t>
            </w:r>
          </w:p>
        </w:tc>
        <w:tc>
          <w:tcPr>
            <w:tcW w:w="708" w:type="dxa"/>
            <w:vAlign w:val="center"/>
          </w:tcPr>
          <w:p w14:paraId="4F4CD144" w14:textId="77777777" w:rsidR="00292359" w:rsidRPr="006F6E02" w:rsidRDefault="00292359" w:rsidP="00292359">
            <w:pPr>
              <w:jc w:val="both"/>
              <w:rPr>
                <w:rFonts w:ascii="Tahoma" w:hAnsi="Tahoma" w:cs="Tahoma"/>
                <w:sz w:val="20"/>
                <w:szCs w:val="20"/>
              </w:rPr>
            </w:pPr>
          </w:p>
        </w:tc>
        <w:tc>
          <w:tcPr>
            <w:tcW w:w="709" w:type="dxa"/>
            <w:vAlign w:val="center"/>
          </w:tcPr>
          <w:p w14:paraId="51050E78" w14:textId="1FC1ECA7" w:rsidR="00292359" w:rsidRPr="006F6E02" w:rsidRDefault="00632A3A" w:rsidP="00292359">
            <w:pPr>
              <w:jc w:val="both"/>
              <w:rPr>
                <w:rFonts w:ascii="Tahoma" w:hAnsi="Tahoma" w:cs="Tahoma"/>
                <w:sz w:val="20"/>
                <w:szCs w:val="20"/>
              </w:rPr>
            </w:pPr>
            <w:r w:rsidRPr="00632A3A">
              <w:rPr>
                <w:rFonts w:ascii="Tahoma" w:hAnsi="Tahoma" w:cs="Tahoma"/>
                <w:sz w:val="22"/>
                <w:szCs w:val="22"/>
              </w:rPr>
              <w:t>No</w:t>
            </w:r>
          </w:p>
        </w:tc>
        <w:tc>
          <w:tcPr>
            <w:tcW w:w="5103" w:type="dxa"/>
            <w:gridSpan w:val="4"/>
            <w:vAlign w:val="center"/>
          </w:tcPr>
          <w:p w14:paraId="2105FF51" w14:textId="77777777" w:rsidR="001F78FA" w:rsidRPr="006F6E02" w:rsidRDefault="001F78FA" w:rsidP="00292359">
            <w:pPr>
              <w:autoSpaceDE w:val="0"/>
              <w:autoSpaceDN w:val="0"/>
              <w:adjustRightInd w:val="0"/>
              <w:jc w:val="both"/>
              <w:rPr>
                <w:rFonts w:ascii="Arial" w:hAnsi="Arial" w:cs="Arial"/>
                <w:bCs/>
                <w:sz w:val="22"/>
                <w:szCs w:val="22"/>
              </w:rPr>
            </w:pPr>
          </w:p>
          <w:p w14:paraId="628C2F91" w14:textId="77777777" w:rsidR="00292359" w:rsidRDefault="00292359" w:rsidP="00292359">
            <w:pPr>
              <w:autoSpaceDE w:val="0"/>
              <w:autoSpaceDN w:val="0"/>
              <w:adjustRightInd w:val="0"/>
              <w:jc w:val="both"/>
              <w:rPr>
                <w:rFonts w:ascii="Arial" w:hAnsi="Arial" w:cs="Arial"/>
                <w:color w:val="000000"/>
                <w:sz w:val="22"/>
                <w:szCs w:val="22"/>
              </w:rPr>
            </w:pPr>
            <w:r w:rsidRPr="006F6E02">
              <w:rPr>
                <w:rFonts w:ascii="Arial" w:hAnsi="Arial" w:cs="Arial"/>
                <w:bCs/>
                <w:sz w:val="22"/>
                <w:szCs w:val="22"/>
              </w:rPr>
              <w:t>Los factores de corrección del valor del suelo y construcciones aprobados con la Ordenanza Metropolitana No. 007-2019 y propuestos para ser incluidos permiten obtener el avalúo real de los bienes inmuebles urbanos y rurales del DMQ, cumpliendo de esta manera con los Art. 495</w:t>
            </w:r>
            <w:r w:rsidRPr="006F6E02">
              <w:rPr>
                <w:rFonts w:ascii="Arial" w:hAnsi="Arial" w:cs="Arial"/>
                <w:sz w:val="22"/>
                <w:szCs w:val="22"/>
              </w:rPr>
              <w:t xml:space="preserve"> y </w:t>
            </w:r>
            <w:r w:rsidRPr="006F6E02">
              <w:rPr>
                <w:rFonts w:ascii="Arial" w:hAnsi="Arial" w:cs="Arial"/>
                <w:bCs/>
                <w:sz w:val="22"/>
                <w:szCs w:val="22"/>
                <w:lang w:val="es-ES"/>
              </w:rPr>
              <w:t>525</w:t>
            </w:r>
            <w:r w:rsidRPr="006F6E02">
              <w:rPr>
                <w:rFonts w:ascii="Arial" w:hAnsi="Arial" w:cs="Arial"/>
                <w:b/>
                <w:bCs/>
                <w:sz w:val="22"/>
                <w:szCs w:val="22"/>
                <w:lang w:val="es-ES"/>
              </w:rPr>
              <w:t xml:space="preserve"> </w:t>
            </w:r>
            <w:r w:rsidRPr="006F6E02">
              <w:rPr>
                <w:rFonts w:ascii="Arial" w:hAnsi="Arial" w:cs="Arial"/>
                <w:color w:val="000000"/>
                <w:sz w:val="22"/>
                <w:szCs w:val="22"/>
              </w:rPr>
              <w:t xml:space="preserve">COOTAD. </w:t>
            </w:r>
          </w:p>
          <w:p w14:paraId="555C1A8D" w14:textId="70575CB3" w:rsidR="00632A3A" w:rsidRPr="006F6E02" w:rsidRDefault="00632A3A" w:rsidP="00292359">
            <w:pPr>
              <w:autoSpaceDE w:val="0"/>
              <w:autoSpaceDN w:val="0"/>
              <w:adjustRightInd w:val="0"/>
              <w:jc w:val="both"/>
              <w:rPr>
                <w:rFonts w:ascii="Tahoma" w:hAnsi="Tahoma" w:cs="Tahoma"/>
                <w:sz w:val="20"/>
                <w:szCs w:val="20"/>
              </w:rPr>
            </w:pPr>
          </w:p>
        </w:tc>
        <w:tc>
          <w:tcPr>
            <w:tcW w:w="3544" w:type="dxa"/>
            <w:gridSpan w:val="2"/>
          </w:tcPr>
          <w:p w14:paraId="4973875C" w14:textId="77777777" w:rsidR="00292359" w:rsidRPr="006F6E02" w:rsidRDefault="00292359" w:rsidP="00292359">
            <w:pPr>
              <w:jc w:val="center"/>
              <w:rPr>
                <w:rFonts w:ascii="Tahoma" w:hAnsi="Tahoma" w:cs="Tahoma"/>
                <w:sz w:val="20"/>
                <w:szCs w:val="20"/>
              </w:rPr>
            </w:pPr>
          </w:p>
        </w:tc>
      </w:tr>
      <w:tr w:rsidR="00292359" w:rsidRPr="006F6E02" w14:paraId="48FF053B" w14:textId="77777777" w:rsidTr="00491540">
        <w:tc>
          <w:tcPr>
            <w:tcW w:w="1271" w:type="dxa"/>
            <w:vMerge/>
            <w:vAlign w:val="center"/>
          </w:tcPr>
          <w:p w14:paraId="1A752E10" w14:textId="77777777" w:rsidR="00292359" w:rsidRPr="006F6E02" w:rsidRDefault="00292359" w:rsidP="00292359">
            <w:pPr>
              <w:jc w:val="center"/>
              <w:rPr>
                <w:rFonts w:ascii="Tahoma" w:hAnsi="Tahoma" w:cs="Tahoma"/>
                <w:sz w:val="20"/>
                <w:szCs w:val="20"/>
              </w:rPr>
            </w:pPr>
          </w:p>
        </w:tc>
        <w:tc>
          <w:tcPr>
            <w:tcW w:w="4253" w:type="dxa"/>
            <w:vAlign w:val="center"/>
          </w:tcPr>
          <w:p w14:paraId="7EE40EBC" w14:textId="77777777" w:rsidR="00632A3A" w:rsidRDefault="00632A3A" w:rsidP="00292359">
            <w:pPr>
              <w:autoSpaceDE w:val="0"/>
              <w:autoSpaceDN w:val="0"/>
              <w:adjustRightInd w:val="0"/>
              <w:jc w:val="both"/>
              <w:rPr>
                <w:rFonts w:ascii="Tahoma" w:hAnsi="Tahoma" w:cs="Tahoma"/>
                <w:sz w:val="22"/>
                <w:szCs w:val="22"/>
              </w:rPr>
            </w:pPr>
          </w:p>
          <w:p w14:paraId="1C74D416" w14:textId="1057444E" w:rsidR="00292359" w:rsidRPr="006F6E02" w:rsidRDefault="00292359" w:rsidP="00292359">
            <w:pPr>
              <w:autoSpaceDE w:val="0"/>
              <w:autoSpaceDN w:val="0"/>
              <w:adjustRightInd w:val="0"/>
              <w:jc w:val="both"/>
              <w:rPr>
                <w:rFonts w:ascii="Tahoma" w:hAnsi="Tahoma" w:cs="Tahoma"/>
                <w:b/>
                <w:w w:val="105"/>
                <w:sz w:val="22"/>
                <w:szCs w:val="22"/>
              </w:rPr>
            </w:pPr>
            <w:r w:rsidRPr="006F6E02">
              <w:rPr>
                <w:rFonts w:ascii="Tahoma" w:hAnsi="Tahoma" w:cs="Tahoma"/>
                <w:sz w:val="22"/>
                <w:szCs w:val="22"/>
              </w:rPr>
              <w:t xml:space="preserve">Indica que los factores pueden afectar al sector hotelero, tan afectado por la pandemia. Se trata de un sitio de lujo; no obstante, no todo el predio debe ser </w:t>
            </w:r>
            <w:r w:rsidRPr="006F6E02">
              <w:rPr>
                <w:rFonts w:ascii="Tahoma" w:hAnsi="Tahoma" w:cs="Tahoma"/>
                <w:sz w:val="22"/>
                <w:szCs w:val="22"/>
              </w:rPr>
              <w:lastRenderedPageBreak/>
              <w:t>entendido como una sola área puesto que también han de considerarse los parqueaderos, bodegas y otros espacios que no deben ser considerados de lujo. Por tanto, se solicita incorporar un factor de corrección al alza de “1”, por medio de la incorporación de una disposición transitoria que determine un plazo razonable para aplicar este factor a nivel 1.</w:t>
            </w:r>
          </w:p>
        </w:tc>
        <w:tc>
          <w:tcPr>
            <w:tcW w:w="708" w:type="dxa"/>
            <w:vAlign w:val="center"/>
          </w:tcPr>
          <w:p w14:paraId="08CA4DBD" w14:textId="77777777" w:rsidR="00632A3A" w:rsidRDefault="00632A3A" w:rsidP="00292359">
            <w:pPr>
              <w:jc w:val="both"/>
              <w:rPr>
                <w:rFonts w:ascii="Tahoma" w:hAnsi="Tahoma" w:cs="Tahoma"/>
                <w:sz w:val="22"/>
                <w:szCs w:val="22"/>
              </w:rPr>
            </w:pPr>
          </w:p>
          <w:p w14:paraId="48F91347" w14:textId="0E164E66" w:rsidR="00292359" w:rsidRPr="006F6E02" w:rsidRDefault="00632A3A" w:rsidP="00292359">
            <w:pPr>
              <w:jc w:val="both"/>
              <w:rPr>
                <w:rFonts w:ascii="Tahoma" w:hAnsi="Tahoma" w:cs="Tahoma"/>
                <w:sz w:val="20"/>
                <w:szCs w:val="20"/>
              </w:rPr>
            </w:pPr>
            <w:r w:rsidRPr="00632A3A">
              <w:rPr>
                <w:rFonts w:ascii="Tahoma" w:hAnsi="Tahoma" w:cs="Tahoma"/>
                <w:sz w:val="22"/>
                <w:szCs w:val="22"/>
              </w:rPr>
              <w:t>Si</w:t>
            </w:r>
          </w:p>
        </w:tc>
        <w:tc>
          <w:tcPr>
            <w:tcW w:w="709" w:type="dxa"/>
            <w:vAlign w:val="center"/>
          </w:tcPr>
          <w:p w14:paraId="166568FB" w14:textId="77777777" w:rsidR="00292359" w:rsidRPr="006F6E02" w:rsidRDefault="00292359" w:rsidP="00292359">
            <w:pPr>
              <w:jc w:val="both"/>
              <w:rPr>
                <w:rFonts w:ascii="Tahoma" w:hAnsi="Tahoma" w:cs="Tahoma"/>
                <w:sz w:val="20"/>
                <w:szCs w:val="20"/>
              </w:rPr>
            </w:pPr>
          </w:p>
        </w:tc>
        <w:tc>
          <w:tcPr>
            <w:tcW w:w="5103" w:type="dxa"/>
            <w:gridSpan w:val="4"/>
            <w:vAlign w:val="center"/>
          </w:tcPr>
          <w:p w14:paraId="419D85CF" w14:textId="77777777" w:rsidR="001F78FA" w:rsidRPr="006F6E02" w:rsidRDefault="001F78FA" w:rsidP="00292359">
            <w:pPr>
              <w:jc w:val="both"/>
              <w:rPr>
                <w:rFonts w:ascii="Tahoma" w:hAnsi="Tahoma" w:cs="Tahoma"/>
                <w:sz w:val="22"/>
                <w:szCs w:val="20"/>
              </w:rPr>
            </w:pPr>
          </w:p>
          <w:p w14:paraId="4B792506" w14:textId="7E208BBB" w:rsidR="00292359" w:rsidRPr="006F6E02" w:rsidRDefault="00292359" w:rsidP="00292359">
            <w:pPr>
              <w:jc w:val="both"/>
              <w:rPr>
                <w:rFonts w:ascii="Tahoma" w:hAnsi="Tahoma" w:cs="Tahoma"/>
                <w:sz w:val="22"/>
                <w:szCs w:val="20"/>
              </w:rPr>
            </w:pPr>
            <w:r w:rsidRPr="006F6E02">
              <w:rPr>
                <w:rFonts w:ascii="Tahoma" w:hAnsi="Tahoma" w:cs="Tahoma"/>
                <w:sz w:val="22"/>
                <w:szCs w:val="20"/>
              </w:rPr>
              <w:t>Sobre lo mencionado se informa que el registro catastral</w:t>
            </w:r>
            <w:r w:rsidR="007A4781" w:rsidRPr="006F6E02">
              <w:rPr>
                <w:rFonts w:ascii="Tahoma" w:hAnsi="Tahoma" w:cs="Tahoma"/>
                <w:sz w:val="22"/>
                <w:szCs w:val="20"/>
              </w:rPr>
              <w:t xml:space="preserve"> de las áreas de construcción</w:t>
            </w:r>
            <w:r w:rsidRPr="006F6E02">
              <w:rPr>
                <w:rFonts w:ascii="Tahoma" w:hAnsi="Tahoma" w:cs="Tahoma"/>
                <w:sz w:val="22"/>
                <w:szCs w:val="20"/>
              </w:rPr>
              <w:t xml:space="preserve"> se </w:t>
            </w:r>
            <w:r w:rsidR="007A4781" w:rsidRPr="006F6E02">
              <w:rPr>
                <w:rFonts w:ascii="Tahoma" w:hAnsi="Tahoma" w:cs="Tahoma"/>
                <w:sz w:val="22"/>
                <w:szCs w:val="20"/>
              </w:rPr>
              <w:t>realiza</w:t>
            </w:r>
            <w:r w:rsidRPr="006F6E02">
              <w:rPr>
                <w:rFonts w:ascii="Tahoma" w:hAnsi="Tahoma" w:cs="Tahoma"/>
                <w:sz w:val="22"/>
                <w:szCs w:val="20"/>
              </w:rPr>
              <w:t xml:space="preserve"> </w:t>
            </w:r>
            <w:r w:rsidR="007A4781" w:rsidRPr="006F6E02">
              <w:rPr>
                <w:rFonts w:ascii="Tahoma" w:hAnsi="Tahoma" w:cs="Tahoma"/>
                <w:sz w:val="22"/>
                <w:szCs w:val="20"/>
              </w:rPr>
              <w:t>por</w:t>
            </w:r>
            <w:r w:rsidRPr="006F6E02">
              <w:rPr>
                <w:rFonts w:ascii="Tahoma" w:hAnsi="Tahoma" w:cs="Tahoma"/>
                <w:sz w:val="22"/>
                <w:szCs w:val="20"/>
              </w:rPr>
              <w:t xml:space="preserve"> unidad constructiva de acuerdo al uso constructivo, eso permite establecer los avalúos </w:t>
            </w:r>
            <w:r w:rsidRPr="006F6E02">
              <w:rPr>
                <w:rFonts w:ascii="Tahoma" w:hAnsi="Tahoma" w:cs="Tahoma"/>
                <w:sz w:val="22"/>
                <w:szCs w:val="20"/>
              </w:rPr>
              <w:lastRenderedPageBreak/>
              <w:t>diferenciados de acuerdo al uso, estado de conservación y características individuales.</w:t>
            </w:r>
          </w:p>
          <w:p w14:paraId="018E27BB" w14:textId="77777777" w:rsidR="00292359" w:rsidRPr="006F6E02" w:rsidRDefault="00292359" w:rsidP="00292359">
            <w:pPr>
              <w:jc w:val="both"/>
              <w:rPr>
                <w:rFonts w:ascii="Tahoma" w:hAnsi="Tahoma" w:cs="Tahoma"/>
                <w:sz w:val="22"/>
                <w:szCs w:val="20"/>
              </w:rPr>
            </w:pPr>
          </w:p>
          <w:p w14:paraId="4596EE86" w14:textId="77777777" w:rsidR="00292359" w:rsidRPr="006F6E02" w:rsidRDefault="00292359" w:rsidP="00292359">
            <w:pPr>
              <w:jc w:val="both"/>
              <w:rPr>
                <w:rFonts w:ascii="Tahoma" w:hAnsi="Tahoma" w:cs="Tahoma"/>
                <w:sz w:val="22"/>
                <w:szCs w:val="20"/>
              </w:rPr>
            </w:pPr>
            <w:r w:rsidRPr="006F6E02">
              <w:rPr>
                <w:rFonts w:ascii="Tahoma" w:hAnsi="Tahoma" w:cs="Tahoma"/>
                <w:sz w:val="22"/>
                <w:szCs w:val="20"/>
              </w:rPr>
              <w:t>Sobre establecer un factor de corrección del valor se podrían realizar el estudio correspondiente para los 72 usos constructivos que constan en la Norma Técnica de Valoracion para los Bienes Inmuebles del DMQ para rectificar o ratificar los factores por uso constructivo.</w:t>
            </w:r>
          </w:p>
          <w:p w14:paraId="4A49705C" w14:textId="77777777" w:rsidR="00292359" w:rsidRPr="006F6E02" w:rsidRDefault="00292359" w:rsidP="00292359">
            <w:pPr>
              <w:jc w:val="both"/>
              <w:rPr>
                <w:rFonts w:ascii="Tahoma" w:hAnsi="Tahoma" w:cs="Tahoma"/>
                <w:sz w:val="22"/>
                <w:szCs w:val="20"/>
              </w:rPr>
            </w:pPr>
          </w:p>
          <w:p w14:paraId="7E684B04" w14:textId="284514A5" w:rsidR="00292359" w:rsidRPr="006F6E02" w:rsidRDefault="007A4781" w:rsidP="00292359">
            <w:pPr>
              <w:jc w:val="both"/>
              <w:rPr>
                <w:rFonts w:ascii="Tahoma" w:hAnsi="Tahoma" w:cs="Tahoma"/>
                <w:sz w:val="22"/>
                <w:szCs w:val="20"/>
              </w:rPr>
            </w:pPr>
            <w:r w:rsidRPr="006F6E02">
              <w:rPr>
                <w:rFonts w:ascii="Tahoma" w:hAnsi="Tahoma" w:cs="Tahoma"/>
                <w:sz w:val="22"/>
                <w:szCs w:val="20"/>
              </w:rPr>
              <w:t>Se</w:t>
            </w:r>
            <w:r w:rsidR="00292359" w:rsidRPr="006F6E02">
              <w:rPr>
                <w:rFonts w:ascii="Tahoma" w:hAnsi="Tahoma" w:cs="Tahoma"/>
                <w:sz w:val="22"/>
                <w:szCs w:val="20"/>
              </w:rPr>
              <w:t xml:space="preserve"> recomienda para este caso considerar lo establecido en el siguiente artículo: </w:t>
            </w:r>
          </w:p>
          <w:p w14:paraId="0212D13E" w14:textId="77777777" w:rsidR="00292359" w:rsidRPr="006F6E02" w:rsidRDefault="00292359" w:rsidP="00292359">
            <w:pPr>
              <w:jc w:val="both"/>
              <w:rPr>
                <w:rFonts w:ascii="Tahoma" w:hAnsi="Tahoma" w:cs="Tahoma"/>
                <w:sz w:val="22"/>
                <w:szCs w:val="20"/>
              </w:rPr>
            </w:pPr>
          </w:p>
          <w:p w14:paraId="26F1E382" w14:textId="77777777" w:rsidR="00292359" w:rsidRPr="006F6E02" w:rsidRDefault="00292359" w:rsidP="00292359">
            <w:pPr>
              <w:jc w:val="both"/>
              <w:rPr>
                <w:rFonts w:ascii="Tahoma" w:hAnsi="Tahoma" w:cs="Tahoma"/>
                <w:sz w:val="22"/>
                <w:szCs w:val="20"/>
              </w:rPr>
            </w:pPr>
            <w:r w:rsidRPr="006F6E02">
              <w:rPr>
                <w:rFonts w:ascii="Tahoma" w:hAnsi="Tahoma" w:cs="Tahoma"/>
                <w:b/>
                <w:bCs/>
                <w:sz w:val="22"/>
                <w:szCs w:val="20"/>
                <w:lang w:val="es-ES"/>
              </w:rPr>
              <w:t>Art. 498</w:t>
            </w:r>
            <w:r w:rsidRPr="006F6E02">
              <w:rPr>
                <w:rFonts w:ascii="Tahoma" w:hAnsi="Tahoma" w:cs="Tahoma"/>
                <w:sz w:val="22"/>
                <w:szCs w:val="20"/>
                <w:lang w:val="es-ES"/>
              </w:rPr>
              <w:t xml:space="preserve">.- Estímulos tributarios.- Con la finalidad de estimular el desarrollo del turismo, la construcción, la industria, el comercio u otras actividades productivas, culturales, educativas, deportivas, de beneficencia, así como las que protejan y defiendan el medio ambiente, los concejos cantonales o metropolitanos podrán, mediante ordenanza, disminuir hasta en un cincuenta por ciento los valores que corresponda cancelar a los diferentes sujetos pasivos de los tributos establecidos en </w:t>
            </w:r>
            <w:r w:rsidRPr="006F6E02">
              <w:rPr>
                <w:rFonts w:ascii="Tahoma" w:hAnsi="Tahoma" w:cs="Tahoma"/>
                <w:sz w:val="22"/>
                <w:szCs w:val="20"/>
              </w:rPr>
              <w:t>el presente Código.</w:t>
            </w:r>
          </w:p>
          <w:p w14:paraId="27AEF3FD" w14:textId="77777777" w:rsidR="00292359" w:rsidRPr="006F6E02" w:rsidRDefault="00292359" w:rsidP="00292359">
            <w:pPr>
              <w:jc w:val="both"/>
              <w:rPr>
                <w:rFonts w:ascii="Tahoma" w:hAnsi="Tahoma" w:cs="Tahoma"/>
                <w:sz w:val="22"/>
                <w:szCs w:val="20"/>
              </w:rPr>
            </w:pPr>
            <w:r w:rsidRPr="006F6E02">
              <w:rPr>
                <w:rFonts w:ascii="Tahoma" w:hAnsi="Tahoma" w:cs="Tahoma"/>
                <w:sz w:val="22"/>
                <w:szCs w:val="20"/>
              </w:rPr>
              <w:t xml:space="preserve">                </w:t>
            </w:r>
            <w:r w:rsidRPr="006F6E02">
              <w:rPr>
                <w:rFonts w:ascii="Tahoma" w:hAnsi="Tahoma" w:cs="Tahoma"/>
                <w:sz w:val="22"/>
                <w:szCs w:val="20"/>
              </w:rPr>
              <w:br/>
            </w:r>
            <w:r w:rsidRPr="006F6E02">
              <w:rPr>
                <w:rFonts w:ascii="Tahoma" w:hAnsi="Tahoma" w:cs="Tahoma"/>
                <w:sz w:val="22"/>
                <w:szCs w:val="20"/>
                <w:lang w:val="es-ES"/>
              </w:rPr>
              <w:t xml:space="preserve">Los estímulos establecidos en el presente artículo tendrán el carácter de general, es decir, serán aplicados en favor de todas las personas naturales o jurídicas que realicen nuevas inversiones en las actividades antes descritas, cuyo desarrollo se aspira estimular; beneficio que tendrá un plazo máximo de duración de diez años improrrogables, el mismo que será determinado en la respectiva </w:t>
            </w:r>
            <w:r w:rsidRPr="006F6E02">
              <w:rPr>
                <w:rFonts w:ascii="Tahoma" w:hAnsi="Tahoma" w:cs="Tahoma"/>
                <w:sz w:val="22"/>
                <w:szCs w:val="20"/>
              </w:rPr>
              <w:t>ordenanza</w:t>
            </w:r>
          </w:p>
          <w:p w14:paraId="45C3C9CF" w14:textId="0EF6A89B" w:rsidR="001F78FA" w:rsidRPr="006F6E02" w:rsidRDefault="001F78FA" w:rsidP="00292359">
            <w:pPr>
              <w:jc w:val="both"/>
              <w:rPr>
                <w:rFonts w:ascii="Tahoma" w:hAnsi="Tahoma" w:cs="Tahoma"/>
                <w:sz w:val="22"/>
                <w:szCs w:val="20"/>
              </w:rPr>
            </w:pPr>
          </w:p>
        </w:tc>
        <w:tc>
          <w:tcPr>
            <w:tcW w:w="3544" w:type="dxa"/>
            <w:gridSpan w:val="2"/>
          </w:tcPr>
          <w:p w14:paraId="75D1E5C6" w14:textId="77777777" w:rsidR="00632A3A" w:rsidRDefault="00632A3A" w:rsidP="00632A3A">
            <w:pPr>
              <w:jc w:val="both"/>
              <w:rPr>
                <w:rFonts w:ascii="Tahoma" w:hAnsi="Tahoma" w:cs="Tahoma"/>
                <w:bCs/>
                <w:sz w:val="22"/>
                <w:szCs w:val="20"/>
              </w:rPr>
            </w:pPr>
          </w:p>
          <w:p w14:paraId="0321F6A0" w14:textId="07871874" w:rsidR="00292359" w:rsidRPr="006F6E02" w:rsidRDefault="00632A3A" w:rsidP="00632A3A">
            <w:pPr>
              <w:jc w:val="both"/>
              <w:rPr>
                <w:rFonts w:ascii="Tahoma" w:hAnsi="Tahoma" w:cs="Tahoma"/>
                <w:sz w:val="20"/>
                <w:szCs w:val="20"/>
              </w:rPr>
            </w:pPr>
            <w:r w:rsidRPr="006F6E02">
              <w:rPr>
                <w:rFonts w:ascii="Tahoma" w:hAnsi="Tahoma" w:cs="Tahoma"/>
                <w:bCs/>
                <w:sz w:val="22"/>
                <w:szCs w:val="20"/>
              </w:rPr>
              <w:t xml:space="preserve">Disposición Transitoria Tercera.- </w:t>
            </w:r>
            <w:r w:rsidRPr="006F6E02">
              <w:rPr>
                <w:rFonts w:ascii="Tahoma" w:hAnsi="Tahoma" w:cs="Tahoma"/>
                <w:sz w:val="22"/>
                <w:szCs w:val="20"/>
              </w:rPr>
              <w:t xml:space="preserve">En el plazo de un año, el Director Metropolitano de Catastro, realizará los estudios e </w:t>
            </w:r>
            <w:r w:rsidRPr="006F6E02">
              <w:rPr>
                <w:rFonts w:ascii="Tahoma" w:hAnsi="Tahoma" w:cs="Tahoma"/>
                <w:sz w:val="22"/>
                <w:szCs w:val="20"/>
              </w:rPr>
              <w:lastRenderedPageBreak/>
              <w:t>investigaciones, a efectos de implementar para el siguiente bienio la valoración especifica del sector hotelero, escenario deportivos, cementerios, centros comerciales y otros que tengan sus construcciones declarados en Propiedad Horizontal y que en la actualidad consta como valoración especial en la Norma Técnica del Distrito Metropolitano de Quito</w:t>
            </w:r>
            <w:r w:rsidR="00A06D24" w:rsidRPr="00A06D24">
              <w:rPr>
                <w:rFonts w:ascii="Tahoma" w:hAnsi="Tahoma" w:cs="Tahoma"/>
                <w:sz w:val="22"/>
                <w:szCs w:val="22"/>
              </w:rPr>
              <w:t>, el mismo que deberá ser presentado para conocimiento del Concejo Metropolitano.</w:t>
            </w:r>
          </w:p>
        </w:tc>
      </w:tr>
      <w:tr w:rsidR="00292359" w:rsidRPr="006F6E02" w14:paraId="1DF4ECFE" w14:textId="77777777" w:rsidTr="00491540">
        <w:tc>
          <w:tcPr>
            <w:tcW w:w="1271" w:type="dxa"/>
            <w:vMerge w:val="restart"/>
            <w:vAlign w:val="center"/>
          </w:tcPr>
          <w:p w14:paraId="7A788F9C" w14:textId="77777777" w:rsidR="00292359" w:rsidRPr="006F6E02" w:rsidRDefault="00292359" w:rsidP="00292359">
            <w:pPr>
              <w:jc w:val="center"/>
              <w:rPr>
                <w:rFonts w:ascii="Tahoma" w:hAnsi="Tahoma" w:cs="Tahoma"/>
                <w:b/>
                <w:sz w:val="20"/>
                <w:szCs w:val="20"/>
                <w:u w:val="single"/>
              </w:rPr>
            </w:pPr>
            <w:r w:rsidRPr="006F6E02">
              <w:rPr>
                <w:rFonts w:ascii="Tahoma" w:hAnsi="Tahoma" w:cs="Tahoma"/>
                <w:b/>
                <w:sz w:val="20"/>
                <w:szCs w:val="20"/>
                <w:u w:val="single"/>
              </w:rPr>
              <w:lastRenderedPageBreak/>
              <w:t xml:space="preserve">Andrea </w:t>
            </w:r>
            <w:r w:rsidRPr="006F6E02">
              <w:rPr>
                <w:rFonts w:ascii="Tahoma" w:hAnsi="Tahoma" w:cs="Tahoma"/>
                <w:b/>
                <w:sz w:val="20"/>
                <w:szCs w:val="20"/>
                <w:u w:val="single"/>
              </w:rPr>
              <w:lastRenderedPageBreak/>
              <w:t>Hidalgo</w:t>
            </w:r>
          </w:p>
        </w:tc>
        <w:tc>
          <w:tcPr>
            <w:tcW w:w="4253" w:type="dxa"/>
            <w:vAlign w:val="center"/>
          </w:tcPr>
          <w:p w14:paraId="7E2A4915" w14:textId="77777777" w:rsidR="00292359" w:rsidRPr="006F6E02" w:rsidRDefault="00292359" w:rsidP="00292359">
            <w:pPr>
              <w:autoSpaceDE w:val="0"/>
              <w:autoSpaceDN w:val="0"/>
              <w:adjustRightInd w:val="0"/>
              <w:jc w:val="both"/>
              <w:rPr>
                <w:rFonts w:ascii="Tahoma" w:hAnsi="Tahoma" w:cs="Tahoma"/>
                <w:w w:val="105"/>
                <w:sz w:val="22"/>
                <w:szCs w:val="22"/>
              </w:rPr>
            </w:pPr>
            <w:r w:rsidRPr="006F6E02">
              <w:rPr>
                <w:rFonts w:ascii="Tahoma" w:hAnsi="Tahoma" w:cs="Tahoma"/>
                <w:sz w:val="22"/>
                <w:szCs w:val="22"/>
              </w:rPr>
              <w:lastRenderedPageBreak/>
              <w:t xml:space="preserve">Solicita se establezcan rangos en función </w:t>
            </w:r>
            <w:r w:rsidRPr="006F6E02">
              <w:rPr>
                <w:rFonts w:ascii="Tahoma" w:hAnsi="Tahoma" w:cs="Tahoma"/>
                <w:sz w:val="22"/>
                <w:szCs w:val="22"/>
              </w:rPr>
              <w:lastRenderedPageBreak/>
              <w:t>del tamaño de los lotes de tal manera que se aplique el factor agro productivo de forma equitativa. Adicionalmente, debe tratos diferenciados para los casos en los que debe aplicarse este factor y aquellos en los que no corresponda hacerlo.</w:t>
            </w:r>
          </w:p>
        </w:tc>
        <w:tc>
          <w:tcPr>
            <w:tcW w:w="708" w:type="dxa"/>
            <w:vAlign w:val="center"/>
          </w:tcPr>
          <w:p w14:paraId="37429CBF" w14:textId="77777777" w:rsidR="00292359" w:rsidRPr="006F6E02" w:rsidRDefault="00292359" w:rsidP="00292359">
            <w:pPr>
              <w:jc w:val="both"/>
              <w:rPr>
                <w:rFonts w:ascii="Tahoma" w:hAnsi="Tahoma" w:cs="Tahoma"/>
                <w:sz w:val="22"/>
                <w:szCs w:val="22"/>
              </w:rPr>
            </w:pPr>
          </w:p>
        </w:tc>
        <w:tc>
          <w:tcPr>
            <w:tcW w:w="709" w:type="dxa"/>
            <w:vAlign w:val="center"/>
          </w:tcPr>
          <w:p w14:paraId="11841771" w14:textId="5CCE42A8" w:rsidR="00292359" w:rsidRPr="006F6E02" w:rsidRDefault="00632A3A" w:rsidP="00292359">
            <w:pPr>
              <w:jc w:val="both"/>
              <w:rPr>
                <w:rFonts w:ascii="Tahoma" w:hAnsi="Tahoma" w:cs="Tahoma"/>
                <w:sz w:val="22"/>
                <w:szCs w:val="22"/>
              </w:rPr>
            </w:pPr>
            <w:r>
              <w:rPr>
                <w:rFonts w:ascii="Tahoma" w:hAnsi="Tahoma" w:cs="Tahoma"/>
                <w:sz w:val="22"/>
                <w:szCs w:val="22"/>
              </w:rPr>
              <w:t xml:space="preserve">No </w:t>
            </w:r>
          </w:p>
        </w:tc>
        <w:tc>
          <w:tcPr>
            <w:tcW w:w="5103" w:type="dxa"/>
            <w:gridSpan w:val="4"/>
            <w:vAlign w:val="center"/>
          </w:tcPr>
          <w:p w14:paraId="1F3AE678" w14:textId="77777777" w:rsidR="001F78FA" w:rsidRPr="006F6E02" w:rsidRDefault="001F78FA" w:rsidP="00292359">
            <w:pPr>
              <w:jc w:val="both"/>
              <w:rPr>
                <w:rFonts w:ascii="Tahoma" w:hAnsi="Tahoma" w:cs="Tahoma"/>
                <w:sz w:val="22"/>
                <w:szCs w:val="22"/>
              </w:rPr>
            </w:pPr>
          </w:p>
          <w:p w14:paraId="13840B8B" w14:textId="6FDFFC39" w:rsidR="00292359" w:rsidRDefault="001F78FA" w:rsidP="00292359">
            <w:pPr>
              <w:jc w:val="both"/>
              <w:rPr>
                <w:rFonts w:ascii="Tahoma" w:hAnsi="Tahoma" w:cs="Tahoma"/>
                <w:sz w:val="22"/>
                <w:szCs w:val="22"/>
              </w:rPr>
            </w:pPr>
            <w:r w:rsidRPr="006F6E02">
              <w:rPr>
                <w:rFonts w:ascii="Tahoma" w:hAnsi="Tahoma" w:cs="Tahoma"/>
                <w:sz w:val="22"/>
                <w:szCs w:val="22"/>
              </w:rPr>
              <w:lastRenderedPageBreak/>
              <w:t>L</w:t>
            </w:r>
            <w:r w:rsidR="00292359" w:rsidRPr="006F6E02">
              <w:rPr>
                <w:rFonts w:ascii="Tahoma" w:hAnsi="Tahoma" w:cs="Tahoma"/>
                <w:sz w:val="22"/>
                <w:szCs w:val="22"/>
              </w:rPr>
              <w:t>a aplicación de este factor es puntual bajo petición del administrados y debe cumplir con los siguientes parámetros: Ser predio urbano, superficie registrada en el si</w:t>
            </w:r>
            <w:r w:rsidR="007A4781" w:rsidRPr="006F6E02">
              <w:rPr>
                <w:rFonts w:ascii="Tahoma" w:hAnsi="Tahoma" w:cs="Tahoma"/>
                <w:sz w:val="22"/>
                <w:szCs w:val="22"/>
              </w:rPr>
              <w:t>stema catastral mayor de 500m2 y adicionalmente se debe realizar la verificación</w:t>
            </w:r>
            <w:r w:rsidR="00292359" w:rsidRPr="006F6E02">
              <w:rPr>
                <w:rFonts w:ascii="Tahoma" w:hAnsi="Tahoma" w:cs="Tahoma"/>
                <w:sz w:val="22"/>
                <w:szCs w:val="22"/>
              </w:rPr>
              <w:t xml:space="preserve"> técnica</w:t>
            </w:r>
            <w:r w:rsidR="007A4781" w:rsidRPr="006F6E02">
              <w:rPr>
                <w:rFonts w:ascii="Tahoma" w:hAnsi="Tahoma" w:cs="Tahoma"/>
                <w:sz w:val="22"/>
                <w:szCs w:val="22"/>
              </w:rPr>
              <w:t xml:space="preserve"> in situ</w:t>
            </w:r>
            <w:r w:rsidR="00292359" w:rsidRPr="006F6E02">
              <w:rPr>
                <w:rFonts w:ascii="Tahoma" w:hAnsi="Tahoma" w:cs="Tahoma"/>
                <w:sz w:val="22"/>
                <w:szCs w:val="22"/>
              </w:rPr>
              <w:t xml:space="preserve"> </w:t>
            </w:r>
            <w:r w:rsidR="007A4781" w:rsidRPr="006F6E02">
              <w:rPr>
                <w:rFonts w:ascii="Tahoma" w:hAnsi="Tahoma" w:cs="Tahoma"/>
                <w:sz w:val="22"/>
                <w:szCs w:val="22"/>
              </w:rPr>
              <w:t>de que en el predio se</w:t>
            </w:r>
            <w:r w:rsidR="00292359" w:rsidRPr="006F6E02">
              <w:rPr>
                <w:rFonts w:ascii="Tahoma" w:hAnsi="Tahoma" w:cs="Tahoma"/>
                <w:sz w:val="22"/>
                <w:szCs w:val="22"/>
              </w:rPr>
              <w:t xml:space="preserve"> están realizando actividades agro-productivas.</w:t>
            </w:r>
          </w:p>
          <w:p w14:paraId="7EDC04B3" w14:textId="77777777" w:rsidR="00632A3A" w:rsidRPr="006F6E02" w:rsidRDefault="00632A3A" w:rsidP="00292359">
            <w:pPr>
              <w:jc w:val="both"/>
              <w:rPr>
                <w:rFonts w:ascii="Tahoma" w:hAnsi="Tahoma" w:cs="Tahoma"/>
                <w:sz w:val="22"/>
                <w:szCs w:val="22"/>
              </w:rPr>
            </w:pPr>
          </w:p>
          <w:p w14:paraId="2212C0FC" w14:textId="3E8845E8" w:rsidR="00292359" w:rsidRPr="006F6E02" w:rsidRDefault="00292359" w:rsidP="004B41D1">
            <w:pPr>
              <w:jc w:val="both"/>
              <w:rPr>
                <w:rFonts w:ascii="Tahoma" w:hAnsi="Tahoma" w:cs="Tahoma"/>
                <w:sz w:val="22"/>
                <w:szCs w:val="22"/>
              </w:rPr>
            </w:pPr>
            <w:r w:rsidRPr="006F6E02">
              <w:rPr>
                <w:rFonts w:ascii="Tahoma" w:hAnsi="Tahoma" w:cs="Tahoma"/>
                <w:sz w:val="22"/>
                <w:szCs w:val="22"/>
              </w:rPr>
              <w:t xml:space="preserve">Sobre la propuesta de establecer rangos de tamaño, la Dirección Metropolitana de Catastro </w:t>
            </w:r>
            <w:r w:rsidR="00632A3A">
              <w:rPr>
                <w:rFonts w:ascii="Tahoma" w:hAnsi="Tahoma" w:cs="Tahoma"/>
                <w:sz w:val="22"/>
                <w:szCs w:val="22"/>
              </w:rPr>
              <w:t xml:space="preserve">informa que </w:t>
            </w:r>
            <w:r w:rsidRPr="006F6E02">
              <w:rPr>
                <w:rFonts w:ascii="Tahoma" w:hAnsi="Tahoma" w:cs="Tahoma"/>
                <w:sz w:val="22"/>
                <w:szCs w:val="22"/>
              </w:rPr>
              <w:t>incorporado</w:t>
            </w:r>
            <w:r w:rsidR="00632A3A">
              <w:rPr>
                <w:rFonts w:ascii="Tahoma" w:hAnsi="Tahoma" w:cs="Tahoma"/>
                <w:sz w:val="22"/>
                <w:szCs w:val="22"/>
              </w:rPr>
              <w:t xml:space="preserve"> en la Norma técnica de Valoración </w:t>
            </w:r>
            <w:r w:rsidRPr="006F6E02">
              <w:rPr>
                <w:rFonts w:ascii="Tahoma" w:hAnsi="Tahoma" w:cs="Tahoma"/>
                <w:sz w:val="22"/>
                <w:szCs w:val="22"/>
              </w:rPr>
              <w:t xml:space="preserve">el Factor Tamaño que aplica a </w:t>
            </w:r>
            <w:r w:rsidR="00095C1F">
              <w:rPr>
                <w:rFonts w:ascii="Tahoma" w:hAnsi="Tahoma" w:cs="Tahoma"/>
                <w:sz w:val="22"/>
                <w:szCs w:val="22"/>
              </w:rPr>
              <w:t xml:space="preserve">todos </w:t>
            </w:r>
            <w:r w:rsidRPr="006F6E02">
              <w:rPr>
                <w:rFonts w:ascii="Tahoma" w:hAnsi="Tahoma" w:cs="Tahoma"/>
                <w:sz w:val="22"/>
                <w:szCs w:val="22"/>
              </w:rPr>
              <w:t xml:space="preserve">los predios </w:t>
            </w:r>
            <w:r w:rsidR="00095C1F">
              <w:rPr>
                <w:rFonts w:ascii="Tahoma" w:hAnsi="Tahoma" w:cs="Tahoma"/>
                <w:sz w:val="22"/>
                <w:szCs w:val="22"/>
              </w:rPr>
              <w:t>u</w:t>
            </w:r>
            <w:r w:rsidRPr="006F6E02">
              <w:rPr>
                <w:rFonts w:ascii="Tahoma" w:hAnsi="Tahoma" w:cs="Tahoma"/>
                <w:sz w:val="22"/>
                <w:szCs w:val="22"/>
              </w:rPr>
              <w:t xml:space="preserve">rbanos. </w:t>
            </w:r>
          </w:p>
          <w:p w14:paraId="72CBA06C" w14:textId="31A856B2" w:rsidR="001F78FA" w:rsidRPr="006F6E02" w:rsidRDefault="001F78FA" w:rsidP="004B41D1">
            <w:pPr>
              <w:jc w:val="both"/>
              <w:rPr>
                <w:rFonts w:ascii="Tahoma" w:hAnsi="Tahoma" w:cs="Tahoma"/>
                <w:sz w:val="22"/>
                <w:szCs w:val="22"/>
              </w:rPr>
            </w:pPr>
          </w:p>
        </w:tc>
        <w:tc>
          <w:tcPr>
            <w:tcW w:w="3544" w:type="dxa"/>
            <w:gridSpan w:val="2"/>
          </w:tcPr>
          <w:p w14:paraId="08D63D28" w14:textId="77777777" w:rsidR="00292359" w:rsidRPr="006F6E02" w:rsidRDefault="00292359" w:rsidP="00292359">
            <w:pPr>
              <w:jc w:val="center"/>
              <w:rPr>
                <w:rFonts w:ascii="Tahoma" w:hAnsi="Tahoma" w:cs="Tahoma"/>
                <w:sz w:val="20"/>
                <w:szCs w:val="20"/>
              </w:rPr>
            </w:pPr>
          </w:p>
        </w:tc>
      </w:tr>
      <w:tr w:rsidR="00292359" w:rsidRPr="006F6E02" w14:paraId="169BA02A" w14:textId="77777777" w:rsidTr="00491540">
        <w:tc>
          <w:tcPr>
            <w:tcW w:w="1271" w:type="dxa"/>
            <w:vMerge/>
            <w:vAlign w:val="center"/>
          </w:tcPr>
          <w:p w14:paraId="58348E5C" w14:textId="77777777" w:rsidR="00292359" w:rsidRPr="006F6E02" w:rsidRDefault="00292359" w:rsidP="00292359">
            <w:pPr>
              <w:jc w:val="center"/>
              <w:rPr>
                <w:rFonts w:ascii="Tahoma" w:hAnsi="Tahoma" w:cs="Tahoma"/>
                <w:sz w:val="20"/>
                <w:szCs w:val="20"/>
              </w:rPr>
            </w:pPr>
          </w:p>
        </w:tc>
        <w:tc>
          <w:tcPr>
            <w:tcW w:w="4253" w:type="dxa"/>
            <w:vAlign w:val="center"/>
          </w:tcPr>
          <w:p w14:paraId="73464133" w14:textId="77777777" w:rsidR="00292359" w:rsidRPr="006F6E02" w:rsidRDefault="00292359" w:rsidP="00292359">
            <w:pPr>
              <w:autoSpaceDE w:val="0"/>
              <w:autoSpaceDN w:val="0"/>
              <w:adjustRightInd w:val="0"/>
              <w:jc w:val="both"/>
              <w:rPr>
                <w:rFonts w:ascii="Tahoma" w:hAnsi="Tahoma" w:cs="Tahoma"/>
                <w:w w:val="105"/>
                <w:sz w:val="22"/>
                <w:szCs w:val="22"/>
              </w:rPr>
            </w:pPr>
            <w:r w:rsidRPr="006F6E02">
              <w:rPr>
                <w:rFonts w:ascii="Tahoma" w:hAnsi="Tahoma" w:cs="Tahoma"/>
                <w:sz w:val="22"/>
                <w:szCs w:val="22"/>
              </w:rPr>
              <w:t>Indica que, resulta necesario establecer la forma en la que se realizará la verificación del cumplimiento de esta norma; toda vez que actualmente no se cuenta con la tecnología necesaria para el efecto.</w:t>
            </w:r>
          </w:p>
        </w:tc>
        <w:tc>
          <w:tcPr>
            <w:tcW w:w="708" w:type="dxa"/>
            <w:vAlign w:val="center"/>
          </w:tcPr>
          <w:p w14:paraId="6940434D" w14:textId="77777777" w:rsidR="00292359" w:rsidRPr="006F6E02" w:rsidRDefault="00292359" w:rsidP="00292359">
            <w:pPr>
              <w:jc w:val="both"/>
              <w:rPr>
                <w:rFonts w:ascii="Tahoma" w:hAnsi="Tahoma" w:cs="Tahoma"/>
                <w:sz w:val="22"/>
                <w:szCs w:val="22"/>
              </w:rPr>
            </w:pPr>
          </w:p>
        </w:tc>
        <w:tc>
          <w:tcPr>
            <w:tcW w:w="709" w:type="dxa"/>
            <w:vAlign w:val="center"/>
          </w:tcPr>
          <w:p w14:paraId="6162D1E3" w14:textId="36272411" w:rsidR="00292359" w:rsidRPr="006F6E02" w:rsidRDefault="00095C1F" w:rsidP="00292359">
            <w:pPr>
              <w:jc w:val="both"/>
              <w:rPr>
                <w:rFonts w:ascii="Tahoma" w:hAnsi="Tahoma" w:cs="Tahoma"/>
                <w:sz w:val="22"/>
                <w:szCs w:val="22"/>
              </w:rPr>
            </w:pPr>
            <w:r>
              <w:rPr>
                <w:rFonts w:ascii="Tahoma" w:hAnsi="Tahoma" w:cs="Tahoma"/>
                <w:sz w:val="22"/>
                <w:szCs w:val="22"/>
              </w:rPr>
              <w:t>No</w:t>
            </w:r>
          </w:p>
        </w:tc>
        <w:tc>
          <w:tcPr>
            <w:tcW w:w="5103" w:type="dxa"/>
            <w:gridSpan w:val="4"/>
            <w:vAlign w:val="center"/>
          </w:tcPr>
          <w:p w14:paraId="7BE01BB0" w14:textId="77777777" w:rsidR="001F78FA" w:rsidRPr="006F6E02" w:rsidRDefault="001F78FA" w:rsidP="00292359">
            <w:pPr>
              <w:jc w:val="both"/>
              <w:rPr>
                <w:rFonts w:ascii="Tahoma" w:hAnsi="Tahoma" w:cs="Tahoma"/>
                <w:sz w:val="22"/>
                <w:szCs w:val="22"/>
              </w:rPr>
            </w:pPr>
          </w:p>
          <w:p w14:paraId="271AE767" w14:textId="27FEFA96" w:rsidR="00292359" w:rsidRPr="006F6E02" w:rsidRDefault="00292359" w:rsidP="00292359">
            <w:pPr>
              <w:jc w:val="both"/>
              <w:rPr>
                <w:rFonts w:ascii="Tahoma" w:hAnsi="Tahoma" w:cs="Tahoma"/>
                <w:sz w:val="22"/>
                <w:szCs w:val="22"/>
              </w:rPr>
            </w:pPr>
            <w:r w:rsidRPr="006F6E02">
              <w:rPr>
                <w:rFonts w:ascii="Tahoma" w:hAnsi="Tahoma" w:cs="Tahoma"/>
                <w:sz w:val="22"/>
                <w:szCs w:val="22"/>
              </w:rPr>
              <w:t>El factor “agro-productivo” es un factor puntual que aplica previa verificación técnica in situ y bajo pedido expreso del administrado.</w:t>
            </w:r>
          </w:p>
          <w:p w14:paraId="4E2C3083" w14:textId="33F0322F" w:rsidR="00095C1F" w:rsidRPr="006F6E02" w:rsidRDefault="00292359" w:rsidP="00095C1F">
            <w:pPr>
              <w:jc w:val="both"/>
              <w:rPr>
                <w:rFonts w:ascii="Tahoma" w:hAnsi="Tahoma" w:cs="Tahoma"/>
                <w:sz w:val="22"/>
                <w:szCs w:val="22"/>
              </w:rPr>
            </w:pPr>
            <w:r w:rsidRPr="006F6E02">
              <w:rPr>
                <w:rFonts w:ascii="Tahoma" w:hAnsi="Tahoma" w:cs="Tahoma"/>
                <w:sz w:val="22"/>
                <w:szCs w:val="22"/>
              </w:rPr>
              <w:t xml:space="preserve">Además, con la adquisición del </w:t>
            </w:r>
            <w:proofErr w:type="spellStart"/>
            <w:r w:rsidRPr="006F6E02">
              <w:rPr>
                <w:rFonts w:ascii="Tahoma" w:hAnsi="Tahoma" w:cs="Tahoma"/>
                <w:sz w:val="22"/>
                <w:szCs w:val="22"/>
              </w:rPr>
              <w:t>dron</w:t>
            </w:r>
            <w:r w:rsidR="00095C1F">
              <w:rPr>
                <w:rFonts w:ascii="Tahoma" w:hAnsi="Tahoma" w:cs="Tahoma"/>
                <w:sz w:val="22"/>
                <w:szCs w:val="22"/>
              </w:rPr>
              <w:t>e</w:t>
            </w:r>
            <w:proofErr w:type="spellEnd"/>
            <w:r w:rsidRPr="006F6E02">
              <w:rPr>
                <w:rFonts w:ascii="Tahoma" w:hAnsi="Tahoma" w:cs="Tahoma"/>
                <w:sz w:val="22"/>
                <w:szCs w:val="22"/>
              </w:rPr>
              <w:t xml:space="preserve"> permitirá hacer verificaciones masivas cumpliendo el Artículo No. 494 del COOTAD</w:t>
            </w:r>
          </w:p>
        </w:tc>
        <w:tc>
          <w:tcPr>
            <w:tcW w:w="3544" w:type="dxa"/>
            <w:gridSpan w:val="2"/>
          </w:tcPr>
          <w:p w14:paraId="104DE01E" w14:textId="77777777" w:rsidR="00292359" w:rsidRPr="006F6E02" w:rsidRDefault="00292359" w:rsidP="00292359">
            <w:pPr>
              <w:jc w:val="center"/>
              <w:rPr>
                <w:rFonts w:ascii="Tahoma" w:hAnsi="Tahoma" w:cs="Tahoma"/>
                <w:sz w:val="20"/>
                <w:szCs w:val="20"/>
              </w:rPr>
            </w:pPr>
          </w:p>
        </w:tc>
      </w:tr>
      <w:tr w:rsidR="00292359" w:rsidRPr="006F6E02" w14:paraId="17022B47" w14:textId="77777777" w:rsidTr="00491540">
        <w:tc>
          <w:tcPr>
            <w:tcW w:w="1271" w:type="dxa"/>
            <w:vMerge/>
            <w:vAlign w:val="center"/>
          </w:tcPr>
          <w:p w14:paraId="6B5C26C0" w14:textId="77777777" w:rsidR="00292359" w:rsidRPr="006F6E02" w:rsidRDefault="00292359" w:rsidP="00292359">
            <w:pPr>
              <w:jc w:val="center"/>
              <w:rPr>
                <w:rFonts w:ascii="Tahoma" w:hAnsi="Tahoma" w:cs="Tahoma"/>
                <w:sz w:val="20"/>
                <w:szCs w:val="20"/>
              </w:rPr>
            </w:pPr>
          </w:p>
        </w:tc>
        <w:tc>
          <w:tcPr>
            <w:tcW w:w="4253" w:type="dxa"/>
            <w:vAlign w:val="center"/>
          </w:tcPr>
          <w:p w14:paraId="49477621" w14:textId="77777777" w:rsidR="00292359" w:rsidRPr="006F6E02" w:rsidRDefault="00292359" w:rsidP="00292359">
            <w:pPr>
              <w:autoSpaceDE w:val="0"/>
              <w:autoSpaceDN w:val="0"/>
              <w:adjustRightInd w:val="0"/>
              <w:jc w:val="both"/>
              <w:rPr>
                <w:rFonts w:ascii="Tahoma" w:hAnsi="Tahoma" w:cs="Tahoma"/>
                <w:sz w:val="22"/>
                <w:szCs w:val="22"/>
              </w:rPr>
            </w:pPr>
            <w:r w:rsidRPr="006F6E02">
              <w:rPr>
                <w:rFonts w:ascii="Tahoma" w:hAnsi="Tahoma" w:cs="Tahoma"/>
                <w:sz w:val="22"/>
                <w:szCs w:val="22"/>
              </w:rPr>
              <w:t>Sobre el factor de Obsolescencia funcional, el modelo está diseñado para la constatación del estado de los inmuebles, por medio de inspecciones externas, dada la dificultad de lograr que los moradores permitan el ingreso de funcionarios a sus viviendas. En tal virtud, recomienda que previo a resolver, se cuente con información sobre el impacto administrativo y presupuestario, que tendría la aplicación real de este factor.</w:t>
            </w:r>
          </w:p>
          <w:p w14:paraId="558BBCDC" w14:textId="77777777" w:rsidR="00292359" w:rsidRPr="006F6E02" w:rsidRDefault="00292359" w:rsidP="00292359">
            <w:pPr>
              <w:ind w:left="-38"/>
              <w:jc w:val="both"/>
              <w:rPr>
                <w:rFonts w:ascii="Tahoma" w:hAnsi="Tahoma" w:cs="Tahoma"/>
                <w:sz w:val="22"/>
                <w:szCs w:val="22"/>
              </w:rPr>
            </w:pPr>
            <w:r w:rsidRPr="006F6E02">
              <w:rPr>
                <w:rFonts w:ascii="Tahoma" w:hAnsi="Tahoma" w:cs="Tahoma"/>
                <w:sz w:val="22"/>
                <w:szCs w:val="22"/>
              </w:rPr>
              <w:t>De esta manera, resulta indispensable actuar bajo el principio de costo beneficio.</w:t>
            </w:r>
          </w:p>
          <w:p w14:paraId="6CD91AD6" w14:textId="77777777" w:rsidR="00292359" w:rsidRPr="006F6E02" w:rsidRDefault="00292359" w:rsidP="00292359">
            <w:pPr>
              <w:ind w:left="-38"/>
              <w:jc w:val="both"/>
              <w:rPr>
                <w:rFonts w:ascii="Tahoma" w:hAnsi="Tahoma" w:cs="Tahoma"/>
                <w:w w:val="105"/>
                <w:sz w:val="20"/>
                <w:szCs w:val="20"/>
              </w:rPr>
            </w:pPr>
          </w:p>
        </w:tc>
        <w:tc>
          <w:tcPr>
            <w:tcW w:w="708" w:type="dxa"/>
            <w:vAlign w:val="center"/>
          </w:tcPr>
          <w:p w14:paraId="5FE7788E" w14:textId="77777777" w:rsidR="00292359" w:rsidRPr="006F6E02" w:rsidRDefault="00292359" w:rsidP="00292359">
            <w:pPr>
              <w:jc w:val="both"/>
              <w:rPr>
                <w:rFonts w:ascii="Tahoma" w:hAnsi="Tahoma" w:cs="Tahoma"/>
                <w:sz w:val="20"/>
                <w:szCs w:val="20"/>
              </w:rPr>
            </w:pPr>
          </w:p>
        </w:tc>
        <w:tc>
          <w:tcPr>
            <w:tcW w:w="709" w:type="dxa"/>
            <w:vAlign w:val="center"/>
          </w:tcPr>
          <w:p w14:paraId="4E08C051" w14:textId="4D2BBD15" w:rsidR="00292359" w:rsidRPr="006F6E02" w:rsidRDefault="00095C1F" w:rsidP="00292359">
            <w:pPr>
              <w:jc w:val="both"/>
              <w:rPr>
                <w:rFonts w:ascii="Tahoma" w:hAnsi="Tahoma" w:cs="Tahoma"/>
                <w:sz w:val="20"/>
                <w:szCs w:val="20"/>
              </w:rPr>
            </w:pPr>
            <w:r w:rsidRPr="00095C1F">
              <w:rPr>
                <w:rFonts w:ascii="Tahoma" w:hAnsi="Tahoma" w:cs="Tahoma"/>
                <w:sz w:val="22"/>
                <w:szCs w:val="22"/>
              </w:rPr>
              <w:t>No</w:t>
            </w:r>
          </w:p>
        </w:tc>
        <w:tc>
          <w:tcPr>
            <w:tcW w:w="5103" w:type="dxa"/>
            <w:gridSpan w:val="4"/>
            <w:vAlign w:val="center"/>
          </w:tcPr>
          <w:p w14:paraId="583BF618" w14:textId="77777777" w:rsidR="004B41D1" w:rsidRPr="006F6E02" w:rsidRDefault="00292359" w:rsidP="004B41D1">
            <w:pPr>
              <w:jc w:val="both"/>
              <w:rPr>
                <w:rFonts w:ascii="Tahoma" w:hAnsi="Tahoma" w:cs="Tahoma"/>
                <w:sz w:val="22"/>
                <w:szCs w:val="22"/>
              </w:rPr>
            </w:pPr>
            <w:r w:rsidRPr="006F6E02">
              <w:rPr>
                <w:rFonts w:ascii="Tahoma" w:hAnsi="Tahoma" w:cs="Tahoma"/>
                <w:sz w:val="22"/>
                <w:szCs w:val="22"/>
              </w:rPr>
              <w:t xml:space="preserve">Para la aplicación del factor “obsolescencia funcional” se deberá realizar por pedido puntual del </w:t>
            </w:r>
            <w:r w:rsidR="004B41D1" w:rsidRPr="006F6E02">
              <w:rPr>
                <w:rFonts w:ascii="Tahoma" w:hAnsi="Tahoma" w:cs="Tahoma"/>
                <w:sz w:val="22"/>
                <w:szCs w:val="22"/>
              </w:rPr>
              <w:t>administrado</w:t>
            </w:r>
            <w:r w:rsidRPr="006F6E02">
              <w:rPr>
                <w:rFonts w:ascii="Tahoma" w:hAnsi="Tahoma" w:cs="Tahoma"/>
                <w:sz w:val="22"/>
                <w:szCs w:val="22"/>
              </w:rPr>
              <w:t xml:space="preserve">, con el cual previa notificación se constatará </w:t>
            </w:r>
            <w:r w:rsidR="004B41D1" w:rsidRPr="006F6E02">
              <w:rPr>
                <w:rFonts w:ascii="Tahoma" w:hAnsi="Tahoma" w:cs="Tahoma"/>
                <w:sz w:val="22"/>
                <w:szCs w:val="22"/>
              </w:rPr>
              <w:t>in situ si aplica o no el factor.</w:t>
            </w:r>
          </w:p>
          <w:p w14:paraId="55FBF1A2" w14:textId="408E7375" w:rsidR="00292359" w:rsidRPr="006F6E02" w:rsidRDefault="00292359" w:rsidP="004B41D1">
            <w:pPr>
              <w:jc w:val="both"/>
              <w:rPr>
                <w:rFonts w:ascii="Tahoma" w:hAnsi="Tahoma" w:cs="Tahoma"/>
                <w:sz w:val="20"/>
                <w:szCs w:val="20"/>
              </w:rPr>
            </w:pPr>
            <w:r w:rsidRPr="006F6E02">
              <w:rPr>
                <w:rFonts w:ascii="Tahoma" w:hAnsi="Tahoma" w:cs="Tahoma"/>
                <w:sz w:val="22"/>
                <w:szCs w:val="22"/>
              </w:rPr>
              <w:t>Sobre el impacto que tendría la aplicación de</w:t>
            </w:r>
            <w:r w:rsidR="00095C1F">
              <w:rPr>
                <w:rFonts w:ascii="Tahoma" w:hAnsi="Tahoma" w:cs="Tahoma"/>
                <w:sz w:val="22"/>
                <w:szCs w:val="22"/>
              </w:rPr>
              <w:t xml:space="preserve"> este</w:t>
            </w:r>
            <w:r w:rsidRPr="006F6E02">
              <w:rPr>
                <w:rFonts w:ascii="Tahoma" w:hAnsi="Tahoma" w:cs="Tahoma"/>
                <w:sz w:val="22"/>
                <w:szCs w:val="22"/>
              </w:rPr>
              <w:t xml:space="preserve"> factor en el avalúo de la ciudad y en el presupuesto municipal </w:t>
            </w:r>
            <w:r w:rsidR="00095C1F">
              <w:rPr>
                <w:rFonts w:ascii="Tahoma" w:hAnsi="Tahoma" w:cs="Tahoma"/>
                <w:sz w:val="22"/>
                <w:szCs w:val="22"/>
              </w:rPr>
              <w:t>se realizará posterior a la</w:t>
            </w:r>
            <w:r w:rsidRPr="006F6E02">
              <w:rPr>
                <w:rFonts w:ascii="Tahoma" w:hAnsi="Tahoma" w:cs="Tahoma"/>
                <w:sz w:val="22"/>
                <w:szCs w:val="22"/>
              </w:rPr>
              <w:t xml:space="preserve"> </w:t>
            </w:r>
            <w:r w:rsidR="004B41D1" w:rsidRPr="006F6E02">
              <w:rPr>
                <w:rFonts w:ascii="Tahoma" w:hAnsi="Tahoma" w:cs="Tahoma"/>
                <w:sz w:val="22"/>
                <w:szCs w:val="22"/>
              </w:rPr>
              <w:t>aprobación del mismo</w:t>
            </w:r>
            <w:r w:rsidRPr="006F6E02">
              <w:rPr>
                <w:rFonts w:ascii="Tahoma" w:hAnsi="Tahoma" w:cs="Tahoma"/>
                <w:sz w:val="22"/>
                <w:szCs w:val="22"/>
              </w:rPr>
              <w:t>,</w:t>
            </w:r>
            <w:r w:rsidR="004B41D1" w:rsidRPr="006F6E02">
              <w:rPr>
                <w:rFonts w:ascii="Tahoma" w:hAnsi="Tahoma" w:cs="Tahoma"/>
                <w:sz w:val="22"/>
                <w:szCs w:val="22"/>
              </w:rPr>
              <w:t xml:space="preserve"> sin embargo se espera que la mayor parte de </w:t>
            </w:r>
            <w:r w:rsidRPr="006F6E02">
              <w:rPr>
                <w:rFonts w:ascii="Tahoma" w:hAnsi="Tahoma" w:cs="Tahoma"/>
                <w:sz w:val="22"/>
                <w:szCs w:val="22"/>
              </w:rPr>
              <w:t>construcciones informales aplicarían a este beneficio en los sectores de menores recursos.</w:t>
            </w:r>
          </w:p>
        </w:tc>
        <w:tc>
          <w:tcPr>
            <w:tcW w:w="3544" w:type="dxa"/>
            <w:gridSpan w:val="2"/>
          </w:tcPr>
          <w:p w14:paraId="3D71B64F" w14:textId="77777777" w:rsidR="00292359" w:rsidRPr="006F6E02" w:rsidRDefault="00292359" w:rsidP="00292359">
            <w:pPr>
              <w:jc w:val="center"/>
              <w:rPr>
                <w:rFonts w:ascii="Tahoma" w:hAnsi="Tahoma" w:cs="Tahoma"/>
                <w:sz w:val="20"/>
                <w:szCs w:val="20"/>
              </w:rPr>
            </w:pPr>
          </w:p>
          <w:p w14:paraId="4E6BC219" w14:textId="77777777" w:rsidR="00292359" w:rsidRPr="006F6E02" w:rsidRDefault="00292359" w:rsidP="00292359">
            <w:pPr>
              <w:jc w:val="center"/>
              <w:rPr>
                <w:rFonts w:ascii="Tahoma" w:hAnsi="Tahoma" w:cs="Tahoma"/>
                <w:sz w:val="20"/>
                <w:szCs w:val="20"/>
              </w:rPr>
            </w:pPr>
          </w:p>
        </w:tc>
      </w:tr>
      <w:tr w:rsidR="00292359" w:rsidRPr="006F6E02" w14:paraId="388C486B" w14:textId="77777777" w:rsidTr="00491540">
        <w:tc>
          <w:tcPr>
            <w:tcW w:w="1271" w:type="dxa"/>
            <w:vAlign w:val="center"/>
          </w:tcPr>
          <w:p w14:paraId="4942EF60" w14:textId="77777777" w:rsidR="00292359" w:rsidRPr="006F6E02" w:rsidRDefault="00292359" w:rsidP="00292359">
            <w:pPr>
              <w:jc w:val="center"/>
              <w:rPr>
                <w:rFonts w:ascii="Tahoma" w:hAnsi="Tahoma" w:cs="Tahoma"/>
                <w:b/>
                <w:sz w:val="20"/>
                <w:szCs w:val="20"/>
                <w:u w:val="single"/>
              </w:rPr>
            </w:pPr>
            <w:r w:rsidRPr="006F6E02">
              <w:rPr>
                <w:rFonts w:ascii="Tahoma" w:hAnsi="Tahoma" w:cs="Tahoma"/>
                <w:b/>
                <w:sz w:val="20"/>
                <w:szCs w:val="20"/>
                <w:u w:val="single"/>
              </w:rPr>
              <w:lastRenderedPageBreak/>
              <w:t>Luis Reina</w:t>
            </w:r>
          </w:p>
        </w:tc>
        <w:tc>
          <w:tcPr>
            <w:tcW w:w="4253" w:type="dxa"/>
            <w:vAlign w:val="center"/>
          </w:tcPr>
          <w:p w14:paraId="27E612A3" w14:textId="46587752" w:rsidR="00292359" w:rsidRPr="006F6E02" w:rsidRDefault="00292359" w:rsidP="00292359">
            <w:pPr>
              <w:autoSpaceDE w:val="0"/>
              <w:autoSpaceDN w:val="0"/>
              <w:adjustRightInd w:val="0"/>
              <w:jc w:val="both"/>
              <w:rPr>
                <w:rFonts w:ascii="Tahoma" w:hAnsi="Tahoma" w:cs="Tahoma"/>
                <w:sz w:val="22"/>
                <w:szCs w:val="22"/>
              </w:rPr>
            </w:pPr>
            <w:r w:rsidRPr="006F6E02">
              <w:rPr>
                <w:rFonts w:ascii="Tahoma" w:hAnsi="Tahoma" w:cs="Tahoma"/>
                <w:sz w:val="22"/>
                <w:szCs w:val="22"/>
              </w:rPr>
              <w:t>Indica que, es jurídicamente mandatorio contar con un informe de impacto porque se afecta a los ingresos y a los gastos del Municipio y que es preciso establecer factores de ubicación, que incluya a los centros comerciales del ahorro, dado que las ubicaciones de los almacenes pueden ser determinantes al momento de establecer el valor a pagar.</w:t>
            </w:r>
          </w:p>
          <w:p w14:paraId="4065CC1C" w14:textId="77777777" w:rsidR="00292359" w:rsidRPr="006F6E02" w:rsidRDefault="00292359" w:rsidP="00292359">
            <w:pPr>
              <w:autoSpaceDE w:val="0"/>
              <w:autoSpaceDN w:val="0"/>
              <w:adjustRightInd w:val="0"/>
              <w:jc w:val="both"/>
              <w:rPr>
                <w:rFonts w:ascii="Tahoma" w:hAnsi="Tahoma" w:cs="Tahoma"/>
                <w:sz w:val="22"/>
                <w:szCs w:val="22"/>
              </w:rPr>
            </w:pPr>
          </w:p>
        </w:tc>
        <w:tc>
          <w:tcPr>
            <w:tcW w:w="708" w:type="dxa"/>
            <w:vAlign w:val="center"/>
          </w:tcPr>
          <w:p w14:paraId="1C54204C" w14:textId="0A4D5A0A" w:rsidR="00292359" w:rsidRPr="006F6E02" w:rsidRDefault="001F78FA" w:rsidP="00292359">
            <w:pPr>
              <w:jc w:val="both"/>
              <w:rPr>
                <w:rFonts w:ascii="Tahoma" w:hAnsi="Tahoma" w:cs="Tahoma"/>
                <w:sz w:val="22"/>
                <w:szCs w:val="22"/>
              </w:rPr>
            </w:pPr>
            <w:r w:rsidRPr="006F6E02">
              <w:rPr>
                <w:rFonts w:ascii="Tahoma" w:hAnsi="Tahoma" w:cs="Tahoma"/>
                <w:sz w:val="22"/>
                <w:szCs w:val="22"/>
              </w:rPr>
              <w:t>SI</w:t>
            </w:r>
          </w:p>
        </w:tc>
        <w:tc>
          <w:tcPr>
            <w:tcW w:w="709" w:type="dxa"/>
            <w:vAlign w:val="center"/>
          </w:tcPr>
          <w:p w14:paraId="6267BA15" w14:textId="77777777" w:rsidR="00292359" w:rsidRPr="006F6E02" w:rsidRDefault="00292359" w:rsidP="00292359">
            <w:pPr>
              <w:jc w:val="both"/>
              <w:rPr>
                <w:rFonts w:ascii="Tahoma" w:hAnsi="Tahoma" w:cs="Tahoma"/>
                <w:sz w:val="22"/>
                <w:szCs w:val="22"/>
              </w:rPr>
            </w:pPr>
          </w:p>
        </w:tc>
        <w:tc>
          <w:tcPr>
            <w:tcW w:w="5103" w:type="dxa"/>
            <w:gridSpan w:val="4"/>
            <w:vAlign w:val="center"/>
          </w:tcPr>
          <w:p w14:paraId="405A937E" w14:textId="5107CA11" w:rsidR="00292359" w:rsidRPr="006F6E02" w:rsidRDefault="00292359" w:rsidP="00292359">
            <w:pPr>
              <w:jc w:val="both"/>
              <w:rPr>
                <w:rFonts w:ascii="Tahoma" w:hAnsi="Tahoma" w:cs="Tahoma"/>
                <w:sz w:val="22"/>
                <w:szCs w:val="22"/>
              </w:rPr>
            </w:pPr>
            <w:r w:rsidRPr="006F6E02">
              <w:rPr>
                <w:rFonts w:ascii="Tahoma" w:hAnsi="Tahoma" w:cs="Tahoma"/>
                <w:sz w:val="22"/>
                <w:szCs w:val="22"/>
              </w:rPr>
              <w:t xml:space="preserve">Se informa que </w:t>
            </w:r>
            <w:r w:rsidR="00DF1246" w:rsidRPr="006F6E02">
              <w:rPr>
                <w:rFonts w:ascii="Tahoma" w:hAnsi="Tahoma" w:cs="Tahoma"/>
                <w:sz w:val="22"/>
                <w:szCs w:val="22"/>
              </w:rPr>
              <w:t>es</w:t>
            </w:r>
            <w:r w:rsidRPr="006F6E02">
              <w:rPr>
                <w:rFonts w:ascii="Tahoma" w:hAnsi="Tahoma" w:cs="Tahoma"/>
                <w:sz w:val="22"/>
                <w:szCs w:val="22"/>
              </w:rPr>
              <w:t xml:space="preserve"> necesario realizar un estudio técnico que permita diferenciar los avalúos en los predios que se encuentran </w:t>
            </w:r>
            <w:r w:rsidR="001F78FA" w:rsidRPr="006F6E02">
              <w:rPr>
                <w:rFonts w:ascii="Tahoma" w:hAnsi="Tahoma" w:cs="Tahoma"/>
                <w:sz w:val="22"/>
                <w:szCs w:val="22"/>
              </w:rPr>
              <w:t>en los lotes bajo el R</w:t>
            </w:r>
            <w:r w:rsidRPr="006F6E02">
              <w:rPr>
                <w:rFonts w:ascii="Tahoma" w:hAnsi="Tahoma" w:cs="Tahoma"/>
                <w:sz w:val="22"/>
                <w:szCs w:val="22"/>
              </w:rPr>
              <w:t>égimen de Propiedad Horizontal considerando la ubicación dentro de los mismos</w:t>
            </w:r>
            <w:r w:rsidR="001F78FA" w:rsidRPr="006F6E02">
              <w:rPr>
                <w:rFonts w:ascii="Tahoma" w:hAnsi="Tahoma" w:cs="Tahoma"/>
                <w:sz w:val="22"/>
                <w:szCs w:val="22"/>
              </w:rPr>
              <w:t>, se incluye D</w:t>
            </w:r>
            <w:r w:rsidRPr="006F6E02">
              <w:rPr>
                <w:rFonts w:ascii="Tahoma" w:hAnsi="Tahoma" w:cs="Tahoma"/>
                <w:sz w:val="22"/>
                <w:szCs w:val="22"/>
              </w:rPr>
              <w:t xml:space="preserve">isposición </w:t>
            </w:r>
            <w:r w:rsidR="001F78FA" w:rsidRPr="006F6E02">
              <w:rPr>
                <w:rFonts w:ascii="Tahoma" w:hAnsi="Tahoma" w:cs="Tahoma"/>
                <w:sz w:val="22"/>
                <w:szCs w:val="22"/>
              </w:rPr>
              <w:t>T</w:t>
            </w:r>
            <w:r w:rsidRPr="006F6E02">
              <w:rPr>
                <w:rFonts w:ascii="Tahoma" w:hAnsi="Tahoma" w:cs="Tahoma"/>
                <w:sz w:val="22"/>
                <w:szCs w:val="22"/>
              </w:rPr>
              <w:t xml:space="preserve">ransitoria </w:t>
            </w:r>
            <w:r w:rsidR="00095C1F">
              <w:rPr>
                <w:rFonts w:ascii="Tahoma" w:hAnsi="Tahoma" w:cs="Tahoma"/>
                <w:sz w:val="22"/>
                <w:szCs w:val="22"/>
              </w:rPr>
              <w:t>T</w:t>
            </w:r>
            <w:r w:rsidR="001F78FA" w:rsidRPr="006F6E02">
              <w:rPr>
                <w:rFonts w:ascii="Tahoma" w:hAnsi="Tahoma" w:cs="Tahoma"/>
                <w:sz w:val="22"/>
                <w:szCs w:val="22"/>
              </w:rPr>
              <w:t xml:space="preserve">ercera </w:t>
            </w:r>
            <w:r w:rsidRPr="006F6E02">
              <w:rPr>
                <w:rFonts w:ascii="Tahoma" w:hAnsi="Tahoma" w:cs="Tahoma"/>
                <w:sz w:val="22"/>
                <w:szCs w:val="22"/>
              </w:rPr>
              <w:t>para ejecutar el estudio.</w:t>
            </w:r>
          </w:p>
          <w:p w14:paraId="6DD916C5" w14:textId="77777777" w:rsidR="00292359" w:rsidRPr="006F6E02" w:rsidRDefault="00292359" w:rsidP="00292359">
            <w:pPr>
              <w:pBdr>
                <w:top w:val="nil"/>
                <w:left w:val="nil"/>
                <w:bottom w:val="nil"/>
                <w:right w:val="nil"/>
                <w:between w:val="nil"/>
              </w:pBdr>
              <w:jc w:val="both"/>
              <w:rPr>
                <w:rFonts w:ascii="Tahoma" w:hAnsi="Tahoma" w:cs="Tahoma"/>
                <w:sz w:val="22"/>
                <w:szCs w:val="22"/>
              </w:rPr>
            </w:pPr>
          </w:p>
        </w:tc>
        <w:tc>
          <w:tcPr>
            <w:tcW w:w="3544" w:type="dxa"/>
            <w:gridSpan w:val="2"/>
          </w:tcPr>
          <w:p w14:paraId="3C4B8724" w14:textId="00928725" w:rsidR="00292359" w:rsidRPr="006F6E02" w:rsidRDefault="00632A3A" w:rsidP="00292359">
            <w:pPr>
              <w:jc w:val="both"/>
              <w:rPr>
                <w:rFonts w:ascii="Tahoma" w:hAnsi="Tahoma" w:cs="Tahoma"/>
                <w:sz w:val="22"/>
                <w:szCs w:val="20"/>
              </w:rPr>
            </w:pPr>
            <w:r w:rsidRPr="006F6E02">
              <w:rPr>
                <w:rFonts w:ascii="Tahoma" w:hAnsi="Tahoma" w:cs="Tahoma"/>
                <w:bCs/>
                <w:sz w:val="22"/>
                <w:szCs w:val="20"/>
              </w:rPr>
              <w:t xml:space="preserve">Disposición Transitoria Tercera.- </w:t>
            </w:r>
            <w:r w:rsidRPr="006F6E02">
              <w:rPr>
                <w:rFonts w:ascii="Tahoma" w:hAnsi="Tahoma" w:cs="Tahoma"/>
                <w:sz w:val="22"/>
                <w:szCs w:val="20"/>
              </w:rPr>
              <w:t>En el plazo de un año, el Director Metropolitano de Catastro, realizará los estudios e investigaciones, a efectos de implementar para el siguiente bienio la valoración especifica del sector hotelero, escenario deportivos, cementerios, centros comerciales y otros que tengan sus construcciones declarados en Propiedad Horizontal y que en la actualidad consta como valoración especial en la Norma Técnica del Distrito Metropolitano de Quito</w:t>
            </w:r>
            <w:r>
              <w:rPr>
                <w:rFonts w:ascii="Tahoma" w:hAnsi="Tahoma" w:cs="Tahoma"/>
                <w:sz w:val="22"/>
                <w:szCs w:val="20"/>
              </w:rPr>
              <w:t>, una vez concluida la investigación deberá informar al Concejo Metropolitano.</w:t>
            </w:r>
          </w:p>
        </w:tc>
      </w:tr>
      <w:tr w:rsidR="00292359" w:rsidRPr="006F6E02" w14:paraId="455D245F" w14:textId="77777777" w:rsidTr="00491540">
        <w:tc>
          <w:tcPr>
            <w:tcW w:w="1271" w:type="dxa"/>
            <w:vMerge w:val="restart"/>
            <w:vAlign w:val="center"/>
          </w:tcPr>
          <w:p w14:paraId="78C310A0" w14:textId="77777777" w:rsidR="00292359" w:rsidRPr="006F6E02" w:rsidRDefault="00292359" w:rsidP="00292359">
            <w:pPr>
              <w:jc w:val="center"/>
              <w:rPr>
                <w:rFonts w:ascii="Tahoma" w:hAnsi="Tahoma" w:cs="Tahoma"/>
                <w:b/>
                <w:sz w:val="20"/>
                <w:szCs w:val="20"/>
                <w:u w:val="single"/>
              </w:rPr>
            </w:pPr>
            <w:r w:rsidRPr="006F6E02">
              <w:rPr>
                <w:rFonts w:ascii="Tahoma" w:hAnsi="Tahoma" w:cs="Tahoma"/>
                <w:b/>
                <w:sz w:val="20"/>
                <w:szCs w:val="20"/>
                <w:u w:val="single"/>
              </w:rPr>
              <w:t>Luis Robles</w:t>
            </w:r>
          </w:p>
        </w:tc>
        <w:tc>
          <w:tcPr>
            <w:tcW w:w="4253" w:type="dxa"/>
            <w:vAlign w:val="center"/>
          </w:tcPr>
          <w:p w14:paraId="6C8B0731" w14:textId="1C7D3DF4" w:rsidR="00292359" w:rsidRPr="006F6E02" w:rsidRDefault="00292359" w:rsidP="00DF1246">
            <w:pPr>
              <w:autoSpaceDE w:val="0"/>
              <w:autoSpaceDN w:val="0"/>
              <w:adjustRightInd w:val="0"/>
              <w:jc w:val="both"/>
              <w:rPr>
                <w:rFonts w:ascii="Tahoma" w:hAnsi="Tahoma" w:cs="Tahoma"/>
                <w:sz w:val="22"/>
                <w:szCs w:val="22"/>
              </w:rPr>
            </w:pPr>
            <w:r w:rsidRPr="006F6E02">
              <w:rPr>
                <w:rFonts w:ascii="Tahoma" w:hAnsi="Tahoma" w:cs="Tahoma"/>
                <w:sz w:val="22"/>
                <w:szCs w:val="22"/>
              </w:rPr>
              <w:t>Las zonas rurales tienen predios sin identificación geográfica, lo que genera muchos inconvenientes; tales</w:t>
            </w:r>
            <w:r w:rsidR="00DF1246" w:rsidRPr="006F6E02">
              <w:rPr>
                <w:rFonts w:ascii="Tahoma" w:hAnsi="Tahoma" w:cs="Tahoma"/>
                <w:sz w:val="22"/>
                <w:szCs w:val="22"/>
              </w:rPr>
              <w:t xml:space="preserve"> </w:t>
            </w:r>
            <w:r w:rsidRPr="006F6E02">
              <w:rPr>
                <w:rFonts w:ascii="Tahoma" w:hAnsi="Tahoma" w:cs="Tahoma"/>
                <w:sz w:val="22"/>
                <w:szCs w:val="22"/>
              </w:rPr>
              <w:t>como, la imposibilidad de poder pagar sus impuestos debido a que el predio no consta en el catastro. El</w:t>
            </w:r>
            <w:r w:rsidR="00DF1246" w:rsidRPr="006F6E02">
              <w:rPr>
                <w:rFonts w:ascii="Tahoma" w:hAnsi="Tahoma" w:cs="Tahoma"/>
                <w:sz w:val="22"/>
                <w:szCs w:val="22"/>
              </w:rPr>
              <w:t xml:space="preserve"> </w:t>
            </w:r>
            <w:r w:rsidRPr="006F6E02">
              <w:rPr>
                <w:rFonts w:ascii="Tahoma" w:hAnsi="Tahoma" w:cs="Tahoma"/>
                <w:sz w:val="22"/>
                <w:szCs w:val="22"/>
              </w:rPr>
              <w:t>señor Concejal recomienda establecer una disposición transitoria en este sentido capaz de superar estos</w:t>
            </w:r>
            <w:r w:rsidR="00DF1246" w:rsidRPr="006F6E02">
              <w:rPr>
                <w:rFonts w:ascii="Tahoma" w:hAnsi="Tahoma" w:cs="Tahoma"/>
                <w:sz w:val="22"/>
                <w:szCs w:val="22"/>
              </w:rPr>
              <w:t xml:space="preserve"> </w:t>
            </w:r>
            <w:r w:rsidRPr="006F6E02">
              <w:rPr>
                <w:rFonts w:ascii="Tahoma" w:hAnsi="Tahoma" w:cs="Tahoma"/>
                <w:sz w:val="22"/>
                <w:szCs w:val="22"/>
              </w:rPr>
              <w:t>inconvenientes.</w:t>
            </w:r>
          </w:p>
        </w:tc>
        <w:tc>
          <w:tcPr>
            <w:tcW w:w="708" w:type="dxa"/>
            <w:vAlign w:val="center"/>
          </w:tcPr>
          <w:p w14:paraId="2C9FE733" w14:textId="169F6E8E" w:rsidR="00292359" w:rsidRPr="006F6E02" w:rsidRDefault="00292359" w:rsidP="00292359">
            <w:pPr>
              <w:jc w:val="both"/>
              <w:rPr>
                <w:rFonts w:ascii="Tahoma" w:hAnsi="Tahoma" w:cs="Tahoma"/>
                <w:sz w:val="22"/>
                <w:szCs w:val="22"/>
              </w:rPr>
            </w:pPr>
          </w:p>
        </w:tc>
        <w:tc>
          <w:tcPr>
            <w:tcW w:w="709" w:type="dxa"/>
            <w:vAlign w:val="center"/>
          </w:tcPr>
          <w:p w14:paraId="0D7567DF" w14:textId="0B0704BF" w:rsidR="00292359" w:rsidRPr="006F6E02" w:rsidRDefault="00095C1F" w:rsidP="00292359">
            <w:pPr>
              <w:jc w:val="both"/>
              <w:rPr>
                <w:rFonts w:ascii="Tahoma" w:hAnsi="Tahoma" w:cs="Tahoma"/>
                <w:sz w:val="22"/>
                <w:szCs w:val="22"/>
              </w:rPr>
            </w:pPr>
            <w:r>
              <w:rPr>
                <w:rFonts w:ascii="Tahoma" w:hAnsi="Tahoma" w:cs="Tahoma"/>
                <w:sz w:val="22"/>
                <w:szCs w:val="22"/>
              </w:rPr>
              <w:t>No</w:t>
            </w:r>
          </w:p>
        </w:tc>
        <w:tc>
          <w:tcPr>
            <w:tcW w:w="5103" w:type="dxa"/>
            <w:gridSpan w:val="4"/>
            <w:vAlign w:val="center"/>
          </w:tcPr>
          <w:p w14:paraId="6EFDD081" w14:textId="77777777" w:rsidR="00095C1F" w:rsidRDefault="00095C1F" w:rsidP="00292359">
            <w:pPr>
              <w:autoSpaceDE w:val="0"/>
              <w:autoSpaceDN w:val="0"/>
              <w:adjustRightInd w:val="0"/>
              <w:jc w:val="both"/>
              <w:rPr>
                <w:rFonts w:ascii="Tahoma" w:hAnsi="Tahoma" w:cs="Tahoma"/>
                <w:sz w:val="22"/>
                <w:szCs w:val="22"/>
              </w:rPr>
            </w:pPr>
          </w:p>
          <w:p w14:paraId="524D7674" w14:textId="1A34DE06" w:rsidR="00292359" w:rsidRDefault="00292359" w:rsidP="00292359">
            <w:pPr>
              <w:autoSpaceDE w:val="0"/>
              <w:autoSpaceDN w:val="0"/>
              <w:adjustRightInd w:val="0"/>
              <w:jc w:val="both"/>
              <w:rPr>
                <w:rFonts w:ascii="Tahoma" w:hAnsi="Tahoma" w:cs="Tahoma"/>
                <w:sz w:val="22"/>
                <w:szCs w:val="22"/>
              </w:rPr>
            </w:pPr>
            <w:r w:rsidRPr="006F6E02">
              <w:rPr>
                <w:rFonts w:ascii="Tahoma" w:hAnsi="Tahoma" w:cs="Tahoma"/>
                <w:sz w:val="22"/>
                <w:szCs w:val="22"/>
              </w:rPr>
              <w:t>Al respecto en la propuesta de Ordenanza para la Valoracion del Suelo del DMQ que regirá para el Bienio 2022-2023 se ha establecido las siguientes consideraciones:</w:t>
            </w:r>
          </w:p>
          <w:p w14:paraId="79365B13" w14:textId="77777777" w:rsidR="00095C1F" w:rsidRPr="006F6E02" w:rsidRDefault="00095C1F" w:rsidP="00292359">
            <w:pPr>
              <w:autoSpaceDE w:val="0"/>
              <w:autoSpaceDN w:val="0"/>
              <w:adjustRightInd w:val="0"/>
              <w:jc w:val="both"/>
              <w:rPr>
                <w:rFonts w:ascii="Tahoma" w:hAnsi="Tahoma" w:cs="Tahoma"/>
                <w:sz w:val="22"/>
                <w:szCs w:val="22"/>
              </w:rPr>
            </w:pPr>
          </w:p>
          <w:p w14:paraId="5BB0696E" w14:textId="00F13836" w:rsidR="00292359" w:rsidRDefault="00292359" w:rsidP="00292359">
            <w:pPr>
              <w:pStyle w:val="Textoindependiente"/>
              <w:jc w:val="both"/>
              <w:rPr>
                <w:rFonts w:ascii="Tahoma" w:hAnsi="Tahoma" w:cs="Tahoma"/>
                <w:sz w:val="22"/>
                <w:szCs w:val="22"/>
              </w:rPr>
            </w:pPr>
            <w:r w:rsidRPr="006F6E02">
              <w:rPr>
                <w:rFonts w:ascii="Tahoma" w:hAnsi="Tahoma" w:cs="Tahoma"/>
                <w:sz w:val="22"/>
                <w:szCs w:val="22"/>
              </w:rPr>
              <w:t xml:space="preserve">Para la valoración de inmuebles urbanos que constan registrados alfanuméricamente en el Sistema Catastral y que se encuentran sin ubicación geográfica, se asignará provisionalmente el Área de Intervención Valorativa Urbana – AIVAU, inmediatamente inferior al valor promedio de las AIVAU de la </w:t>
            </w:r>
            <w:r w:rsidR="00DF1246" w:rsidRPr="006F6E02">
              <w:rPr>
                <w:rFonts w:ascii="Tahoma" w:hAnsi="Tahoma" w:cs="Tahoma"/>
                <w:sz w:val="22"/>
                <w:szCs w:val="22"/>
              </w:rPr>
              <w:t>hoja catastral</w:t>
            </w:r>
            <w:r w:rsidRPr="006F6E02">
              <w:rPr>
                <w:rFonts w:ascii="Tahoma" w:hAnsi="Tahoma" w:cs="Tahoma"/>
                <w:sz w:val="22"/>
                <w:szCs w:val="22"/>
              </w:rPr>
              <w:t xml:space="preserve"> en la cual se encuentra registrado el predio.</w:t>
            </w:r>
          </w:p>
          <w:p w14:paraId="41062664" w14:textId="77777777" w:rsidR="00095C1F" w:rsidRDefault="00095C1F" w:rsidP="00292359">
            <w:pPr>
              <w:pStyle w:val="Textoindependiente"/>
              <w:jc w:val="both"/>
              <w:rPr>
                <w:rFonts w:ascii="Tahoma" w:hAnsi="Tahoma" w:cs="Tahoma"/>
                <w:sz w:val="22"/>
                <w:szCs w:val="22"/>
              </w:rPr>
            </w:pPr>
          </w:p>
          <w:p w14:paraId="06911160" w14:textId="77777777" w:rsidR="00292359" w:rsidRDefault="00292359" w:rsidP="00292359">
            <w:pPr>
              <w:pStyle w:val="Textoindependiente"/>
              <w:jc w:val="both"/>
              <w:rPr>
                <w:rFonts w:ascii="Tahoma" w:hAnsi="Tahoma" w:cs="Tahoma"/>
                <w:sz w:val="22"/>
                <w:szCs w:val="22"/>
              </w:rPr>
            </w:pPr>
            <w:r w:rsidRPr="006F6E02">
              <w:rPr>
                <w:rFonts w:ascii="Tahoma" w:hAnsi="Tahoma" w:cs="Tahoma"/>
                <w:sz w:val="22"/>
                <w:szCs w:val="22"/>
              </w:rPr>
              <w:t xml:space="preserve">Para la valoración de inmuebles rurales que </w:t>
            </w:r>
            <w:r w:rsidRPr="006F6E02">
              <w:rPr>
                <w:rFonts w:ascii="Tahoma" w:hAnsi="Tahoma" w:cs="Tahoma"/>
                <w:sz w:val="22"/>
                <w:szCs w:val="22"/>
              </w:rPr>
              <w:lastRenderedPageBreak/>
              <w:t>constan registrados alfanuméricamente en el Sistema Catastral y que se encuentran sin ubicación geográfica, se asignará el Área de Intervención Valorativa Rural –AIVAR ubicada en la hoja catastral de la clave catastral referencial asignada con la clase de tierra predominante, en caso de existir más de un AIVAR, se asignará el de menor valor y la clase de tierra predominante.</w:t>
            </w:r>
          </w:p>
          <w:p w14:paraId="5B3F2D12" w14:textId="77777777" w:rsidR="00095C1F" w:rsidRDefault="00095C1F" w:rsidP="00292359">
            <w:pPr>
              <w:pStyle w:val="Textoindependiente"/>
              <w:jc w:val="both"/>
              <w:rPr>
                <w:rFonts w:ascii="Tahoma" w:hAnsi="Tahoma" w:cs="Tahoma"/>
                <w:sz w:val="22"/>
                <w:szCs w:val="22"/>
              </w:rPr>
            </w:pPr>
          </w:p>
          <w:p w14:paraId="62F44B12" w14:textId="24152BD4" w:rsidR="00095C1F" w:rsidRPr="006F6E02" w:rsidRDefault="00095C1F" w:rsidP="00292359">
            <w:pPr>
              <w:pStyle w:val="Textoindependiente"/>
              <w:jc w:val="both"/>
              <w:rPr>
                <w:rFonts w:ascii="Tahoma" w:hAnsi="Tahoma" w:cs="Tahoma"/>
                <w:sz w:val="22"/>
                <w:szCs w:val="22"/>
              </w:rPr>
            </w:pPr>
          </w:p>
        </w:tc>
        <w:tc>
          <w:tcPr>
            <w:tcW w:w="3544" w:type="dxa"/>
            <w:gridSpan w:val="2"/>
          </w:tcPr>
          <w:p w14:paraId="50F0EA66" w14:textId="77777777" w:rsidR="00292359" w:rsidRPr="006F6E02" w:rsidRDefault="00292359" w:rsidP="00292359">
            <w:pPr>
              <w:jc w:val="center"/>
              <w:rPr>
                <w:rFonts w:ascii="Tahoma" w:hAnsi="Tahoma" w:cs="Tahoma"/>
                <w:sz w:val="20"/>
                <w:szCs w:val="20"/>
              </w:rPr>
            </w:pPr>
          </w:p>
        </w:tc>
      </w:tr>
      <w:tr w:rsidR="00292359" w:rsidRPr="006F6E02" w14:paraId="13FDC243" w14:textId="77777777" w:rsidTr="006F6E02">
        <w:trPr>
          <w:trHeight w:val="2541"/>
        </w:trPr>
        <w:tc>
          <w:tcPr>
            <w:tcW w:w="1271" w:type="dxa"/>
            <w:vMerge/>
            <w:vAlign w:val="center"/>
          </w:tcPr>
          <w:p w14:paraId="214917C5" w14:textId="77777777" w:rsidR="00292359" w:rsidRPr="006F6E02" w:rsidRDefault="00292359" w:rsidP="00292359">
            <w:pPr>
              <w:jc w:val="center"/>
              <w:rPr>
                <w:rFonts w:ascii="Tahoma" w:hAnsi="Tahoma" w:cs="Tahoma"/>
                <w:sz w:val="20"/>
                <w:szCs w:val="20"/>
              </w:rPr>
            </w:pPr>
          </w:p>
        </w:tc>
        <w:tc>
          <w:tcPr>
            <w:tcW w:w="4253" w:type="dxa"/>
            <w:vAlign w:val="center"/>
          </w:tcPr>
          <w:p w14:paraId="0C21B072" w14:textId="77777777" w:rsidR="00292359" w:rsidRPr="006F6E02" w:rsidRDefault="00292359" w:rsidP="00292359">
            <w:pPr>
              <w:autoSpaceDE w:val="0"/>
              <w:autoSpaceDN w:val="0"/>
              <w:adjustRightInd w:val="0"/>
              <w:jc w:val="both"/>
              <w:rPr>
                <w:rFonts w:ascii="Tahoma" w:hAnsi="Tahoma" w:cs="Tahoma"/>
                <w:sz w:val="22"/>
                <w:szCs w:val="18"/>
              </w:rPr>
            </w:pPr>
            <w:r w:rsidRPr="006F6E02">
              <w:rPr>
                <w:rFonts w:ascii="Tahoma" w:hAnsi="Tahoma" w:cs="Tahoma"/>
                <w:sz w:val="22"/>
                <w:szCs w:val="18"/>
              </w:rPr>
              <w:t>Que, existen predios en los que se ha establecido un avalúo que no le corresponde. Por tanto, debe contemplarse un punto de referencia para todos los predios que no han sido georeferenciados. Actualmente, se coloca como punto de referencia al valor promedio de la cabecera parroquial, lo cual constituye un error.</w:t>
            </w:r>
          </w:p>
          <w:p w14:paraId="037AAAA8" w14:textId="77777777" w:rsidR="00292359" w:rsidRPr="006F6E02" w:rsidRDefault="00292359" w:rsidP="00292359">
            <w:pPr>
              <w:autoSpaceDE w:val="0"/>
              <w:autoSpaceDN w:val="0"/>
              <w:adjustRightInd w:val="0"/>
              <w:jc w:val="both"/>
              <w:rPr>
                <w:rFonts w:ascii="Tahoma" w:hAnsi="Tahoma" w:cs="Tahoma"/>
                <w:sz w:val="22"/>
                <w:szCs w:val="18"/>
              </w:rPr>
            </w:pPr>
            <w:r w:rsidRPr="006F6E02">
              <w:rPr>
                <w:rFonts w:ascii="Tahoma" w:hAnsi="Tahoma" w:cs="Tahoma"/>
                <w:sz w:val="22"/>
                <w:szCs w:val="18"/>
              </w:rPr>
              <w:t>Lo correcto será que el avalúo referencial corresponda al promedio del valor de la zona en la que se ubica</w:t>
            </w:r>
          </w:p>
          <w:p w14:paraId="13F1AD13" w14:textId="77777777" w:rsidR="00292359" w:rsidRPr="006F6E02" w:rsidRDefault="00292359" w:rsidP="00292359">
            <w:pPr>
              <w:jc w:val="both"/>
              <w:rPr>
                <w:rFonts w:ascii="Tahoma" w:hAnsi="Tahoma" w:cs="Tahoma"/>
                <w:sz w:val="20"/>
                <w:szCs w:val="20"/>
              </w:rPr>
            </w:pPr>
            <w:r w:rsidRPr="006F6E02">
              <w:rPr>
                <w:rFonts w:ascii="Tahoma" w:hAnsi="Tahoma" w:cs="Tahoma"/>
                <w:sz w:val="22"/>
                <w:szCs w:val="18"/>
              </w:rPr>
              <w:t>el predio.</w:t>
            </w:r>
          </w:p>
        </w:tc>
        <w:tc>
          <w:tcPr>
            <w:tcW w:w="708" w:type="dxa"/>
            <w:vAlign w:val="center"/>
          </w:tcPr>
          <w:p w14:paraId="398974AA" w14:textId="6D4CB92A" w:rsidR="00292359" w:rsidRPr="006F6E02" w:rsidRDefault="00292359" w:rsidP="00292359">
            <w:pPr>
              <w:jc w:val="both"/>
              <w:rPr>
                <w:rFonts w:ascii="Tahoma" w:hAnsi="Tahoma" w:cs="Tahoma"/>
                <w:sz w:val="20"/>
                <w:szCs w:val="20"/>
              </w:rPr>
            </w:pPr>
          </w:p>
        </w:tc>
        <w:tc>
          <w:tcPr>
            <w:tcW w:w="709" w:type="dxa"/>
            <w:vAlign w:val="center"/>
          </w:tcPr>
          <w:p w14:paraId="694D7187" w14:textId="2B842AA5" w:rsidR="00292359" w:rsidRPr="006F6E02" w:rsidRDefault="007D5DAC" w:rsidP="00292359">
            <w:pPr>
              <w:jc w:val="both"/>
              <w:rPr>
                <w:rFonts w:ascii="Tahoma" w:hAnsi="Tahoma" w:cs="Tahoma"/>
                <w:sz w:val="20"/>
                <w:szCs w:val="20"/>
              </w:rPr>
            </w:pPr>
            <w:r w:rsidRPr="007D5DAC">
              <w:rPr>
                <w:rFonts w:ascii="Tahoma" w:hAnsi="Tahoma" w:cs="Tahoma"/>
                <w:sz w:val="22"/>
                <w:szCs w:val="20"/>
              </w:rPr>
              <w:t>No</w:t>
            </w:r>
          </w:p>
        </w:tc>
        <w:tc>
          <w:tcPr>
            <w:tcW w:w="5103" w:type="dxa"/>
            <w:gridSpan w:val="4"/>
            <w:vAlign w:val="center"/>
          </w:tcPr>
          <w:p w14:paraId="748A83DA" w14:textId="6E4F8121" w:rsidR="00095C1F" w:rsidRDefault="00095C1F" w:rsidP="00292359">
            <w:pPr>
              <w:autoSpaceDE w:val="0"/>
              <w:autoSpaceDN w:val="0"/>
              <w:adjustRightInd w:val="0"/>
              <w:jc w:val="both"/>
              <w:rPr>
                <w:rFonts w:ascii="Tahoma" w:hAnsi="Tahoma" w:cs="Tahoma"/>
                <w:sz w:val="22"/>
                <w:szCs w:val="22"/>
              </w:rPr>
            </w:pPr>
          </w:p>
          <w:p w14:paraId="7B19B3D7" w14:textId="77777777" w:rsidR="00095C1F" w:rsidRDefault="00095C1F" w:rsidP="00292359">
            <w:pPr>
              <w:autoSpaceDE w:val="0"/>
              <w:autoSpaceDN w:val="0"/>
              <w:adjustRightInd w:val="0"/>
              <w:jc w:val="both"/>
              <w:rPr>
                <w:rFonts w:ascii="Tahoma" w:hAnsi="Tahoma" w:cs="Tahoma"/>
                <w:sz w:val="22"/>
                <w:szCs w:val="22"/>
              </w:rPr>
            </w:pPr>
          </w:p>
          <w:p w14:paraId="1E15B92B" w14:textId="2520C0A0" w:rsidR="00292359" w:rsidRDefault="00292359" w:rsidP="00292359">
            <w:pPr>
              <w:autoSpaceDE w:val="0"/>
              <w:autoSpaceDN w:val="0"/>
              <w:adjustRightInd w:val="0"/>
              <w:jc w:val="both"/>
              <w:rPr>
                <w:rFonts w:ascii="Tahoma" w:hAnsi="Tahoma" w:cs="Tahoma"/>
                <w:sz w:val="22"/>
                <w:szCs w:val="22"/>
              </w:rPr>
            </w:pPr>
            <w:r w:rsidRPr="006F6E02">
              <w:rPr>
                <w:rFonts w:ascii="Tahoma" w:hAnsi="Tahoma" w:cs="Tahoma"/>
                <w:sz w:val="22"/>
                <w:szCs w:val="22"/>
              </w:rPr>
              <w:t>Al respecto en la propuesta de Ordenanza para la Valoracion del Suelo del DMQ que regirá para el Bienio 2022-2023 se han establecido las siguientes consideraciones:</w:t>
            </w:r>
          </w:p>
          <w:p w14:paraId="4592A069" w14:textId="77777777" w:rsidR="00095C1F" w:rsidRPr="006F6E02" w:rsidRDefault="00095C1F" w:rsidP="00292359">
            <w:pPr>
              <w:autoSpaceDE w:val="0"/>
              <w:autoSpaceDN w:val="0"/>
              <w:adjustRightInd w:val="0"/>
              <w:jc w:val="both"/>
              <w:rPr>
                <w:rFonts w:ascii="Tahoma" w:hAnsi="Tahoma" w:cs="Tahoma"/>
                <w:sz w:val="22"/>
                <w:szCs w:val="22"/>
              </w:rPr>
            </w:pPr>
          </w:p>
          <w:p w14:paraId="788ADE39" w14:textId="26E5999B" w:rsidR="00292359" w:rsidRDefault="00292359" w:rsidP="00292359">
            <w:pPr>
              <w:pStyle w:val="Textoindependiente"/>
              <w:jc w:val="both"/>
              <w:rPr>
                <w:rFonts w:ascii="Tahoma" w:hAnsi="Tahoma" w:cs="Tahoma"/>
                <w:sz w:val="22"/>
                <w:szCs w:val="22"/>
              </w:rPr>
            </w:pPr>
            <w:r w:rsidRPr="006F6E02">
              <w:rPr>
                <w:rFonts w:ascii="Tahoma" w:hAnsi="Tahoma" w:cs="Tahoma"/>
                <w:sz w:val="22"/>
                <w:szCs w:val="22"/>
              </w:rPr>
              <w:t xml:space="preserve">Para la valoración de inmuebles urbanos que constan registrados alfanuméricamente en el Sistema Catastral y que se encuentran sin ubicación geográfica, se asignará provisionalmente el Área de Intervención Valorativa Urbana – AIVAU, inmediatamente inferior al valor promedio de las AIVAU de la </w:t>
            </w:r>
            <w:r w:rsidR="00DF1246" w:rsidRPr="006F6E02">
              <w:rPr>
                <w:rFonts w:ascii="Tahoma" w:hAnsi="Tahoma" w:cs="Tahoma"/>
                <w:sz w:val="22"/>
                <w:szCs w:val="22"/>
              </w:rPr>
              <w:t>hoja catastral</w:t>
            </w:r>
            <w:r w:rsidRPr="006F6E02">
              <w:rPr>
                <w:rFonts w:ascii="Tahoma" w:hAnsi="Tahoma" w:cs="Tahoma"/>
                <w:sz w:val="22"/>
                <w:szCs w:val="22"/>
              </w:rPr>
              <w:t xml:space="preserve"> en la cual se encuentra registrado el predio.</w:t>
            </w:r>
          </w:p>
          <w:p w14:paraId="5142A5ED" w14:textId="77777777" w:rsidR="00095C1F" w:rsidRPr="006F6E02" w:rsidRDefault="00095C1F" w:rsidP="00292359">
            <w:pPr>
              <w:pStyle w:val="Textoindependiente"/>
              <w:jc w:val="both"/>
              <w:rPr>
                <w:rFonts w:ascii="Tahoma" w:hAnsi="Tahoma" w:cs="Tahoma"/>
                <w:sz w:val="22"/>
                <w:szCs w:val="22"/>
              </w:rPr>
            </w:pPr>
          </w:p>
          <w:p w14:paraId="1C0FD831" w14:textId="06544035" w:rsidR="00292359" w:rsidRDefault="00292359" w:rsidP="00292359">
            <w:pPr>
              <w:pStyle w:val="Textoindependiente"/>
              <w:jc w:val="both"/>
              <w:rPr>
                <w:rFonts w:ascii="Tahoma" w:hAnsi="Tahoma" w:cs="Tahoma"/>
                <w:sz w:val="22"/>
                <w:szCs w:val="22"/>
              </w:rPr>
            </w:pPr>
            <w:r w:rsidRPr="006F6E02">
              <w:rPr>
                <w:rFonts w:ascii="Tahoma" w:hAnsi="Tahoma" w:cs="Tahoma"/>
                <w:sz w:val="22"/>
                <w:szCs w:val="22"/>
              </w:rPr>
              <w:t>Para la valoración de inmuebles rurales que constan registrados alfanuméricamente en el Sistema Catastral y que se encuentran sin ubicación geográfica, se asignará el Área de Intervención Valorativa Rural –AIVAR ubicada en la hoja catastral de la clave catastral referencial asignada con la clase de tierra predominante, en caso de existir más de un AIVAR, se asignará el de menor valor y la clase de tierra predominante.</w:t>
            </w:r>
          </w:p>
          <w:p w14:paraId="692FEACC" w14:textId="77777777" w:rsidR="00095C1F" w:rsidRDefault="00095C1F" w:rsidP="00292359">
            <w:pPr>
              <w:pStyle w:val="Textoindependiente"/>
              <w:jc w:val="both"/>
              <w:rPr>
                <w:rFonts w:ascii="Tahoma" w:hAnsi="Tahoma" w:cs="Tahoma"/>
                <w:sz w:val="22"/>
                <w:szCs w:val="22"/>
              </w:rPr>
            </w:pPr>
          </w:p>
          <w:p w14:paraId="6A785E06" w14:textId="5C574C1D" w:rsidR="00095C1F" w:rsidRPr="006F6E02" w:rsidRDefault="00095C1F" w:rsidP="00292359">
            <w:pPr>
              <w:pStyle w:val="Textoindependiente"/>
              <w:jc w:val="both"/>
              <w:rPr>
                <w:rFonts w:ascii="Tahoma" w:hAnsi="Tahoma" w:cs="Tahoma"/>
                <w:sz w:val="22"/>
                <w:szCs w:val="22"/>
              </w:rPr>
            </w:pPr>
          </w:p>
        </w:tc>
        <w:tc>
          <w:tcPr>
            <w:tcW w:w="3544" w:type="dxa"/>
            <w:gridSpan w:val="2"/>
          </w:tcPr>
          <w:p w14:paraId="26BBF6F4" w14:textId="77777777" w:rsidR="00292359" w:rsidRPr="006F6E02" w:rsidRDefault="00292359" w:rsidP="00292359">
            <w:pPr>
              <w:jc w:val="center"/>
              <w:rPr>
                <w:rFonts w:ascii="Tahoma" w:hAnsi="Tahoma" w:cs="Tahoma"/>
                <w:sz w:val="20"/>
                <w:szCs w:val="20"/>
              </w:rPr>
            </w:pPr>
          </w:p>
        </w:tc>
      </w:tr>
      <w:tr w:rsidR="00292359" w:rsidRPr="006F6E02" w14:paraId="6B81798F" w14:textId="77777777" w:rsidTr="008D3AFA">
        <w:trPr>
          <w:gridAfter w:val="1"/>
          <w:wAfter w:w="567" w:type="dxa"/>
          <w:trHeight w:val="557"/>
        </w:trPr>
        <w:tc>
          <w:tcPr>
            <w:tcW w:w="7366" w:type="dxa"/>
            <w:gridSpan w:val="5"/>
            <w:vAlign w:val="center"/>
          </w:tcPr>
          <w:p w14:paraId="43C0AFCB" w14:textId="6D0C76F2" w:rsidR="00292359" w:rsidRPr="006F6E02" w:rsidRDefault="00292359" w:rsidP="001F78FA">
            <w:pPr>
              <w:jc w:val="center"/>
              <w:rPr>
                <w:rFonts w:ascii="Tahoma" w:hAnsi="Tahoma" w:cs="Tahoma"/>
                <w:b/>
                <w:bCs/>
                <w:szCs w:val="20"/>
              </w:rPr>
            </w:pPr>
            <w:r w:rsidRPr="006F6E02">
              <w:rPr>
                <w:rFonts w:ascii="Tahoma" w:hAnsi="Tahoma" w:cs="Tahoma"/>
                <w:b/>
                <w:bCs/>
                <w:szCs w:val="20"/>
              </w:rPr>
              <w:lastRenderedPageBreak/>
              <w:t>OFICIO</w:t>
            </w:r>
          </w:p>
        </w:tc>
        <w:tc>
          <w:tcPr>
            <w:tcW w:w="7655" w:type="dxa"/>
            <w:gridSpan w:val="4"/>
            <w:vAlign w:val="center"/>
          </w:tcPr>
          <w:p w14:paraId="5224DEBA" w14:textId="77777777" w:rsidR="00292359" w:rsidRPr="006F6E02" w:rsidRDefault="00292359" w:rsidP="00292359">
            <w:pPr>
              <w:jc w:val="center"/>
              <w:rPr>
                <w:rFonts w:ascii="Tahoma" w:hAnsi="Tahoma" w:cs="Tahoma"/>
                <w:b/>
                <w:bCs/>
                <w:szCs w:val="20"/>
              </w:rPr>
            </w:pPr>
            <w:r w:rsidRPr="006F6E02">
              <w:rPr>
                <w:rFonts w:ascii="Tahoma" w:hAnsi="Tahoma" w:cs="Tahoma"/>
                <w:b/>
                <w:bCs/>
                <w:szCs w:val="20"/>
              </w:rPr>
              <w:t>GADDMQ-DC-RPL-2021-0157-O</w:t>
            </w:r>
          </w:p>
        </w:tc>
      </w:tr>
      <w:tr w:rsidR="00292359" w:rsidRPr="006F6E02" w14:paraId="587276C6" w14:textId="77777777" w:rsidTr="008D3AFA">
        <w:trPr>
          <w:gridAfter w:val="1"/>
          <w:wAfter w:w="567" w:type="dxa"/>
        </w:trPr>
        <w:tc>
          <w:tcPr>
            <w:tcW w:w="1271" w:type="dxa"/>
            <w:vMerge w:val="restart"/>
            <w:vAlign w:val="center"/>
          </w:tcPr>
          <w:p w14:paraId="612143AE" w14:textId="77777777" w:rsidR="00292359" w:rsidRPr="006F6E02" w:rsidRDefault="00292359" w:rsidP="00292359">
            <w:pPr>
              <w:jc w:val="center"/>
              <w:rPr>
                <w:rFonts w:ascii="Tahoma" w:hAnsi="Tahoma" w:cs="Tahoma"/>
                <w:b/>
                <w:bCs/>
                <w:sz w:val="20"/>
                <w:szCs w:val="20"/>
              </w:rPr>
            </w:pPr>
            <w:r w:rsidRPr="006F6E02">
              <w:rPr>
                <w:rFonts w:ascii="Tahoma" w:hAnsi="Tahoma" w:cs="Tahoma"/>
                <w:b/>
                <w:bCs/>
                <w:sz w:val="20"/>
                <w:szCs w:val="20"/>
              </w:rPr>
              <w:t>CONCEJAL</w:t>
            </w:r>
          </w:p>
        </w:tc>
        <w:tc>
          <w:tcPr>
            <w:tcW w:w="6095" w:type="dxa"/>
            <w:gridSpan w:val="4"/>
            <w:vMerge w:val="restart"/>
            <w:vAlign w:val="center"/>
          </w:tcPr>
          <w:p w14:paraId="542E573B" w14:textId="77777777" w:rsidR="00292359" w:rsidRPr="006F6E02" w:rsidRDefault="00292359" w:rsidP="00292359">
            <w:pPr>
              <w:jc w:val="center"/>
              <w:rPr>
                <w:rFonts w:ascii="Tahoma" w:hAnsi="Tahoma" w:cs="Tahoma"/>
                <w:b/>
                <w:bCs/>
                <w:sz w:val="20"/>
                <w:szCs w:val="20"/>
              </w:rPr>
            </w:pPr>
            <w:r w:rsidRPr="006F6E02">
              <w:rPr>
                <w:rFonts w:ascii="Tahoma" w:hAnsi="Tahoma" w:cs="Tahoma"/>
                <w:b/>
                <w:bCs/>
                <w:sz w:val="20"/>
                <w:szCs w:val="20"/>
              </w:rPr>
              <w:t>OBSERVACIÓN DE CONCEJAL</w:t>
            </w:r>
          </w:p>
        </w:tc>
        <w:tc>
          <w:tcPr>
            <w:tcW w:w="1418" w:type="dxa"/>
            <w:gridSpan w:val="2"/>
            <w:vAlign w:val="center"/>
          </w:tcPr>
          <w:p w14:paraId="10D5574A" w14:textId="77777777" w:rsidR="00292359" w:rsidRPr="006F6E02" w:rsidRDefault="00292359" w:rsidP="00292359">
            <w:pPr>
              <w:jc w:val="center"/>
              <w:rPr>
                <w:rFonts w:ascii="Tahoma" w:hAnsi="Tahoma" w:cs="Tahoma"/>
                <w:b/>
                <w:bCs/>
                <w:sz w:val="20"/>
                <w:szCs w:val="20"/>
              </w:rPr>
            </w:pPr>
            <w:r w:rsidRPr="006F6E02">
              <w:rPr>
                <w:rFonts w:ascii="Tahoma" w:hAnsi="Tahoma" w:cs="Tahoma"/>
                <w:b/>
                <w:bCs/>
                <w:sz w:val="20"/>
                <w:szCs w:val="20"/>
              </w:rPr>
              <w:t>SE ACOGE</w:t>
            </w:r>
          </w:p>
          <w:p w14:paraId="63827817" w14:textId="77777777" w:rsidR="00292359" w:rsidRPr="006F6E02" w:rsidRDefault="00292359" w:rsidP="00292359">
            <w:pPr>
              <w:jc w:val="center"/>
              <w:rPr>
                <w:rFonts w:ascii="Tahoma" w:hAnsi="Tahoma" w:cs="Tahoma"/>
                <w:b/>
                <w:bCs/>
                <w:sz w:val="20"/>
                <w:szCs w:val="20"/>
              </w:rPr>
            </w:pPr>
          </w:p>
        </w:tc>
        <w:tc>
          <w:tcPr>
            <w:tcW w:w="6237" w:type="dxa"/>
            <w:gridSpan w:val="2"/>
            <w:vMerge w:val="restart"/>
            <w:vAlign w:val="center"/>
          </w:tcPr>
          <w:p w14:paraId="1F45EBC4" w14:textId="77777777" w:rsidR="00292359" w:rsidRPr="006F6E02" w:rsidRDefault="00292359" w:rsidP="00292359">
            <w:pPr>
              <w:jc w:val="center"/>
              <w:rPr>
                <w:rFonts w:ascii="Tahoma" w:hAnsi="Tahoma" w:cs="Tahoma"/>
                <w:b/>
                <w:bCs/>
                <w:sz w:val="20"/>
                <w:szCs w:val="20"/>
              </w:rPr>
            </w:pPr>
            <w:r w:rsidRPr="006F6E02">
              <w:rPr>
                <w:rFonts w:ascii="Tahoma" w:hAnsi="Tahoma" w:cs="Tahoma"/>
                <w:b/>
                <w:bCs/>
                <w:sz w:val="20"/>
                <w:szCs w:val="20"/>
              </w:rPr>
              <w:t>OBSERVACIÓN DE CATASTRO</w:t>
            </w:r>
          </w:p>
        </w:tc>
      </w:tr>
      <w:tr w:rsidR="00292359" w:rsidRPr="006F6E02" w14:paraId="7838C0BA" w14:textId="77777777" w:rsidTr="008D3AFA">
        <w:trPr>
          <w:gridAfter w:val="1"/>
          <w:wAfter w:w="567" w:type="dxa"/>
        </w:trPr>
        <w:tc>
          <w:tcPr>
            <w:tcW w:w="1271" w:type="dxa"/>
            <w:vMerge/>
            <w:vAlign w:val="center"/>
          </w:tcPr>
          <w:p w14:paraId="3A436917" w14:textId="77777777" w:rsidR="00292359" w:rsidRPr="006F6E02" w:rsidRDefault="00292359" w:rsidP="00292359">
            <w:pPr>
              <w:jc w:val="center"/>
              <w:rPr>
                <w:rFonts w:ascii="Tahoma" w:hAnsi="Tahoma" w:cs="Tahoma"/>
                <w:b/>
                <w:bCs/>
                <w:sz w:val="20"/>
                <w:szCs w:val="20"/>
              </w:rPr>
            </w:pPr>
          </w:p>
        </w:tc>
        <w:tc>
          <w:tcPr>
            <w:tcW w:w="6095" w:type="dxa"/>
            <w:gridSpan w:val="4"/>
            <w:vMerge/>
            <w:vAlign w:val="center"/>
          </w:tcPr>
          <w:p w14:paraId="4723650E" w14:textId="77777777" w:rsidR="00292359" w:rsidRPr="006F6E02" w:rsidRDefault="00292359" w:rsidP="00292359">
            <w:pPr>
              <w:jc w:val="center"/>
              <w:rPr>
                <w:rFonts w:ascii="Tahoma" w:hAnsi="Tahoma" w:cs="Tahoma"/>
                <w:b/>
                <w:bCs/>
                <w:sz w:val="20"/>
                <w:szCs w:val="20"/>
              </w:rPr>
            </w:pPr>
          </w:p>
        </w:tc>
        <w:tc>
          <w:tcPr>
            <w:tcW w:w="1418" w:type="dxa"/>
            <w:gridSpan w:val="2"/>
            <w:vAlign w:val="center"/>
          </w:tcPr>
          <w:p w14:paraId="33E8B1CA" w14:textId="77777777" w:rsidR="00292359" w:rsidRPr="006F6E02" w:rsidRDefault="00292359" w:rsidP="00292359">
            <w:pPr>
              <w:jc w:val="center"/>
              <w:rPr>
                <w:rFonts w:ascii="Tahoma" w:hAnsi="Tahoma" w:cs="Tahoma"/>
                <w:b/>
                <w:bCs/>
                <w:sz w:val="20"/>
                <w:szCs w:val="20"/>
              </w:rPr>
            </w:pPr>
            <w:r w:rsidRPr="006F6E02">
              <w:rPr>
                <w:rFonts w:ascii="Tahoma" w:hAnsi="Tahoma" w:cs="Tahoma"/>
                <w:b/>
                <w:bCs/>
                <w:sz w:val="20"/>
                <w:szCs w:val="20"/>
              </w:rPr>
              <w:t>SI - NO</w:t>
            </w:r>
          </w:p>
        </w:tc>
        <w:tc>
          <w:tcPr>
            <w:tcW w:w="6237" w:type="dxa"/>
            <w:gridSpan w:val="2"/>
            <w:vMerge/>
            <w:vAlign w:val="center"/>
          </w:tcPr>
          <w:p w14:paraId="00F954D9" w14:textId="77777777" w:rsidR="00292359" w:rsidRPr="006F6E02" w:rsidRDefault="00292359" w:rsidP="00292359">
            <w:pPr>
              <w:jc w:val="center"/>
              <w:rPr>
                <w:rFonts w:ascii="Tahoma" w:hAnsi="Tahoma" w:cs="Tahoma"/>
                <w:b/>
                <w:bCs/>
                <w:sz w:val="20"/>
                <w:szCs w:val="20"/>
              </w:rPr>
            </w:pPr>
          </w:p>
        </w:tc>
      </w:tr>
      <w:tr w:rsidR="00292359" w:rsidRPr="00A709B9" w14:paraId="48269E83" w14:textId="77777777" w:rsidTr="008D3AFA">
        <w:trPr>
          <w:gridAfter w:val="1"/>
          <w:wAfter w:w="567" w:type="dxa"/>
        </w:trPr>
        <w:tc>
          <w:tcPr>
            <w:tcW w:w="1271" w:type="dxa"/>
            <w:vAlign w:val="center"/>
          </w:tcPr>
          <w:p w14:paraId="34468CBE" w14:textId="77777777" w:rsidR="00292359" w:rsidRPr="006F6E02" w:rsidRDefault="00292359" w:rsidP="00292359">
            <w:pPr>
              <w:jc w:val="center"/>
              <w:rPr>
                <w:rFonts w:ascii="Tahoma" w:hAnsi="Tahoma" w:cs="Tahoma"/>
                <w:b/>
                <w:sz w:val="20"/>
                <w:szCs w:val="20"/>
                <w:u w:val="single"/>
              </w:rPr>
            </w:pPr>
            <w:r w:rsidRPr="006F6E02">
              <w:rPr>
                <w:rFonts w:ascii="Tahoma" w:hAnsi="Tahoma" w:cs="Tahoma"/>
                <w:b/>
                <w:sz w:val="20"/>
                <w:szCs w:val="20"/>
                <w:u w:val="single"/>
              </w:rPr>
              <w:t>Luis Robles</w:t>
            </w:r>
          </w:p>
        </w:tc>
        <w:tc>
          <w:tcPr>
            <w:tcW w:w="6095" w:type="dxa"/>
            <w:gridSpan w:val="4"/>
            <w:vAlign w:val="center"/>
          </w:tcPr>
          <w:p w14:paraId="11922D11" w14:textId="77777777" w:rsidR="00292359" w:rsidRPr="006F6E02" w:rsidRDefault="00292359" w:rsidP="00292359">
            <w:pPr>
              <w:autoSpaceDE w:val="0"/>
              <w:autoSpaceDN w:val="0"/>
              <w:adjustRightInd w:val="0"/>
              <w:jc w:val="both"/>
              <w:rPr>
                <w:rFonts w:ascii="Tahoma" w:hAnsi="Tahoma" w:cs="Tahoma"/>
                <w:sz w:val="22"/>
                <w:szCs w:val="22"/>
              </w:rPr>
            </w:pPr>
            <w:r w:rsidRPr="006F6E02">
              <w:rPr>
                <w:rFonts w:ascii="Tahoma" w:hAnsi="Tahoma" w:cs="Tahoma"/>
                <w:sz w:val="22"/>
                <w:szCs w:val="22"/>
              </w:rPr>
              <w:t>Como es de su conocimiento existe un grave problema por la aplicación de la ordenanza 008-2019 para más de 1000 propietarios de propiedades que se encuentran en la zona rural que constan en el Sistema Integrado de Registro Catastral de Quito y no posean ubicación geográfica específica, por la aplicación de la disposición general cuarta, en ese</w:t>
            </w:r>
          </w:p>
          <w:p w14:paraId="2FD7A910" w14:textId="77777777" w:rsidR="00292359" w:rsidRPr="006F6E02" w:rsidRDefault="00292359" w:rsidP="00292359">
            <w:pPr>
              <w:autoSpaceDE w:val="0"/>
              <w:autoSpaceDN w:val="0"/>
              <w:adjustRightInd w:val="0"/>
              <w:jc w:val="both"/>
              <w:rPr>
                <w:rFonts w:ascii="Tahoma" w:hAnsi="Tahoma" w:cs="Tahoma"/>
                <w:sz w:val="22"/>
                <w:szCs w:val="22"/>
              </w:rPr>
            </w:pPr>
            <w:r w:rsidRPr="006F6E02">
              <w:rPr>
                <w:rFonts w:ascii="Tahoma" w:hAnsi="Tahoma" w:cs="Tahoma"/>
                <w:sz w:val="22"/>
                <w:szCs w:val="22"/>
              </w:rPr>
              <w:t>contexto y en vista que de acuerdo a expresiones del Sr. Alcalde este problema se corregirá en la Ordenanza que aprueba el plano del valor de la tierra de los predios urbanos y rurales del Distrito Metropolitano de Quito a regir para el bienio 2022-2023.</w:t>
            </w:r>
          </w:p>
          <w:p w14:paraId="7F7D9404" w14:textId="77777777" w:rsidR="00292359" w:rsidRPr="006F6E02" w:rsidRDefault="00292359" w:rsidP="00292359">
            <w:pPr>
              <w:autoSpaceDE w:val="0"/>
              <w:autoSpaceDN w:val="0"/>
              <w:adjustRightInd w:val="0"/>
              <w:jc w:val="both"/>
              <w:rPr>
                <w:rFonts w:ascii="Tahoma" w:hAnsi="Tahoma" w:cs="Tahoma"/>
                <w:sz w:val="22"/>
                <w:szCs w:val="22"/>
              </w:rPr>
            </w:pPr>
          </w:p>
          <w:p w14:paraId="0FA4490E" w14:textId="77777777" w:rsidR="00292359" w:rsidRPr="006F6E02" w:rsidRDefault="00292359" w:rsidP="00292359">
            <w:pPr>
              <w:autoSpaceDE w:val="0"/>
              <w:autoSpaceDN w:val="0"/>
              <w:adjustRightInd w:val="0"/>
              <w:jc w:val="both"/>
              <w:rPr>
                <w:rFonts w:ascii="Tahoma" w:hAnsi="Tahoma" w:cs="Tahoma"/>
                <w:sz w:val="22"/>
                <w:szCs w:val="22"/>
              </w:rPr>
            </w:pPr>
            <w:r w:rsidRPr="006F6E02">
              <w:rPr>
                <w:rFonts w:ascii="Tahoma" w:hAnsi="Tahoma" w:cs="Tahoma"/>
                <w:sz w:val="22"/>
                <w:szCs w:val="22"/>
              </w:rPr>
              <w:t xml:space="preserve">Es necesario se analice la posibilidad de incluir en este proyecto de ordenanza un factor de corrección para los predios que no cuentan con ubicación gráfica, en vista que al no estar ingresados en el sistema no se pueden aplicar los factores de corrección: frente, fondo, tamaño, demerito por la forma, accesibilidad a lote rural, acceso a servicios básicos, accesibilidad a riego, titularidad, clases agrícolas de suelo, topografía para predios de áreas especiales, demerito </w:t>
            </w:r>
            <w:r w:rsidRPr="006F6E02">
              <w:rPr>
                <w:rFonts w:ascii="Tahoma" w:hAnsi="Tahoma" w:cs="Tahoma"/>
                <w:sz w:val="22"/>
                <w:szCs w:val="22"/>
              </w:rPr>
              <w:lastRenderedPageBreak/>
              <w:t>por fajas de protección en predios de áreas especiales, demerito de lote interior en predios de áreas especiales.</w:t>
            </w:r>
          </w:p>
          <w:p w14:paraId="2C934B45" w14:textId="77777777" w:rsidR="00292359" w:rsidRPr="006F6E02" w:rsidRDefault="00292359" w:rsidP="00292359">
            <w:pPr>
              <w:autoSpaceDE w:val="0"/>
              <w:autoSpaceDN w:val="0"/>
              <w:adjustRightInd w:val="0"/>
              <w:jc w:val="both"/>
              <w:rPr>
                <w:rFonts w:ascii="Tahoma" w:hAnsi="Tahoma" w:cs="Tahoma"/>
                <w:sz w:val="22"/>
                <w:szCs w:val="22"/>
              </w:rPr>
            </w:pPr>
            <w:r w:rsidRPr="006F6E02">
              <w:rPr>
                <w:rFonts w:ascii="Tahoma" w:hAnsi="Tahoma" w:cs="Tahoma"/>
                <w:sz w:val="22"/>
                <w:szCs w:val="22"/>
              </w:rPr>
              <w:t>Este factor de corrección para predios rurales sin ubicación grafica específica, va a ayudar a corregir posibles problemas en la aplicación de la Ordenanza que aprueba el plano del valor de la tierra de los predios urbanos y rurales del Distrito Metropolitano de Quito a regir para el bienio 2022-2023</w:t>
            </w:r>
          </w:p>
        </w:tc>
        <w:tc>
          <w:tcPr>
            <w:tcW w:w="709" w:type="dxa"/>
            <w:vAlign w:val="center"/>
          </w:tcPr>
          <w:p w14:paraId="29BB5DD9" w14:textId="63775B75" w:rsidR="00292359" w:rsidRPr="006F6E02" w:rsidRDefault="00292359" w:rsidP="00292359">
            <w:pPr>
              <w:jc w:val="center"/>
              <w:rPr>
                <w:rFonts w:ascii="Tahoma" w:hAnsi="Tahoma" w:cs="Tahoma"/>
                <w:sz w:val="22"/>
                <w:szCs w:val="22"/>
              </w:rPr>
            </w:pPr>
          </w:p>
        </w:tc>
        <w:tc>
          <w:tcPr>
            <w:tcW w:w="709" w:type="dxa"/>
            <w:vAlign w:val="center"/>
          </w:tcPr>
          <w:p w14:paraId="140C2820" w14:textId="1AEF2551" w:rsidR="00292359" w:rsidRPr="006F6E02" w:rsidRDefault="00095C1F" w:rsidP="00292359">
            <w:pPr>
              <w:jc w:val="both"/>
              <w:rPr>
                <w:rFonts w:ascii="Tahoma" w:hAnsi="Tahoma" w:cs="Tahoma"/>
                <w:sz w:val="22"/>
                <w:szCs w:val="22"/>
              </w:rPr>
            </w:pPr>
            <w:r>
              <w:rPr>
                <w:rFonts w:ascii="Tahoma" w:hAnsi="Tahoma" w:cs="Tahoma"/>
                <w:sz w:val="22"/>
                <w:szCs w:val="22"/>
              </w:rPr>
              <w:t>No</w:t>
            </w:r>
          </w:p>
        </w:tc>
        <w:tc>
          <w:tcPr>
            <w:tcW w:w="6237" w:type="dxa"/>
            <w:gridSpan w:val="2"/>
            <w:vAlign w:val="center"/>
          </w:tcPr>
          <w:p w14:paraId="17A42A44" w14:textId="77777777" w:rsidR="00292359" w:rsidRPr="006F6E02" w:rsidRDefault="00292359" w:rsidP="00292359">
            <w:pPr>
              <w:autoSpaceDE w:val="0"/>
              <w:autoSpaceDN w:val="0"/>
              <w:adjustRightInd w:val="0"/>
              <w:jc w:val="both"/>
              <w:rPr>
                <w:rFonts w:ascii="Tahoma" w:hAnsi="Tahoma" w:cs="Tahoma"/>
                <w:sz w:val="22"/>
                <w:szCs w:val="22"/>
              </w:rPr>
            </w:pPr>
          </w:p>
          <w:p w14:paraId="0FF6432E" w14:textId="77777777" w:rsidR="00292359" w:rsidRPr="006F6E02" w:rsidRDefault="00292359" w:rsidP="00292359">
            <w:pPr>
              <w:autoSpaceDE w:val="0"/>
              <w:autoSpaceDN w:val="0"/>
              <w:adjustRightInd w:val="0"/>
              <w:jc w:val="both"/>
              <w:rPr>
                <w:rFonts w:ascii="Tahoma" w:hAnsi="Tahoma" w:cs="Tahoma"/>
                <w:sz w:val="22"/>
                <w:szCs w:val="22"/>
              </w:rPr>
            </w:pPr>
            <w:r w:rsidRPr="006F6E02">
              <w:rPr>
                <w:rFonts w:ascii="Tahoma" w:hAnsi="Tahoma" w:cs="Tahoma"/>
                <w:sz w:val="22"/>
                <w:szCs w:val="22"/>
              </w:rPr>
              <w:t>Al respecto en la propuesta de Ordenanza para la Valoracion del Suelo del DMQ que regirá para el Bienio 2022-2023 enviada a la CUS por iniciativa del Sr. Alcalde se ha establecido las siguientes consideraciones:</w:t>
            </w:r>
          </w:p>
          <w:p w14:paraId="757BF255" w14:textId="77777777" w:rsidR="00292359" w:rsidRPr="006F6E02" w:rsidRDefault="00292359" w:rsidP="00292359">
            <w:pPr>
              <w:autoSpaceDE w:val="0"/>
              <w:autoSpaceDN w:val="0"/>
              <w:adjustRightInd w:val="0"/>
              <w:jc w:val="both"/>
              <w:rPr>
                <w:rFonts w:ascii="Tahoma" w:hAnsi="Tahoma" w:cs="Tahoma"/>
                <w:sz w:val="22"/>
                <w:szCs w:val="22"/>
              </w:rPr>
            </w:pPr>
          </w:p>
          <w:p w14:paraId="2F0C90AE" w14:textId="1CB081E1" w:rsidR="00292359" w:rsidRPr="006F6E02" w:rsidRDefault="00292359" w:rsidP="00292359">
            <w:pPr>
              <w:pStyle w:val="Textoindependiente"/>
              <w:jc w:val="both"/>
              <w:rPr>
                <w:rFonts w:ascii="Tahoma" w:hAnsi="Tahoma" w:cs="Tahoma"/>
                <w:sz w:val="22"/>
                <w:szCs w:val="22"/>
              </w:rPr>
            </w:pPr>
            <w:r w:rsidRPr="006F6E02">
              <w:rPr>
                <w:rFonts w:ascii="Tahoma" w:hAnsi="Tahoma" w:cs="Tahoma"/>
                <w:sz w:val="22"/>
                <w:szCs w:val="22"/>
              </w:rPr>
              <w:t xml:space="preserve">Para la valoración de inmuebles urbanos que constan registrados alfanuméricamente en el Sistema Catastral y que se encuentran sin ubicación geográfica, se asignará provisionalmente el Área de Intervención Valorativa Urbana – AIVAU, inmediatamente inferior al valor promedio de las AIVAU de la </w:t>
            </w:r>
            <w:r w:rsidR="00DF1246" w:rsidRPr="006F6E02">
              <w:rPr>
                <w:rFonts w:ascii="Tahoma" w:hAnsi="Tahoma" w:cs="Tahoma"/>
                <w:sz w:val="22"/>
                <w:szCs w:val="22"/>
              </w:rPr>
              <w:t>hoja catastral</w:t>
            </w:r>
            <w:r w:rsidRPr="006F6E02">
              <w:rPr>
                <w:rFonts w:ascii="Tahoma" w:hAnsi="Tahoma" w:cs="Tahoma"/>
                <w:sz w:val="22"/>
                <w:szCs w:val="22"/>
              </w:rPr>
              <w:t xml:space="preserve"> en la cual se encuentra registrado el predio.</w:t>
            </w:r>
          </w:p>
          <w:p w14:paraId="101728F9" w14:textId="77777777" w:rsidR="00292359" w:rsidRPr="006F6E02" w:rsidRDefault="00292359" w:rsidP="00292359">
            <w:pPr>
              <w:pStyle w:val="Textoindependiente"/>
              <w:jc w:val="both"/>
              <w:rPr>
                <w:rFonts w:ascii="Tahoma" w:hAnsi="Tahoma" w:cs="Tahoma"/>
                <w:sz w:val="22"/>
                <w:szCs w:val="22"/>
              </w:rPr>
            </w:pPr>
          </w:p>
          <w:p w14:paraId="638B900D" w14:textId="77777777" w:rsidR="00292359" w:rsidRDefault="00292359" w:rsidP="00292359">
            <w:pPr>
              <w:pStyle w:val="Textoindependiente"/>
              <w:jc w:val="both"/>
              <w:rPr>
                <w:rFonts w:ascii="Tahoma" w:hAnsi="Tahoma" w:cs="Tahoma"/>
                <w:sz w:val="22"/>
                <w:szCs w:val="22"/>
              </w:rPr>
            </w:pPr>
            <w:r w:rsidRPr="006F6E02">
              <w:rPr>
                <w:rFonts w:ascii="Tahoma" w:hAnsi="Tahoma" w:cs="Tahoma"/>
                <w:sz w:val="22"/>
                <w:szCs w:val="22"/>
              </w:rPr>
              <w:t xml:space="preserve">Para la valoración de inmuebles rurales que constan registrados alfanuméricamente en el Sistema Catastral y que se encuentran sin ubicación geográfica, se asignará el Área de Intervención Valorativa Rural –AIVAR ubicada en la hoja catastral de la clave catastral referencial asignada con la clase de tierra predominante, en caso de existir más de un AIVAR, se asignará el de menor valor y la clase de tierra </w:t>
            </w:r>
            <w:r w:rsidRPr="006F6E02">
              <w:rPr>
                <w:rFonts w:ascii="Tahoma" w:hAnsi="Tahoma" w:cs="Tahoma"/>
                <w:sz w:val="22"/>
                <w:szCs w:val="22"/>
              </w:rPr>
              <w:lastRenderedPageBreak/>
              <w:t>predominante.</w:t>
            </w:r>
          </w:p>
          <w:p w14:paraId="7C223A61" w14:textId="77777777" w:rsidR="00292359" w:rsidRPr="00E14921" w:rsidRDefault="00292359" w:rsidP="00292359">
            <w:pPr>
              <w:pStyle w:val="Textoindependiente"/>
              <w:jc w:val="both"/>
              <w:rPr>
                <w:rFonts w:ascii="Tahoma" w:hAnsi="Tahoma" w:cs="Tahoma"/>
                <w:sz w:val="22"/>
                <w:szCs w:val="22"/>
              </w:rPr>
            </w:pPr>
          </w:p>
        </w:tc>
      </w:tr>
    </w:tbl>
    <w:p w14:paraId="59BA651F" w14:textId="77777777" w:rsidR="0052025A" w:rsidRPr="00A709B9" w:rsidRDefault="0052025A" w:rsidP="00A709B9">
      <w:pPr>
        <w:jc w:val="center"/>
        <w:rPr>
          <w:rFonts w:ascii="Tahoma" w:hAnsi="Tahoma" w:cs="Tahoma"/>
          <w:sz w:val="20"/>
          <w:szCs w:val="20"/>
        </w:rPr>
      </w:pPr>
    </w:p>
    <w:sectPr w:rsidR="0052025A" w:rsidRPr="00A709B9" w:rsidSect="00903D5F">
      <w:pgSz w:w="16840" w:h="11900" w:orient="landscape"/>
      <w:pgMar w:top="1134"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A383F"/>
    <w:multiLevelType w:val="hybridMultilevel"/>
    <w:tmpl w:val="FB30FC2C"/>
    <w:lvl w:ilvl="0" w:tplc="BEAC8216">
      <w:start w:val="5"/>
      <w:numFmt w:val="bullet"/>
      <w:lvlText w:val="-"/>
      <w:lvlJc w:val="left"/>
      <w:pPr>
        <w:ind w:left="420" w:hanging="360"/>
      </w:pPr>
      <w:rPr>
        <w:rFonts w:ascii="Calibri" w:eastAsiaTheme="minorHAnsi" w:hAnsi="Calibri" w:cstheme="minorBidi"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nsid w:val="43031AEC"/>
    <w:multiLevelType w:val="hybridMultilevel"/>
    <w:tmpl w:val="0E7C1CF0"/>
    <w:lvl w:ilvl="0" w:tplc="A02AF72C">
      <w:start w:val="1"/>
      <w:numFmt w:val="bullet"/>
      <w:lvlText w:val="-"/>
      <w:lvlJc w:val="left"/>
      <w:pPr>
        <w:ind w:left="720" w:hanging="360"/>
      </w:pPr>
      <w:rPr>
        <w:rFonts w:ascii="Calibri" w:eastAsiaTheme="minorHAnsi" w:hAnsi="Calibri" w:cstheme="minorBidi" w:hint="default"/>
        <w:b w:val="0"/>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20E094C"/>
    <w:multiLevelType w:val="hybridMultilevel"/>
    <w:tmpl w:val="14FEB9B0"/>
    <w:lvl w:ilvl="0" w:tplc="B3E6EDDE">
      <w:start w:val="1"/>
      <w:numFmt w:val="bullet"/>
      <w:lvlText w:val="-"/>
      <w:lvlJc w:val="left"/>
      <w:pPr>
        <w:ind w:left="720" w:hanging="360"/>
      </w:pPr>
      <w:rPr>
        <w:rFonts w:ascii="Calibri Light" w:eastAsiaTheme="minorHAnsi" w:hAnsi="Calibri Light"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C9"/>
    <w:rsid w:val="00060AAC"/>
    <w:rsid w:val="00071A22"/>
    <w:rsid w:val="000950FB"/>
    <w:rsid w:val="00095C1F"/>
    <w:rsid w:val="000A5DC5"/>
    <w:rsid w:val="000E0AC9"/>
    <w:rsid w:val="00117F49"/>
    <w:rsid w:val="001257B9"/>
    <w:rsid w:val="0017274D"/>
    <w:rsid w:val="001A16CD"/>
    <w:rsid w:val="001C1381"/>
    <w:rsid w:val="001C3A95"/>
    <w:rsid w:val="001D2ECE"/>
    <w:rsid w:val="001D53F8"/>
    <w:rsid w:val="001F3C5F"/>
    <w:rsid w:val="001F78FA"/>
    <w:rsid w:val="00207C5A"/>
    <w:rsid w:val="00236F03"/>
    <w:rsid w:val="00287083"/>
    <w:rsid w:val="00290C9F"/>
    <w:rsid w:val="00292359"/>
    <w:rsid w:val="002C2309"/>
    <w:rsid w:val="002D2E3B"/>
    <w:rsid w:val="00321126"/>
    <w:rsid w:val="00335253"/>
    <w:rsid w:val="0034584B"/>
    <w:rsid w:val="00356891"/>
    <w:rsid w:val="00374FE9"/>
    <w:rsid w:val="00377D24"/>
    <w:rsid w:val="003B3EF4"/>
    <w:rsid w:val="003E32E8"/>
    <w:rsid w:val="003E398B"/>
    <w:rsid w:val="003F1932"/>
    <w:rsid w:val="00417566"/>
    <w:rsid w:val="00427B5F"/>
    <w:rsid w:val="0045568C"/>
    <w:rsid w:val="004568F9"/>
    <w:rsid w:val="00463552"/>
    <w:rsid w:val="00484634"/>
    <w:rsid w:val="00491540"/>
    <w:rsid w:val="00497926"/>
    <w:rsid w:val="004A0A98"/>
    <w:rsid w:val="004B41D1"/>
    <w:rsid w:val="004C5384"/>
    <w:rsid w:val="004F1461"/>
    <w:rsid w:val="00506D29"/>
    <w:rsid w:val="0050765F"/>
    <w:rsid w:val="00514DF8"/>
    <w:rsid w:val="0052025A"/>
    <w:rsid w:val="005539E2"/>
    <w:rsid w:val="005554BB"/>
    <w:rsid w:val="00570D54"/>
    <w:rsid w:val="005B421F"/>
    <w:rsid w:val="005C1416"/>
    <w:rsid w:val="005E5E60"/>
    <w:rsid w:val="00614D39"/>
    <w:rsid w:val="00632A3A"/>
    <w:rsid w:val="00633889"/>
    <w:rsid w:val="006429BB"/>
    <w:rsid w:val="00675E36"/>
    <w:rsid w:val="006C72E3"/>
    <w:rsid w:val="006E5AD1"/>
    <w:rsid w:val="006E5F5B"/>
    <w:rsid w:val="006F6E02"/>
    <w:rsid w:val="007053F5"/>
    <w:rsid w:val="007151A0"/>
    <w:rsid w:val="0072686F"/>
    <w:rsid w:val="00792B8A"/>
    <w:rsid w:val="007953FB"/>
    <w:rsid w:val="007A4781"/>
    <w:rsid w:val="007C2E5A"/>
    <w:rsid w:val="007D5DAC"/>
    <w:rsid w:val="007E584E"/>
    <w:rsid w:val="007E77E5"/>
    <w:rsid w:val="007F58F0"/>
    <w:rsid w:val="00807E09"/>
    <w:rsid w:val="00826331"/>
    <w:rsid w:val="008409CA"/>
    <w:rsid w:val="00872631"/>
    <w:rsid w:val="008731CE"/>
    <w:rsid w:val="008A2FB2"/>
    <w:rsid w:val="008D3AFA"/>
    <w:rsid w:val="008E40D8"/>
    <w:rsid w:val="008E68D5"/>
    <w:rsid w:val="00902A16"/>
    <w:rsid w:val="00903D5F"/>
    <w:rsid w:val="00911DB1"/>
    <w:rsid w:val="00914824"/>
    <w:rsid w:val="0094403D"/>
    <w:rsid w:val="00945B00"/>
    <w:rsid w:val="0096173E"/>
    <w:rsid w:val="009C0252"/>
    <w:rsid w:val="009E0AB0"/>
    <w:rsid w:val="009F1C35"/>
    <w:rsid w:val="00A06D24"/>
    <w:rsid w:val="00A20848"/>
    <w:rsid w:val="00A54A8F"/>
    <w:rsid w:val="00A709B9"/>
    <w:rsid w:val="00A964D3"/>
    <w:rsid w:val="00AA2321"/>
    <w:rsid w:val="00AB0EBD"/>
    <w:rsid w:val="00AF7086"/>
    <w:rsid w:val="00B274A9"/>
    <w:rsid w:val="00B43CEA"/>
    <w:rsid w:val="00B50CF7"/>
    <w:rsid w:val="00B95A59"/>
    <w:rsid w:val="00B96C13"/>
    <w:rsid w:val="00BA77C8"/>
    <w:rsid w:val="00BB1842"/>
    <w:rsid w:val="00BF791C"/>
    <w:rsid w:val="00C1179E"/>
    <w:rsid w:val="00C2325B"/>
    <w:rsid w:val="00C26F68"/>
    <w:rsid w:val="00C366A7"/>
    <w:rsid w:val="00C37207"/>
    <w:rsid w:val="00C85F39"/>
    <w:rsid w:val="00C95382"/>
    <w:rsid w:val="00CA6911"/>
    <w:rsid w:val="00CB0524"/>
    <w:rsid w:val="00CD0E17"/>
    <w:rsid w:val="00CD462F"/>
    <w:rsid w:val="00D14526"/>
    <w:rsid w:val="00D20BC9"/>
    <w:rsid w:val="00D26C1E"/>
    <w:rsid w:val="00D77C76"/>
    <w:rsid w:val="00D97D40"/>
    <w:rsid w:val="00DB7BD0"/>
    <w:rsid w:val="00DC5916"/>
    <w:rsid w:val="00DE509C"/>
    <w:rsid w:val="00DF1246"/>
    <w:rsid w:val="00E07EC7"/>
    <w:rsid w:val="00E109E8"/>
    <w:rsid w:val="00E14921"/>
    <w:rsid w:val="00E30778"/>
    <w:rsid w:val="00E322DA"/>
    <w:rsid w:val="00E94A0E"/>
    <w:rsid w:val="00E96789"/>
    <w:rsid w:val="00E97C8B"/>
    <w:rsid w:val="00EA1520"/>
    <w:rsid w:val="00EE3BBB"/>
    <w:rsid w:val="00F02F54"/>
    <w:rsid w:val="00F64B00"/>
    <w:rsid w:val="00F6685B"/>
    <w:rsid w:val="00F67BFB"/>
    <w:rsid w:val="00F83A8D"/>
    <w:rsid w:val="00F83EAB"/>
    <w:rsid w:val="00FC6B91"/>
    <w:rsid w:val="00FD47CC"/>
    <w:rsid w:val="00FE30E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0E0AC9"/>
    <w:rPr>
      <w:rFonts w:ascii="Times New Roman" w:hAnsi="Times New Roman" w:cs="Times New Roman"/>
      <w:lang w:eastAsia="es-EC"/>
    </w:rPr>
  </w:style>
  <w:style w:type="paragraph" w:styleId="Prrafodelista">
    <w:name w:val="List Paragraph"/>
    <w:basedOn w:val="Normal"/>
    <w:uiPriority w:val="34"/>
    <w:qFormat/>
    <w:rsid w:val="000E0AC9"/>
    <w:pPr>
      <w:ind w:left="720"/>
      <w:contextualSpacing/>
    </w:pPr>
  </w:style>
  <w:style w:type="paragraph" w:styleId="Textoindependiente">
    <w:name w:val="Body Text"/>
    <w:basedOn w:val="Normal"/>
    <w:link w:val="TextoindependienteCar"/>
    <w:uiPriority w:val="1"/>
    <w:qFormat/>
    <w:rsid w:val="00417566"/>
    <w:pPr>
      <w:widowControl w:val="0"/>
      <w:autoSpaceDE w:val="0"/>
      <w:autoSpaceDN w:val="0"/>
    </w:pPr>
    <w:rPr>
      <w:rFonts w:ascii="Times New Roman" w:eastAsia="Times New Roman" w:hAnsi="Times New Roman" w:cs="Times New Roman"/>
      <w:sz w:val="18"/>
      <w:szCs w:val="18"/>
      <w:lang w:val="es-ES"/>
    </w:rPr>
  </w:style>
  <w:style w:type="character" w:customStyle="1" w:styleId="TextoindependienteCar">
    <w:name w:val="Texto independiente Car"/>
    <w:basedOn w:val="Fuentedeprrafopredeter"/>
    <w:link w:val="Textoindependiente"/>
    <w:uiPriority w:val="1"/>
    <w:rsid w:val="00417566"/>
    <w:rPr>
      <w:rFonts w:ascii="Times New Roman" w:eastAsia="Times New Roman" w:hAnsi="Times New Roman" w:cs="Times New Roman"/>
      <w:sz w:val="18"/>
      <w:szCs w:val="18"/>
      <w:lang w:val="es-ES"/>
    </w:rPr>
  </w:style>
  <w:style w:type="paragraph" w:styleId="Textodeglobo">
    <w:name w:val="Balloon Text"/>
    <w:basedOn w:val="Normal"/>
    <w:link w:val="TextodegloboCar"/>
    <w:uiPriority w:val="99"/>
    <w:semiHidden/>
    <w:unhideWhenUsed/>
    <w:rsid w:val="00AF70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0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0E0AC9"/>
    <w:rPr>
      <w:rFonts w:ascii="Times New Roman" w:hAnsi="Times New Roman" w:cs="Times New Roman"/>
      <w:lang w:eastAsia="es-EC"/>
    </w:rPr>
  </w:style>
  <w:style w:type="paragraph" w:styleId="Prrafodelista">
    <w:name w:val="List Paragraph"/>
    <w:basedOn w:val="Normal"/>
    <w:uiPriority w:val="34"/>
    <w:qFormat/>
    <w:rsid w:val="000E0AC9"/>
    <w:pPr>
      <w:ind w:left="720"/>
      <w:contextualSpacing/>
    </w:pPr>
  </w:style>
  <w:style w:type="paragraph" w:styleId="Textoindependiente">
    <w:name w:val="Body Text"/>
    <w:basedOn w:val="Normal"/>
    <w:link w:val="TextoindependienteCar"/>
    <w:uiPriority w:val="1"/>
    <w:qFormat/>
    <w:rsid w:val="00417566"/>
    <w:pPr>
      <w:widowControl w:val="0"/>
      <w:autoSpaceDE w:val="0"/>
      <w:autoSpaceDN w:val="0"/>
    </w:pPr>
    <w:rPr>
      <w:rFonts w:ascii="Times New Roman" w:eastAsia="Times New Roman" w:hAnsi="Times New Roman" w:cs="Times New Roman"/>
      <w:sz w:val="18"/>
      <w:szCs w:val="18"/>
      <w:lang w:val="es-ES"/>
    </w:rPr>
  </w:style>
  <w:style w:type="character" w:customStyle="1" w:styleId="TextoindependienteCar">
    <w:name w:val="Texto independiente Car"/>
    <w:basedOn w:val="Fuentedeprrafopredeter"/>
    <w:link w:val="Textoindependiente"/>
    <w:uiPriority w:val="1"/>
    <w:rsid w:val="00417566"/>
    <w:rPr>
      <w:rFonts w:ascii="Times New Roman" w:eastAsia="Times New Roman" w:hAnsi="Times New Roman" w:cs="Times New Roman"/>
      <w:sz w:val="18"/>
      <w:szCs w:val="18"/>
      <w:lang w:val="es-ES"/>
    </w:rPr>
  </w:style>
  <w:style w:type="paragraph" w:styleId="Textodeglobo">
    <w:name w:val="Balloon Text"/>
    <w:basedOn w:val="Normal"/>
    <w:link w:val="TextodegloboCar"/>
    <w:uiPriority w:val="99"/>
    <w:semiHidden/>
    <w:unhideWhenUsed/>
    <w:rsid w:val="00AF70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27F6-1BE7-4B98-9887-3F9BE30D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2267</Words>
  <Characters>12471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Crisita Martinez</dc:creator>
  <cp:lastModifiedBy>Secretaria de Concejo</cp:lastModifiedBy>
  <cp:revision>2</cp:revision>
  <cp:lastPrinted>2021-11-22T14:05:00Z</cp:lastPrinted>
  <dcterms:created xsi:type="dcterms:W3CDTF">2021-11-25T16:40:00Z</dcterms:created>
  <dcterms:modified xsi:type="dcterms:W3CDTF">2021-11-25T16:40:00Z</dcterms:modified>
</cp:coreProperties>
</file>