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046" w:rsidRDefault="00EE31D7"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Municipio Metropolitano de Quito</w:t>
      </w:r>
    </w:p>
    <w:p w:rsidR="00DF5046" w:rsidRPr="00DF5046"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hAnsi="Times New Roman" w:cs="Times New Roman"/>
          <w:b/>
          <w:sz w:val="24"/>
          <w:szCs w:val="24"/>
        </w:rPr>
      </w:pPr>
      <w:r w:rsidRPr="00DF5046">
        <w:rPr>
          <w:rFonts w:ascii="Times New Roman" w:hAnsi="Times New Roman" w:cs="Times New Roman"/>
          <w:b/>
          <w:sz w:val="24"/>
          <w:szCs w:val="24"/>
        </w:rPr>
        <w:t xml:space="preserve">REUNIÓN </w:t>
      </w:r>
      <w:r w:rsidR="00165175">
        <w:rPr>
          <w:rFonts w:ascii="Times New Roman" w:hAnsi="Times New Roman" w:cs="Times New Roman"/>
          <w:b/>
          <w:sz w:val="24"/>
          <w:szCs w:val="24"/>
        </w:rPr>
        <w:t>MESA DE TRABAJO 2 (MOVILIDAD, AMBIENTE, STHV)</w:t>
      </w:r>
    </w:p>
    <w:p w:rsidR="00EE31D7"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Pr>
          <w:rFonts w:ascii="Times New Roman" w:hAnsi="Times New Roman" w:cs="Times New Roman"/>
          <w:b/>
          <w:sz w:val="24"/>
          <w:szCs w:val="24"/>
        </w:rPr>
        <w:t>Fecha</w:t>
      </w:r>
      <w:r w:rsidRPr="00DF5046">
        <w:rPr>
          <w:rFonts w:ascii="Times New Roman" w:hAnsi="Times New Roman" w:cs="Times New Roman"/>
          <w:b/>
          <w:sz w:val="24"/>
          <w:szCs w:val="24"/>
        </w:rPr>
        <w:t>:</w:t>
      </w:r>
      <w:r>
        <w:rPr>
          <w:rFonts w:ascii="Times New Roman" w:hAnsi="Times New Roman" w:cs="Times New Roman"/>
          <w:sz w:val="24"/>
          <w:szCs w:val="24"/>
        </w:rPr>
        <w:t xml:space="preserve"> </w:t>
      </w:r>
      <w:r w:rsidR="00165175">
        <w:rPr>
          <w:rFonts w:ascii="Times New Roman" w:hAnsi="Times New Roman" w:cs="Times New Roman"/>
          <w:sz w:val="24"/>
          <w:szCs w:val="24"/>
        </w:rPr>
        <w:t>03</w:t>
      </w:r>
      <w:r w:rsidR="000801F5">
        <w:rPr>
          <w:rFonts w:ascii="Times New Roman" w:hAnsi="Times New Roman" w:cs="Times New Roman"/>
          <w:sz w:val="24"/>
          <w:szCs w:val="24"/>
        </w:rPr>
        <w:t>/07/2020</w:t>
      </w:r>
    </w:p>
    <w:p w:rsidR="00DF5046"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59264" behindDoc="0" locked="0" layoutInCell="1" allowOverlap="1">
                <wp:simplePos x="0" y="0"/>
                <wp:positionH relativeFrom="column">
                  <wp:posOffset>2472689</wp:posOffset>
                </wp:positionH>
                <wp:positionV relativeFrom="paragraph">
                  <wp:posOffset>10795</wp:posOffset>
                </wp:positionV>
                <wp:extent cx="9525" cy="361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682981"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aDtQEAALUDAAAOAAAAZHJzL2Uyb0RvYy54bWysU8tu2zAQvBfIPxC8x5JcOGgEyzk4aC9F&#10;a7TNBzDU0iLKF5asJf99l7StFElRFEEupEjO7O7MrtZ3kzXsABi1dx1vFjVn4KTvtdt3/OHHx+sP&#10;nMUkXC+Md9DxI0R+t7l6tx5DC0s/eNMDMgriYjuGjg8phbaqohzAirjwARw9Ko9WJDrivupRjBTd&#10;mmpZ1zfV6LEP6CXESLf3p0e+KfGVApm+KhUhMdNxqi2VFcv6mNdqsxbtHkUYtDyXIV5RhRXaUdI5&#10;1L1Igv1C/SKU1RJ99CotpLeVV0pLKBpITVM/U/N9EAGKFjInhtmm+HZh5ZfDDpnuqXecOWGpRVtq&#10;lEweGeaNNdmjMcSWoFu3w/Mphh1mwZNCm3eSwqbi63H2FabEJF3erpYrziQ9vL9pblfF9eqJGjCm&#10;T+Atyx8dN9pl0aIVh88xUTqCXiB0yKWckpevdDSQwcZ9A0VCKF1T2GWEYGuQHQQ1v/9ZhFCsgswU&#10;pY2ZSfW/SWdspkEZq/8lzuiS0bs0E612Hv+WNU2XUtUJf1F90pplP/r+WFpR7KDZKC6d5zgP35/n&#10;Qn/62za/AQAA//8DAFBLAwQUAAYACAAAACEA9j2qmd4AAAAIAQAADwAAAGRycy9kb3ducmV2Lnht&#10;bEyPwU7DMBBE70j8g7VI3KhDC22SxqmqSghxQTSFuxtvnRR7HcVOGv4ecyrH1RvNvC02kzVsxN63&#10;jgQ8zhJgSLVTLWkBn4eXhxSYD5KUNI5QwA962JS3N4XMlbvQHscqaBZLyOdSQBNCl3Pu6wat9DPX&#10;IUV2cr2VIZ695qqXl1huDZ8nyZJb2VJcaGSHuwbr72qwAsxbP37pnd764XW/rM4fp/n7YRTi/m7a&#10;roEFnMI1DH/6UR3K6HR0AynPjIBFmj3FaAQrYJEvsiQDdhTwnK6AlwX//0D5CwAA//8DAFBLAQIt&#10;ABQABgAIAAAAIQC2gziS/gAAAOEBAAATAAAAAAAAAAAAAAAAAAAAAABbQ29udGVudF9UeXBlc10u&#10;eG1sUEsBAi0AFAAGAAgAAAAhADj9If/WAAAAlAEAAAsAAAAAAAAAAAAAAAAALwEAAF9yZWxzLy5y&#10;ZWxzUEsBAi0AFAAGAAgAAAAhALiNJoO1AQAAtQMAAA4AAAAAAAAAAAAAAAAALgIAAGRycy9lMm9E&#10;b2MueG1sUEsBAi0AFAAGAAgAAAAhAPY9qpneAAAACAEAAA8AAAAAAAAAAAAAAAAADwQAAGRycy9k&#10;b3ducmV2LnhtbFBLBQYAAAAABAAEAPMAAAAaBQAAAAA=&#10;" strokecolor="black [3200]" strokeweight=".5pt">
                <v:stroke joinstyle="miter"/>
              </v:line>
            </w:pict>
          </mc:Fallback>
        </mc:AlternateContent>
      </w:r>
      <w:r w:rsidRPr="00DF5046">
        <w:rPr>
          <w:rFonts w:ascii="Times New Roman" w:hAnsi="Times New Roman" w:cs="Times New Roman"/>
          <w:b/>
          <w:sz w:val="24"/>
          <w:szCs w:val="24"/>
        </w:rPr>
        <w:t>Hora de inicio:</w:t>
      </w:r>
      <w:r w:rsidR="00EE31D7">
        <w:rPr>
          <w:rFonts w:ascii="Times New Roman" w:hAnsi="Times New Roman" w:cs="Times New Roman"/>
          <w:sz w:val="24"/>
          <w:szCs w:val="24"/>
        </w:rPr>
        <w:tab/>
      </w:r>
      <w:r w:rsidR="00165175">
        <w:rPr>
          <w:rFonts w:ascii="Times New Roman" w:hAnsi="Times New Roman" w:cs="Times New Roman"/>
          <w:sz w:val="24"/>
          <w:szCs w:val="24"/>
        </w:rPr>
        <w:t>14h0</w:t>
      </w:r>
      <w:r w:rsidR="000801F5">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5046">
        <w:rPr>
          <w:rFonts w:ascii="Times New Roman" w:hAnsi="Times New Roman" w:cs="Times New Roman"/>
          <w:b/>
          <w:sz w:val="24"/>
          <w:szCs w:val="24"/>
        </w:rPr>
        <w:t>hora de finalización:</w:t>
      </w:r>
      <w:r>
        <w:rPr>
          <w:rFonts w:ascii="Times New Roman" w:hAnsi="Times New Roman" w:cs="Times New Roman"/>
          <w:sz w:val="24"/>
          <w:szCs w:val="24"/>
        </w:rPr>
        <w:t xml:space="preserve"> </w:t>
      </w:r>
    </w:p>
    <w:p w:rsidR="00EE31D7" w:rsidRDefault="000801F5"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b/>
          <w:sz w:val="24"/>
          <w:szCs w:val="24"/>
        </w:rPr>
      </w:pPr>
      <w:r>
        <w:rPr>
          <w:rFonts w:ascii="Times New Roman" w:hAnsi="Times New Roman" w:cs="Times New Roman"/>
          <w:b/>
          <w:sz w:val="24"/>
          <w:szCs w:val="24"/>
        </w:rPr>
        <w:t>Participantes:</w:t>
      </w:r>
      <w:r w:rsidR="00165175">
        <w:rPr>
          <w:rFonts w:ascii="Times New Roman" w:hAnsi="Times New Roman" w:cs="Times New Roman"/>
          <w:b/>
          <w:sz w:val="24"/>
          <w:szCs w:val="24"/>
        </w:rPr>
        <w:t xml:space="preserve"> Patricio Santos, Juan Carlos Avilés, </w:t>
      </w:r>
      <w:proofErr w:type="spellStart"/>
      <w:r w:rsidR="00165175">
        <w:rPr>
          <w:rFonts w:ascii="Times New Roman" w:hAnsi="Times New Roman" w:cs="Times New Roman"/>
          <w:b/>
          <w:sz w:val="24"/>
          <w:szCs w:val="24"/>
        </w:rPr>
        <w:t>Liceth</w:t>
      </w:r>
      <w:proofErr w:type="spellEnd"/>
      <w:r w:rsidR="00165175">
        <w:rPr>
          <w:rFonts w:ascii="Times New Roman" w:hAnsi="Times New Roman" w:cs="Times New Roman"/>
          <w:b/>
          <w:sz w:val="24"/>
          <w:szCs w:val="24"/>
        </w:rPr>
        <w:t xml:space="preserve"> Cabrera, Alejandro </w:t>
      </w:r>
      <w:proofErr w:type="spellStart"/>
      <w:r w:rsidR="00165175">
        <w:rPr>
          <w:rFonts w:ascii="Times New Roman" w:hAnsi="Times New Roman" w:cs="Times New Roman"/>
          <w:b/>
          <w:sz w:val="24"/>
          <w:szCs w:val="24"/>
        </w:rPr>
        <w:t>Montúfar</w:t>
      </w:r>
      <w:proofErr w:type="spellEnd"/>
      <w:r w:rsidR="00165175">
        <w:rPr>
          <w:rFonts w:ascii="Times New Roman" w:hAnsi="Times New Roman" w:cs="Times New Roman"/>
          <w:b/>
          <w:sz w:val="24"/>
          <w:szCs w:val="24"/>
        </w:rPr>
        <w:t xml:space="preserve">, Sheldon López, Adriana Lucía Ávila, Daniela Mariño, Ahmed Flores, Alexandra Ocaña, Christian </w:t>
      </w:r>
      <w:proofErr w:type="spellStart"/>
      <w:r w:rsidR="00165175">
        <w:rPr>
          <w:rFonts w:ascii="Times New Roman" w:hAnsi="Times New Roman" w:cs="Times New Roman"/>
          <w:b/>
          <w:sz w:val="24"/>
          <w:szCs w:val="24"/>
        </w:rPr>
        <w:t>Zaragocin</w:t>
      </w:r>
      <w:proofErr w:type="spellEnd"/>
      <w:r w:rsidR="00165175">
        <w:rPr>
          <w:rFonts w:ascii="Times New Roman" w:hAnsi="Times New Roman" w:cs="Times New Roman"/>
          <w:b/>
          <w:sz w:val="24"/>
          <w:szCs w:val="24"/>
        </w:rPr>
        <w:t xml:space="preserve">, Diego Enríquez, Diego Cevallos, Fernando Granizo, Henry </w:t>
      </w:r>
      <w:proofErr w:type="spellStart"/>
      <w:r w:rsidR="00165175">
        <w:rPr>
          <w:rFonts w:ascii="Times New Roman" w:hAnsi="Times New Roman" w:cs="Times New Roman"/>
          <w:b/>
          <w:sz w:val="24"/>
          <w:szCs w:val="24"/>
        </w:rPr>
        <w:t>Vilatuña</w:t>
      </w:r>
      <w:proofErr w:type="spellEnd"/>
      <w:r w:rsidR="00165175">
        <w:rPr>
          <w:rFonts w:ascii="Times New Roman" w:hAnsi="Times New Roman" w:cs="Times New Roman"/>
          <w:b/>
          <w:sz w:val="24"/>
          <w:szCs w:val="24"/>
        </w:rPr>
        <w:t xml:space="preserve">, Hernán Bedoya, Iván Tapia, Jenny Torres, Jorge Peralta, Karina Suárez, Miguel Terán, Nixon Narváez, Pablo Rivera, Paulina Feijoo, Rodrigo Calderón, Rodrigo Torres, Sebastián </w:t>
      </w:r>
      <w:proofErr w:type="spellStart"/>
      <w:r w:rsidR="00165175">
        <w:rPr>
          <w:rFonts w:ascii="Times New Roman" w:hAnsi="Times New Roman" w:cs="Times New Roman"/>
          <w:b/>
          <w:sz w:val="24"/>
          <w:szCs w:val="24"/>
        </w:rPr>
        <w:t>Seaman</w:t>
      </w:r>
      <w:proofErr w:type="spellEnd"/>
      <w:r w:rsidR="00165175">
        <w:rPr>
          <w:rFonts w:ascii="Times New Roman" w:hAnsi="Times New Roman" w:cs="Times New Roman"/>
          <w:b/>
          <w:sz w:val="24"/>
          <w:szCs w:val="24"/>
        </w:rPr>
        <w:t>, Sebastián Nader, Sergio Tamayo, Valeria Díaz, Wilson Montenegro, Guillermo Romero, José Villagómez</w:t>
      </w:r>
    </w:p>
    <w:p w:rsidR="00321931" w:rsidRPr="00321931" w:rsidRDefault="00321931" w:rsidP="00321931"/>
    <w:p w:rsidR="002A58B9" w:rsidRPr="002A58B9" w:rsidRDefault="00EE31D7" w:rsidP="005B715C">
      <w:pPr>
        <w:tabs>
          <w:tab w:val="center" w:pos="4252"/>
        </w:tabs>
        <w:spacing w:line="360" w:lineRule="auto"/>
        <w:rPr>
          <w:rFonts w:ascii="Times New Roman" w:hAnsi="Times New Roman" w:cs="Times New Roman"/>
          <w:b/>
          <w:sz w:val="24"/>
          <w:szCs w:val="24"/>
        </w:rPr>
      </w:pPr>
      <w:r>
        <w:rPr>
          <w:rFonts w:ascii="Times New Roman" w:hAnsi="Times New Roman" w:cs="Times New Roman"/>
          <w:b/>
          <w:sz w:val="24"/>
          <w:szCs w:val="24"/>
        </w:rPr>
        <w:t>TÍTULO DE LA REUNIÓN</w:t>
      </w:r>
    </w:p>
    <w:p w:rsidR="00321931" w:rsidRPr="00321931" w:rsidRDefault="000801F5" w:rsidP="005B715C">
      <w:pPr>
        <w:spacing w:line="360" w:lineRule="auto"/>
      </w:pPr>
      <w:r>
        <w:t xml:space="preserve">Revisión </w:t>
      </w:r>
      <w:r w:rsidR="00165175">
        <w:t>Mesa de Trabajo 2 (movilidad, ambiente, STHV).</w:t>
      </w:r>
    </w:p>
    <w:p w:rsidR="001C4B53" w:rsidRPr="001C4B53" w:rsidRDefault="00EE31D7" w:rsidP="001C4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MEMORIA DE LA REUNIÓN</w:t>
      </w:r>
    </w:p>
    <w:p w:rsidR="00EE31D7" w:rsidRDefault="00EE31D7" w:rsidP="00EE31D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Pr>
          <w:rFonts w:ascii="Times New Roman" w:hAnsi="Times New Roman" w:cs="Times New Roman"/>
          <w:b/>
          <w:sz w:val="24"/>
          <w:szCs w:val="24"/>
        </w:rPr>
        <w:t>Inicio de la reunión</w:t>
      </w:r>
    </w:p>
    <w:p w:rsidR="00462511" w:rsidRDefault="000801F5" w:rsidP="00165175">
      <w:pPr>
        <w:pStyle w:val="Prrafodelista"/>
        <w:ind w:left="0"/>
        <w:jc w:val="both"/>
        <w:rPr>
          <w:rFonts w:ascii="Times New Roman" w:hAnsi="Times New Roman" w:cs="Times New Roman"/>
          <w:sz w:val="24"/>
          <w:szCs w:val="24"/>
        </w:rPr>
      </w:pPr>
      <w:r>
        <w:rPr>
          <w:rFonts w:ascii="Times New Roman" w:hAnsi="Times New Roman" w:cs="Times New Roman"/>
          <w:sz w:val="24"/>
          <w:szCs w:val="24"/>
        </w:rPr>
        <w:t>Se inicia la reunión con una revisión de las políticas inicialmente planteadas por la Secretaría de Desarrollo Productivo – ACDC.</w:t>
      </w:r>
      <w:r w:rsidR="00165175">
        <w:rPr>
          <w:rFonts w:ascii="Times New Roman" w:hAnsi="Times New Roman" w:cs="Times New Roman"/>
          <w:sz w:val="24"/>
          <w:szCs w:val="24"/>
        </w:rPr>
        <w:t xml:space="preserve"> Introducción a la movilidad, diagnóstico participativo y estratégico, modelo territorial deseado, </w:t>
      </w:r>
      <w:proofErr w:type="spellStart"/>
      <w:r w:rsidR="00165175">
        <w:rPr>
          <w:rFonts w:ascii="Times New Roman" w:hAnsi="Times New Roman" w:cs="Times New Roman"/>
          <w:sz w:val="24"/>
          <w:szCs w:val="24"/>
        </w:rPr>
        <w:t>obetivos</w:t>
      </w:r>
      <w:proofErr w:type="spellEnd"/>
      <w:r w:rsidR="00165175">
        <w:rPr>
          <w:rFonts w:ascii="Times New Roman" w:hAnsi="Times New Roman" w:cs="Times New Roman"/>
          <w:sz w:val="24"/>
          <w:szCs w:val="24"/>
        </w:rPr>
        <w:t xml:space="preserve"> movilidad sostenible, propuesta intersectorial atada a esta temática, participación ciudadana.</w:t>
      </w:r>
    </w:p>
    <w:p w:rsidR="00321931" w:rsidRDefault="00EE31D7" w:rsidP="00C03C4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Pr>
          <w:rFonts w:ascii="Times New Roman" w:hAnsi="Times New Roman" w:cs="Times New Roman"/>
          <w:b/>
          <w:sz w:val="24"/>
          <w:szCs w:val="24"/>
        </w:rPr>
        <w:t>Desarrollo de la reunión</w:t>
      </w:r>
    </w:p>
    <w:p w:rsidR="00C90E43" w:rsidRDefault="00C90E43" w:rsidP="00165175">
      <w:pPr>
        <w:pStyle w:val="Prrafodelista"/>
        <w:jc w:val="both"/>
        <w:rPr>
          <w:rFonts w:ascii="Times New Roman" w:hAnsi="Times New Roman" w:cs="Times New Roman"/>
          <w:sz w:val="24"/>
          <w:szCs w:val="24"/>
        </w:rPr>
      </w:pPr>
    </w:p>
    <w:p w:rsidR="00C90E43" w:rsidRDefault="00C90E43"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Se presenta el diagnóstico estratégico desde varias dimensiones (Económico Tecnológico, Movilidad, Territorio, Socio-cultural, Natural y Político). A partir de lo anteriormente indicado, se presenta deficiencias y potencialidades. </w:t>
      </w:r>
    </w:p>
    <w:p w:rsidR="00C90E43" w:rsidRDefault="00C90E43" w:rsidP="00165175">
      <w:pPr>
        <w:pStyle w:val="Prrafodelista"/>
        <w:jc w:val="both"/>
        <w:rPr>
          <w:rFonts w:ascii="Times New Roman" w:hAnsi="Times New Roman" w:cs="Times New Roman"/>
          <w:sz w:val="24"/>
          <w:szCs w:val="24"/>
        </w:rPr>
      </w:pPr>
    </w:p>
    <w:p w:rsidR="00C90E43" w:rsidRDefault="00C90E43"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Se revisan estadísticas relacionadas a la movilidad. </w:t>
      </w:r>
      <w:r w:rsidR="00322C32">
        <w:rPr>
          <w:rFonts w:ascii="Times New Roman" w:hAnsi="Times New Roman" w:cs="Times New Roman"/>
          <w:sz w:val="24"/>
          <w:szCs w:val="24"/>
        </w:rPr>
        <w:t xml:space="preserve">La zona central concentra todos los flujos y movimientos, se requiere mayor fluidez interna. </w:t>
      </w:r>
    </w:p>
    <w:p w:rsidR="00322C32" w:rsidRDefault="00322C32" w:rsidP="00165175">
      <w:pPr>
        <w:pStyle w:val="Prrafodelista"/>
        <w:jc w:val="both"/>
        <w:rPr>
          <w:rFonts w:ascii="Times New Roman" w:hAnsi="Times New Roman" w:cs="Times New Roman"/>
          <w:sz w:val="24"/>
          <w:szCs w:val="24"/>
        </w:rPr>
      </w:pPr>
    </w:p>
    <w:p w:rsidR="00322C32" w:rsidRDefault="00322C32"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Se realiza una exposición sobre el diagnóstico territorial. COOTAD exige la realización de un Plan de Ordenamiento, aunque éste no se ha venido articulando con la planificación. EL PUGS debe estar articulado con el PMDOT. Este paso es </w:t>
      </w:r>
      <w:r>
        <w:rPr>
          <w:rFonts w:ascii="Times New Roman" w:hAnsi="Times New Roman" w:cs="Times New Roman"/>
          <w:sz w:val="24"/>
          <w:szCs w:val="24"/>
        </w:rPr>
        <w:lastRenderedPageBreak/>
        <w:t xml:space="preserve">un paso importante porque se va a lograr resolver las incoherencias normativas del modelo de ciudad que se propone con la norma urbanística. Quito tiene 43.000 Ha de suelo urbano (mayor en comparación con otro tipo de ciudades de características similares). En cuanto a la parte productiva y ambiental, para el caso de Quito se verifica en la zona de El Chiche (producción agrícola) por características de suelo. Hay presión en los terrenos rurales, no todos los asentamientos son informales, muchos son formales que la misma normativa urbanística permite fraccionar. Se pretende </w:t>
      </w:r>
      <w:r w:rsidR="009474FA">
        <w:rPr>
          <w:rFonts w:ascii="Times New Roman" w:hAnsi="Times New Roman" w:cs="Times New Roman"/>
          <w:sz w:val="24"/>
          <w:szCs w:val="24"/>
        </w:rPr>
        <w:t xml:space="preserve">desincentivar la </w:t>
      </w:r>
      <w:r>
        <w:rPr>
          <w:rFonts w:ascii="Times New Roman" w:hAnsi="Times New Roman" w:cs="Times New Roman"/>
          <w:sz w:val="24"/>
          <w:szCs w:val="24"/>
        </w:rPr>
        <w:t xml:space="preserve">expansión de vivienda en zonas que tienen potencial productivo y que se consideran patrimonio natural. </w:t>
      </w:r>
    </w:p>
    <w:p w:rsidR="00322C32" w:rsidRDefault="00322C32" w:rsidP="00165175">
      <w:pPr>
        <w:pStyle w:val="Prrafodelista"/>
        <w:jc w:val="both"/>
        <w:rPr>
          <w:rFonts w:ascii="Times New Roman" w:hAnsi="Times New Roman" w:cs="Times New Roman"/>
          <w:sz w:val="24"/>
          <w:szCs w:val="24"/>
        </w:rPr>
      </w:pPr>
    </w:p>
    <w:p w:rsidR="00322C32" w:rsidRDefault="009474FA"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Existen rutas estratégicas a disminuir los conflictos de movilidad en la zona periférica de la ciudad. </w:t>
      </w:r>
    </w:p>
    <w:p w:rsidR="009474FA" w:rsidRDefault="009474FA" w:rsidP="00165175">
      <w:pPr>
        <w:pStyle w:val="Prrafodelista"/>
        <w:jc w:val="both"/>
        <w:rPr>
          <w:rFonts w:ascii="Times New Roman" w:hAnsi="Times New Roman" w:cs="Times New Roman"/>
          <w:sz w:val="24"/>
          <w:szCs w:val="24"/>
        </w:rPr>
      </w:pPr>
    </w:p>
    <w:p w:rsidR="009474FA" w:rsidRDefault="009474FA"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La LOOTUGS presenta objetivos de ordenamiento territorial, objetivos generales del PUGS y principios aplicados al PUGS DMQ (regular uso, ocupación y gestión del área urbana y rural, modelo territorial deseado del plan). </w:t>
      </w:r>
    </w:p>
    <w:p w:rsidR="009474FA" w:rsidRDefault="009474FA" w:rsidP="00165175">
      <w:pPr>
        <w:pStyle w:val="Prrafodelista"/>
        <w:jc w:val="both"/>
        <w:rPr>
          <w:rFonts w:ascii="Times New Roman" w:hAnsi="Times New Roman" w:cs="Times New Roman"/>
          <w:sz w:val="24"/>
          <w:szCs w:val="24"/>
        </w:rPr>
      </w:pPr>
    </w:p>
    <w:p w:rsidR="000F0E7A" w:rsidRDefault="009474FA"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PMDOT está enfocado en el bienestar (salud, cultura, resiliencia, innovación, sostenibilidad y movilidad, derechos humanos) se lo </w:t>
      </w:r>
      <w:proofErr w:type="spellStart"/>
      <w:r>
        <w:rPr>
          <w:rFonts w:ascii="Times New Roman" w:hAnsi="Times New Roman" w:cs="Times New Roman"/>
          <w:sz w:val="24"/>
          <w:szCs w:val="24"/>
        </w:rPr>
        <w:t>converte</w:t>
      </w:r>
      <w:proofErr w:type="spellEnd"/>
      <w:r>
        <w:rPr>
          <w:rFonts w:ascii="Times New Roman" w:hAnsi="Times New Roman" w:cs="Times New Roman"/>
          <w:sz w:val="24"/>
          <w:szCs w:val="24"/>
        </w:rPr>
        <w:t xml:space="preserve"> en realidad a través de planificación estratégica mediante ejes estratégicos del modelo territorial deseado. Específicamente el eje 2 recoge el sistema de movilidad y conectividad, además el eje 4 recoge la protección de áreas patrimoniales. Se pretende reducir la </w:t>
      </w:r>
      <w:r w:rsidR="000F0E7A">
        <w:rPr>
          <w:rFonts w:ascii="Times New Roman" w:hAnsi="Times New Roman" w:cs="Times New Roman"/>
          <w:sz w:val="24"/>
          <w:szCs w:val="24"/>
        </w:rPr>
        <w:t>vulnerabilidad</w:t>
      </w:r>
      <w:r>
        <w:rPr>
          <w:rFonts w:ascii="Times New Roman" w:hAnsi="Times New Roman" w:cs="Times New Roman"/>
          <w:sz w:val="24"/>
          <w:szCs w:val="24"/>
        </w:rPr>
        <w:t xml:space="preserve"> </w:t>
      </w:r>
      <w:r w:rsidR="000F0E7A">
        <w:rPr>
          <w:rFonts w:ascii="Times New Roman" w:hAnsi="Times New Roman" w:cs="Times New Roman"/>
          <w:sz w:val="24"/>
          <w:szCs w:val="24"/>
        </w:rPr>
        <w:t xml:space="preserve">socio ambiental. </w:t>
      </w:r>
    </w:p>
    <w:p w:rsidR="000F0E7A" w:rsidRDefault="000F0E7A" w:rsidP="00165175">
      <w:pPr>
        <w:pStyle w:val="Prrafodelista"/>
        <w:jc w:val="both"/>
        <w:rPr>
          <w:rFonts w:ascii="Times New Roman" w:hAnsi="Times New Roman" w:cs="Times New Roman"/>
          <w:sz w:val="24"/>
          <w:szCs w:val="24"/>
        </w:rPr>
      </w:pPr>
    </w:p>
    <w:p w:rsidR="009474FA" w:rsidRDefault="000F0E7A"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El modelo territorial deseado propone un modelo de ciudad </w:t>
      </w:r>
      <w:proofErr w:type="spellStart"/>
      <w:r>
        <w:rPr>
          <w:rFonts w:ascii="Times New Roman" w:hAnsi="Times New Roman" w:cs="Times New Roman"/>
          <w:sz w:val="24"/>
          <w:szCs w:val="24"/>
        </w:rPr>
        <w:t>policéntrica</w:t>
      </w:r>
      <w:proofErr w:type="spellEnd"/>
      <w:r>
        <w:rPr>
          <w:rFonts w:ascii="Times New Roman" w:hAnsi="Times New Roman" w:cs="Times New Roman"/>
          <w:sz w:val="24"/>
          <w:szCs w:val="24"/>
        </w:rPr>
        <w:t xml:space="preserve">, que se consolide como ciudad (sistema eficiente de </w:t>
      </w:r>
      <w:proofErr w:type="spellStart"/>
      <w:r>
        <w:rPr>
          <w:rFonts w:ascii="Times New Roman" w:hAnsi="Times New Roman" w:cs="Times New Roman"/>
          <w:sz w:val="24"/>
          <w:szCs w:val="24"/>
        </w:rPr>
        <w:t>movildiad</w:t>
      </w:r>
      <w:proofErr w:type="spellEnd"/>
      <w:r>
        <w:rPr>
          <w:rFonts w:ascii="Times New Roman" w:hAnsi="Times New Roman" w:cs="Times New Roman"/>
          <w:sz w:val="24"/>
          <w:szCs w:val="24"/>
        </w:rPr>
        <w:t xml:space="preserve"> como el Metro). Aprovechamiento e vías para mejorar la interconectividad, buscar </w:t>
      </w:r>
      <w:proofErr w:type="spellStart"/>
      <w:r>
        <w:rPr>
          <w:rFonts w:ascii="Times New Roman" w:hAnsi="Times New Roman" w:cs="Times New Roman"/>
          <w:sz w:val="24"/>
          <w:szCs w:val="24"/>
        </w:rPr>
        <w:t>promorver</w:t>
      </w:r>
      <w:proofErr w:type="spellEnd"/>
      <w:r>
        <w:rPr>
          <w:rFonts w:ascii="Times New Roman" w:hAnsi="Times New Roman" w:cs="Times New Roman"/>
          <w:sz w:val="24"/>
          <w:szCs w:val="24"/>
        </w:rPr>
        <w:t xml:space="preserve"> inclusión y equidad en diferentes escalas, recuperar el patrimonio y reducir riesgos de movilidad. </w:t>
      </w:r>
    </w:p>
    <w:p w:rsidR="000F0E7A" w:rsidRDefault="000F0E7A" w:rsidP="00165175">
      <w:pPr>
        <w:pStyle w:val="Prrafodelista"/>
        <w:jc w:val="both"/>
        <w:rPr>
          <w:rFonts w:ascii="Times New Roman" w:hAnsi="Times New Roman" w:cs="Times New Roman"/>
          <w:sz w:val="24"/>
          <w:szCs w:val="24"/>
        </w:rPr>
      </w:pPr>
    </w:p>
    <w:p w:rsidR="000F0E7A" w:rsidRDefault="000F0E7A"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Se ha ampliado las áreas de protección de Quito, y que éstas no puedan ser modificadas, al menos, en 12 años. Las microrregiones (</w:t>
      </w:r>
      <w:proofErr w:type="spellStart"/>
      <w:r>
        <w:rPr>
          <w:rFonts w:ascii="Times New Roman" w:hAnsi="Times New Roman" w:cs="Times New Roman"/>
          <w:sz w:val="24"/>
          <w:szCs w:val="24"/>
        </w:rPr>
        <w:t>Nanegal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Nanegalito</w:t>
      </w:r>
      <w:proofErr w:type="spellEnd"/>
      <w:r>
        <w:rPr>
          <w:rFonts w:ascii="Times New Roman" w:hAnsi="Times New Roman" w:cs="Times New Roman"/>
          <w:sz w:val="24"/>
          <w:szCs w:val="24"/>
        </w:rPr>
        <w:t xml:space="preserve">, Atahualpa, San José no tienen procesos expansivos) son y deberán ser productivas en materia agrícola. Es un encadenamiento de problemas cuando existen procesos expansivos. Esto ayuda a articular con diferentes áreas de la ciudad de Quito. Una línea imaginaria muestra donde se densifica y donde no se densifica. A partir de aquí se puede verificar nuevas </w:t>
      </w:r>
      <w:proofErr w:type="spellStart"/>
      <w:r>
        <w:rPr>
          <w:rFonts w:ascii="Times New Roman" w:hAnsi="Times New Roman" w:cs="Times New Roman"/>
          <w:sz w:val="24"/>
          <w:szCs w:val="24"/>
        </w:rPr>
        <w:t>microcentralidades</w:t>
      </w:r>
      <w:proofErr w:type="spellEnd"/>
      <w:r>
        <w:rPr>
          <w:rFonts w:ascii="Times New Roman" w:hAnsi="Times New Roman" w:cs="Times New Roman"/>
          <w:sz w:val="24"/>
          <w:szCs w:val="24"/>
        </w:rPr>
        <w:t xml:space="preserve">. </w:t>
      </w:r>
    </w:p>
    <w:p w:rsidR="000F0E7A" w:rsidRDefault="000F0E7A" w:rsidP="00165175">
      <w:pPr>
        <w:pStyle w:val="Prrafodelista"/>
        <w:jc w:val="both"/>
        <w:rPr>
          <w:rFonts w:ascii="Times New Roman" w:hAnsi="Times New Roman" w:cs="Times New Roman"/>
          <w:sz w:val="24"/>
          <w:szCs w:val="24"/>
        </w:rPr>
      </w:pPr>
    </w:p>
    <w:p w:rsidR="004177A2" w:rsidRDefault="00116BBB"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Se presenta propuestas intersectoriales (lineamientos para </w:t>
      </w:r>
      <w:r w:rsidR="00027BB4">
        <w:rPr>
          <w:rFonts w:ascii="Times New Roman" w:hAnsi="Times New Roman" w:cs="Times New Roman"/>
          <w:sz w:val="24"/>
          <w:szCs w:val="24"/>
        </w:rPr>
        <w:t>ambiente</w:t>
      </w:r>
      <w:r>
        <w:rPr>
          <w:rFonts w:ascii="Times New Roman" w:hAnsi="Times New Roman" w:cs="Times New Roman"/>
          <w:sz w:val="24"/>
          <w:szCs w:val="24"/>
        </w:rPr>
        <w:t xml:space="preserve">), se revisa los dos ejes sectoriales (ejes estratégicos). 1) Carbono Neutro y Compatible con el Clima. Reducción de la huella de carbono </w:t>
      </w:r>
      <w:r w:rsidR="004177A2">
        <w:rPr>
          <w:rFonts w:ascii="Times New Roman" w:hAnsi="Times New Roman" w:cs="Times New Roman"/>
          <w:sz w:val="24"/>
          <w:szCs w:val="24"/>
        </w:rPr>
        <w:t>mediante la implementación de proyectos de movilidad eléctrica</w:t>
      </w:r>
      <w:r>
        <w:rPr>
          <w:rFonts w:ascii="Times New Roman" w:hAnsi="Times New Roman" w:cs="Times New Roman"/>
          <w:sz w:val="24"/>
          <w:szCs w:val="24"/>
        </w:rPr>
        <w:t>; 2)</w:t>
      </w:r>
      <w:r w:rsidR="004177A2">
        <w:rPr>
          <w:rFonts w:ascii="Times New Roman" w:hAnsi="Times New Roman" w:cs="Times New Roman"/>
          <w:sz w:val="24"/>
          <w:szCs w:val="24"/>
        </w:rPr>
        <w:t xml:space="preserve"> Contaminación Ambiental y Aprovechamiento de Recursos naturales.</w:t>
      </w:r>
    </w:p>
    <w:p w:rsidR="004177A2" w:rsidRDefault="004177A2" w:rsidP="00165175">
      <w:pPr>
        <w:pStyle w:val="Prrafodelista"/>
        <w:jc w:val="both"/>
        <w:rPr>
          <w:rFonts w:ascii="Times New Roman" w:hAnsi="Times New Roman" w:cs="Times New Roman"/>
          <w:sz w:val="24"/>
          <w:szCs w:val="24"/>
        </w:rPr>
      </w:pPr>
    </w:p>
    <w:p w:rsidR="00116BBB" w:rsidRDefault="00027BB4"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Los ejes estratégicos de la Secretaría de Movilidad relacionado con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eco-movilidad</w:t>
      </w:r>
      <w:r w:rsidR="00116BBB">
        <w:rPr>
          <w:rFonts w:ascii="Times New Roman" w:hAnsi="Times New Roman" w:cs="Times New Roman"/>
          <w:sz w:val="24"/>
          <w:szCs w:val="24"/>
        </w:rPr>
        <w:t xml:space="preserve"> </w:t>
      </w:r>
      <w:r>
        <w:rPr>
          <w:rFonts w:ascii="Times New Roman" w:hAnsi="Times New Roman" w:cs="Times New Roman"/>
          <w:sz w:val="24"/>
          <w:szCs w:val="24"/>
        </w:rPr>
        <w:t xml:space="preserve">(infraestructura de trasporte) tiene como objetivo tener una ciudad sostenible dentro de los parámetros de los ODS. (Consolidación del transporte </w:t>
      </w:r>
      <w:r>
        <w:rPr>
          <w:rFonts w:ascii="Times New Roman" w:hAnsi="Times New Roman" w:cs="Times New Roman"/>
          <w:sz w:val="24"/>
          <w:szCs w:val="24"/>
        </w:rPr>
        <w:lastRenderedPageBreak/>
        <w:t>público metropolitano como un sistema intermodal, sostenible, de calidad, con amplia cobertura y conectividad; Promoción del uso de tecnologías limpias en el transporte público; Fomento de la eco</w:t>
      </w:r>
      <w:r w:rsidR="00AA7FF3">
        <w:rPr>
          <w:rFonts w:ascii="Times New Roman" w:hAnsi="Times New Roman" w:cs="Times New Roman"/>
          <w:sz w:val="24"/>
          <w:szCs w:val="24"/>
        </w:rPr>
        <w:t>-</w:t>
      </w:r>
      <w:r>
        <w:rPr>
          <w:rFonts w:ascii="Times New Roman" w:hAnsi="Times New Roman" w:cs="Times New Roman"/>
          <w:sz w:val="24"/>
          <w:szCs w:val="24"/>
        </w:rPr>
        <w:t>movilidad hacia la caminata bicicleta</w:t>
      </w:r>
      <w:r w:rsidR="006A7665">
        <w:rPr>
          <w:rFonts w:ascii="Times New Roman" w:hAnsi="Times New Roman" w:cs="Times New Roman"/>
          <w:sz w:val="24"/>
          <w:szCs w:val="24"/>
        </w:rPr>
        <w:t>, transporte público, “</w:t>
      </w:r>
      <w:proofErr w:type="spellStart"/>
      <w:r w:rsidR="006A7665">
        <w:rPr>
          <w:rFonts w:ascii="Times New Roman" w:hAnsi="Times New Roman" w:cs="Times New Roman"/>
          <w:sz w:val="24"/>
          <w:szCs w:val="24"/>
        </w:rPr>
        <w:t>carsharing</w:t>
      </w:r>
      <w:proofErr w:type="spellEnd"/>
      <w:r w:rsidR="006A7665">
        <w:rPr>
          <w:rFonts w:ascii="Times New Roman" w:hAnsi="Times New Roman" w:cs="Times New Roman"/>
          <w:sz w:val="24"/>
          <w:szCs w:val="24"/>
        </w:rPr>
        <w:t>” y “carpooling”</w:t>
      </w:r>
      <w:bookmarkStart w:id="0" w:name="_GoBack"/>
      <w:bookmarkEnd w:id="0"/>
      <w:r>
        <w:rPr>
          <w:rFonts w:ascii="Times New Roman" w:hAnsi="Times New Roman" w:cs="Times New Roman"/>
          <w:sz w:val="24"/>
          <w:szCs w:val="24"/>
        </w:rPr>
        <w:t>).</w:t>
      </w:r>
    </w:p>
    <w:p w:rsidR="00027BB4" w:rsidRDefault="00027BB4" w:rsidP="00165175">
      <w:pPr>
        <w:pStyle w:val="Prrafodelista"/>
        <w:jc w:val="both"/>
        <w:rPr>
          <w:rFonts w:ascii="Times New Roman" w:hAnsi="Times New Roman" w:cs="Times New Roman"/>
          <w:sz w:val="24"/>
          <w:szCs w:val="24"/>
        </w:rPr>
      </w:pPr>
    </w:p>
    <w:p w:rsidR="00027BB4" w:rsidRDefault="00027BB4"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María Augusta Larco hace referencia que el eje estratégico debe estar asociados con la especificidad de ordenamiento territorial y gobernanza. </w:t>
      </w:r>
      <w:r w:rsidR="00AA7FF3">
        <w:rPr>
          <w:rFonts w:ascii="Times New Roman" w:hAnsi="Times New Roman" w:cs="Times New Roman"/>
          <w:sz w:val="24"/>
          <w:szCs w:val="24"/>
        </w:rPr>
        <w:t xml:space="preserve">Cómo se le puede dar concordancia de los ejes con el modelo territorial deseado. </w:t>
      </w:r>
      <w:r w:rsidR="00810804">
        <w:rPr>
          <w:rFonts w:ascii="Times New Roman" w:hAnsi="Times New Roman" w:cs="Times New Roman"/>
          <w:sz w:val="24"/>
          <w:szCs w:val="24"/>
        </w:rPr>
        <w:t>Una de las problemáticas mayores de la ciudad es la urbanización (los que vienen a través de regulación de suelo). Ciudadanos no tienen derecho “a la ciudad y a su disfrute” por su realidad. Esta problemática tiene que estar explícita ya que sin eso no se la consideraría dentro del PMOT. En el modelo, tampoco se están visibilizado los territorios ancestrales. Existe una desconexión de Quito con los Valles. Estos elementos deben ser corregidos y apuntalarlos.</w:t>
      </w:r>
    </w:p>
    <w:p w:rsidR="00B546C9" w:rsidRDefault="00B546C9" w:rsidP="00165175">
      <w:pPr>
        <w:pStyle w:val="Prrafodelista"/>
        <w:jc w:val="both"/>
        <w:rPr>
          <w:rFonts w:ascii="Times New Roman" w:hAnsi="Times New Roman" w:cs="Times New Roman"/>
          <w:sz w:val="24"/>
          <w:szCs w:val="24"/>
        </w:rPr>
      </w:pPr>
    </w:p>
    <w:p w:rsidR="00B546C9" w:rsidRDefault="00B546C9" w:rsidP="00165175">
      <w:pPr>
        <w:pStyle w:val="Prrafodelista"/>
        <w:jc w:val="both"/>
        <w:rPr>
          <w:rFonts w:ascii="Times New Roman" w:hAnsi="Times New Roman" w:cs="Times New Roman"/>
          <w:sz w:val="24"/>
          <w:szCs w:val="24"/>
        </w:rPr>
      </w:pPr>
      <w:r>
        <w:rPr>
          <w:rFonts w:ascii="Times New Roman" w:hAnsi="Times New Roman" w:cs="Times New Roman"/>
          <w:sz w:val="24"/>
          <w:szCs w:val="24"/>
        </w:rPr>
        <w:t>Carlos Torres pregunta, cómo la descentralización puede ayudar a una mejor movilidad (</w:t>
      </w:r>
      <w:proofErr w:type="spellStart"/>
      <w:r>
        <w:rPr>
          <w:rFonts w:ascii="Times New Roman" w:hAnsi="Times New Roman" w:cs="Times New Roman"/>
          <w:sz w:val="24"/>
          <w:szCs w:val="24"/>
        </w:rPr>
        <w:t>microcentralidades</w:t>
      </w:r>
      <w:proofErr w:type="spellEnd"/>
      <w:r>
        <w:rPr>
          <w:rFonts w:ascii="Times New Roman" w:hAnsi="Times New Roman" w:cs="Times New Roman"/>
          <w:sz w:val="24"/>
          <w:szCs w:val="24"/>
        </w:rPr>
        <w:t>). Cómo volverle sistémica a una movilidad alternativa.</w:t>
      </w:r>
    </w:p>
    <w:p w:rsidR="00B546C9" w:rsidRDefault="00B546C9" w:rsidP="00165175">
      <w:pPr>
        <w:pStyle w:val="Prrafodelista"/>
        <w:jc w:val="both"/>
        <w:rPr>
          <w:rFonts w:ascii="Times New Roman" w:hAnsi="Times New Roman" w:cs="Times New Roman"/>
          <w:sz w:val="24"/>
          <w:szCs w:val="24"/>
        </w:rPr>
      </w:pPr>
    </w:p>
    <w:p w:rsidR="006A7665" w:rsidRDefault="000F0E7A" w:rsidP="00562E62">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w:t>
      </w:r>
      <w:r w:rsidR="00B546C9">
        <w:rPr>
          <w:rFonts w:ascii="Times New Roman" w:hAnsi="Times New Roman" w:cs="Times New Roman"/>
          <w:sz w:val="24"/>
          <w:szCs w:val="24"/>
        </w:rPr>
        <w:t xml:space="preserve">Rodrigo Torres indica que no ha existido una correcta planificación del suelo en los últimos 25 años. Se debe enfocar el componente del PUGS, realizar una proyección del suelo urbano-rural, de acuerdo a las últimas metodologías (gestión de suelo entre lo urbano y rural). </w:t>
      </w:r>
      <w:r w:rsidR="00AF5A2E">
        <w:rPr>
          <w:rFonts w:ascii="Times New Roman" w:hAnsi="Times New Roman" w:cs="Times New Roman"/>
          <w:sz w:val="24"/>
          <w:szCs w:val="24"/>
        </w:rPr>
        <w:t xml:space="preserve">Colombia lo está haciendo con 3 ciudades como proyectos piloto. Falta de coordinación con 2 elementos: protección del centro histórico de Quito, plan maestro de transportes (no hay planes de transportes eficientes). Plan de movilidad existe una metodología internacional (Planes de movilidad urbano-sustentables con </w:t>
      </w:r>
      <w:proofErr w:type="spellStart"/>
      <w:r w:rsidR="00AF5A2E">
        <w:rPr>
          <w:rFonts w:ascii="Times New Roman" w:hAnsi="Times New Roman" w:cs="Times New Roman"/>
          <w:sz w:val="24"/>
          <w:szCs w:val="24"/>
        </w:rPr>
        <w:t>Euroclima</w:t>
      </w:r>
      <w:proofErr w:type="spellEnd"/>
      <w:r w:rsidR="00AF5A2E">
        <w:rPr>
          <w:rFonts w:ascii="Times New Roman" w:hAnsi="Times New Roman" w:cs="Times New Roman"/>
          <w:sz w:val="24"/>
          <w:szCs w:val="24"/>
        </w:rPr>
        <w:t xml:space="preserve"> y la Unión Europea). </w:t>
      </w:r>
      <w:r w:rsidR="00562E62">
        <w:rPr>
          <w:rFonts w:ascii="Times New Roman" w:hAnsi="Times New Roman" w:cs="Times New Roman"/>
          <w:sz w:val="24"/>
          <w:szCs w:val="24"/>
        </w:rPr>
        <w:t xml:space="preserve">La expansión de Quito ha ultrapasado los límites del cantón. El documento no contempla sobre el proyecto </w:t>
      </w:r>
      <w:proofErr w:type="spellStart"/>
      <w:r w:rsidR="00562E62">
        <w:rPr>
          <w:rFonts w:ascii="Times New Roman" w:hAnsi="Times New Roman" w:cs="Times New Roman"/>
          <w:sz w:val="24"/>
          <w:szCs w:val="24"/>
        </w:rPr>
        <w:t>Aloag</w:t>
      </w:r>
      <w:proofErr w:type="spellEnd"/>
      <w:r w:rsidR="00562E62">
        <w:rPr>
          <w:rFonts w:ascii="Times New Roman" w:hAnsi="Times New Roman" w:cs="Times New Roman"/>
          <w:sz w:val="24"/>
          <w:szCs w:val="24"/>
        </w:rPr>
        <w:t xml:space="preserve"> - </w:t>
      </w:r>
      <w:proofErr w:type="spellStart"/>
      <w:r w:rsidR="00562E62">
        <w:rPr>
          <w:rFonts w:ascii="Times New Roman" w:hAnsi="Times New Roman" w:cs="Times New Roman"/>
          <w:sz w:val="24"/>
          <w:szCs w:val="24"/>
        </w:rPr>
        <w:t>Oyacoto</w:t>
      </w:r>
      <w:proofErr w:type="spellEnd"/>
      <w:r w:rsidR="00562E62">
        <w:rPr>
          <w:rFonts w:ascii="Times New Roman" w:hAnsi="Times New Roman" w:cs="Times New Roman"/>
          <w:sz w:val="24"/>
          <w:szCs w:val="24"/>
        </w:rPr>
        <w:t xml:space="preserve"> como </w:t>
      </w:r>
      <w:proofErr w:type="spellStart"/>
      <w:r w:rsidR="00562E62">
        <w:rPr>
          <w:rFonts w:ascii="Times New Roman" w:hAnsi="Times New Roman" w:cs="Times New Roman"/>
          <w:sz w:val="24"/>
          <w:szCs w:val="24"/>
        </w:rPr>
        <w:t>descongestionador</w:t>
      </w:r>
      <w:proofErr w:type="spellEnd"/>
      <w:r w:rsidR="00562E62">
        <w:rPr>
          <w:rFonts w:ascii="Times New Roman" w:hAnsi="Times New Roman" w:cs="Times New Roman"/>
          <w:sz w:val="24"/>
          <w:szCs w:val="24"/>
        </w:rPr>
        <w:t xml:space="preserve">. El manejo de usos de suelo y valoración es una debilidad de gestión del Municipio, crean conflictos de tránsito en la ciudad (últimos 15 años). </w:t>
      </w:r>
    </w:p>
    <w:p w:rsidR="006A7665" w:rsidRDefault="006A7665" w:rsidP="00562E62">
      <w:pPr>
        <w:pStyle w:val="Prrafodelista"/>
        <w:jc w:val="both"/>
        <w:rPr>
          <w:rFonts w:ascii="Times New Roman" w:hAnsi="Times New Roman" w:cs="Times New Roman"/>
          <w:sz w:val="24"/>
          <w:szCs w:val="24"/>
        </w:rPr>
      </w:pPr>
    </w:p>
    <w:p w:rsidR="00562E62" w:rsidRPr="00562E62" w:rsidRDefault="00562E62" w:rsidP="00562E62">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w:t>
      </w:r>
    </w:p>
    <w:p w:rsidR="003A1C06" w:rsidRDefault="003A1C06" w:rsidP="00EE31D7">
      <w:pPr>
        <w:pBdr>
          <w:top w:val="single" w:sz="4" w:space="1" w:color="auto"/>
          <w:left w:val="single" w:sz="4" w:space="4" w:color="auto"/>
          <w:bottom w:val="single" w:sz="4" w:space="0" w:color="auto"/>
          <w:right w:val="single" w:sz="4" w:space="4" w:color="auto"/>
        </w:pBdr>
        <w:spacing w:line="480" w:lineRule="auto"/>
        <w:jc w:val="center"/>
        <w:rPr>
          <w:rFonts w:ascii="Times New Roman" w:hAnsi="Times New Roman" w:cs="Times New Roman"/>
          <w:sz w:val="24"/>
          <w:szCs w:val="24"/>
        </w:rPr>
      </w:pPr>
      <w:r w:rsidRPr="003A1C06">
        <w:rPr>
          <w:rFonts w:ascii="Times New Roman" w:hAnsi="Times New Roman" w:cs="Times New Roman"/>
          <w:b/>
          <w:sz w:val="24"/>
          <w:szCs w:val="24"/>
        </w:rPr>
        <w:t>Cierre de la reunión</w:t>
      </w:r>
    </w:p>
    <w:p w:rsidR="009474FA" w:rsidRDefault="009474FA" w:rsidP="003A1C06">
      <w:pPr>
        <w:tabs>
          <w:tab w:val="left" w:pos="5955"/>
        </w:tabs>
        <w:rPr>
          <w:rFonts w:ascii="Times New Roman" w:hAnsi="Times New Roman" w:cs="Times New Roman"/>
          <w:b/>
          <w:sz w:val="24"/>
          <w:szCs w:val="24"/>
        </w:rPr>
      </w:pPr>
    </w:p>
    <w:p w:rsidR="003E79CD" w:rsidRDefault="00EE31D7" w:rsidP="003A1C06">
      <w:pPr>
        <w:tabs>
          <w:tab w:val="left" w:pos="5955"/>
        </w:tabs>
        <w:rPr>
          <w:rFonts w:ascii="Times New Roman" w:hAnsi="Times New Roman" w:cs="Times New Roman"/>
          <w:b/>
          <w:sz w:val="24"/>
          <w:szCs w:val="24"/>
        </w:rPr>
      </w:pPr>
      <w:r>
        <w:rPr>
          <w:rFonts w:ascii="Times New Roman" w:hAnsi="Times New Roman" w:cs="Times New Roman"/>
          <w:b/>
          <w:sz w:val="24"/>
          <w:szCs w:val="24"/>
        </w:rPr>
        <w:t>ACUERDOS</w:t>
      </w:r>
    </w:p>
    <w:p w:rsidR="003A1C06" w:rsidRPr="006C10F2" w:rsidRDefault="003A1C06" w:rsidP="003E79CD">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sidRPr="006C10F2">
        <w:rPr>
          <w:rFonts w:ascii="Times New Roman" w:hAnsi="Times New Roman" w:cs="Times New Roman"/>
          <w:b/>
          <w:sz w:val="24"/>
          <w:szCs w:val="24"/>
        </w:rPr>
        <w:t>Responsable</w:t>
      </w:r>
      <w:r w:rsidR="006C10F2">
        <w:rPr>
          <w:rFonts w:ascii="Times New Roman" w:hAnsi="Times New Roman" w:cs="Times New Roman"/>
          <w:b/>
          <w:sz w:val="24"/>
          <w:szCs w:val="24"/>
        </w:rPr>
        <w:t>:</w:t>
      </w:r>
      <w:r w:rsidR="00C426EC">
        <w:rPr>
          <w:rFonts w:ascii="Times New Roman" w:hAnsi="Times New Roman" w:cs="Times New Roman"/>
          <w:b/>
          <w:sz w:val="24"/>
          <w:szCs w:val="24"/>
        </w:rPr>
        <w:t xml:space="preserve"> José Villagómez</w:t>
      </w:r>
    </w:p>
    <w:p w:rsidR="003A1C06" w:rsidRDefault="003A1C06"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sidRPr="006C10F2">
        <w:rPr>
          <w:rFonts w:ascii="Times New Roman" w:hAnsi="Times New Roman" w:cs="Times New Roman"/>
          <w:b/>
          <w:sz w:val="24"/>
          <w:szCs w:val="24"/>
        </w:rPr>
        <w:t>Fecha de entrega:</w:t>
      </w:r>
      <w:r w:rsidR="00165175">
        <w:rPr>
          <w:rFonts w:ascii="Times New Roman" w:hAnsi="Times New Roman" w:cs="Times New Roman"/>
          <w:b/>
          <w:sz w:val="24"/>
          <w:szCs w:val="24"/>
        </w:rPr>
        <w:t xml:space="preserve"> 03</w:t>
      </w:r>
      <w:r w:rsidR="00C426EC">
        <w:rPr>
          <w:rFonts w:ascii="Times New Roman" w:hAnsi="Times New Roman" w:cs="Times New Roman"/>
          <w:b/>
          <w:sz w:val="24"/>
          <w:szCs w:val="24"/>
        </w:rPr>
        <w:t>/07/2020</w:t>
      </w:r>
    </w:p>
    <w:p w:rsidR="00C426EC" w:rsidRDefault="00165175"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5400675" cy="2247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165175" w:rsidRDefault="00165175"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p w:rsidR="00C426EC" w:rsidRDefault="00C90E43"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extent cx="5400675" cy="2057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426EC" w:rsidRDefault="00322C32"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extent cx="5381625" cy="2343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625" cy="2343150"/>
                    </a:xfrm>
                    <a:prstGeom prst="rect">
                      <a:avLst/>
                    </a:prstGeom>
                    <a:noFill/>
                    <a:ln>
                      <a:noFill/>
                    </a:ln>
                  </pic:spPr>
                </pic:pic>
              </a:graphicData>
            </a:graphic>
          </wp:inline>
        </w:drawing>
      </w:r>
    </w:p>
    <w:p w:rsidR="00C426EC" w:rsidRDefault="000F0E7A"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5381625" cy="2057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2057400"/>
                    </a:xfrm>
                    <a:prstGeom prst="rect">
                      <a:avLst/>
                    </a:prstGeom>
                    <a:noFill/>
                    <a:ln>
                      <a:noFill/>
                    </a:ln>
                  </pic:spPr>
                </pic:pic>
              </a:graphicData>
            </a:graphic>
          </wp:inline>
        </w:drawing>
      </w:r>
    </w:p>
    <w:p w:rsidR="000F0E7A" w:rsidRPr="00EE31D7" w:rsidRDefault="000F0E7A"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sectPr w:rsidR="000F0E7A" w:rsidRPr="00EE31D7">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E73" w:rsidRDefault="00187E73" w:rsidP="00DF5046">
      <w:pPr>
        <w:spacing w:after="0" w:line="240" w:lineRule="auto"/>
      </w:pPr>
      <w:r>
        <w:separator/>
      </w:r>
    </w:p>
  </w:endnote>
  <w:endnote w:type="continuationSeparator" w:id="0">
    <w:p w:rsidR="00187E73" w:rsidRDefault="00187E73" w:rsidP="00DF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E73" w:rsidRDefault="00187E73" w:rsidP="00DF5046">
      <w:pPr>
        <w:spacing w:after="0" w:line="240" w:lineRule="auto"/>
      </w:pPr>
      <w:r>
        <w:separator/>
      </w:r>
    </w:p>
  </w:footnote>
  <w:footnote w:type="continuationSeparator" w:id="0">
    <w:p w:rsidR="00187E73" w:rsidRDefault="00187E73" w:rsidP="00DF5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1D7" w:rsidRDefault="00EE31D7">
    <w:pPr>
      <w:pStyle w:val="Encabezado"/>
    </w:pPr>
    <w:r>
      <w:rPr>
        <w:noProof/>
        <w:lang w:val="es-ES" w:eastAsia="es-ES"/>
      </w:rPr>
      <w:drawing>
        <wp:anchor distT="0" distB="0" distL="114300" distR="114300" simplePos="0" relativeHeight="251659264" behindDoc="0" locked="0" layoutInCell="1" allowOverlap="1" wp14:anchorId="045BE412" wp14:editId="544947CD">
          <wp:simplePos x="0" y="0"/>
          <wp:positionH relativeFrom="margin">
            <wp:posOffset>4182110</wp:posOffset>
          </wp:positionH>
          <wp:positionV relativeFrom="paragraph">
            <wp:posOffset>-362585</wp:posOffset>
          </wp:positionV>
          <wp:extent cx="1294130" cy="7194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to_grandeOtraVez.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4130" cy="719455"/>
                  </a:xfrm>
                  <a:prstGeom prst="rect">
                    <a:avLst/>
                  </a:prstGeom>
                </pic:spPr>
              </pic:pic>
            </a:graphicData>
          </a:graphic>
          <wp14:sizeRelH relativeFrom="page">
            <wp14:pctWidth>0</wp14:pctWidth>
          </wp14:sizeRelH>
          <wp14:sizeRelV relativeFrom="page">
            <wp14:pctHeight>0</wp14:pctHeight>
          </wp14:sizeRelV>
        </wp:anchor>
      </w:drawing>
    </w:r>
    <w:r>
      <w:t>Plan Metropolitano de Ordenamiento Territorial</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47CC8"/>
    <w:multiLevelType w:val="hybridMultilevel"/>
    <w:tmpl w:val="A784FEE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59E90F4D"/>
    <w:multiLevelType w:val="hybridMultilevel"/>
    <w:tmpl w:val="7972957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5B535BAF"/>
    <w:multiLevelType w:val="hybridMultilevel"/>
    <w:tmpl w:val="3354A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46"/>
    <w:rsid w:val="00027BB4"/>
    <w:rsid w:val="000801F5"/>
    <w:rsid w:val="000F0E7A"/>
    <w:rsid w:val="00116BBB"/>
    <w:rsid w:val="0012643E"/>
    <w:rsid w:val="00165175"/>
    <w:rsid w:val="00187E73"/>
    <w:rsid w:val="001C4B53"/>
    <w:rsid w:val="002A58B9"/>
    <w:rsid w:val="00311937"/>
    <w:rsid w:val="00321931"/>
    <w:rsid w:val="00322C32"/>
    <w:rsid w:val="00380E56"/>
    <w:rsid w:val="003A1C06"/>
    <w:rsid w:val="003E79CD"/>
    <w:rsid w:val="004177A2"/>
    <w:rsid w:val="00462511"/>
    <w:rsid w:val="004C226E"/>
    <w:rsid w:val="004E65D0"/>
    <w:rsid w:val="00500265"/>
    <w:rsid w:val="00562E62"/>
    <w:rsid w:val="005A4F5A"/>
    <w:rsid w:val="005B715C"/>
    <w:rsid w:val="006A7665"/>
    <w:rsid w:val="006C10F2"/>
    <w:rsid w:val="006E4EA4"/>
    <w:rsid w:val="00750C00"/>
    <w:rsid w:val="00795B29"/>
    <w:rsid w:val="00810804"/>
    <w:rsid w:val="008A1C20"/>
    <w:rsid w:val="008E6005"/>
    <w:rsid w:val="009474FA"/>
    <w:rsid w:val="00971199"/>
    <w:rsid w:val="009A27DA"/>
    <w:rsid w:val="00AA7FF3"/>
    <w:rsid w:val="00AD76B3"/>
    <w:rsid w:val="00AF5A2E"/>
    <w:rsid w:val="00B546C9"/>
    <w:rsid w:val="00C03C4E"/>
    <w:rsid w:val="00C426EC"/>
    <w:rsid w:val="00C90E43"/>
    <w:rsid w:val="00CC1F46"/>
    <w:rsid w:val="00DF5046"/>
    <w:rsid w:val="00EB78A8"/>
    <w:rsid w:val="00EE31D7"/>
    <w:rsid w:val="00EF78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DA5A85-C56B-4CBC-B803-2D2362D5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50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5046"/>
  </w:style>
  <w:style w:type="paragraph" w:styleId="Piedepgina">
    <w:name w:val="footer"/>
    <w:basedOn w:val="Normal"/>
    <w:link w:val="PiedepginaCar"/>
    <w:uiPriority w:val="99"/>
    <w:unhideWhenUsed/>
    <w:rsid w:val="00DF50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5046"/>
  </w:style>
  <w:style w:type="paragraph" w:styleId="Prrafodelista">
    <w:name w:val="List Paragraph"/>
    <w:basedOn w:val="Normal"/>
    <w:uiPriority w:val="34"/>
    <w:qFormat/>
    <w:rsid w:val="00CC1F46"/>
    <w:pPr>
      <w:ind w:left="720"/>
      <w:contextualSpacing/>
    </w:pPr>
  </w:style>
  <w:style w:type="paragraph" w:styleId="Textodeglobo">
    <w:name w:val="Balloon Text"/>
    <w:basedOn w:val="Normal"/>
    <w:link w:val="TextodegloboCar"/>
    <w:uiPriority w:val="99"/>
    <w:semiHidden/>
    <w:unhideWhenUsed/>
    <w:rsid w:val="00EB78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8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1049</Words>
  <Characters>5774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Jose Miguel Villagomez Paez</cp:lastModifiedBy>
  <cp:revision>8</cp:revision>
  <cp:lastPrinted>2019-02-10T06:33:00Z</cp:lastPrinted>
  <dcterms:created xsi:type="dcterms:W3CDTF">2020-07-03T20:03:00Z</dcterms:created>
  <dcterms:modified xsi:type="dcterms:W3CDTF">2020-07-03T20:53:00Z</dcterms:modified>
</cp:coreProperties>
</file>