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59B42" w14:textId="53BD645D" w:rsidR="002931C0" w:rsidRPr="00BD6238" w:rsidRDefault="002931C0" w:rsidP="006E0E33">
      <w:pPr>
        <w:jc w:val="center"/>
        <w:rPr>
          <w:rFonts w:ascii="Century Gothic" w:hAnsi="Century Gothic"/>
          <w:b/>
          <w:bCs/>
        </w:rPr>
      </w:pPr>
      <w:bookmarkStart w:id="0" w:name="_GoBack"/>
      <w:bookmarkEnd w:id="0"/>
      <w:r w:rsidRPr="002931C0">
        <w:rPr>
          <w:rFonts w:ascii="Century Gothic" w:hAnsi="Century Gothic"/>
          <w:b/>
          <w:bCs/>
        </w:rPr>
        <w:t>EXPOSICIÓN DE MOTIVOS</w:t>
      </w:r>
      <w:r w:rsidR="002810AC">
        <w:rPr>
          <w:rFonts w:ascii="Century Gothic" w:hAnsi="Century Gothic"/>
          <w:b/>
          <w:bCs/>
        </w:rPr>
        <w:t>.</w:t>
      </w:r>
    </w:p>
    <w:p w14:paraId="34392A53" w14:textId="39C3703C" w:rsidR="005D70A2" w:rsidRPr="005D70A2" w:rsidRDefault="005D70A2" w:rsidP="005D70A2">
      <w:pPr>
        <w:jc w:val="both"/>
        <w:rPr>
          <w:rFonts w:ascii="Century Gothic" w:hAnsi="Century Gothic"/>
        </w:rPr>
      </w:pPr>
      <w:r w:rsidRPr="005D70A2">
        <w:rPr>
          <w:rFonts w:ascii="Century Gothic" w:hAnsi="Century Gothic"/>
        </w:rPr>
        <w:t>La Constitución de la República del Ecuador, en su artículo 30, garantiza a las personas el “derecho a un hábitat seguro y saludable, y a una vivienda adecuada y digna, con independencia de su situación social y económica”.</w:t>
      </w:r>
    </w:p>
    <w:p w14:paraId="3CA3FD66" w14:textId="19B58384" w:rsidR="005D70A2" w:rsidRPr="005D70A2" w:rsidRDefault="005D70A2" w:rsidP="005D70A2">
      <w:pPr>
        <w:jc w:val="both"/>
        <w:rPr>
          <w:rFonts w:ascii="Century Gothic" w:hAnsi="Century Gothic"/>
        </w:rPr>
      </w:pPr>
      <w:r w:rsidRPr="005D70A2">
        <w:rPr>
          <w:rFonts w:ascii="Century Gothic" w:hAnsi="Century Gothic"/>
        </w:rPr>
        <w:t xml:space="preserve">El Concejo Metropolitano de Quito,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10D07AF5" w14:textId="638330FF" w:rsidR="005D70A2" w:rsidRPr="005D70A2" w:rsidRDefault="005D70A2" w:rsidP="005D70A2">
      <w:pPr>
        <w:jc w:val="both"/>
        <w:rPr>
          <w:rFonts w:ascii="Century Gothic" w:hAnsi="Century Gothic"/>
        </w:rPr>
      </w:pPr>
      <w:r w:rsidRPr="005D70A2">
        <w:rPr>
          <w:rFonts w:ascii="Century Gothic" w:hAnsi="Century Gothic"/>
        </w:rPr>
        <w:t xml:space="preserve">El asentamiento humano de hecho y consolidado de interés social denominado “San Miguel de Collacoto” III Etapa, ubicado en la parroquia Puengasí, tiene una consolidación del 88.89%; al inicio del proceso de regularización contaba con 49 años de existencia; sin embargo, al momento de la sanción de la presente ordenanza el asentamiento cuenta con 55 años de asentamiento, 18 lotes a fraccionarse y 72 beneficiarios. </w:t>
      </w:r>
    </w:p>
    <w:p w14:paraId="749397BC" w14:textId="3AFBA2DE" w:rsidR="005D70A2" w:rsidRPr="005D70A2" w:rsidRDefault="005D70A2" w:rsidP="005D70A2">
      <w:pPr>
        <w:jc w:val="both"/>
        <w:rPr>
          <w:rFonts w:ascii="Century Gothic" w:hAnsi="Century Gothic"/>
        </w:rPr>
      </w:pPr>
      <w:r w:rsidRPr="005D70A2">
        <w:rPr>
          <w:rFonts w:ascii="Century Gothic" w:hAnsi="Century Gothic"/>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64983DAD" w14:textId="5D30F211" w:rsidR="002931C0" w:rsidRDefault="005D70A2" w:rsidP="005D70A2">
      <w:pPr>
        <w:jc w:val="both"/>
        <w:rPr>
          <w:rFonts w:ascii="Century Gothic" w:hAnsi="Century Gothic"/>
        </w:rPr>
      </w:pPr>
      <w:r w:rsidRPr="005D70A2">
        <w:rPr>
          <w:rFonts w:ascii="Century Gothic" w:hAnsi="Century Gothic"/>
        </w:rPr>
        <w:t>En este sentido, la presente ordenanza contiene la normativa tendiente al fraccionamiento de los predios sobre el que se encuentra el asentamiento humano de hecho y consolidado de interés social denominado “San Miguel de Collacoto” III Etapa, a fin de garantizar a los beneficiarios el ejercicio de su derecho a la vivienda y el acceso a servicios básicos de calidad.</w:t>
      </w:r>
      <w:r w:rsidR="002931C0" w:rsidRPr="002931C0">
        <w:rPr>
          <w:rFonts w:ascii="Century Gothic" w:hAnsi="Century Gothic"/>
        </w:rPr>
        <w:t xml:space="preserve"> </w:t>
      </w:r>
    </w:p>
    <w:p w14:paraId="4DDDE3DD" w14:textId="547B6801" w:rsidR="00BD6238" w:rsidRDefault="00BD6238" w:rsidP="002931C0">
      <w:pPr>
        <w:jc w:val="both"/>
        <w:rPr>
          <w:rFonts w:ascii="Century Gothic" w:hAnsi="Century Gothic"/>
        </w:rPr>
      </w:pPr>
    </w:p>
    <w:p w14:paraId="1D51DC96" w14:textId="68882162" w:rsidR="00BD6238" w:rsidRDefault="00BD6238" w:rsidP="002931C0">
      <w:pPr>
        <w:jc w:val="both"/>
        <w:rPr>
          <w:rFonts w:ascii="Century Gothic" w:hAnsi="Century Gothic"/>
        </w:rPr>
      </w:pPr>
    </w:p>
    <w:p w14:paraId="4975A3F6" w14:textId="411FFBC5" w:rsidR="00BD6238" w:rsidRDefault="00BD6238" w:rsidP="002931C0">
      <w:pPr>
        <w:jc w:val="both"/>
        <w:rPr>
          <w:rFonts w:ascii="Century Gothic" w:hAnsi="Century Gothic"/>
        </w:rPr>
      </w:pPr>
    </w:p>
    <w:p w14:paraId="030A8186" w14:textId="451793B2" w:rsidR="00BD6238" w:rsidRDefault="00BD6238" w:rsidP="002931C0">
      <w:pPr>
        <w:jc w:val="both"/>
        <w:rPr>
          <w:rFonts w:ascii="Century Gothic" w:hAnsi="Century Gothic"/>
        </w:rPr>
      </w:pPr>
    </w:p>
    <w:p w14:paraId="3489FF57" w14:textId="2D1577C3" w:rsidR="00BD6238" w:rsidRDefault="00BD6238" w:rsidP="002931C0">
      <w:pPr>
        <w:jc w:val="both"/>
        <w:rPr>
          <w:rFonts w:ascii="Century Gothic" w:hAnsi="Century Gothic"/>
        </w:rPr>
      </w:pPr>
    </w:p>
    <w:p w14:paraId="2BA02E6F" w14:textId="3B2233D0" w:rsidR="00BD6238" w:rsidRDefault="00BD6238" w:rsidP="002931C0">
      <w:pPr>
        <w:jc w:val="both"/>
        <w:rPr>
          <w:rFonts w:ascii="Century Gothic" w:hAnsi="Century Gothic"/>
        </w:rPr>
      </w:pPr>
    </w:p>
    <w:p w14:paraId="2A2A8416" w14:textId="1753210C" w:rsidR="00BD6238" w:rsidRDefault="00BD6238" w:rsidP="002931C0">
      <w:pPr>
        <w:jc w:val="both"/>
        <w:rPr>
          <w:rFonts w:ascii="Century Gothic" w:hAnsi="Century Gothic"/>
        </w:rPr>
      </w:pPr>
    </w:p>
    <w:p w14:paraId="6B2776D7" w14:textId="77777777" w:rsidR="002810AC" w:rsidRDefault="002810AC" w:rsidP="002931C0">
      <w:pPr>
        <w:jc w:val="both"/>
        <w:rPr>
          <w:rFonts w:ascii="Century Gothic" w:hAnsi="Century Gothic"/>
        </w:rPr>
      </w:pPr>
    </w:p>
    <w:p w14:paraId="4E35EAE1" w14:textId="3430FDD5" w:rsidR="00BD6238" w:rsidRDefault="00BD6238" w:rsidP="002931C0">
      <w:pPr>
        <w:jc w:val="both"/>
        <w:rPr>
          <w:rFonts w:ascii="Century Gothic" w:hAnsi="Century Gothic"/>
        </w:rPr>
      </w:pPr>
    </w:p>
    <w:p w14:paraId="568691BE" w14:textId="77777777" w:rsidR="00BD6238" w:rsidRPr="002931C0" w:rsidRDefault="00BD6238" w:rsidP="002931C0">
      <w:pPr>
        <w:jc w:val="both"/>
        <w:rPr>
          <w:rFonts w:ascii="Century Gothic" w:hAnsi="Century Gothic"/>
        </w:rPr>
      </w:pPr>
    </w:p>
    <w:p w14:paraId="2190324E" w14:textId="17758065" w:rsidR="002931C0" w:rsidRPr="00BD6238" w:rsidRDefault="002931C0" w:rsidP="00BD6238">
      <w:pPr>
        <w:jc w:val="center"/>
        <w:rPr>
          <w:rFonts w:ascii="Century Gothic" w:hAnsi="Century Gothic"/>
          <w:b/>
          <w:bCs/>
        </w:rPr>
      </w:pPr>
      <w:r w:rsidRPr="00BD6238">
        <w:rPr>
          <w:rFonts w:ascii="Century Gothic" w:hAnsi="Century Gothic"/>
          <w:b/>
          <w:bCs/>
        </w:rPr>
        <w:lastRenderedPageBreak/>
        <w:t>EL CONCEJO METROPOLITANO DE QUITO</w:t>
      </w:r>
      <w:r w:rsidR="00BD6238">
        <w:rPr>
          <w:rFonts w:ascii="Century Gothic" w:hAnsi="Century Gothic"/>
          <w:b/>
          <w:bCs/>
        </w:rPr>
        <w:t>:</w:t>
      </w:r>
    </w:p>
    <w:p w14:paraId="300348EA" w14:textId="09E4D344" w:rsidR="002931C0" w:rsidRPr="00ED13B7" w:rsidRDefault="00FA2CAE" w:rsidP="00ED13B7">
      <w:pPr>
        <w:jc w:val="both"/>
        <w:rPr>
          <w:rFonts w:ascii="Century Gothic" w:hAnsi="Century Gothic"/>
        </w:rPr>
      </w:pPr>
      <w:r w:rsidRPr="00FA2CAE">
        <w:rPr>
          <w:rFonts w:ascii="Century Gothic" w:hAnsi="Century Gothic"/>
        </w:rPr>
        <w:t>Visto el Informe N</w:t>
      </w:r>
      <w:r>
        <w:rPr>
          <w:rFonts w:ascii="Century Gothic" w:hAnsi="Century Gothic"/>
        </w:rPr>
        <w:t>r</w:t>
      </w:r>
      <w:r w:rsidRPr="00FA2CAE">
        <w:rPr>
          <w:rFonts w:ascii="Century Gothic" w:hAnsi="Century Gothic"/>
        </w:rPr>
        <w:t>o. IC-2021-</w:t>
      </w:r>
      <w:r>
        <w:rPr>
          <w:rFonts w:ascii="Century Gothic" w:hAnsi="Century Gothic"/>
        </w:rPr>
        <w:t xml:space="preserve"> </w:t>
      </w:r>
      <w:r w:rsidRPr="00FA2CAE">
        <w:rPr>
          <w:rFonts w:ascii="Century Gothic" w:hAnsi="Century Gothic"/>
        </w:rPr>
        <w:t>… de fecha … de …. de 2021</w:t>
      </w:r>
      <w:r>
        <w:rPr>
          <w:rFonts w:ascii="Century Gothic" w:hAnsi="Century Gothic"/>
        </w:rPr>
        <w:t xml:space="preserve">, </w:t>
      </w:r>
      <w:r w:rsidRPr="00FA2CAE">
        <w:rPr>
          <w:rFonts w:ascii="Century Gothic" w:hAnsi="Century Gothic"/>
        </w:rPr>
        <w:t>de la Comisión de Ordenamiento Territorial</w:t>
      </w:r>
      <w:r>
        <w:rPr>
          <w:rFonts w:ascii="Century Gothic" w:hAnsi="Century Gothic"/>
        </w:rPr>
        <w:t>.</w:t>
      </w:r>
    </w:p>
    <w:p w14:paraId="6E9CC58C" w14:textId="25A9938C" w:rsidR="002931C0" w:rsidRPr="00ED13B7" w:rsidRDefault="002931C0" w:rsidP="00ED13B7">
      <w:pPr>
        <w:jc w:val="center"/>
        <w:rPr>
          <w:rFonts w:ascii="Century Gothic" w:hAnsi="Century Gothic"/>
          <w:b/>
          <w:bCs/>
        </w:rPr>
      </w:pPr>
      <w:r w:rsidRPr="00BD6238">
        <w:rPr>
          <w:rFonts w:ascii="Century Gothic" w:hAnsi="Century Gothic"/>
          <w:b/>
          <w:bCs/>
        </w:rPr>
        <w:t>CONSIDERANDO:</w:t>
      </w:r>
    </w:p>
    <w:p w14:paraId="0E76EA15" w14:textId="05A75859" w:rsidR="002931C0" w:rsidRPr="002931C0" w:rsidRDefault="002931C0" w:rsidP="004C6F79">
      <w:pPr>
        <w:ind w:left="708" w:hanging="708"/>
        <w:jc w:val="both"/>
        <w:rPr>
          <w:rFonts w:ascii="Century Gothic" w:hAnsi="Century Gothic"/>
        </w:rPr>
      </w:pPr>
      <w:r w:rsidRPr="00BD6238">
        <w:rPr>
          <w:rFonts w:ascii="Century Gothic" w:hAnsi="Century Gothic"/>
          <w:b/>
          <w:bCs/>
        </w:rPr>
        <w:t>Que,</w:t>
      </w:r>
      <w:r w:rsidR="00BD6238">
        <w:rPr>
          <w:rFonts w:ascii="Century Gothic" w:hAnsi="Century Gothic"/>
        </w:rPr>
        <w:t xml:space="preserve"> </w:t>
      </w:r>
      <w:r w:rsidRPr="002931C0">
        <w:rPr>
          <w:rFonts w:ascii="Century Gothic" w:hAnsi="Century Gothic"/>
        </w:rPr>
        <w:t>el artículo 30 de la Constitución de la República del Ecuador establece que</w:t>
      </w:r>
      <w:r w:rsidR="00BD6238">
        <w:rPr>
          <w:rFonts w:ascii="Century Gothic" w:hAnsi="Century Gothic"/>
        </w:rPr>
        <w:t xml:space="preserve"> </w:t>
      </w:r>
      <w:r w:rsidRPr="002931C0">
        <w:rPr>
          <w:rFonts w:ascii="Century Gothic" w:hAnsi="Century Gothic"/>
        </w:rPr>
        <w:t>“Las personas tienen derecho a un hábitat seguro y saludable, y a una vivienda adecuada y digna, con independencia de su situación social y económica.”</w:t>
      </w:r>
      <w:r w:rsidR="00BD6238">
        <w:rPr>
          <w:rFonts w:ascii="Century Gothic" w:hAnsi="Century Gothic"/>
        </w:rPr>
        <w:t>;</w:t>
      </w:r>
    </w:p>
    <w:p w14:paraId="09786655" w14:textId="2B884CDD" w:rsidR="002931C0" w:rsidRPr="002931C0" w:rsidRDefault="002931C0" w:rsidP="004C6F79">
      <w:pPr>
        <w:ind w:left="708" w:hanging="708"/>
        <w:jc w:val="both"/>
        <w:rPr>
          <w:rFonts w:ascii="Century Gothic" w:hAnsi="Century Gothic"/>
        </w:rPr>
      </w:pPr>
      <w:r w:rsidRPr="00BD6238">
        <w:rPr>
          <w:rFonts w:ascii="Century Gothic" w:hAnsi="Century Gothic"/>
          <w:b/>
          <w:bCs/>
        </w:rPr>
        <w:t>Que,</w:t>
      </w:r>
      <w:r w:rsidRPr="002931C0">
        <w:rPr>
          <w:rFonts w:ascii="Century Gothic" w:hAnsi="Century Gothic"/>
        </w:rPr>
        <w:tab/>
        <w:t xml:space="preserve">el artículo 31 </w:t>
      </w:r>
      <w:r w:rsidR="00BD6238">
        <w:rPr>
          <w:rFonts w:ascii="Century Gothic" w:hAnsi="Century Gothic"/>
        </w:rPr>
        <w:t>ibidem</w:t>
      </w:r>
      <w:r w:rsidRPr="002931C0">
        <w:rPr>
          <w:rFonts w:ascii="Century Gothic" w:hAnsi="Century Gothic"/>
        </w:rPr>
        <w:t xml:space="preserve"> expresa </w:t>
      </w:r>
      <w:r w:rsidR="00BD6238" w:rsidRPr="002931C0">
        <w:rPr>
          <w:rFonts w:ascii="Century Gothic" w:hAnsi="Century Gothic"/>
        </w:rPr>
        <w:t>que “Las</w:t>
      </w:r>
      <w:r w:rsidRPr="002931C0">
        <w:rPr>
          <w:rFonts w:ascii="Century Gothic" w:hAnsi="Century Gothic"/>
        </w:rPr>
        <w:t xml:space="preserve">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28861DF0" w14:textId="2E5EAEE9" w:rsidR="002931C0" w:rsidRPr="002931C0" w:rsidRDefault="002931C0" w:rsidP="004C6F79">
      <w:pPr>
        <w:ind w:left="708" w:hanging="708"/>
        <w:jc w:val="both"/>
        <w:rPr>
          <w:rFonts w:ascii="Century Gothic" w:hAnsi="Century Gothic"/>
        </w:rPr>
      </w:pPr>
      <w:r w:rsidRPr="00BD6238">
        <w:rPr>
          <w:rFonts w:ascii="Century Gothic" w:hAnsi="Century Gothic"/>
          <w:b/>
          <w:bCs/>
        </w:rPr>
        <w:t>Que,</w:t>
      </w:r>
      <w:r w:rsidRPr="002931C0">
        <w:rPr>
          <w:rFonts w:ascii="Century Gothic" w:hAnsi="Century Gothic"/>
        </w:rPr>
        <w:t xml:space="preserve"> el artículo 240 </w:t>
      </w:r>
      <w:r w:rsidR="003A1C94">
        <w:rPr>
          <w:rFonts w:ascii="Century Gothic" w:hAnsi="Century Gothic"/>
        </w:rPr>
        <w:t>ibidem</w:t>
      </w:r>
      <w:r w:rsidR="00BD6238">
        <w:rPr>
          <w:rFonts w:ascii="Century Gothic" w:hAnsi="Century Gothic"/>
        </w:rPr>
        <w:t xml:space="preserve"> </w:t>
      </w:r>
      <w:r w:rsidRPr="002931C0">
        <w:rPr>
          <w:rFonts w:ascii="Century Gothic" w:hAnsi="Century Gothic"/>
        </w:rPr>
        <w:t>establece que: “Los gobiernos autónomos descentralizados de las regiones, distritos metropolitanos, provincias y cantones tendrán facultades legislativas en el ámbito de sus competencias y jurisdicciones territoriales (…)</w:t>
      </w:r>
      <w:r w:rsidR="00BD6238">
        <w:rPr>
          <w:rFonts w:ascii="Century Gothic" w:hAnsi="Century Gothic"/>
        </w:rPr>
        <w:t xml:space="preserve"> </w:t>
      </w:r>
      <w:r w:rsidR="00BD6238" w:rsidRPr="00BD6238">
        <w:rPr>
          <w:rFonts w:ascii="Century Gothic" w:hAnsi="Century Gothic"/>
        </w:rPr>
        <w:t>Todos los gobiernos autónomos descentralizados ejercerán facultades ejecutivas en el ámbito de sus competencias y jurisdicciones territoriales.</w:t>
      </w:r>
      <w:r w:rsidRPr="002931C0">
        <w:rPr>
          <w:rFonts w:ascii="Century Gothic" w:hAnsi="Century Gothic"/>
        </w:rPr>
        <w:t>”;</w:t>
      </w:r>
    </w:p>
    <w:p w14:paraId="456FEDA0" w14:textId="575E2EE9" w:rsidR="002931C0" w:rsidRPr="002931C0" w:rsidRDefault="002931C0" w:rsidP="004C6F79">
      <w:pPr>
        <w:ind w:left="708" w:hanging="708"/>
        <w:jc w:val="both"/>
        <w:rPr>
          <w:rFonts w:ascii="Century Gothic" w:hAnsi="Century Gothic"/>
        </w:rPr>
      </w:pPr>
      <w:r w:rsidRPr="00BD6238">
        <w:rPr>
          <w:rFonts w:ascii="Century Gothic" w:hAnsi="Century Gothic"/>
          <w:b/>
          <w:bCs/>
        </w:rPr>
        <w:t>Que,</w:t>
      </w:r>
      <w:r w:rsidRPr="002931C0">
        <w:rPr>
          <w:rFonts w:ascii="Century Gothic" w:hAnsi="Century Gothic"/>
        </w:rPr>
        <w:tab/>
        <w:t xml:space="preserve">el artículo 266 </w:t>
      </w:r>
      <w:r w:rsidR="003A1C94">
        <w:rPr>
          <w:rFonts w:ascii="Century Gothic" w:hAnsi="Century Gothic"/>
        </w:rPr>
        <w:t xml:space="preserve">ibidem </w:t>
      </w:r>
      <w:r w:rsidR="00BD6238">
        <w:rPr>
          <w:rFonts w:ascii="Century Gothic" w:hAnsi="Century Gothic"/>
        </w:rPr>
        <w:t>dispone que</w:t>
      </w:r>
      <w:r w:rsidRPr="002931C0">
        <w:rPr>
          <w:rFonts w:ascii="Century Gothic" w:hAnsi="Century Gothic"/>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BD6238">
        <w:rPr>
          <w:rFonts w:ascii="Century Gothic" w:hAnsi="Century Gothic"/>
        </w:rPr>
        <w:t xml:space="preserve"> </w:t>
      </w:r>
      <w:r w:rsidRPr="002931C0">
        <w:rPr>
          <w:rFonts w:ascii="Century Gothic" w:hAnsi="Century Gothic"/>
        </w:rPr>
        <w:t>En el ámbito de sus competencias y territorio, y en uso de sus facultades, expedirán ordenanzas distritales.”</w:t>
      </w:r>
    </w:p>
    <w:p w14:paraId="6A7EFD3A" w14:textId="1CB8F245" w:rsidR="002931C0" w:rsidRPr="002931C0" w:rsidRDefault="002931C0" w:rsidP="004C6F79">
      <w:pPr>
        <w:ind w:left="708" w:hanging="708"/>
        <w:jc w:val="both"/>
        <w:rPr>
          <w:rFonts w:ascii="Century Gothic" w:hAnsi="Century Gothic"/>
        </w:rPr>
      </w:pPr>
      <w:r w:rsidRPr="003A1C94">
        <w:rPr>
          <w:rFonts w:ascii="Century Gothic" w:hAnsi="Century Gothic"/>
          <w:b/>
          <w:bCs/>
        </w:rPr>
        <w:t>Que,</w:t>
      </w:r>
      <w:r w:rsidRPr="002931C0">
        <w:rPr>
          <w:rFonts w:ascii="Century Gothic" w:hAnsi="Century Gothic"/>
        </w:rPr>
        <w:tab/>
      </w:r>
      <w:r w:rsidR="003A1C94">
        <w:rPr>
          <w:rFonts w:ascii="Century Gothic" w:hAnsi="Century Gothic"/>
        </w:rPr>
        <w:t xml:space="preserve">el artículo 84, letra </w:t>
      </w:r>
      <w:r w:rsidR="003F6F37">
        <w:rPr>
          <w:rFonts w:ascii="Century Gothic" w:hAnsi="Century Gothic"/>
        </w:rPr>
        <w:t>c</w:t>
      </w:r>
      <w:r w:rsidR="003A1C94">
        <w:rPr>
          <w:rFonts w:ascii="Century Gothic" w:hAnsi="Century Gothic"/>
        </w:rPr>
        <w:t>)</w:t>
      </w:r>
      <w:r w:rsidRPr="002931C0">
        <w:rPr>
          <w:rFonts w:ascii="Century Gothic" w:hAnsi="Century Gothic"/>
        </w:rPr>
        <w:t xml:space="preserve"> del Código Orgánico de Organización Territorial, Autonomía y Descentralización</w:t>
      </w:r>
      <w:r w:rsidR="003A1C94">
        <w:rPr>
          <w:rFonts w:ascii="Century Gothic" w:hAnsi="Century Gothic"/>
        </w:rPr>
        <w:t xml:space="preserve">, </w:t>
      </w:r>
      <w:r w:rsidR="003F6F37">
        <w:rPr>
          <w:rFonts w:ascii="Century Gothic" w:hAnsi="Century Gothic"/>
        </w:rPr>
        <w:t>señala como una de las funciones del gobierno del distrito autónomo metropolitano el</w:t>
      </w:r>
      <w:r w:rsidRPr="002931C0">
        <w:rPr>
          <w:rFonts w:ascii="Century Gothic" w:hAnsi="Century Gothic"/>
        </w:rPr>
        <w:t xml:space="preserve"> </w:t>
      </w:r>
      <w:r w:rsidR="003F6F37">
        <w:rPr>
          <w:rFonts w:ascii="Century Gothic" w:hAnsi="Century Gothic"/>
        </w:rPr>
        <w:t>“</w:t>
      </w:r>
      <w:r w:rsidRPr="002931C0">
        <w:rPr>
          <w:rFonts w:ascii="Century Gothic" w:hAnsi="Century Gothic"/>
        </w:rPr>
        <w:t>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3F6F37">
        <w:rPr>
          <w:rFonts w:ascii="Century Gothic" w:hAnsi="Century Gothic"/>
        </w:rPr>
        <w:t>.</w:t>
      </w:r>
      <w:r w:rsidRPr="002931C0">
        <w:rPr>
          <w:rFonts w:ascii="Century Gothic" w:hAnsi="Century Gothic"/>
        </w:rPr>
        <w:t>”;</w:t>
      </w:r>
    </w:p>
    <w:p w14:paraId="475573CC" w14:textId="19D893A9" w:rsidR="002931C0" w:rsidRDefault="002931C0" w:rsidP="004C6F79">
      <w:pPr>
        <w:ind w:left="708" w:hanging="708"/>
        <w:jc w:val="both"/>
        <w:rPr>
          <w:rFonts w:ascii="Century Gothic" w:hAnsi="Century Gothic"/>
        </w:rPr>
      </w:pPr>
      <w:r w:rsidRPr="003F6F37">
        <w:rPr>
          <w:rFonts w:ascii="Century Gothic" w:hAnsi="Century Gothic"/>
          <w:b/>
          <w:bCs/>
        </w:rPr>
        <w:t>Que,</w:t>
      </w:r>
      <w:r w:rsidRPr="003F6F37">
        <w:rPr>
          <w:rFonts w:ascii="Century Gothic" w:hAnsi="Century Gothic"/>
          <w:b/>
          <w:bCs/>
        </w:rPr>
        <w:tab/>
      </w:r>
      <w:r w:rsidR="003F6F37">
        <w:rPr>
          <w:rFonts w:ascii="Century Gothic" w:hAnsi="Century Gothic"/>
        </w:rPr>
        <w:t>el artículo 87, letra a) ibidem señala como atribución del Concejo Metropolitano el</w:t>
      </w:r>
      <w:r w:rsidRPr="002931C0">
        <w:rPr>
          <w:rFonts w:ascii="Century Gothic" w:hAnsi="Century Gothic"/>
        </w:rPr>
        <w:t xml:space="preserve"> </w:t>
      </w:r>
      <w:r w:rsidR="003F6F37">
        <w:rPr>
          <w:rFonts w:ascii="Century Gothic" w:hAnsi="Century Gothic"/>
        </w:rPr>
        <w:t>“</w:t>
      </w:r>
      <w:r w:rsidRPr="002931C0">
        <w:rPr>
          <w:rFonts w:ascii="Century Gothic" w:hAnsi="Century Gothic"/>
        </w:rPr>
        <w:t>Ejercer la facultad normativa en las materias de competencia del gobierno autónomo descentralizado metropolitano, mediante la expedición de ordenanzas metropolitanas, acuerdos y resoluciones</w:t>
      </w:r>
      <w:r w:rsidR="003F6F37">
        <w:rPr>
          <w:rFonts w:ascii="Century Gothic" w:hAnsi="Century Gothic"/>
        </w:rPr>
        <w:t>”</w:t>
      </w:r>
      <w:r w:rsidRPr="002931C0">
        <w:rPr>
          <w:rFonts w:ascii="Century Gothic" w:hAnsi="Century Gothic"/>
        </w:rPr>
        <w:t xml:space="preserve">; </w:t>
      </w:r>
      <w:r w:rsidR="003F6F37">
        <w:rPr>
          <w:rFonts w:ascii="Century Gothic" w:hAnsi="Century Gothic"/>
        </w:rPr>
        <w:t>y, su letra x) manifiesta en igual sentido el “</w:t>
      </w:r>
      <w:r w:rsidRPr="002931C0">
        <w:rPr>
          <w:rFonts w:ascii="Century Gothic" w:hAnsi="Century Gothic"/>
        </w:rPr>
        <w:t>Regular mediante ordenanza la delimitación de los barrios y parroquias urbanas tomando en cuenta la configuración territorial, identidad, historia, necesidades urbanísticas y administrativas y la aplicación del principio de equidad interbarrial</w:t>
      </w:r>
      <w:r w:rsidR="003F6F37">
        <w:rPr>
          <w:rFonts w:ascii="Century Gothic" w:hAnsi="Century Gothic"/>
        </w:rPr>
        <w:t>.”</w:t>
      </w:r>
      <w:r w:rsidRPr="002931C0">
        <w:rPr>
          <w:rFonts w:ascii="Century Gothic" w:hAnsi="Century Gothic"/>
        </w:rPr>
        <w:t xml:space="preserve">;  </w:t>
      </w:r>
    </w:p>
    <w:p w14:paraId="24A58A6C" w14:textId="1D2E1410" w:rsidR="003F6F37" w:rsidRPr="002931C0" w:rsidRDefault="003F6F37" w:rsidP="004C6F79">
      <w:pPr>
        <w:ind w:left="708" w:hanging="708"/>
        <w:jc w:val="both"/>
        <w:rPr>
          <w:rFonts w:ascii="Century Gothic" w:hAnsi="Century Gothic"/>
        </w:rPr>
      </w:pPr>
      <w:r w:rsidRPr="003F6F37">
        <w:rPr>
          <w:rFonts w:ascii="Century Gothic" w:hAnsi="Century Gothic"/>
          <w:b/>
          <w:bCs/>
        </w:rPr>
        <w:lastRenderedPageBreak/>
        <w:t>Que,</w:t>
      </w:r>
      <w:r>
        <w:rPr>
          <w:rFonts w:ascii="Century Gothic" w:hAnsi="Century Gothic"/>
        </w:rPr>
        <w:t xml:space="preserve"> el artículo 90, letra d) ídem refiere como una atribución del Alcalde Metropolitano “Presentar proyectos de ordenanzas distritales en materias de competencia del gobierno metropolitano autónomo.”;</w:t>
      </w:r>
    </w:p>
    <w:p w14:paraId="344836B2" w14:textId="32C00B7E" w:rsidR="002931C0" w:rsidRPr="002931C0" w:rsidRDefault="002931C0" w:rsidP="004C6F79">
      <w:pPr>
        <w:ind w:left="708" w:hanging="708"/>
        <w:jc w:val="both"/>
        <w:rPr>
          <w:rFonts w:ascii="Century Gothic" w:hAnsi="Century Gothic"/>
        </w:rPr>
      </w:pPr>
      <w:r w:rsidRPr="003F6F37">
        <w:rPr>
          <w:rFonts w:ascii="Century Gothic" w:hAnsi="Century Gothic"/>
          <w:b/>
          <w:bCs/>
        </w:rPr>
        <w:t>Que,</w:t>
      </w:r>
      <w:r w:rsidRPr="002931C0">
        <w:rPr>
          <w:rFonts w:ascii="Century Gothic" w:hAnsi="Century Gothic"/>
        </w:rPr>
        <w:t xml:space="preserve"> </w:t>
      </w:r>
      <w:r w:rsidRPr="002931C0">
        <w:rPr>
          <w:rFonts w:ascii="Century Gothic" w:hAnsi="Century Gothic"/>
        </w:rPr>
        <w:tab/>
        <w:t xml:space="preserve">el artículo 322 </w:t>
      </w:r>
      <w:r w:rsidR="003F6F37">
        <w:rPr>
          <w:rFonts w:ascii="Century Gothic" w:hAnsi="Century Gothic"/>
        </w:rPr>
        <w:t xml:space="preserve">ídem, que se refiere sobre las decisiones legislativas, </w:t>
      </w:r>
      <w:r w:rsidRPr="002931C0">
        <w:rPr>
          <w:rFonts w:ascii="Century Gothic" w:hAnsi="Century Gothic"/>
        </w:rPr>
        <w:t xml:space="preserve">establece el procedimiento para la aprobación de las ordenanzas </w:t>
      </w:r>
      <w:r w:rsidR="003F6F37">
        <w:rPr>
          <w:rFonts w:ascii="Century Gothic" w:hAnsi="Century Gothic"/>
        </w:rPr>
        <w:t>metropolitanas</w:t>
      </w:r>
      <w:r w:rsidRPr="002931C0">
        <w:rPr>
          <w:rFonts w:ascii="Century Gothic" w:hAnsi="Century Gothic"/>
        </w:rPr>
        <w:t>;</w:t>
      </w:r>
    </w:p>
    <w:p w14:paraId="41C66508" w14:textId="20FEB6EC" w:rsidR="002931C0" w:rsidRPr="002931C0" w:rsidRDefault="002931C0" w:rsidP="004C6F79">
      <w:pPr>
        <w:ind w:left="708" w:hanging="708"/>
        <w:jc w:val="both"/>
        <w:rPr>
          <w:rFonts w:ascii="Century Gothic" w:hAnsi="Century Gothic"/>
        </w:rPr>
      </w:pPr>
      <w:r w:rsidRPr="003F6F37">
        <w:rPr>
          <w:rFonts w:ascii="Century Gothic" w:hAnsi="Century Gothic"/>
          <w:b/>
          <w:bCs/>
        </w:rPr>
        <w:t>Que,</w:t>
      </w:r>
      <w:r w:rsidRPr="002931C0">
        <w:rPr>
          <w:rFonts w:ascii="Century Gothic" w:hAnsi="Century Gothic"/>
        </w:rPr>
        <w:t xml:space="preserve"> </w:t>
      </w:r>
      <w:r w:rsidRPr="002931C0">
        <w:rPr>
          <w:rFonts w:ascii="Century Gothic" w:hAnsi="Century Gothic"/>
        </w:rPr>
        <w:tab/>
        <w:t xml:space="preserve">el artículo 486 </w:t>
      </w:r>
      <w:r w:rsidR="003D58E2">
        <w:rPr>
          <w:rFonts w:ascii="Century Gothic" w:hAnsi="Century Gothic"/>
        </w:rPr>
        <w:t>ibidem</w:t>
      </w:r>
      <w:r w:rsidRPr="002931C0">
        <w:rPr>
          <w:rFonts w:ascii="Century Gothic" w:hAnsi="Century Gothic"/>
        </w:rPr>
        <w:t xml:space="preserve"> reformado establece que: “Cuando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w:t>
      </w:r>
      <w:r w:rsidR="003D58E2">
        <w:rPr>
          <w:rFonts w:ascii="Century Gothic" w:hAnsi="Century Gothic"/>
        </w:rPr>
        <w:t xml:space="preserve"> </w:t>
      </w:r>
      <w:r w:rsidRPr="002931C0">
        <w:rPr>
          <w:rFonts w:ascii="Century Gothic" w:hAnsi="Century Gothic"/>
        </w:rPr>
        <w:t>(…)”;</w:t>
      </w:r>
    </w:p>
    <w:p w14:paraId="7FBDBEE6" w14:textId="38B4E91F" w:rsidR="002931C0" w:rsidRPr="002931C0" w:rsidRDefault="002931C0" w:rsidP="004C6F79">
      <w:pPr>
        <w:ind w:left="708" w:hanging="708"/>
        <w:jc w:val="both"/>
        <w:rPr>
          <w:rFonts w:ascii="Century Gothic" w:hAnsi="Century Gothic"/>
        </w:rPr>
      </w:pPr>
      <w:r w:rsidRPr="003D58E2">
        <w:rPr>
          <w:rFonts w:ascii="Century Gothic" w:hAnsi="Century Gothic"/>
          <w:b/>
          <w:bCs/>
        </w:rPr>
        <w:t>Que,</w:t>
      </w:r>
      <w:r w:rsidRPr="002931C0">
        <w:rPr>
          <w:rFonts w:ascii="Century Gothic" w:hAnsi="Century Gothic"/>
        </w:rPr>
        <w:tab/>
        <w:t xml:space="preserve">el </w:t>
      </w:r>
      <w:r w:rsidR="00B16BBC">
        <w:rPr>
          <w:rFonts w:ascii="Century Gothic" w:hAnsi="Century Gothic"/>
        </w:rPr>
        <w:t xml:space="preserve">artículo 2, número 1 </w:t>
      </w:r>
      <w:r w:rsidRPr="002931C0">
        <w:rPr>
          <w:rFonts w:ascii="Century Gothic" w:hAnsi="Century Gothic"/>
        </w:rPr>
        <w:t>de la Ley de Régimen para el Distrito Metropolitano de Quito establece que el Municipio del Distrito Metropolitano de Quito</w:t>
      </w:r>
      <w:r w:rsidR="00B16BBC" w:rsidRPr="00B16BBC">
        <w:t xml:space="preserve"> </w:t>
      </w:r>
      <w:r w:rsidR="00B16BBC">
        <w:t>“</w:t>
      </w:r>
      <w:r w:rsidR="00B16BBC" w:rsidRPr="00B16BBC">
        <w:rPr>
          <w:rFonts w:ascii="Century Gothic" w:hAnsi="Century Gothic"/>
        </w:rPr>
        <w:t>Regulará el uso y la adecuada ocupación del suelo y ejercerá control sobre el mismo con competencia exclusiva y privativa</w:t>
      </w:r>
      <w:r w:rsidR="00B16BBC">
        <w:rPr>
          <w:rFonts w:ascii="Century Gothic" w:hAnsi="Century Gothic"/>
        </w:rPr>
        <w:t xml:space="preserve"> (…)”</w:t>
      </w:r>
      <w:r w:rsidRPr="002931C0">
        <w:rPr>
          <w:rFonts w:ascii="Century Gothic" w:hAnsi="Century Gothic"/>
        </w:rPr>
        <w:t xml:space="preserve">; </w:t>
      </w:r>
    </w:p>
    <w:p w14:paraId="4D252F12" w14:textId="5C07DE8E" w:rsidR="002931C0" w:rsidRPr="002931C0" w:rsidRDefault="002931C0" w:rsidP="004C6F79">
      <w:pPr>
        <w:ind w:left="708" w:hanging="708"/>
        <w:jc w:val="both"/>
        <w:rPr>
          <w:rFonts w:ascii="Century Gothic" w:hAnsi="Century Gothic"/>
        </w:rPr>
      </w:pPr>
      <w:r w:rsidRPr="00B16BBC">
        <w:rPr>
          <w:rFonts w:ascii="Century Gothic" w:hAnsi="Century Gothic"/>
          <w:b/>
          <w:bCs/>
        </w:rPr>
        <w:t>Que,</w:t>
      </w:r>
      <w:r w:rsidRPr="002931C0">
        <w:rPr>
          <w:rFonts w:ascii="Century Gothic" w:hAnsi="Century Gothic"/>
        </w:rPr>
        <w:tab/>
      </w:r>
      <w:r w:rsidR="00B16BBC">
        <w:rPr>
          <w:rFonts w:ascii="Century Gothic" w:hAnsi="Century Gothic"/>
        </w:rPr>
        <w:t xml:space="preserve">el </w:t>
      </w:r>
      <w:r w:rsidRPr="002931C0">
        <w:rPr>
          <w:rFonts w:ascii="Century Gothic" w:hAnsi="Century Gothic"/>
        </w:rPr>
        <w:t>artículo 8</w:t>
      </w:r>
      <w:r w:rsidR="00B16BBC">
        <w:rPr>
          <w:rFonts w:ascii="Century Gothic" w:hAnsi="Century Gothic"/>
        </w:rPr>
        <w:t>, número 1</w:t>
      </w:r>
      <w:r w:rsidRPr="002931C0">
        <w:rPr>
          <w:rFonts w:ascii="Century Gothic" w:hAnsi="Century Gothic"/>
        </w:rPr>
        <w:t xml:space="preserve"> </w:t>
      </w:r>
      <w:r w:rsidR="00B16BBC">
        <w:rPr>
          <w:rFonts w:ascii="Century Gothic" w:hAnsi="Century Gothic"/>
        </w:rPr>
        <w:t>ibidem</w:t>
      </w:r>
      <w:r w:rsidRPr="002931C0">
        <w:rPr>
          <w:rFonts w:ascii="Century Gothic" w:hAnsi="Century Gothic"/>
        </w:rPr>
        <w:t xml:space="preserve">, establece que le corresponde </w:t>
      </w:r>
      <w:r w:rsidR="00B16BBC">
        <w:rPr>
          <w:rFonts w:ascii="Century Gothic" w:hAnsi="Century Gothic"/>
        </w:rPr>
        <w:t xml:space="preserve">especialmente </w:t>
      </w:r>
      <w:r w:rsidRPr="002931C0">
        <w:rPr>
          <w:rFonts w:ascii="Century Gothic" w:hAnsi="Century Gothic"/>
        </w:rPr>
        <w:t xml:space="preserve">al Concejo Metropolitano </w:t>
      </w:r>
      <w:r w:rsidR="00B16BBC">
        <w:rPr>
          <w:rFonts w:ascii="Century Gothic" w:hAnsi="Century Gothic"/>
        </w:rPr>
        <w:t>el “</w:t>
      </w:r>
      <w:r w:rsidR="00B16BBC" w:rsidRPr="00B16BBC">
        <w:rPr>
          <w:rFonts w:ascii="Century Gothic" w:hAnsi="Century Gothic"/>
        </w:rPr>
        <w:t>Decidir, mediante Ordenanza, sobre los asuntos de interés general, relativos al desarrollo integral y a la ordenación urbanística del Distrito</w:t>
      </w:r>
      <w:r w:rsidR="00B16BBC">
        <w:rPr>
          <w:rFonts w:ascii="Century Gothic" w:hAnsi="Century Gothic"/>
        </w:rPr>
        <w:t xml:space="preserve"> (…)”</w:t>
      </w:r>
      <w:r w:rsidR="00B16BBC" w:rsidRPr="00B16BBC">
        <w:rPr>
          <w:rFonts w:ascii="Century Gothic" w:hAnsi="Century Gothic"/>
        </w:rPr>
        <w:t>;</w:t>
      </w:r>
    </w:p>
    <w:p w14:paraId="5800604B" w14:textId="71769521" w:rsidR="002931C0" w:rsidRPr="002931C0" w:rsidRDefault="002931C0" w:rsidP="004C6F79">
      <w:pPr>
        <w:ind w:left="708" w:hanging="708"/>
        <w:jc w:val="both"/>
        <w:rPr>
          <w:rFonts w:ascii="Century Gothic" w:hAnsi="Century Gothic"/>
        </w:rPr>
      </w:pPr>
      <w:r w:rsidRPr="00EB375A">
        <w:rPr>
          <w:rFonts w:ascii="Century Gothic" w:hAnsi="Century Gothic"/>
          <w:b/>
          <w:bCs/>
        </w:rPr>
        <w:t>Que,</w:t>
      </w:r>
      <w:r w:rsidR="00EB375A">
        <w:rPr>
          <w:rFonts w:ascii="Century Gothic" w:hAnsi="Century Gothic"/>
        </w:rPr>
        <w:t xml:space="preserve"> el artículo IV.7.27 del Código Municipal para el Distrito Metropolitano de Quito establece como objeto del Título II del libro IV: “</w:t>
      </w:r>
      <w:r w:rsidR="00EB375A" w:rsidRPr="00EB375A">
        <w:rPr>
          <w:rFonts w:ascii="Century Gothic" w:hAnsi="Century Gothic"/>
        </w:rPr>
        <w:t>establecer los procesos y procedimientos para</w:t>
      </w:r>
      <w:r w:rsidR="00EB375A">
        <w:rPr>
          <w:rFonts w:ascii="Century Gothic" w:hAnsi="Century Gothic"/>
        </w:rPr>
        <w:t xml:space="preserve"> </w:t>
      </w:r>
      <w:r w:rsidR="00EB375A" w:rsidRPr="00EB375A">
        <w:rPr>
          <w:rFonts w:ascii="Century Gothic" w:hAnsi="Century Gothic"/>
        </w:rPr>
        <w:t>la regularización integral de los asentamientos humanos de hecho y consolidados y precarios, así</w:t>
      </w:r>
      <w:r w:rsidR="00EB375A">
        <w:rPr>
          <w:rFonts w:ascii="Century Gothic" w:hAnsi="Century Gothic"/>
        </w:rPr>
        <w:t xml:space="preserve"> </w:t>
      </w:r>
      <w:r w:rsidR="00EB375A" w:rsidRPr="00EB375A">
        <w:rPr>
          <w:rFonts w:ascii="Century Gothic" w:hAnsi="Century Gothic"/>
        </w:rPr>
        <w:t>como su declaratoria de interés social para aquellos asentamientos que cumplen las condiciones</w:t>
      </w:r>
      <w:r w:rsidR="00EB375A">
        <w:rPr>
          <w:rFonts w:ascii="Century Gothic" w:hAnsi="Century Gothic"/>
        </w:rPr>
        <w:t xml:space="preserve"> </w:t>
      </w:r>
      <w:r w:rsidR="00EB375A" w:rsidRPr="00EB375A">
        <w:rPr>
          <w:rFonts w:ascii="Century Gothic" w:hAnsi="Century Gothic"/>
        </w:rPr>
        <w:t>socioeconómicas, legales y físicas establecidas para este efecto</w:t>
      </w:r>
      <w:r w:rsidR="00EB375A">
        <w:rPr>
          <w:rFonts w:ascii="Century Gothic" w:hAnsi="Century Gothic"/>
        </w:rPr>
        <w:t xml:space="preserve"> (…)”</w:t>
      </w:r>
      <w:r w:rsidRPr="002931C0">
        <w:rPr>
          <w:rFonts w:ascii="Century Gothic" w:hAnsi="Century Gothic"/>
        </w:rPr>
        <w:t>;</w:t>
      </w:r>
    </w:p>
    <w:p w14:paraId="11F030AE" w14:textId="5D5D8BCE" w:rsidR="00581EC0" w:rsidRPr="00581EC0" w:rsidRDefault="002931C0" w:rsidP="004C6F79">
      <w:pPr>
        <w:spacing w:after="0"/>
        <w:ind w:left="708" w:hanging="708"/>
        <w:jc w:val="both"/>
        <w:rPr>
          <w:rFonts w:ascii="Century Gothic" w:hAnsi="Century Gothic"/>
        </w:rPr>
      </w:pPr>
      <w:r w:rsidRPr="00581EC0">
        <w:rPr>
          <w:rFonts w:ascii="Century Gothic" w:hAnsi="Century Gothic"/>
          <w:b/>
          <w:bCs/>
        </w:rPr>
        <w:t>Que,</w:t>
      </w:r>
      <w:r w:rsidRPr="002931C0">
        <w:rPr>
          <w:rFonts w:ascii="Century Gothic" w:hAnsi="Century Gothic"/>
        </w:rPr>
        <w:t xml:space="preserve"> el Art. IV.7.31</w:t>
      </w:r>
      <w:r w:rsidR="00581EC0">
        <w:rPr>
          <w:rFonts w:ascii="Century Gothic" w:hAnsi="Century Gothic"/>
        </w:rPr>
        <w:t xml:space="preserve"> ídem, sobre la declaratoria de interés social de los asentamientos humanos de hecho y consolidados, </w:t>
      </w:r>
      <w:r w:rsidRPr="002931C0">
        <w:rPr>
          <w:rFonts w:ascii="Century Gothic" w:hAnsi="Century Gothic"/>
        </w:rPr>
        <w:t xml:space="preserve">establece que </w:t>
      </w:r>
      <w:r w:rsidR="00581EC0">
        <w:rPr>
          <w:rFonts w:ascii="Century Gothic" w:hAnsi="Century Gothic"/>
        </w:rPr>
        <w:t>“</w:t>
      </w:r>
      <w:r w:rsidR="00581EC0" w:rsidRPr="00581EC0">
        <w:rPr>
          <w:rFonts w:ascii="Century Gothic" w:hAnsi="Century Gothic"/>
        </w:rPr>
        <w:t>Con la finalidad de que la regularización atienda el derecho constitucional al hábitat y</w:t>
      </w:r>
      <w:r w:rsidR="00581EC0">
        <w:rPr>
          <w:rFonts w:ascii="Century Gothic" w:hAnsi="Century Gothic"/>
        </w:rPr>
        <w:t xml:space="preserve"> </w:t>
      </w:r>
      <w:r w:rsidR="00581EC0" w:rsidRPr="00581EC0">
        <w:rPr>
          <w:rFonts w:ascii="Century Gothic" w:hAnsi="Century Gothic"/>
        </w:rPr>
        <w:t>a la vivienda adecuada, en las ordenanzas de regularización de los Asentamientos Humanos de</w:t>
      </w:r>
      <w:r w:rsidR="00581EC0">
        <w:rPr>
          <w:rFonts w:ascii="Century Gothic" w:hAnsi="Century Gothic"/>
        </w:rPr>
        <w:t xml:space="preserve"> </w:t>
      </w:r>
      <w:r w:rsidR="00581EC0" w:rsidRPr="00581EC0">
        <w:rPr>
          <w:rFonts w:ascii="Century Gothic" w:hAnsi="Century Gothic"/>
        </w:rPr>
        <w:t>Hecho y Consolidados se hará la declaratoria de interés social del asentamiento, siempre que se</w:t>
      </w:r>
      <w:r w:rsidR="00581EC0">
        <w:rPr>
          <w:rFonts w:ascii="Century Gothic" w:hAnsi="Century Gothic"/>
        </w:rPr>
        <w:t xml:space="preserve"> </w:t>
      </w:r>
      <w:r w:rsidR="00581EC0" w:rsidRPr="00581EC0">
        <w:rPr>
          <w:rFonts w:ascii="Century Gothic" w:hAnsi="Century Gothic"/>
        </w:rPr>
        <w:t>cumplan con las siguientes condiciones:</w:t>
      </w:r>
    </w:p>
    <w:p w14:paraId="468834BD" w14:textId="77777777" w:rsidR="00581EC0" w:rsidRPr="00581EC0" w:rsidRDefault="00581EC0" w:rsidP="004C6F79">
      <w:pPr>
        <w:spacing w:after="0"/>
        <w:ind w:left="1416" w:hanging="708"/>
        <w:jc w:val="both"/>
        <w:rPr>
          <w:rFonts w:ascii="Century Gothic" w:hAnsi="Century Gothic"/>
        </w:rPr>
      </w:pPr>
      <w:r w:rsidRPr="00581EC0">
        <w:rPr>
          <w:rFonts w:ascii="Century Gothic" w:hAnsi="Century Gothic"/>
        </w:rPr>
        <w:t>1. Falta de planificación urbanística.</w:t>
      </w:r>
    </w:p>
    <w:p w14:paraId="725C12F8" w14:textId="77777777" w:rsidR="00581EC0" w:rsidRPr="00581EC0" w:rsidRDefault="00581EC0" w:rsidP="004C6F79">
      <w:pPr>
        <w:spacing w:after="0"/>
        <w:ind w:firstLine="708"/>
        <w:jc w:val="both"/>
        <w:rPr>
          <w:rFonts w:ascii="Century Gothic" w:hAnsi="Century Gothic"/>
        </w:rPr>
      </w:pPr>
      <w:r w:rsidRPr="00581EC0">
        <w:rPr>
          <w:rFonts w:ascii="Century Gothic" w:hAnsi="Century Gothic"/>
        </w:rPr>
        <w:t>2. Inseguridad jurídica en cuanto a la propiedad individual de la tierra.</w:t>
      </w:r>
    </w:p>
    <w:p w14:paraId="5150ABE7" w14:textId="77777777" w:rsidR="00581EC0" w:rsidRPr="00581EC0" w:rsidRDefault="00581EC0" w:rsidP="004C6F79">
      <w:pPr>
        <w:spacing w:after="0"/>
        <w:ind w:firstLine="708"/>
        <w:jc w:val="both"/>
        <w:rPr>
          <w:rFonts w:ascii="Century Gothic" w:hAnsi="Century Gothic"/>
        </w:rPr>
      </w:pPr>
      <w:r w:rsidRPr="00581EC0">
        <w:rPr>
          <w:rFonts w:ascii="Century Gothic" w:hAnsi="Century Gothic"/>
        </w:rPr>
        <w:t>3. Viviendas con calidad estructural reducida.</w:t>
      </w:r>
    </w:p>
    <w:p w14:paraId="1EDFA7D8" w14:textId="77777777" w:rsidR="00581EC0" w:rsidRPr="00581EC0" w:rsidRDefault="00581EC0" w:rsidP="004C6F79">
      <w:pPr>
        <w:spacing w:after="0"/>
        <w:ind w:firstLine="708"/>
        <w:jc w:val="both"/>
        <w:rPr>
          <w:rFonts w:ascii="Century Gothic" w:hAnsi="Century Gothic"/>
        </w:rPr>
      </w:pPr>
      <w:r w:rsidRPr="00581EC0">
        <w:rPr>
          <w:rFonts w:ascii="Century Gothic" w:hAnsi="Century Gothic"/>
        </w:rPr>
        <w:t>4. Falta parcial o total de servicios básicos.</w:t>
      </w:r>
    </w:p>
    <w:p w14:paraId="0536C4AB" w14:textId="77777777" w:rsidR="00581EC0" w:rsidRPr="00581EC0" w:rsidRDefault="00581EC0" w:rsidP="004C6F79">
      <w:pPr>
        <w:spacing w:after="0"/>
        <w:ind w:firstLine="708"/>
        <w:jc w:val="both"/>
        <w:rPr>
          <w:rFonts w:ascii="Century Gothic" w:hAnsi="Century Gothic"/>
        </w:rPr>
      </w:pPr>
      <w:r w:rsidRPr="00581EC0">
        <w:rPr>
          <w:rFonts w:ascii="Century Gothic" w:hAnsi="Century Gothic"/>
        </w:rPr>
        <w:t>5. Acceso inadecuado al agua potable.</w:t>
      </w:r>
    </w:p>
    <w:p w14:paraId="21237444" w14:textId="77777777" w:rsidR="00581EC0" w:rsidRPr="00581EC0" w:rsidRDefault="00581EC0" w:rsidP="004C6F79">
      <w:pPr>
        <w:spacing w:after="0"/>
        <w:ind w:firstLine="708"/>
        <w:jc w:val="both"/>
        <w:rPr>
          <w:rFonts w:ascii="Century Gothic" w:hAnsi="Century Gothic"/>
        </w:rPr>
      </w:pPr>
      <w:r w:rsidRPr="00581EC0">
        <w:rPr>
          <w:rFonts w:ascii="Century Gothic" w:hAnsi="Century Gothic"/>
        </w:rPr>
        <w:t>6. Superpoblación y/o hacinamiento poblacional.</w:t>
      </w:r>
    </w:p>
    <w:p w14:paraId="07A1DEEF" w14:textId="46262AFF" w:rsidR="002931C0" w:rsidRPr="002931C0" w:rsidRDefault="00581EC0" w:rsidP="004C6F79">
      <w:pPr>
        <w:ind w:left="708"/>
        <w:jc w:val="both"/>
        <w:rPr>
          <w:rFonts w:ascii="Century Gothic" w:hAnsi="Century Gothic"/>
        </w:rPr>
      </w:pPr>
      <w:r w:rsidRPr="00581EC0">
        <w:rPr>
          <w:rFonts w:ascii="Century Gothic" w:hAnsi="Century Gothic"/>
        </w:rPr>
        <w:lastRenderedPageBreak/>
        <w:t>Los asentamientos que cumplan las condiciones socioeconómicas, legales y físicas, serán</w:t>
      </w:r>
      <w:r>
        <w:rPr>
          <w:rFonts w:ascii="Century Gothic" w:hAnsi="Century Gothic"/>
        </w:rPr>
        <w:t xml:space="preserve"> </w:t>
      </w:r>
      <w:r w:rsidRPr="00581EC0">
        <w:rPr>
          <w:rFonts w:ascii="Century Gothic" w:hAnsi="Century Gothic"/>
        </w:rPr>
        <w:t>declarados de interés social dentro del mismo proceso de regularización.</w:t>
      </w:r>
      <w:r>
        <w:rPr>
          <w:rFonts w:ascii="Century Gothic" w:hAnsi="Century Gothic"/>
        </w:rPr>
        <w:t xml:space="preserve"> (…)”</w:t>
      </w:r>
      <w:r w:rsidR="002931C0" w:rsidRPr="002931C0">
        <w:rPr>
          <w:rFonts w:ascii="Century Gothic" w:hAnsi="Century Gothic"/>
        </w:rPr>
        <w:t>;</w:t>
      </w:r>
    </w:p>
    <w:p w14:paraId="3E2EDCF9" w14:textId="26B526C1" w:rsidR="002931C0" w:rsidRDefault="002931C0" w:rsidP="004C6F79">
      <w:pPr>
        <w:ind w:left="708" w:hanging="708"/>
        <w:jc w:val="both"/>
        <w:rPr>
          <w:rFonts w:ascii="Century Gothic" w:hAnsi="Century Gothic"/>
        </w:rPr>
      </w:pPr>
      <w:r w:rsidRPr="00581EC0">
        <w:rPr>
          <w:rFonts w:ascii="Century Gothic" w:hAnsi="Century Gothic"/>
          <w:b/>
          <w:bCs/>
        </w:rPr>
        <w:t>Que,</w:t>
      </w:r>
      <w:r w:rsidR="00581EC0">
        <w:rPr>
          <w:rFonts w:ascii="Century Gothic" w:hAnsi="Century Gothic"/>
          <w:b/>
          <w:bCs/>
        </w:rPr>
        <w:t xml:space="preserve"> </w:t>
      </w:r>
      <w:r w:rsidRPr="002931C0">
        <w:rPr>
          <w:rFonts w:ascii="Century Gothic" w:hAnsi="Century Gothic"/>
        </w:rPr>
        <w:t xml:space="preserve">el artículo IV.7.43 </w:t>
      </w:r>
      <w:r w:rsidR="00581EC0">
        <w:rPr>
          <w:rFonts w:ascii="Century Gothic" w:hAnsi="Century Gothic"/>
        </w:rPr>
        <w:t>ibidem, sobre el ordenamiento territorial establece que “</w:t>
      </w:r>
      <w:r w:rsidRPr="002931C0">
        <w:rPr>
          <w:rFonts w:ascii="Century Gothic" w:hAnsi="Century Gothic"/>
        </w:rPr>
        <w:t>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0E9C8F4F" w14:textId="15EEEDA6" w:rsidR="002810AC" w:rsidRDefault="002810AC" w:rsidP="004C6F79">
      <w:pPr>
        <w:ind w:left="708" w:hanging="708"/>
        <w:jc w:val="both"/>
        <w:rPr>
          <w:rFonts w:ascii="Century Gothic" w:hAnsi="Century Gothic"/>
        </w:rPr>
      </w:pPr>
      <w:r>
        <w:rPr>
          <w:rFonts w:ascii="Century Gothic" w:hAnsi="Century Gothic"/>
          <w:b/>
          <w:bCs/>
        </w:rPr>
        <w:t xml:space="preserve">Que, </w:t>
      </w:r>
      <w:r w:rsidRPr="002810AC">
        <w:rPr>
          <w:rFonts w:ascii="Century Gothic" w:hAnsi="Century Gothic"/>
        </w:rPr>
        <w:t xml:space="preserve">el artículo IV.7.45 </w:t>
      </w:r>
      <w:r>
        <w:rPr>
          <w:rFonts w:ascii="Century Gothic" w:hAnsi="Century Gothic"/>
        </w:rPr>
        <w:t>ídem,</w:t>
      </w:r>
      <w:r w:rsidRPr="002810AC">
        <w:rPr>
          <w:rFonts w:ascii="Century Gothic" w:hAnsi="Century Gothic"/>
        </w:rPr>
        <w:t xml:space="preserve"> en su parte pertinente de la excepción de las áreas verdes dispone</w:t>
      </w:r>
      <w:r>
        <w:rPr>
          <w:rFonts w:ascii="Century Gothic" w:hAnsi="Century Gothic"/>
        </w:rPr>
        <w:t xml:space="preserve"> que </w:t>
      </w:r>
      <w:r w:rsidRPr="002810AC">
        <w:rPr>
          <w:rFonts w:ascii="Century Gothic" w:hAnsi="Century Gothic"/>
        </w:rPr>
        <w:t>“(…) El faltante de áreas verdes será compensado pecuniariamente con excepción de los asentamientos declarados de interés social</w:t>
      </w:r>
      <w:r>
        <w:rPr>
          <w:rFonts w:ascii="Century Gothic" w:hAnsi="Century Gothic"/>
        </w:rPr>
        <w:t xml:space="preserve"> </w:t>
      </w:r>
      <w:r w:rsidRPr="002810AC">
        <w:rPr>
          <w:rFonts w:ascii="Century Gothic" w:hAnsi="Century Gothic"/>
        </w:rPr>
        <w:t>(...)”</w:t>
      </w:r>
      <w:r>
        <w:rPr>
          <w:rFonts w:ascii="Century Gothic" w:hAnsi="Century Gothic"/>
        </w:rPr>
        <w:t>;</w:t>
      </w:r>
    </w:p>
    <w:p w14:paraId="0A1FA5BE" w14:textId="32C2A837" w:rsidR="002810AC" w:rsidRDefault="002810AC" w:rsidP="004C6F79">
      <w:pPr>
        <w:ind w:left="708" w:hanging="708"/>
        <w:jc w:val="both"/>
        <w:rPr>
          <w:rFonts w:ascii="Century Gothic" w:hAnsi="Century Gothic"/>
        </w:rPr>
      </w:pPr>
      <w:r w:rsidRPr="002810AC">
        <w:rPr>
          <w:rFonts w:ascii="Century Gothic" w:hAnsi="Century Gothic"/>
          <w:b/>
          <w:bCs/>
        </w:rPr>
        <w:t>Que,</w:t>
      </w:r>
      <w:r>
        <w:rPr>
          <w:rFonts w:ascii="Century Gothic" w:hAnsi="Century Gothic"/>
        </w:rPr>
        <w:t xml:space="preserve"> </w:t>
      </w:r>
      <w:r w:rsidRPr="002810AC">
        <w:rPr>
          <w:rFonts w:ascii="Century Gothic" w:hAnsi="Century Gothic"/>
        </w:rPr>
        <w:t xml:space="preserve">el artículo IV.7.65 </w:t>
      </w:r>
      <w:r>
        <w:rPr>
          <w:rFonts w:ascii="Century Gothic" w:hAnsi="Century Gothic"/>
        </w:rPr>
        <w:t>ídem,</w:t>
      </w:r>
      <w:r w:rsidRPr="002810AC">
        <w:rPr>
          <w:rFonts w:ascii="Century Gothic" w:hAnsi="Century Gothic"/>
        </w:rPr>
        <w:t xml:space="preserve"> en su parte pertinente </w:t>
      </w:r>
      <w:r>
        <w:rPr>
          <w:rFonts w:ascii="Century Gothic" w:hAnsi="Century Gothic"/>
        </w:rPr>
        <w:t>sobre</w:t>
      </w:r>
      <w:r w:rsidRPr="002810AC">
        <w:rPr>
          <w:rFonts w:ascii="Century Gothic" w:hAnsi="Century Gothic"/>
        </w:rPr>
        <w:t xml:space="preserve"> la regularización de barrios ubicados en parroquias rurales dispone: “(…)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Pr>
          <w:rFonts w:ascii="Century Gothic" w:hAnsi="Century Gothic"/>
        </w:rPr>
        <w:t>;</w:t>
      </w:r>
    </w:p>
    <w:p w14:paraId="70BC2669" w14:textId="1E7A08B6" w:rsidR="004C6F79" w:rsidRDefault="004C6F79" w:rsidP="004C6F79">
      <w:pPr>
        <w:ind w:left="708" w:hanging="708"/>
        <w:jc w:val="both"/>
        <w:rPr>
          <w:rFonts w:ascii="Century Gothic" w:hAnsi="Century Gothic"/>
        </w:rPr>
      </w:pPr>
      <w:r w:rsidRPr="004C6F79">
        <w:rPr>
          <w:rFonts w:ascii="Century Gothic" w:hAnsi="Century Gothic"/>
          <w:b/>
          <w:bCs/>
        </w:rPr>
        <w:t>Que,</w:t>
      </w:r>
      <w:r>
        <w:rPr>
          <w:rFonts w:ascii="Century Gothic" w:hAnsi="Century Gothic"/>
        </w:rPr>
        <w:t xml:space="preserve"> </w:t>
      </w:r>
      <w:r w:rsidRPr="004C6F79">
        <w:rPr>
          <w:rFonts w:ascii="Century Gothic" w:hAnsi="Century Gothic"/>
        </w:rPr>
        <w:t>la Ordenanza No. 001 de 29 de marzo de 2019, determina en su disposición derogatoria lo siguiente: “(…) Deróguense todas las Ordenanzas que se detallan en el cuadro adjunto (Anexo Derogatorias), con excepción de sus disposiciones de carácter transitorio hasta la verificación del efectivo cumplimiento de las mismas;(…)”</w:t>
      </w:r>
      <w:r>
        <w:rPr>
          <w:rFonts w:ascii="Century Gothic" w:hAnsi="Century Gothic"/>
        </w:rPr>
        <w:t>;</w:t>
      </w:r>
    </w:p>
    <w:p w14:paraId="546286A7" w14:textId="75C84132" w:rsidR="004C6F79" w:rsidRPr="002810AC" w:rsidRDefault="004C6F79" w:rsidP="004C6F79">
      <w:pPr>
        <w:ind w:left="708" w:hanging="708"/>
        <w:jc w:val="both"/>
        <w:rPr>
          <w:rFonts w:ascii="Century Gothic" w:hAnsi="Century Gothic"/>
        </w:rPr>
      </w:pPr>
      <w:r w:rsidRPr="004C6F79">
        <w:rPr>
          <w:rFonts w:ascii="Century Gothic" w:hAnsi="Century Gothic"/>
          <w:b/>
          <w:bCs/>
        </w:rPr>
        <w:t>Que,</w:t>
      </w:r>
      <w:r>
        <w:rPr>
          <w:rFonts w:ascii="Century Gothic" w:hAnsi="Century Gothic"/>
        </w:rPr>
        <w:t xml:space="preserve"> </w:t>
      </w:r>
      <w:r w:rsidRPr="004C6F79">
        <w:rPr>
          <w:rFonts w:ascii="Century Gothic" w:hAnsi="Century Gothic"/>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p>
    <w:p w14:paraId="7A407BC2" w14:textId="2D6AD316" w:rsidR="002931C0" w:rsidRDefault="002931C0" w:rsidP="004C6F79">
      <w:pPr>
        <w:ind w:left="708" w:hanging="708"/>
        <w:jc w:val="both"/>
        <w:rPr>
          <w:rFonts w:ascii="Century Gothic" w:hAnsi="Century Gothic"/>
        </w:rPr>
      </w:pPr>
      <w:r w:rsidRPr="00ED13B7">
        <w:rPr>
          <w:rFonts w:ascii="Century Gothic" w:hAnsi="Century Gothic"/>
          <w:b/>
          <w:bCs/>
        </w:rPr>
        <w:t>Que,</w:t>
      </w:r>
      <w:r w:rsidRPr="00ED13B7">
        <w:rPr>
          <w:rFonts w:ascii="Century Gothic" w:hAnsi="Century Gothic"/>
        </w:rPr>
        <w:t xml:space="preserve"> mediante Resolución N</w:t>
      </w:r>
      <w:r w:rsidR="00ED13B7">
        <w:rPr>
          <w:rFonts w:ascii="Century Gothic" w:hAnsi="Century Gothic"/>
        </w:rPr>
        <w:t>r</w:t>
      </w:r>
      <w:r w:rsidRPr="00ED13B7">
        <w:rPr>
          <w:rFonts w:ascii="Century Gothic" w:hAnsi="Century Gothic"/>
        </w:rPr>
        <w:t xml:space="preserve">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7630BE38" w14:textId="66EF9C83" w:rsidR="004359F1" w:rsidRDefault="004359F1" w:rsidP="004C6F79">
      <w:pPr>
        <w:ind w:left="708" w:hanging="708"/>
        <w:jc w:val="both"/>
        <w:rPr>
          <w:rFonts w:ascii="Century Gothic" w:hAnsi="Century Gothic"/>
        </w:rPr>
      </w:pPr>
      <w:r>
        <w:rPr>
          <w:rFonts w:ascii="Century Gothic" w:hAnsi="Century Gothic"/>
          <w:b/>
          <w:bCs/>
        </w:rPr>
        <w:t xml:space="preserve">Que, </w:t>
      </w:r>
      <w:r w:rsidRPr="004359F1">
        <w:rPr>
          <w:rFonts w:ascii="Century Gothic" w:hAnsi="Century Gothic"/>
        </w:rPr>
        <w:t>mediante Resolución No. 011-COT-2020, la Comisión de Ordenamiento Territorial, en la continuación de la sesión No. 018 - extraordinaria</w:t>
      </w:r>
      <w:r w:rsidRPr="004359F1">
        <w:rPr>
          <w:rFonts w:ascii="Century Gothic" w:hAnsi="Century Gothic"/>
          <w:b/>
          <w:bCs/>
        </w:rPr>
        <w:t xml:space="preserve"> </w:t>
      </w:r>
      <w:r w:rsidRPr="004359F1">
        <w:rPr>
          <w:rFonts w:ascii="Century Gothic" w:hAnsi="Century Gothic"/>
        </w:rPr>
        <w:lastRenderedPageBreak/>
        <w:t>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 Resolvió: 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p>
    <w:p w14:paraId="11542F73" w14:textId="2B10F6FB" w:rsidR="004359F1" w:rsidRDefault="004359F1" w:rsidP="004C6F79">
      <w:pPr>
        <w:ind w:left="708" w:hanging="708"/>
        <w:jc w:val="both"/>
        <w:rPr>
          <w:rFonts w:ascii="Century Gothic" w:hAnsi="Century Gothic"/>
        </w:rPr>
      </w:pPr>
      <w:r>
        <w:rPr>
          <w:rFonts w:ascii="Century Gothic" w:hAnsi="Century Gothic"/>
          <w:b/>
          <w:bCs/>
        </w:rPr>
        <w:t xml:space="preserve">Que, </w:t>
      </w:r>
      <w:r w:rsidR="005D70A2" w:rsidRPr="005D70A2">
        <w:rPr>
          <w:rFonts w:ascii="Century Gothic" w:hAnsi="Century Gothic"/>
        </w:rPr>
        <w:t>la Mesa Institucional, reunida el 16 de diciembre del 2015 en la Administración Municipal Zonal Manuela Sáenz, integrada por:  Ing. Jhofre Echeverria, Administrador Zonal Manuela Saénz; Abg. Estefanía Proaño, Directora Asesoría Jurídica Zona Manuela Sáenz; Dra. Yliana Wery, Directora de Gestión de Territorio Zona Manuela Sáenz; Sr. Miguel Bosquez, Delegado de la Dirección Metropolitana de Catastro; Arq. Edgar Flores, Delegado de la Secretaría de Territorio, Habitat y Vivienda; Ing. Victoria Prijodko, Delegado de la Dirección Metropolitana de Gestión de Riesgo; Lcda. María José Cruz, Delegada de la Dirección de la Unidad Especial Regula Tu Barrio, y Socio-Organizativa; Abg. Luis Armas, Responsable Legal; y, Arq. Edwin Semblantes, Responsable Técnico, de la Unidad Especial “Regula Tu Barrio Oficina Central”;  aprobaron  el Informe Socio Organizativo Legal y Técnico Nº 009-UERB-OC-SOLT-2015, habilitante de la Ordenanza de Reconocimiento del Asentamiento Humano de Hecho y Consolidado de Interés Social, denominado “San Miguel de Collacoto” III Etapa, a favor de sus copropietarios.</w:t>
      </w:r>
    </w:p>
    <w:p w14:paraId="44DFBA59" w14:textId="71E9E62B" w:rsidR="005D70A2" w:rsidRDefault="005D70A2" w:rsidP="004C6F79">
      <w:pPr>
        <w:ind w:left="708" w:hanging="708"/>
        <w:jc w:val="both"/>
        <w:rPr>
          <w:rFonts w:ascii="Century Gothic" w:hAnsi="Century Gothic"/>
        </w:rPr>
      </w:pPr>
      <w:r>
        <w:rPr>
          <w:rFonts w:ascii="Century Gothic" w:hAnsi="Century Gothic"/>
          <w:b/>
          <w:bCs/>
        </w:rPr>
        <w:t xml:space="preserve">Que, </w:t>
      </w:r>
      <w:r w:rsidRPr="005D70A2">
        <w:rPr>
          <w:rFonts w:ascii="Century Gothic" w:hAnsi="Century Gothic"/>
        </w:rPr>
        <w:t>por cuanto en el proceso de regularización del año 2015, no se aplicaba la Ordenanza Nro.126, se realizó en la Dirección Metropolitana de Catastro el trámite administrativo relacionado al excedente o diferencia de áreas, conforme a la normativa vigente; además de existir un problema legal, que no se pudo justificar la propiedad global del predio Nro.  219694, se procedió con la restructuración del proyecto de integral de regularización con los cuatro macro lotes restantes, por estas circunstancias este asentamiento regresa nuevamente a Mesa Institucional.</w:t>
      </w:r>
    </w:p>
    <w:p w14:paraId="352FF6AF" w14:textId="030E6FB5" w:rsidR="005D70A2" w:rsidRDefault="005D70A2" w:rsidP="004C6F79">
      <w:pPr>
        <w:ind w:left="708" w:hanging="708"/>
        <w:jc w:val="both"/>
        <w:rPr>
          <w:rFonts w:ascii="Century Gothic" w:hAnsi="Century Gothic"/>
        </w:rPr>
      </w:pPr>
      <w:r>
        <w:rPr>
          <w:rFonts w:ascii="Century Gothic" w:hAnsi="Century Gothic"/>
          <w:b/>
          <w:bCs/>
        </w:rPr>
        <w:t xml:space="preserve">Que, </w:t>
      </w:r>
      <w:r w:rsidRPr="005D70A2">
        <w:rPr>
          <w:rFonts w:ascii="Century Gothic" w:hAnsi="Century Gothic"/>
        </w:rPr>
        <w:t xml:space="preserve">la Mesa Institucional, reunida el 29 de diciembre del 2020, mediante Zoom, integrada por: los señores: Dr. Xavier Bermeo, Delegado y Director Jurídico de la Administradora Zonal Manuela Sáenz; Arq. Mario Saenz, Apoyo de la Administradora Zonal Manuela Sáenz; Ing. Juan Carlos Arboleda, Delegado de la Dirección Metropolitana de Catastro; Ing. Luis Albán, </w:t>
      </w:r>
      <w:r w:rsidRPr="005D70A2">
        <w:rPr>
          <w:rFonts w:ascii="Century Gothic" w:hAnsi="Century Gothic"/>
        </w:rPr>
        <w:lastRenderedPageBreak/>
        <w:t>Delegado de la Dirección Metropolitana de Gestión de Riesgos; Arq. Germán Rosero, Delegado de la Secretaría de Territorio, Hábitat y Vivienda; Arq. Jenny Cepeda, Apoyo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aprobaron el Informe Alcance No. A-004-UERB-OC-2020 al Informe SOLT No. 009-UERB-OC-SOLT-2015, de 16 de diciembre de 2015, habilitantes de la Ordenanza de Reconocimiento del Asentamiento Humano de Hecho y Consolidado de Interés Social, denominado: “San Miguel de Collacoto III Etapa”, a favor de sus copropietarios</w:t>
      </w:r>
    </w:p>
    <w:p w14:paraId="5BE01B5D" w14:textId="59768E37" w:rsidR="005D70A2" w:rsidRPr="005D70A2" w:rsidRDefault="005D70A2" w:rsidP="004C6F79">
      <w:pPr>
        <w:ind w:left="708" w:hanging="708"/>
        <w:jc w:val="both"/>
        <w:rPr>
          <w:rFonts w:ascii="Century Gothic" w:hAnsi="Century Gothic"/>
        </w:rPr>
      </w:pPr>
      <w:r>
        <w:rPr>
          <w:rFonts w:ascii="Century Gothic" w:hAnsi="Century Gothic"/>
          <w:b/>
          <w:bCs/>
        </w:rPr>
        <w:t xml:space="preserve">Que, </w:t>
      </w:r>
      <w:r w:rsidRPr="005D70A2">
        <w:rPr>
          <w:rFonts w:ascii="Century Gothic" w:hAnsi="Century Gothic"/>
        </w:rPr>
        <w:t>mediante Oficio Nro.GADDMQ-SGSG-2020-2452-OF, con fecha 01 de Diciembre de 2020, emitido por el Director Metropolitano de Gestión de Riesgos, de la Secretaría General de Seguridad y Gobernabilidad, remite el Informe Técnico IT-ECR-185-AT-DMGR-2020, de 12 de diciembre de 2020, en el que  manifiesta que: para el proceso de regularización de tierras se considera el nivel de riesgos frente a movimientos en masa, ya que representa el fenómeno más importante para la posible pérdida del terreno, en tal virtud se considera que: Movimientos en masa: el AHHYC “San Miguel de Collacoto III Etapa” presenta frente a deslizamientos un Riesgo Bajo Mitigable para los lotes 2, 3, 4, 5, 6, 7, 8, 9, 10, 11, 12, 13, 14, 15, 16, 17, 18 y un Riesgo Alto Mitigable para el lote 1.</w:t>
      </w:r>
    </w:p>
    <w:p w14:paraId="5F29FC2D" w14:textId="78F8E73E" w:rsidR="002931C0" w:rsidRPr="002931C0" w:rsidRDefault="002931C0" w:rsidP="002931C0">
      <w:pPr>
        <w:jc w:val="both"/>
        <w:rPr>
          <w:rFonts w:ascii="Century Gothic" w:hAnsi="Century Gothic"/>
        </w:rPr>
      </w:pPr>
      <w:r w:rsidRPr="00ED13B7">
        <w:rPr>
          <w:rFonts w:ascii="Century Gothic" w:hAnsi="Century Gothic"/>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5CAAB58" w14:textId="021EF711" w:rsidR="002931C0" w:rsidRPr="00ED13B7" w:rsidRDefault="002931C0" w:rsidP="00ED13B7">
      <w:pPr>
        <w:jc w:val="center"/>
        <w:rPr>
          <w:rFonts w:ascii="Century Gothic" w:hAnsi="Century Gothic"/>
          <w:b/>
          <w:bCs/>
        </w:rPr>
      </w:pPr>
      <w:r w:rsidRPr="00581EC0">
        <w:rPr>
          <w:rFonts w:ascii="Century Gothic" w:hAnsi="Century Gothic"/>
          <w:b/>
          <w:bCs/>
        </w:rPr>
        <w:t>EXPIDE LA SIGUIENTE:</w:t>
      </w:r>
    </w:p>
    <w:p w14:paraId="1DCFF2FE" w14:textId="47B350FF" w:rsidR="002931C0" w:rsidRDefault="00581EC0" w:rsidP="004359F1">
      <w:pPr>
        <w:pStyle w:val="Encabezado"/>
        <w:jc w:val="center"/>
        <w:rPr>
          <w:rFonts w:ascii="Century Gothic" w:hAnsi="Century Gothic"/>
          <w:b/>
          <w:bCs/>
        </w:rPr>
      </w:pPr>
      <w:r w:rsidRPr="00581EC0">
        <w:rPr>
          <w:rFonts w:ascii="Century Gothic" w:hAnsi="Century Gothic"/>
          <w:b/>
          <w:bCs/>
        </w:rPr>
        <w:t>ORDENANZA QUE APRUEBA EL PROCESO INTEGRAL DE REGULARIZACIÓN DEL ASENTAMIENTO HUMANO DE HECHO Y CONSOLIDADO</w:t>
      </w:r>
      <w:r>
        <w:rPr>
          <w:rFonts w:ascii="Century Gothic" w:hAnsi="Century Gothic"/>
          <w:b/>
          <w:bCs/>
        </w:rPr>
        <w:t xml:space="preserve"> DE INTERÉS SOCIAL</w:t>
      </w:r>
      <w:r w:rsidRPr="00581EC0">
        <w:rPr>
          <w:rFonts w:ascii="Century Gothic" w:hAnsi="Century Gothic"/>
          <w:b/>
          <w:bCs/>
        </w:rPr>
        <w:t xml:space="preserve"> DENOMINADO </w:t>
      </w:r>
      <w:r>
        <w:rPr>
          <w:rFonts w:ascii="Century Gothic" w:hAnsi="Century Gothic"/>
          <w:b/>
          <w:bCs/>
        </w:rPr>
        <w:t>“</w:t>
      </w:r>
      <w:r w:rsidR="005D70A2">
        <w:rPr>
          <w:rFonts w:ascii="Century Gothic" w:hAnsi="Century Gothic"/>
          <w:b/>
          <w:bCs/>
        </w:rPr>
        <w:t>SAN MIGUEL DE COLLACOTO” III ETAPA.</w:t>
      </w:r>
    </w:p>
    <w:p w14:paraId="4FBEECB7" w14:textId="77777777" w:rsidR="00ED13B7" w:rsidRPr="00ED13B7" w:rsidRDefault="00ED13B7" w:rsidP="00ED13B7">
      <w:pPr>
        <w:pStyle w:val="Encabezado"/>
        <w:jc w:val="both"/>
        <w:rPr>
          <w:rFonts w:ascii="Century Gothic" w:hAnsi="Century Gothic"/>
          <w:b/>
          <w:bCs/>
        </w:rPr>
      </w:pPr>
    </w:p>
    <w:p w14:paraId="03167DEF" w14:textId="45F4DD0F" w:rsidR="002931C0" w:rsidRPr="002931C0" w:rsidRDefault="00933E9A" w:rsidP="002931C0">
      <w:pPr>
        <w:jc w:val="both"/>
        <w:rPr>
          <w:rFonts w:ascii="Century Gothic" w:hAnsi="Century Gothic"/>
        </w:rPr>
      </w:pPr>
      <w:r w:rsidRPr="00933E9A">
        <w:rPr>
          <w:rFonts w:ascii="Century Gothic" w:hAnsi="Century Gothic"/>
          <w:b/>
          <w:bCs/>
        </w:rPr>
        <w:t>Artículo</w:t>
      </w:r>
      <w:r w:rsidR="002931C0" w:rsidRPr="00933E9A">
        <w:rPr>
          <w:rFonts w:ascii="Century Gothic" w:hAnsi="Century Gothic"/>
          <w:b/>
          <w:bCs/>
        </w:rPr>
        <w:t xml:space="preserve"> 1. Objeto.</w:t>
      </w:r>
      <w:r>
        <w:rPr>
          <w:rFonts w:ascii="Century Gothic" w:hAnsi="Century Gothic"/>
          <w:b/>
          <w:bCs/>
        </w:rPr>
        <w:t xml:space="preserve"> </w:t>
      </w:r>
      <w:r w:rsidR="002931C0" w:rsidRPr="00933E9A">
        <w:rPr>
          <w:rFonts w:ascii="Century Gothic" w:hAnsi="Century Gothic"/>
          <w:b/>
          <w:bCs/>
        </w:rPr>
        <w:t>-</w:t>
      </w:r>
      <w:r w:rsidR="002931C0" w:rsidRPr="002931C0">
        <w:rPr>
          <w:rFonts w:ascii="Century Gothic" w:hAnsi="Century Gothic"/>
        </w:rPr>
        <w:t xml:space="preserve"> </w:t>
      </w:r>
      <w:r w:rsidR="005D70A2" w:rsidRPr="005D70A2">
        <w:rPr>
          <w:rFonts w:ascii="Century Gothic" w:hAnsi="Century Gothic"/>
        </w:rPr>
        <w:t>La presente ordenanza tiene por objeto reconocer y aprobar el fraccionamiento de los predios 219689, 607556, 607558, 3539761, sus escalinatas, modificando la zonificación actual, sobre la que se encuentra el asentamiento humano de hecho y consolidado de interés social denominado “San Miguel de Collacoto” III Etapa, a favor de sus copropietarios.</w:t>
      </w:r>
    </w:p>
    <w:p w14:paraId="6A42F029" w14:textId="161F2576" w:rsidR="005D70A2" w:rsidRPr="005D70A2" w:rsidRDefault="002931C0" w:rsidP="005D70A2">
      <w:pPr>
        <w:jc w:val="both"/>
        <w:rPr>
          <w:rFonts w:ascii="Century Gothic" w:hAnsi="Century Gothic"/>
        </w:rPr>
      </w:pPr>
      <w:r w:rsidRPr="00933E9A">
        <w:rPr>
          <w:rFonts w:ascii="Century Gothic" w:hAnsi="Century Gothic"/>
          <w:b/>
          <w:bCs/>
        </w:rPr>
        <w:t>Artículo 2.</w:t>
      </w:r>
      <w:r w:rsidR="00933E9A">
        <w:rPr>
          <w:rFonts w:ascii="Century Gothic" w:hAnsi="Century Gothic"/>
          <w:b/>
          <w:bCs/>
        </w:rPr>
        <w:t xml:space="preserve"> </w:t>
      </w:r>
      <w:r w:rsidRPr="00933E9A">
        <w:rPr>
          <w:rFonts w:ascii="Century Gothic" w:hAnsi="Century Gothic"/>
          <w:b/>
          <w:bCs/>
        </w:rPr>
        <w:t>-</w:t>
      </w:r>
      <w:r w:rsidRPr="00933E9A">
        <w:rPr>
          <w:rFonts w:ascii="Century Gothic" w:hAnsi="Century Gothic"/>
        </w:rPr>
        <w:t xml:space="preserve"> </w:t>
      </w:r>
      <w:r w:rsidRPr="005D70A2">
        <w:rPr>
          <w:rFonts w:ascii="Century Gothic" w:hAnsi="Century Gothic"/>
          <w:b/>
          <w:bCs/>
        </w:rPr>
        <w:t>De los planos y documentos presentados.</w:t>
      </w:r>
      <w:r w:rsidR="005D70A2">
        <w:rPr>
          <w:rFonts w:ascii="Century Gothic" w:hAnsi="Century Gothic"/>
          <w:b/>
          <w:bCs/>
        </w:rPr>
        <w:t xml:space="preserve"> </w:t>
      </w:r>
      <w:r w:rsidRPr="005D70A2">
        <w:rPr>
          <w:rFonts w:ascii="Century Gothic" w:hAnsi="Century Gothic"/>
          <w:b/>
          <w:bCs/>
        </w:rPr>
        <w:t>-</w:t>
      </w:r>
      <w:r w:rsidRPr="002931C0">
        <w:rPr>
          <w:rFonts w:ascii="Century Gothic" w:hAnsi="Century Gothic"/>
        </w:rPr>
        <w:t xml:space="preserve"> </w:t>
      </w:r>
      <w:r w:rsidR="005D70A2" w:rsidRPr="005D70A2">
        <w:rPr>
          <w:rFonts w:ascii="Century Gothic" w:hAnsi="Century Gothic"/>
        </w:rPr>
        <w:t xml:space="preserve">Los planos y documentos presentados para la aprobación del presente acto normativo son de exclusiva responsabilidad del proyectista y de los copropietarios del asentamiento humano de hecho y consolidado de interés social denominado “San Miguel de Collacoto” III Etapa,  ubicado en la parroquia  Puengasí, y de los funcionarios municipales que revisaron los planos y los documentos legales y/o emitieron los </w:t>
      </w:r>
      <w:r w:rsidR="005D70A2" w:rsidRPr="005D70A2">
        <w:rPr>
          <w:rFonts w:ascii="Century Gothic" w:hAnsi="Century Gothic"/>
        </w:rPr>
        <w:lastRenderedPageBreak/>
        <w:t>informes técnicos habilitantes de este procedimiento de regularización, salvo que estos hayan sido inducidos a engaño o al error</w:t>
      </w:r>
    </w:p>
    <w:p w14:paraId="3072A694" w14:textId="43ECDB6F" w:rsidR="005D70A2" w:rsidRPr="005D70A2" w:rsidRDefault="005D70A2" w:rsidP="005D70A2">
      <w:pPr>
        <w:jc w:val="both"/>
        <w:rPr>
          <w:rFonts w:ascii="Century Gothic" w:hAnsi="Century Gothic"/>
        </w:rPr>
      </w:pPr>
      <w:r w:rsidRPr="005D70A2">
        <w:rPr>
          <w:rFonts w:ascii="Century Gothic" w:hAnsi="Century Gothic"/>
        </w:rPr>
        <w:t>En caso de comprobarse ocultación o falsedad en planos, datos, documentos, o de existir reclamos de terceros afectados, será de exclusiva responsabilidad del técnico y de los copropietarios del predio.</w:t>
      </w:r>
    </w:p>
    <w:p w14:paraId="2E5AFC72" w14:textId="70AB1AAC" w:rsidR="005D70A2" w:rsidRPr="005D70A2" w:rsidRDefault="005D70A2" w:rsidP="005D70A2">
      <w:pPr>
        <w:jc w:val="both"/>
        <w:rPr>
          <w:rFonts w:ascii="Century Gothic" w:hAnsi="Century Gothic"/>
        </w:rPr>
      </w:pPr>
      <w:r w:rsidRPr="005D70A2">
        <w:rPr>
          <w:rFonts w:ascii="Century Gothic" w:hAnsi="Century Gothic"/>
        </w:rPr>
        <w:t>Las dimensiones y superficies de los lotes son las determinadas en el plano aprobatorio que forma parte integrante de esta Ordenanza.</w:t>
      </w:r>
    </w:p>
    <w:p w14:paraId="788B0536" w14:textId="6F2B2128" w:rsidR="005D70A2" w:rsidRPr="005D70A2" w:rsidRDefault="005D70A2" w:rsidP="005D70A2">
      <w:pPr>
        <w:jc w:val="both"/>
        <w:rPr>
          <w:rFonts w:ascii="Century Gothic" w:hAnsi="Century Gothic"/>
        </w:rPr>
      </w:pPr>
      <w:r w:rsidRPr="005D70A2">
        <w:rPr>
          <w:rFonts w:ascii="Century Gothic" w:hAnsi="Century Gothic"/>
        </w:rPr>
        <w:t>Los copropietarios del asentamiento humano de hecho y consolidado de interés social denominado “San Miguel de Collacoto” III Etapa, ubicado en la parroquia Puengasí, se comprometen a respetar las características de los lotes establecidas en el Plano y en este instrumento; por tanto, no podrán fraccionarlos o dividirlos.</w:t>
      </w:r>
    </w:p>
    <w:p w14:paraId="220DC122" w14:textId="77777777" w:rsidR="005D70A2" w:rsidRDefault="005D70A2" w:rsidP="005D70A2">
      <w:pPr>
        <w:jc w:val="both"/>
        <w:rPr>
          <w:rFonts w:ascii="Century Gothic" w:hAnsi="Century Gothic"/>
        </w:rPr>
      </w:pPr>
      <w:r w:rsidRPr="005D70A2">
        <w:rPr>
          <w:rFonts w:ascii="Century Gothic" w:hAnsi="Century Gothic"/>
        </w:rPr>
        <w:t>El incumplimiento de lo dispuesto en la presente Ordenanza y en la normativa metropolitana y nacional vigente al respecto, dará lugar a la imposición de las sanciones correspondientes</w:t>
      </w:r>
      <w:r>
        <w:rPr>
          <w:rFonts w:ascii="Century Gothic" w:hAnsi="Century Gothic"/>
        </w:rPr>
        <w:t>.</w:t>
      </w:r>
    </w:p>
    <w:p w14:paraId="0CB58F2E" w14:textId="0092FD58" w:rsidR="002931C0" w:rsidRPr="002931C0" w:rsidRDefault="002931C0" w:rsidP="005D70A2">
      <w:pPr>
        <w:jc w:val="both"/>
        <w:rPr>
          <w:rFonts w:ascii="Century Gothic" w:hAnsi="Century Gothic"/>
        </w:rPr>
      </w:pPr>
      <w:r w:rsidRPr="00933E9A">
        <w:rPr>
          <w:rFonts w:ascii="Century Gothic" w:hAnsi="Century Gothic"/>
          <w:b/>
          <w:bCs/>
        </w:rPr>
        <w:t>Artículo 3.</w:t>
      </w:r>
      <w:r w:rsidR="00933E9A" w:rsidRPr="00933E9A">
        <w:rPr>
          <w:rFonts w:ascii="Century Gothic" w:hAnsi="Century Gothic"/>
          <w:b/>
          <w:bCs/>
        </w:rPr>
        <w:t xml:space="preserve"> </w:t>
      </w:r>
      <w:r w:rsidRPr="00933E9A">
        <w:rPr>
          <w:rFonts w:ascii="Century Gothic" w:hAnsi="Century Gothic"/>
          <w:b/>
          <w:bCs/>
        </w:rPr>
        <w:t>Declaratoria de Interés Social.</w:t>
      </w:r>
      <w:r w:rsidR="00933E9A" w:rsidRPr="00933E9A">
        <w:rPr>
          <w:rFonts w:ascii="Century Gothic" w:hAnsi="Century Gothic"/>
          <w:b/>
          <w:bCs/>
        </w:rPr>
        <w:t xml:space="preserve"> </w:t>
      </w:r>
      <w:r w:rsidRPr="00933E9A">
        <w:rPr>
          <w:rFonts w:ascii="Century Gothic" w:hAnsi="Century Gothic"/>
          <w:b/>
          <w:bCs/>
        </w:rPr>
        <w:t>-</w:t>
      </w:r>
      <w:r w:rsidRPr="002931C0">
        <w:rPr>
          <w:rFonts w:ascii="Century Gothic" w:hAnsi="Century Gothic"/>
        </w:rPr>
        <w:t xml:space="preserve"> Por las condiciones del asentamiento humano de hecho y consolidado, se lo aprueba considerándolo de Interés Social de conformidad con la normativa vigente.</w:t>
      </w:r>
    </w:p>
    <w:p w14:paraId="11948E96" w14:textId="46D99980" w:rsidR="002931C0" w:rsidRPr="00933E9A" w:rsidRDefault="002931C0" w:rsidP="002931C0">
      <w:pPr>
        <w:jc w:val="both"/>
        <w:rPr>
          <w:rFonts w:ascii="Century Gothic" w:hAnsi="Century Gothic"/>
        </w:rPr>
      </w:pPr>
      <w:r w:rsidRPr="00933E9A">
        <w:rPr>
          <w:rFonts w:ascii="Century Gothic" w:hAnsi="Century Gothic"/>
          <w:b/>
          <w:bCs/>
        </w:rPr>
        <w:t>Artículo 4.</w:t>
      </w:r>
      <w:r w:rsidR="00933E9A" w:rsidRPr="00933E9A">
        <w:rPr>
          <w:rFonts w:ascii="Century Gothic" w:hAnsi="Century Gothic"/>
          <w:b/>
          <w:bCs/>
        </w:rPr>
        <w:t xml:space="preserve"> </w:t>
      </w:r>
      <w:r w:rsidRPr="00933E9A">
        <w:rPr>
          <w:rFonts w:ascii="Century Gothic" w:hAnsi="Century Gothic"/>
          <w:b/>
          <w:bCs/>
        </w:rPr>
        <w:t>Especificaciones técnicas.</w:t>
      </w:r>
      <w:r w:rsidR="00933E9A" w:rsidRPr="00933E9A">
        <w:rPr>
          <w:rFonts w:ascii="Century Gothic" w:hAnsi="Century Gothic"/>
          <w:b/>
          <w:bCs/>
        </w:rPr>
        <w:t xml:space="preserve"> </w:t>
      </w:r>
      <w:r w:rsidR="00933E9A">
        <w:rPr>
          <w:rFonts w:ascii="Century Gothic" w:hAnsi="Century Gothic"/>
          <w:b/>
          <w:bCs/>
        </w:rPr>
        <w:t xml:space="preserve">- </w:t>
      </w:r>
      <w:r w:rsidR="00933E9A">
        <w:rPr>
          <w:rFonts w:ascii="Century Gothic" w:hAnsi="Century Gothic"/>
        </w:rPr>
        <w:t>Las especificaciones técnicas son las siguientes:</w:t>
      </w:r>
    </w:p>
    <w:tbl>
      <w:tblPr>
        <w:tblStyle w:val="Tablaconcuadrcula"/>
        <w:tblW w:w="0" w:type="auto"/>
        <w:tblInd w:w="38" w:type="dxa"/>
        <w:tblLook w:val="04A0" w:firstRow="1" w:lastRow="0" w:firstColumn="1" w:lastColumn="0" w:noHBand="0" w:noVBand="1"/>
      </w:tblPr>
      <w:tblGrid>
        <w:gridCol w:w="2476"/>
        <w:gridCol w:w="1487"/>
        <w:gridCol w:w="1521"/>
        <w:gridCol w:w="1541"/>
        <w:gridCol w:w="1431"/>
      </w:tblGrid>
      <w:tr w:rsidR="005D70A2" w:rsidRPr="005D70A2" w14:paraId="34E4224A" w14:textId="77777777" w:rsidTr="00CD1C8A">
        <w:trPr>
          <w:trHeight w:val="214"/>
        </w:trPr>
        <w:tc>
          <w:tcPr>
            <w:tcW w:w="2842" w:type="dxa"/>
            <w:vAlign w:val="center"/>
          </w:tcPr>
          <w:p w14:paraId="15B19131"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Predio Número:</w:t>
            </w:r>
          </w:p>
        </w:tc>
        <w:tc>
          <w:tcPr>
            <w:tcW w:w="1510" w:type="dxa"/>
          </w:tcPr>
          <w:p w14:paraId="581BD2CD"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Cs/>
              </w:rPr>
              <w:t>219689</w:t>
            </w:r>
          </w:p>
        </w:tc>
        <w:tc>
          <w:tcPr>
            <w:tcW w:w="1559" w:type="dxa"/>
          </w:tcPr>
          <w:p w14:paraId="3E72DFAF"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Cs/>
              </w:rPr>
              <w:t>607556</w:t>
            </w:r>
          </w:p>
        </w:tc>
        <w:tc>
          <w:tcPr>
            <w:tcW w:w="1587" w:type="dxa"/>
          </w:tcPr>
          <w:p w14:paraId="57FC14EA"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Cs/>
              </w:rPr>
              <w:t>607558</w:t>
            </w:r>
          </w:p>
        </w:tc>
        <w:tc>
          <w:tcPr>
            <w:tcW w:w="1243" w:type="dxa"/>
          </w:tcPr>
          <w:p w14:paraId="7CBB34C3"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Cs/>
              </w:rPr>
              <w:t>3539761</w:t>
            </w:r>
          </w:p>
        </w:tc>
      </w:tr>
      <w:tr w:rsidR="005D70A2" w:rsidRPr="005D70A2" w14:paraId="787C9C09" w14:textId="77777777" w:rsidTr="00CD1C8A">
        <w:trPr>
          <w:trHeight w:val="104"/>
        </w:trPr>
        <w:tc>
          <w:tcPr>
            <w:tcW w:w="2842" w:type="dxa"/>
            <w:vAlign w:val="center"/>
          </w:tcPr>
          <w:p w14:paraId="2F0437B1" w14:textId="77777777" w:rsidR="005D70A2" w:rsidRPr="005D70A2" w:rsidRDefault="005D70A2" w:rsidP="00CD1C8A">
            <w:pPr>
              <w:pStyle w:val="Sinespaciado"/>
              <w:jc w:val="both"/>
              <w:rPr>
                <w:rFonts w:ascii="Century Gothic" w:hAnsi="Century Gothic"/>
              </w:rPr>
            </w:pPr>
            <w:r w:rsidRPr="005D70A2">
              <w:rPr>
                <w:rFonts w:ascii="Century Gothic" w:hAnsi="Century Gothic"/>
                <w:b/>
              </w:rPr>
              <w:t>Zonificación actual:</w:t>
            </w:r>
          </w:p>
        </w:tc>
        <w:tc>
          <w:tcPr>
            <w:tcW w:w="1510" w:type="dxa"/>
          </w:tcPr>
          <w:p w14:paraId="4FD94DBA" w14:textId="77777777" w:rsidR="005D70A2" w:rsidRPr="005D70A2" w:rsidRDefault="005D70A2" w:rsidP="00CD1C8A">
            <w:pPr>
              <w:pStyle w:val="Sinespaciado"/>
              <w:jc w:val="both"/>
              <w:rPr>
                <w:rFonts w:ascii="Century Gothic" w:hAnsi="Century Gothic"/>
              </w:rPr>
            </w:pPr>
            <w:r w:rsidRPr="005D70A2">
              <w:rPr>
                <w:rFonts w:ascii="Century Gothic" w:hAnsi="Century Gothic"/>
              </w:rPr>
              <w:t>A2(A1002-35)</w:t>
            </w:r>
          </w:p>
        </w:tc>
        <w:tc>
          <w:tcPr>
            <w:tcW w:w="1559" w:type="dxa"/>
          </w:tcPr>
          <w:p w14:paraId="5E87BCE6" w14:textId="77777777" w:rsidR="005D70A2" w:rsidRPr="005D70A2" w:rsidRDefault="005D70A2" w:rsidP="00CD1C8A">
            <w:pPr>
              <w:pStyle w:val="Sinespaciado"/>
              <w:jc w:val="both"/>
              <w:rPr>
                <w:rFonts w:ascii="Century Gothic" w:hAnsi="Century Gothic"/>
              </w:rPr>
            </w:pPr>
            <w:r w:rsidRPr="005D70A2">
              <w:rPr>
                <w:rFonts w:ascii="Century Gothic" w:hAnsi="Century Gothic"/>
              </w:rPr>
              <w:t>A2(A1002-35)</w:t>
            </w:r>
          </w:p>
        </w:tc>
        <w:tc>
          <w:tcPr>
            <w:tcW w:w="1587" w:type="dxa"/>
          </w:tcPr>
          <w:p w14:paraId="1866A5B7" w14:textId="77777777" w:rsidR="005D70A2" w:rsidRPr="005D70A2" w:rsidRDefault="005D70A2" w:rsidP="00CD1C8A">
            <w:pPr>
              <w:pStyle w:val="Sinespaciado"/>
              <w:jc w:val="both"/>
              <w:rPr>
                <w:rFonts w:ascii="Century Gothic" w:hAnsi="Century Gothic"/>
              </w:rPr>
            </w:pPr>
            <w:r w:rsidRPr="005D70A2">
              <w:rPr>
                <w:rFonts w:ascii="Century Gothic" w:hAnsi="Century Gothic"/>
              </w:rPr>
              <w:t>A2(A1002-35)</w:t>
            </w:r>
          </w:p>
        </w:tc>
        <w:tc>
          <w:tcPr>
            <w:tcW w:w="1243" w:type="dxa"/>
          </w:tcPr>
          <w:p w14:paraId="34F00F02" w14:textId="77777777" w:rsidR="005D70A2" w:rsidRPr="005D70A2" w:rsidRDefault="005D70A2" w:rsidP="00CD1C8A">
            <w:pPr>
              <w:pStyle w:val="Sinespaciado"/>
              <w:jc w:val="both"/>
              <w:rPr>
                <w:rFonts w:ascii="Century Gothic" w:hAnsi="Century Gothic"/>
              </w:rPr>
            </w:pPr>
            <w:r w:rsidRPr="005D70A2">
              <w:rPr>
                <w:rFonts w:ascii="Century Gothic" w:hAnsi="Century Gothic"/>
              </w:rPr>
              <w:t>A2(A1002-35)</w:t>
            </w:r>
          </w:p>
        </w:tc>
      </w:tr>
      <w:tr w:rsidR="005D70A2" w:rsidRPr="005D70A2" w14:paraId="656673DF" w14:textId="77777777" w:rsidTr="00CD1C8A">
        <w:trPr>
          <w:trHeight w:val="108"/>
        </w:trPr>
        <w:tc>
          <w:tcPr>
            <w:tcW w:w="2842" w:type="dxa"/>
            <w:vAlign w:val="center"/>
          </w:tcPr>
          <w:p w14:paraId="5F7AFD14"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Lote mínimo:</w:t>
            </w:r>
          </w:p>
        </w:tc>
        <w:tc>
          <w:tcPr>
            <w:tcW w:w="1510" w:type="dxa"/>
          </w:tcPr>
          <w:p w14:paraId="0C4BD331"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1000 m2</w:t>
            </w:r>
          </w:p>
        </w:tc>
        <w:tc>
          <w:tcPr>
            <w:tcW w:w="1559" w:type="dxa"/>
          </w:tcPr>
          <w:p w14:paraId="53F1B9FE"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1000 m2</w:t>
            </w:r>
          </w:p>
        </w:tc>
        <w:tc>
          <w:tcPr>
            <w:tcW w:w="1587" w:type="dxa"/>
          </w:tcPr>
          <w:p w14:paraId="7B793224"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1000 m2</w:t>
            </w:r>
          </w:p>
        </w:tc>
        <w:tc>
          <w:tcPr>
            <w:tcW w:w="1243" w:type="dxa"/>
          </w:tcPr>
          <w:p w14:paraId="73858C5B"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1000 m2</w:t>
            </w:r>
          </w:p>
        </w:tc>
      </w:tr>
      <w:tr w:rsidR="005D70A2" w:rsidRPr="005D70A2" w14:paraId="101F1139" w14:textId="77777777" w:rsidTr="00CD1C8A">
        <w:trPr>
          <w:trHeight w:val="139"/>
        </w:trPr>
        <w:tc>
          <w:tcPr>
            <w:tcW w:w="2842" w:type="dxa"/>
            <w:vAlign w:val="center"/>
          </w:tcPr>
          <w:p w14:paraId="267812BF"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Forma ocupación del suelo:</w:t>
            </w:r>
          </w:p>
        </w:tc>
        <w:tc>
          <w:tcPr>
            <w:tcW w:w="1510" w:type="dxa"/>
          </w:tcPr>
          <w:p w14:paraId="6773EFF8"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(A) Aislada</w:t>
            </w:r>
          </w:p>
        </w:tc>
        <w:tc>
          <w:tcPr>
            <w:tcW w:w="1559" w:type="dxa"/>
          </w:tcPr>
          <w:p w14:paraId="65C9DAFA"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(A) Aislada</w:t>
            </w:r>
          </w:p>
        </w:tc>
        <w:tc>
          <w:tcPr>
            <w:tcW w:w="1587" w:type="dxa"/>
          </w:tcPr>
          <w:p w14:paraId="0BE29984"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(A) Aislada</w:t>
            </w:r>
          </w:p>
        </w:tc>
        <w:tc>
          <w:tcPr>
            <w:tcW w:w="1243" w:type="dxa"/>
          </w:tcPr>
          <w:p w14:paraId="0F2817A0"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(A) Aislada</w:t>
            </w:r>
          </w:p>
        </w:tc>
      </w:tr>
      <w:tr w:rsidR="005D70A2" w:rsidRPr="005D70A2" w14:paraId="702C510B" w14:textId="77777777" w:rsidTr="00CD1C8A">
        <w:trPr>
          <w:trHeight w:val="177"/>
        </w:trPr>
        <w:tc>
          <w:tcPr>
            <w:tcW w:w="2842" w:type="dxa"/>
            <w:vAlign w:val="center"/>
          </w:tcPr>
          <w:p w14:paraId="12E45EBF"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Uso principal del suelo:</w:t>
            </w:r>
          </w:p>
        </w:tc>
        <w:tc>
          <w:tcPr>
            <w:tcW w:w="1510" w:type="dxa"/>
          </w:tcPr>
          <w:p w14:paraId="5E139136" w14:textId="77777777" w:rsidR="005D70A2" w:rsidRPr="005D70A2" w:rsidRDefault="005D70A2" w:rsidP="00CD1C8A">
            <w:pPr>
              <w:pStyle w:val="Sinespaciado"/>
              <w:jc w:val="both"/>
              <w:rPr>
                <w:rFonts w:ascii="Century Gothic" w:hAnsi="Century Gothic"/>
              </w:rPr>
            </w:pPr>
            <w:r w:rsidRPr="005D70A2">
              <w:rPr>
                <w:rFonts w:ascii="Century Gothic" w:hAnsi="Century Gothic"/>
              </w:rPr>
              <w:t>(RU2) Residencial Urbano 2</w:t>
            </w:r>
          </w:p>
        </w:tc>
        <w:tc>
          <w:tcPr>
            <w:tcW w:w="1559" w:type="dxa"/>
          </w:tcPr>
          <w:p w14:paraId="2FB6BDED" w14:textId="77777777" w:rsidR="005D70A2" w:rsidRPr="005D70A2" w:rsidRDefault="005D70A2" w:rsidP="00CD1C8A">
            <w:pPr>
              <w:pStyle w:val="Sinespaciado"/>
              <w:jc w:val="both"/>
              <w:rPr>
                <w:rFonts w:ascii="Century Gothic" w:hAnsi="Century Gothic"/>
              </w:rPr>
            </w:pPr>
            <w:r w:rsidRPr="005D70A2">
              <w:rPr>
                <w:rFonts w:ascii="Century Gothic" w:hAnsi="Century Gothic"/>
              </w:rPr>
              <w:t>(RU2) Residencial Urbano 2</w:t>
            </w:r>
          </w:p>
        </w:tc>
        <w:tc>
          <w:tcPr>
            <w:tcW w:w="1587" w:type="dxa"/>
          </w:tcPr>
          <w:p w14:paraId="10A109DD" w14:textId="77777777" w:rsidR="005D70A2" w:rsidRPr="005D70A2" w:rsidRDefault="005D70A2" w:rsidP="00CD1C8A">
            <w:pPr>
              <w:pStyle w:val="Sinespaciado"/>
              <w:jc w:val="both"/>
              <w:rPr>
                <w:rFonts w:ascii="Century Gothic" w:hAnsi="Century Gothic"/>
              </w:rPr>
            </w:pPr>
            <w:r w:rsidRPr="005D70A2">
              <w:rPr>
                <w:rFonts w:ascii="Century Gothic" w:hAnsi="Century Gothic"/>
              </w:rPr>
              <w:t>(RU2) Residencial Urbano 2</w:t>
            </w:r>
          </w:p>
        </w:tc>
        <w:tc>
          <w:tcPr>
            <w:tcW w:w="1243" w:type="dxa"/>
          </w:tcPr>
          <w:p w14:paraId="0D0411D2" w14:textId="77777777" w:rsidR="005D70A2" w:rsidRPr="005D70A2" w:rsidRDefault="005D70A2" w:rsidP="00CD1C8A">
            <w:pPr>
              <w:pStyle w:val="Sinespaciado"/>
              <w:jc w:val="both"/>
              <w:rPr>
                <w:rFonts w:ascii="Century Gothic" w:hAnsi="Century Gothic"/>
              </w:rPr>
            </w:pPr>
            <w:r w:rsidRPr="005D70A2">
              <w:rPr>
                <w:rFonts w:ascii="Century Gothic" w:hAnsi="Century Gothic"/>
              </w:rPr>
              <w:t>(RU2) Residencial Urbano 2</w:t>
            </w:r>
          </w:p>
        </w:tc>
      </w:tr>
      <w:tr w:rsidR="005D70A2" w:rsidRPr="005D70A2" w14:paraId="7AAECB0C" w14:textId="77777777" w:rsidTr="00CD1C8A">
        <w:trPr>
          <w:trHeight w:val="169"/>
        </w:trPr>
        <w:tc>
          <w:tcPr>
            <w:tcW w:w="2842" w:type="dxa"/>
            <w:vAlign w:val="center"/>
          </w:tcPr>
          <w:p w14:paraId="6F2E1631"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Clasificación del Suelo:</w:t>
            </w:r>
          </w:p>
        </w:tc>
        <w:tc>
          <w:tcPr>
            <w:tcW w:w="1510" w:type="dxa"/>
          </w:tcPr>
          <w:p w14:paraId="5616581A"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(SU) Suelo Urbano</w:t>
            </w:r>
          </w:p>
        </w:tc>
        <w:tc>
          <w:tcPr>
            <w:tcW w:w="1559" w:type="dxa"/>
          </w:tcPr>
          <w:p w14:paraId="323EB27D"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(SU) Suelo Urbano</w:t>
            </w:r>
          </w:p>
        </w:tc>
        <w:tc>
          <w:tcPr>
            <w:tcW w:w="1587" w:type="dxa"/>
          </w:tcPr>
          <w:p w14:paraId="2A524578" w14:textId="77777777" w:rsidR="005D70A2" w:rsidRPr="005D70A2" w:rsidRDefault="005D70A2" w:rsidP="00CD1C8A">
            <w:pPr>
              <w:pStyle w:val="Sinespaciado"/>
              <w:jc w:val="both"/>
              <w:rPr>
                <w:rFonts w:ascii="Century Gothic" w:hAnsi="Century Gothic"/>
              </w:rPr>
            </w:pPr>
            <w:r w:rsidRPr="005D70A2">
              <w:rPr>
                <w:rFonts w:ascii="Century Gothic" w:hAnsi="Century Gothic"/>
              </w:rPr>
              <w:t>(SU) Suelo Urbano</w:t>
            </w:r>
          </w:p>
        </w:tc>
        <w:tc>
          <w:tcPr>
            <w:tcW w:w="1243" w:type="dxa"/>
          </w:tcPr>
          <w:p w14:paraId="313FE130"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(SU) Suelo Urbano</w:t>
            </w:r>
          </w:p>
        </w:tc>
      </w:tr>
      <w:tr w:rsidR="005D70A2" w:rsidRPr="005D70A2" w14:paraId="289E145D" w14:textId="77777777" w:rsidTr="00CD1C8A">
        <w:trPr>
          <w:trHeight w:val="289"/>
        </w:trPr>
        <w:tc>
          <w:tcPr>
            <w:tcW w:w="2842" w:type="dxa"/>
            <w:vAlign w:val="center"/>
          </w:tcPr>
          <w:p w14:paraId="1EB078AF" w14:textId="77777777" w:rsidR="005D70A2" w:rsidRPr="005D70A2" w:rsidRDefault="005D70A2" w:rsidP="00CD1C8A">
            <w:pPr>
              <w:pStyle w:val="Sinespaciado"/>
              <w:jc w:val="both"/>
              <w:rPr>
                <w:rFonts w:ascii="Century Gothic" w:hAnsi="Century Gothic"/>
              </w:rPr>
            </w:pPr>
            <w:r w:rsidRPr="005D70A2">
              <w:rPr>
                <w:rFonts w:ascii="Century Gothic" w:hAnsi="Century Gothic"/>
                <w:b/>
              </w:rPr>
              <w:t>Número de lotes:</w:t>
            </w:r>
          </w:p>
        </w:tc>
        <w:tc>
          <w:tcPr>
            <w:tcW w:w="5899" w:type="dxa"/>
            <w:gridSpan w:val="4"/>
          </w:tcPr>
          <w:p w14:paraId="731285A6"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18</w:t>
            </w:r>
          </w:p>
        </w:tc>
      </w:tr>
      <w:tr w:rsidR="005D70A2" w:rsidRPr="005D70A2" w14:paraId="77AEB80B" w14:textId="77777777" w:rsidTr="00CD1C8A">
        <w:trPr>
          <w:trHeight w:val="184"/>
        </w:trPr>
        <w:tc>
          <w:tcPr>
            <w:tcW w:w="2842" w:type="dxa"/>
            <w:vAlign w:val="center"/>
          </w:tcPr>
          <w:p w14:paraId="537FEC5B"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Área útil de lotes:</w:t>
            </w:r>
          </w:p>
        </w:tc>
        <w:tc>
          <w:tcPr>
            <w:tcW w:w="5899" w:type="dxa"/>
            <w:gridSpan w:val="4"/>
          </w:tcPr>
          <w:p w14:paraId="6D9B3E37" w14:textId="77777777" w:rsidR="005D70A2" w:rsidRPr="005D70A2" w:rsidRDefault="005D70A2" w:rsidP="00CD1C8A">
            <w:pPr>
              <w:pStyle w:val="Sinespaciado"/>
              <w:jc w:val="both"/>
              <w:rPr>
                <w:rFonts w:ascii="Century Gothic" w:hAnsi="Century Gothic"/>
              </w:rPr>
            </w:pPr>
            <w:r w:rsidRPr="005D70A2">
              <w:rPr>
                <w:rFonts w:ascii="Century Gothic" w:hAnsi="Century Gothic"/>
              </w:rPr>
              <w:t>5.326,68 m2</w:t>
            </w:r>
          </w:p>
        </w:tc>
      </w:tr>
      <w:tr w:rsidR="005D70A2" w:rsidRPr="005D70A2" w14:paraId="7497516E" w14:textId="77777777" w:rsidTr="00CD1C8A">
        <w:trPr>
          <w:trHeight w:val="216"/>
        </w:trPr>
        <w:tc>
          <w:tcPr>
            <w:tcW w:w="2842" w:type="dxa"/>
            <w:vAlign w:val="center"/>
          </w:tcPr>
          <w:p w14:paraId="04D765C7" w14:textId="77777777" w:rsidR="005D70A2" w:rsidRPr="005D70A2" w:rsidRDefault="005D70A2" w:rsidP="00CD1C8A">
            <w:pPr>
              <w:pStyle w:val="Sinespaciado"/>
              <w:rPr>
                <w:rFonts w:ascii="Century Gothic" w:hAnsi="Century Gothic"/>
              </w:rPr>
            </w:pPr>
            <w:r w:rsidRPr="005D70A2">
              <w:rPr>
                <w:rFonts w:ascii="Century Gothic" w:hAnsi="Century Gothic"/>
                <w:b/>
              </w:rPr>
              <w:t>Área de  Vías:</w:t>
            </w:r>
          </w:p>
        </w:tc>
        <w:tc>
          <w:tcPr>
            <w:tcW w:w="5899" w:type="dxa"/>
            <w:gridSpan w:val="4"/>
          </w:tcPr>
          <w:p w14:paraId="5668266F" w14:textId="77777777" w:rsidR="005D70A2" w:rsidRPr="005D70A2" w:rsidRDefault="005D70A2" w:rsidP="00CD1C8A">
            <w:pPr>
              <w:pStyle w:val="Sinespaciado"/>
              <w:jc w:val="both"/>
              <w:rPr>
                <w:rFonts w:ascii="Century Gothic" w:hAnsi="Century Gothic"/>
              </w:rPr>
            </w:pPr>
            <w:r w:rsidRPr="005D70A2">
              <w:rPr>
                <w:rFonts w:ascii="Century Gothic" w:hAnsi="Century Gothic"/>
              </w:rPr>
              <w:t>349,95 m2</w:t>
            </w:r>
          </w:p>
        </w:tc>
      </w:tr>
      <w:tr w:rsidR="005D70A2" w:rsidRPr="005D70A2" w14:paraId="279DC209" w14:textId="77777777" w:rsidTr="00CD1C8A">
        <w:trPr>
          <w:trHeight w:val="336"/>
        </w:trPr>
        <w:tc>
          <w:tcPr>
            <w:tcW w:w="2842" w:type="dxa"/>
          </w:tcPr>
          <w:p w14:paraId="6C1BD262"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Área de Afectación Vial (MACRO LOTE):</w:t>
            </w:r>
          </w:p>
        </w:tc>
        <w:tc>
          <w:tcPr>
            <w:tcW w:w="5899" w:type="dxa"/>
            <w:gridSpan w:val="4"/>
            <w:vAlign w:val="center"/>
          </w:tcPr>
          <w:p w14:paraId="0262E953" w14:textId="77777777" w:rsidR="005D70A2" w:rsidRPr="005D70A2" w:rsidRDefault="005D70A2" w:rsidP="00CD1C8A">
            <w:pPr>
              <w:pStyle w:val="Sinespaciado"/>
              <w:jc w:val="both"/>
              <w:rPr>
                <w:rFonts w:ascii="Century Gothic" w:hAnsi="Century Gothic"/>
              </w:rPr>
            </w:pPr>
            <w:r w:rsidRPr="005D70A2">
              <w:rPr>
                <w:rFonts w:ascii="Century Gothic" w:hAnsi="Century Gothic"/>
              </w:rPr>
              <w:t>79,73 m2</w:t>
            </w:r>
          </w:p>
        </w:tc>
      </w:tr>
      <w:tr w:rsidR="005D70A2" w:rsidRPr="005D70A2" w14:paraId="2AE9D533" w14:textId="77777777" w:rsidTr="00CD1C8A">
        <w:trPr>
          <w:trHeight w:val="252"/>
        </w:trPr>
        <w:tc>
          <w:tcPr>
            <w:tcW w:w="2842" w:type="dxa"/>
          </w:tcPr>
          <w:p w14:paraId="6A29A58A" w14:textId="77777777" w:rsidR="005D70A2" w:rsidRPr="005D70A2" w:rsidRDefault="005D70A2" w:rsidP="00CD1C8A">
            <w:pPr>
              <w:pStyle w:val="Sinespaciado"/>
              <w:jc w:val="both"/>
              <w:rPr>
                <w:rFonts w:ascii="Century Gothic" w:hAnsi="Century Gothic"/>
                <w:b/>
              </w:rPr>
            </w:pPr>
            <w:r w:rsidRPr="005D70A2">
              <w:rPr>
                <w:rFonts w:ascii="Century Gothic" w:hAnsi="Century Gothic"/>
                <w:b/>
              </w:rPr>
              <w:t>Área bruta del  terreno  (Área Total):</w:t>
            </w:r>
          </w:p>
        </w:tc>
        <w:tc>
          <w:tcPr>
            <w:tcW w:w="5899" w:type="dxa"/>
            <w:gridSpan w:val="4"/>
            <w:vAlign w:val="center"/>
          </w:tcPr>
          <w:p w14:paraId="5AC0A0E8" w14:textId="77777777" w:rsidR="005D70A2" w:rsidRPr="005D70A2" w:rsidRDefault="005D70A2" w:rsidP="00CD1C8A">
            <w:pPr>
              <w:pStyle w:val="Sinespaciado"/>
              <w:jc w:val="both"/>
              <w:rPr>
                <w:rFonts w:ascii="Century Gothic" w:hAnsi="Century Gothic"/>
                <w:b/>
              </w:rPr>
            </w:pPr>
            <w:r w:rsidRPr="005D70A2">
              <w:rPr>
                <w:rFonts w:ascii="Century Gothic" w:hAnsi="Century Gothic"/>
              </w:rPr>
              <w:t>5.756,36 m2</w:t>
            </w:r>
          </w:p>
        </w:tc>
      </w:tr>
    </w:tbl>
    <w:p w14:paraId="49DEBDC3" w14:textId="77777777" w:rsidR="004F1336" w:rsidRPr="004F1336" w:rsidRDefault="004F1336" w:rsidP="002931C0">
      <w:pPr>
        <w:jc w:val="both"/>
        <w:rPr>
          <w:rFonts w:ascii="Century Gothic" w:hAnsi="Century Gothic"/>
        </w:rPr>
      </w:pPr>
    </w:p>
    <w:p w14:paraId="3C0A416C" w14:textId="2E39CC7B" w:rsidR="005D70A2" w:rsidRPr="005D70A2" w:rsidRDefault="005D70A2" w:rsidP="005D70A2">
      <w:pPr>
        <w:jc w:val="both"/>
        <w:rPr>
          <w:rFonts w:ascii="Century Gothic" w:hAnsi="Century Gothic"/>
        </w:rPr>
      </w:pPr>
      <w:r w:rsidRPr="005D70A2">
        <w:rPr>
          <w:rFonts w:ascii="Century Gothic" w:hAnsi="Century Gothic"/>
        </w:rPr>
        <w:t xml:space="preserve">El número total de lotes, producto del fraccionamiento, es de 18, signados del uno (1) al dieciocho (18) cuyo detalle es el que consta en los planos aprobatorios que forman parte de la presente Ordenanza. </w:t>
      </w:r>
    </w:p>
    <w:p w14:paraId="79AB50AF" w14:textId="7A66633F" w:rsidR="005D70A2" w:rsidRPr="005D70A2" w:rsidRDefault="005D70A2" w:rsidP="005D70A2">
      <w:pPr>
        <w:jc w:val="both"/>
        <w:rPr>
          <w:rFonts w:ascii="Century Gothic" w:hAnsi="Century Gothic"/>
        </w:rPr>
      </w:pPr>
      <w:r w:rsidRPr="005D70A2">
        <w:rPr>
          <w:rFonts w:ascii="Century Gothic" w:hAnsi="Century Gothic"/>
        </w:rPr>
        <w:t xml:space="preserve">El área total del predio No. 219689, es la que consta en la Resolución de excedentes y/o diferencia de áreas No. GADDMQ-DMC-2020-505-R, de 17 de </w:t>
      </w:r>
      <w:r w:rsidRPr="005D70A2">
        <w:rPr>
          <w:rFonts w:ascii="Century Gothic" w:hAnsi="Century Gothic"/>
        </w:rPr>
        <w:lastRenderedPageBreak/>
        <w:t>diciembre de 2020, y se encuentra rectificada y regularizada de conformidad al Art. IV.1.164 del Código Municipal.</w:t>
      </w:r>
    </w:p>
    <w:p w14:paraId="79364E48" w14:textId="53BD6004" w:rsidR="005D70A2" w:rsidRPr="005D70A2" w:rsidRDefault="005D70A2" w:rsidP="005D70A2">
      <w:pPr>
        <w:jc w:val="both"/>
        <w:rPr>
          <w:rFonts w:ascii="Century Gothic" w:hAnsi="Century Gothic"/>
        </w:rPr>
      </w:pPr>
      <w:r w:rsidRPr="005D70A2">
        <w:rPr>
          <w:rFonts w:ascii="Century Gothic" w:hAnsi="Century Gothic"/>
        </w:rPr>
        <w:t>El área total del predio No. 607556, es la que consta en la Resolución de excedentes y/o diferencia de áreas No. GADDMQ-DMC-2020-505-R, de 16 de diciembre de 2020, y se encuentra rectificada y regularizada de conformidad al Art. IV.1.164 del Código Municipal</w:t>
      </w:r>
    </w:p>
    <w:p w14:paraId="70925421" w14:textId="23196EA5" w:rsidR="005D70A2" w:rsidRPr="005D70A2" w:rsidRDefault="005D70A2" w:rsidP="005D70A2">
      <w:pPr>
        <w:jc w:val="both"/>
        <w:rPr>
          <w:rFonts w:ascii="Century Gothic" w:hAnsi="Century Gothic"/>
        </w:rPr>
      </w:pPr>
      <w:r w:rsidRPr="005D70A2">
        <w:rPr>
          <w:rFonts w:ascii="Century Gothic" w:hAnsi="Century Gothic"/>
        </w:rPr>
        <w:t>El área total del predio No. 607558, es la que consta en el Cédula Catastral No. 12144, del 18 de enero de 2021, y se encuentra rectificada y regularizada de conformidad al Art. IV.1.164 del Código Municipal.</w:t>
      </w:r>
    </w:p>
    <w:p w14:paraId="6D8F4BDA" w14:textId="77777777" w:rsidR="005D70A2" w:rsidRDefault="005D70A2" w:rsidP="005D70A2">
      <w:pPr>
        <w:jc w:val="both"/>
        <w:rPr>
          <w:rFonts w:ascii="Century Gothic" w:hAnsi="Century Gothic"/>
        </w:rPr>
      </w:pPr>
      <w:r w:rsidRPr="005D70A2">
        <w:rPr>
          <w:rFonts w:ascii="Century Gothic" w:hAnsi="Century Gothic"/>
        </w:rPr>
        <w:t>El área total del predio No. 3539761, es la que consta en el Cédula Catastral No. 12145, del 18 de enero de 2021, y se encuentra rectificada y regularizada de conformidad al Art. IV.1.164 del Código Municipal.</w:t>
      </w:r>
    </w:p>
    <w:p w14:paraId="2CE835EE" w14:textId="52900C90" w:rsidR="002931C0" w:rsidRPr="002931C0" w:rsidRDefault="002931C0" w:rsidP="005D70A2">
      <w:pPr>
        <w:jc w:val="both"/>
        <w:rPr>
          <w:rFonts w:ascii="Century Gothic" w:hAnsi="Century Gothic"/>
        </w:rPr>
      </w:pPr>
      <w:r w:rsidRPr="004F1336">
        <w:rPr>
          <w:rFonts w:ascii="Century Gothic" w:hAnsi="Century Gothic"/>
          <w:b/>
          <w:bCs/>
        </w:rPr>
        <w:t>Artículo 5. Zonificación de los lotes.</w:t>
      </w:r>
      <w:r w:rsidR="00933E9A" w:rsidRPr="004F1336">
        <w:rPr>
          <w:rFonts w:ascii="Century Gothic" w:hAnsi="Century Gothic"/>
          <w:b/>
          <w:bCs/>
        </w:rPr>
        <w:t xml:space="preserve"> </w:t>
      </w:r>
      <w:r w:rsidRPr="004F1336">
        <w:rPr>
          <w:rFonts w:ascii="Century Gothic" w:hAnsi="Century Gothic"/>
          <w:b/>
          <w:bCs/>
        </w:rPr>
        <w:t>-</w:t>
      </w:r>
      <w:r w:rsidRPr="004F1336">
        <w:rPr>
          <w:rFonts w:ascii="Century Gothic" w:hAnsi="Century Gothic"/>
        </w:rPr>
        <w:t xml:space="preserve"> </w:t>
      </w:r>
      <w:r w:rsidR="005D70A2" w:rsidRPr="005D70A2">
        <w:rPr>
          <w:rFonts w:ascii="Century Gothic" w:hAnsi="Century Gothic"/>
        </w:rPr>
        <w:t>Los lotes fraccionados modificaran la zonificación vigente conforme se detalla a continuación: D3(D203-80); con área del lote mínimo 200 m2, uso principal del suelo (R2) Residencia Mediana Densidad y forma de ocupación del suelo: (D) Sobre línea de fábrica; Número de pisos 3, COS planta baja: 80%, COS total: 240%.</w:t>
      </w:r>
    </w:p>
    <w:p w14:paraId="68B22FF3" w14:textId="0791543B" w:rsidR="002931C0" w:rsidRPr="002931C0" w:rsidRDefault="002931C0" w:rsidP="002931C0">
      <w:pPr>
        <w:jc w:val="both"/>
        <w:rPr>
          <w:rFonts w:ascii="Century Gothic" w:hAnsi="Century Gothic"/>
        </w:rPr>
      </w:pPr>
      <w:r w:rsidRPr="004F1336">
        <w:rPr>
          <w:rFonts w:ascii="Century Gothic" w:hAnsi="Century Gothic"/>
          <w:b/>
          <w:bCs/>
        </w:rPr>
        <w:t>Artículo 6. Clasificación del Suelo.</w:t>
      </w:r>
      <w:r w:rsidR="00933E9A" w:rsidRPr="004F1336">
        <w:rPr>
          <w:rFonts w:ascii="Century Gothic" w:hAnsi="Century Gothic"/>
          <w:b/>
          <w:bCs/>
        </w:rPr>
        <w:t xml:space="preserve"> </w:t>
      </w:r>
      <w:r w:rsidRPr="004F1336">
        <w:rPr>
          <w:rFonts w:ascii="Century Gothic" w:hAnsi="Century Gothic"/>
          <w:b/>
          <w:bCs/>
        </w:rPr>
        <w:t>-</w:t>
      </w:r>
      <w:r w:rsidRPr="004F1336">
        <w:rPr>
          <w:rFonts w:ascii="Century Gothic" w:hAnsi="Century Gothic"/>
        </w:rPr>
        <w:t xml:space="preserve"> Los lotes fraccionados mantendrán la clasificación vigente esto es (SU) Suelo </w:t>
      </w:r>
      <w:r w:rsidR="005D70A2">
        <w:rPr>
          <w:rFonts w:ascii="Century Gothic" w:hAnsi="Century Gothic"/>
        </w:rPr>
        <w:t>Urbano</w:t>
      </w:r>
      <w:r w:rsidR="004F1336" w:rsidRPr="004F1336">
        <w:rPr>
          <w:rFonts w:ascii="Century Gothic" w:hAnsi="Century Gothic"/>
        </w:rPr>
        <w:t>.</w:t>
      </w:r>
    </w:p>
    <w:p w14:paraId="5CE23926" w14:textId="6D95FAB7" w:rsidR="004F1336" w:rsidRDefault="002931C0" w:rsidP="002931C0">
      <w:pPr>
        <w:jc w:val="both"/>
        <w:rPr>
          <w:rFonts w:ascii="Century Gothic" w:hAnsi="Century Gothic"/>
        </w:rPr>
      </w:pPr>
      <w:r w:rsidRPr="004F1336">
        <w:rPr>
          <w:rFonts w:ascii="Century Gothic" w:hAnsi="Century Gothic"/>
          <w:b/>
          <w:bCs/>
        </w:rPr>
        <w:t>Artículo 7.</w:t>
      </w:r>
      <w:r w:rsidR="00933E9A" w:rsidRPr="004F1336">
        <w:rPr>
          <w:rFonts w:ascii="Century Gothic" w:hAnsi="Century Gothic"/>
          <w:b/>
          <w:bCs/>
        </w:rPr>
        <w:t xml:space="preserve"> </w:t>
      </w:r>
      <w:r w:rsidRPr="004F1336">
        <w:rPr>
          <w:rFonts w:ascii="Century Gothic" w:hAnsi="Century Gothic"/>
          <w:b/>
          <w:bCs/>
        </w:rPr>
        <w:t>Lotes por excepción</w:t>
      </w:r>
      <w:r w:rsidR="00933E9A" w:rsidRPr="004F1336">
        <w:rPr>
          <w:rFonts w:ascii="Century Gothic" w:hAnsi="Century Gothic"/>
          <w:b/>
          <w:bCs/>
        </w:rPr>
        <w:t>. -</w:t>
      </w:r>
      <w:r w:rsidRPr="004F1336">
        <w:rPr>
          <w:rFonts w:ascii="Century Gothic" w:hAnsi="Century Gothic"/>
        </w:rPr>
        <w:t xml:space="preserve"> </w:t>
      </w:r>
      <w:r w:rsidR="005D70A2" w:rsidRPr="005D70A2">
        <w:rPr>
          <w:rFonts w:ascii="Century Gothic" w:hAnsi="Century Gothic"/>
        </w:rPr>
        <w:t>Por tratarse de un asentamiento humano de hecho y consolidado de interés social, se aprueban por excepción, esto es, con áreas inferiores a las mínimas establecidas en la zonificación propuesta, los lotes 8, 9, 10, 16 y 17.</w:t>
      </w:r>
    </w:p>
    <w:p w14:paraId="41407D81" w14:textId="241956AD" w:rsidR="004F1336" w:rsidRDefault="002931C0" w:rsidP="002931C0">
      <w:pPr>
        <w:jc w:val="both"/>
        <w:rPr>
          <w:rFonts w:ascii="Century Gothic" w:hAnsi="Century Gothic"/>
        </w:rPr>
      </w:pPr>
      <w:r w:rsidRPr="004F1336">
        <w:rPr>
          <w:rFonts w:ascii="Century Gothic" w:hAnsi="Century Gothic"/>
          <w:b/>
          <w:bCs/>
        </w:rPr>
        <w:t xml:space="preserve">Artículo 8. </w:t>
      </w:r>
      <w:r w:rsidR="005D70A2" w:rsidRPr="005D70A2">
        <w:rPr>
          <w:rFonts w:ascii="Century Gothic" w:hAnsi="Century Gothic"/>
          <w:b/>
          <w:bCs/>
        </w:rPr>
        <w:t xml:space="preserve">Exoneración del porcentaje de área verde. - </w:t>
      </w:r>
      <w:r w:rsidR="005D70A2" w:rsidRPr="005D70A2">
        <w:rPr>
          <w:rFonts w:ascii="Century Gothic" w:hAnsi="Century Gothic"/>
        </w:rPr>
        <w:t>A los copropietarios del predio donde se encuentra el asentamiento humano de hecho y consolidado de interés social denominado “San Miguel de Collacoto” III Etapa, conforme a la normativa vigente se les exonera de la contribución del 15% del área verde, por ser considerado como un asentamiento declarado de interés social</w:t>
      </w:r>
    </w:p>
    <w:p w14:paraId="17D82114" w14:textId="4CCF8A10" w:rsidR="005D70A2" w:rsidRPr="005D70A2" w:rsidRDefault="005D70A2" w:rsidP="005D70A2">
      <w:pPr>
        <w:jc w:val="both"/>
        <w:rPr>
          <w:rFonts w:ascii="Century Gothic" w:hAnsi="Century Gothic"/>
        </w:rPr>
      </w:pPr>
      <w:r w:rsidRPr="005D70A2">
        <w:rPr>
          <w:rFonts w:ascii="Century Gothic" w:hAnsi="Century Gothic"/>
          <w:b/>
          <w:bCs/>
        </w:rPr>
        <w:t>Artículo 9. Calificación de Riesgo. -</w:t>
      </w:r>
      <w:r w:rsidRPr="005D70A2">
        <w:rPr>
          <w:rFonts w:ascii="Century Gothic" w:hAnsi="Century Gothic"/>
        </w:rPr>
        <w:t xml:space="preserve"> El asentamiento humano de hecho y consolidado de interés social denominado “San Miguel de Collacoto” III Etapa, deberá cumplir y acatar las recomendaciones que se encuentran determinadas en el informe de la Dirección Metropolitana de Gestión de Riesgos adjunta mediante Oficio Nro.GADDMQ-SGSG-2020-2452-OF, con fecha 01 de Diciembre de 2020, emitido por el Director Metropolitano de Gestión de Riesgos, de la Secretaría General de Seguridad y Gobernabilidad,  Informe Técnico IT-ECR-185-AT-DMGR-2020, de 12 de diciembre de 2020, en el que  manifiesta que: para el proceso de regularización de tierras se considera el nivel de riesgos frente a movimientos en masa, ya que representa el fenómeno más importante para la posible pérdida del terreno, en tal virtud se considera que: Movimientos en masa: el AHHYC “San Miguel de Collacoto III Etapa” presenta frente a deslizamientos un Riesgo Bajo Mitigable para los lotes 2, 3, 4, 5, 6, 7, 8, 9, 10, 11, 12, 13, 14, 15, 16, 17, 18 y un Riesgo Alto Mitigable para el lote 1.</w:t>
      </w:r>
    </w:p>
    <w:p w14:paraId="5979B06A" w14:textId="77777777" w:rsidR="005D70A2" w:rsidRPr="005D70A2" w:rsidRDefault="005D70A2" w:rsidP="005D70A2">
      <w:pPr>
        <w:jc w:val="both"/>
        <w:rPr>
          <w:rFonts w:ascii="Century Gothic" w:hAnsi="Century Gothic"/>
        </w:rPr>
      </w:pPr>
    </w:p>
    <w:p w14:paraId="225A8812" w14:textId="50F05331" w:rsidR="005D70A2" w:rsidRPr="005D70A2" w:rsidRDefault="005D70A2" w:rsidP="005D70A2">
      <w:pPr>
        <w:jc w:val="both"/>
        <w:rPr>
          <w:rFonts w:ascii="Century Gothic" w:hAnsi="Century Gothic"/>
        </w:rPr>
      </w:pPr>
      <w:r w:rsidRPr="005D70A2">
        <w:rPr>
          <w:rFonts w:ascii="Century Gothic" w:hAnsi="Century Gothic"/>
        </w:rPr>
        <w:lastRenderedPageBreak/>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7B1EEBCF" w14:textId="2EB44E4D" w:rsidR="005D70A2" w:rsidRDefault="005D70A2" w:rsidP="005D70A2">
      <w:pPr>
        <w:jc w:val="both"/>
        <w:rPr>
          <w:rFonts w:ascii="Century Gothic" w:hAnsi="Century Gothic"/>
        </w:rPr>
      </w:pPr>
      <w:r w:rsidRPr="005D70A2">
        <w:rPr>
          <w:rFonts w:ascii="Century Gothic" w:hAnsi="Century Gothic"/>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206700A" w14:textId="5496F733" w:rsidR="005D70A2" w:rsidRPr="005D70A2" w:rsidRDefault="005D70A2" w:rsidP="005D70A2">
      <w:pPr>
        <w:jc w:val="both"/>
        <w:rPr>
          <w:rFonts w:ascii="Century Gothic" w:hAnsi="Century Gothic"/>
        </w:rPr>
      </w:pPr>
      <w:r w:rsidRPr="005D70A2">
        <w:rPr>
          <w:rFonts w:ascii="Century Gothic" w:hAnsi="Century Gothic"/>
          <w:b/>
          <w:bCs/>
        </w:rPr>
        <w:t>Artículo 10. De las Escalinatas. -</w:t>
      </w:r>
      <w:r w:rsidRPr="005D70A2">
        <w:rPr>
          <w:rFonts w:ascii="Century Gothic" w:hAnsi="Century Gothic"/>
        </w:rPr>
        <w:t xml:space="preserve"> El asentamiento humano de hecho y consolidado de interés social denominado “San Miguel de Collacoto” III Etapa, contempla un sistema vial de uso público, debido a que éste es un asentamiento humano de hecho y consolidado de interés social de 54 años de existencia, con 88.89% de consolidación de viviendas y se encuentra ejecutando obras de infraestructura, razón por la cual los anchos viales se sujetarán al plano adjunto a la presente ordenanza. </w:t>
      </w:r>
    </w:p>
    <w:p w14:paraId="562CAF19" w14:textId="580F5D31" w:rsidR="005D70A2" w:rsidRDefault="005D70A2" w:rsidP="005D70A2">
      <w:pPr>
        <w:jc w:val="both"/>
        <w:rPr>
          <w:rFonts w:ascii="Century Gothic" w:hAnsi="Century Gothic"/>
        </w:rPr>
      </w:pPr>
      <w:r w:rsidRPr="005D70A2">
        <w:rPr>
          <w:rFonts w:ascii="Century Gothic" w:hAnsi="Century Gothic"/>
        </w:rPr>
        <w:t>Se regularizan las escalinatas con el siguiente ancho:</w:t>
      </w:r>
    </w:p>
    <w:tbl>
      <w:tblPr>
        <w:tblStyle w:val="Tablaconcuadrcula"/>
        <w:tblW w:w="0" w:type="auto"/>
        <w:tblInd w:w="108" w:type="dxa"/>
        <w:tblLook w:val="04A0" w:firstRow="1" w:lastRow="0" w:firstColumn="1" w:lastColumn="0" w:noHBand="0" w:noVBand="1"/>
      </w:tblPr>
      <w:tblGrid>
        <w:gridCol w:w="4208"/>
        <w:gridCol w:w="4178"/>
      </w:tblGrid>
      <w:tr w:rsidR="005D70A2" w:rsidRPr="005D70A2" w14:paraId="6B337A60" w14:textId="77777777" w:rsidTr="00CD1C8A">
        <w:trPr>
          <w:trHeight w:val="159"/>
        </w:trPr>
        <w:tc>
          <w:tcPr>
            <w:tcW w:w="4336" w:type="dxa"/>
            <w:tcBorders>
              <w:top w:val="single" w:sz="4" w:space="0" w:color="auto"/>
              <w:left w:val="single" w:sz="4" w:space="0" w:color="auto"/>
              <w:bottom w:val="single" w:sz="4" w:space="0" w:color="auto"/>
              <w:right w:val="single" w:sz="4" w:space="0" w:color="auto"/>
            </w:tcBorders>
            <w:vAlign w:val="center"/>
          </w:tcPr>
          <w:p w14:paraId="470739DC"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Escalinata 2:</w:t>
            </w:r>
          </w:p>
        </w:tc>
        <w:tc>
          <w:tcPr>
            <w:tcW w:w="4335" w:type="dxa"/>
            <w:tcBorders>
              <w:top w:val="single" w:sz="4" w:space="0" w:color="auto"/>
              <w:left w:val="single" w:sz="4" w:space="0" w:color="auto"/>
              <w:bottom w:val="single" w:sz="4" w:space="0" w:color="auto"/>
              <w:right w:val="single" w:sz="4" w:space="0" w:color="auto"/>
            </w:tcBorders>
            <w:vAlign w:val="center"/>
          </w:tcPr>
          <w:p w14:paraId="7B439837" w14:textId="77777777" w:rsidR="005D70A2" w:rsidRPr="005D70A2" w:rsidRDefault="005D70A2" w:rsidP="00CD1C8A">
            <w:pPr>
              <w:pStyle w:val="Sinespaciado"/>
              <w:jc w:val="both"/>
              <w:rPr>
                <w:rFonts w:ascii="Century Gothic" w:hAnsi="Century Gothic"/>
              </w:rPr>
            </w:pPr>
            <w:r w:rsidRPr="005D70A2">
              <w:rPr>
                <w:rFonts w:ascii="Century Gothic" w:hAnsi="Century Gothic"/>
              </w:rPr>
              <w:t xml:space="preserve">2,00 m. </w:t>
            </w:r>
          </w:p>
        </w:tc>
      </w:tr>
      <w:tr w:rsidR="005D70A2" w:rsidRPr="005D70A2" w14:paraId="663B17A2" w14:textId="77777777" w:rsidTr="00CD1C8A">
        <w:trPr>
          <w:trHeight w:val="279"/>
        </w:trPr>
        <w:tc>
          <w:tcPr>
            <w:tcW w:w="4336" w:type="dxa"/>
            <w:tcBorders>
              <w:top w:val="single" w:sz="4" w:space="0" w:color="auto"/>
              <w:left w:val="single" w:sz="4" w:space="0" w:color="auto"/>
              <w:bottom w:val="single" w:sz="4" w:space="0" w:color="auto"/>
              <w:right w:val="single" w:sz="4" w:space="0" w:color="auto"/>
            </w:tcBorders>
            <w:vAlign w:val="center"/>
          </w:tcPr>
          <w:p w14:paraId="30EAB394"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Escalinata 3:</w:t>
            </w:r>
          </w:p>
        </w:tc>
        <w:tc>
          <w:tcPr>
            <w:tcW w:w="4335" w:type="dxa"/>
            <w:tcBorders>
              <w:top w:val="single" w:sz="4" w:space="0" w:color="auto"/>
              <w:left w:val="single" w:sz="4" w:space="0" w:color="auto"/>
              <w:right w:val="single" w:sz="4" w:space="0" w:color="auto"/>
            </w:tcBorders>
            <w:vAlign w:val="center"/>
          </w:tcPr>
          <w:p w14:paraId="36F8149A" w14:textId="77777777" w:rsidR="005D70A2" w:rsidRPr="005D70A2" w:rsidRDefault="005D70A2" w:rsidP="00CD1C8A">
            <w:pPr>
              <w:pStyle w:val="Sinespaciado"/>
              <w:jc w:val="both"/>
              <w:rPr>
                <w:rFonts w:ascii="Century Gothic" w:hAnsi="Century Gothic"/>
              </w:rPr>
            </w:pPr>
            <w:r w:rsidRPr="005D70A2">
              <w:rPr>
                <w:rFonts w:ascii="Century Gothic" w:hAnsi="Century Gothic"/>
              </w:rPr>
              <w:t>3,00 m.</w:t>
            </w:r>
          </w:p>
        </w:tc>
      </w:tr>
      <w:tr w:rsidR="005D70A2" w:rsidRPr="005D70A2" w14:paraId="09DBE5C4" w14:textId="77777777" w:rsidTr="00CD1C8A">
        <w:trPr>
          <w:trHeight w:val="253"/>
        </w:trPr>
        <w:tc>
          <w:tcPr>
            <w:tcW w:w="4336" w:type="dxa"/>
            <w:tcBorders>
              <w:top w:val="single" w:sz="4" w:space="0" w:color="auto"/>
              <w:left w:val="single" w:sz="4" w:space="0" w:color="auto"/>
              <w:right w:val="single" w:sz="4" w:space="0" w:color="auto"/>
            </w:tcBorders>
            <w:vAlign w:val="center"/>
          </w:tcPr>
          <w:p w14:paraId="04068AD5"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Escalinata 4:</w:t>
            </w:r>
            <w:r w:rsidRPr="005D70A2">
              <w:rPr>
                <w:rFonts w:ascii="Century Gothic" w:hAnsi="Century Gothic"/>
                <w:b/>
                <w:bCs/>
              </w:rPr>
              <w:tab/>
            </w:r>
          </w:p>
        </w:tc>
        <w:tc>
          <w:tcPr>
            <w:tcW w:w="4335" w:type="dxa"/>
            <w:tcBorders>
              <w:top w:val="single" w:sz="4" w:space="0" w:color="auto"/>
              <w:left w:val="single" w:sz="4" w:space="0" w:color="auto"/>
              <w:right w:val="single" w:sz="4" w:space="0" w:color="auto"/>
            </w:tcBorders>
            <w:vAlign w:val="center"/>
          </w:tcPr>
          <w:p w14:paraId="0A08ACDA" w14:textId="77777777" w:rsidR="005D70A2" w:rsidRPr="005D70A2" w:rsidRDefault="005D70A2" w:rsidP="00CD1C8A">
            <w:pPr>
              <w:pStyle w:val="Sinespaciado"/>
              <w:jc w:val="both"/>
              <w:rPr>
                <w:rFonts w:ascii="Century Gothic" w:hAnsi="Century Gothic"/>
              </w:rPr>
            </w:pPr>
            <w:r w:rsidRPr="005D70A2">
              <w:rPr>
                <w:rFonts w:ascii="Century Gothic" w:hAnsi="Century Gothic"/>
              </w:rPr>
              <w:t>2.00 m.</w:t>
            </w:r>
          </w:p>
        </w:tc>
      </w:tr>
    </w:tbl>
    <w:p w14:paraId="175519C7" w14:textId="77777777" w:rsidR="005D70A2" w:rsidRDefault="005D70A2" w:rsidP="004F1336">
      <w:pPr>
        <w:jc w:val="both"/>
        <w:rPr>
          <w:rFonts w:ascii="Century Gothic" w:hAnsi="Century Gothic"/>
          <w:b/>
          <w:bCs/>
        </w:rPr>
      </w:pPr>
    </w:p>
    <w:p w14:paraId="149D94E1" w14:textId="12C5E487" w:rsidR="005D70A2" w:rsidRDefault="005D70A2" w:rsidP="004F1336">
      <w:pPr>
        <w:jc w:val="both"/>
        <w:rPr>
          <w:rFonts w:ascii="Century Gothic" w:hAnsi="Century Gothic"/>
        </w:rPr>
      </w:pPr>
      <w:r w:rsidRPr="005D70A2">
        <w:rPr>
          <w:rFonts w:ascii="Century Gothic" w:hAnsi="Century Gothic"/>
          <w:b/>
          <w:bCs/>
        </w:rPr>
        <w:t xml:space="preserve">Artículo 11. De las obras a ejecutarse. - </w:t>
      </w:r>
      <w:r w:rsidRPr="005D70A2">
        <w:rPr>
          <w:rFonts w:ascii="Century Gothic" w:hAnsi="Century Gothic"/>
        </w:rPr>
        <w:t>Las obras civiles y de infraestructura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4228"/>
        <w:gridCol w:w="4158"/>
      </w:tblGrid>
      <w:tr w:rsidR="005D70A2" w:rsidRPr="005D70A2" w14:paraId="3F6757A9" w14:textId="77777777" w:rsidTr="00CD1C8A">
        <w:trPr>
          <w:trHeight w:val="184"/>
        </w:trPr>
        <w:tc>
          <w:tcPr>
            <w:tcW w:w="4395" w:type="dxa"/>
            <w:tcBorders>
              <w:top w:val="single" w:sz="4" w:space="0" w:color="auto"/>
              <w:left w:val="single" w:sz="4" w:space="0" w:color="auto"/>
              <w:bottom w:val="single" w:sz="4" w:space="0" w:color="auto"/>
              <w:right w:val="single" w:sz="4" w:space="0" w:color="auto"/>
            </w:tcBorders>
            <w:hideMark/>
          </w:tcPr>
          <w:p w14:paraId="351E3E5F"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Calzadas</w:t>
            </w:r>
          </w:p>
        </w:tc>
        <w:tc>
          <w:tcPr>
            <w:tcW w:w="4394" w:type="dxa"/>
            <w:tcBorders>
              <w:top w:val="single" w:sz="4" w:space="0" w:color="auto"/>
              <w:left w:val="single" w:sz="4" w:space="0" w:color="auto"/>
              <w:bottom w:val="single" w:sz="4" w:space="0" w:color="auto"/>
              <w:right w:val="single" w:sz="4" w:space="0" w:color="auto"/>
            </w:tcBorders>
            <w:hideMark/>
          </w:tcPr>
          <w:p w14:paraId="644B7F81" w14:textId="77777777" w:rsidR="005D70A2" w:rsidRPr="005D70A2" w:rsidRDefault="005D70A2" w:rsidP="00CD1C8A">
            <w:pPr>
              <w:pStyle w:val="Sinespaciado"/>
              <w:jc w:val="both"/>
              <w:rPr>
                <w:rFonts w:ascii="Century Gothic" w:hAnsi="Century Gothic"/>
                <w:bCs/>
              </w:rPr>
            </w:pPr>
            <w:r w:rsidRPr="005D70A2">
              <w:rPr>
                <w:rFonts w:ascii="Century Gothic" w:hAnsi="Century Gothic"/>
                <w:bCs/>
              </w:rPr>
              <w:t>50%</w:t>
            </w:r>
          </w:p>
        </w:tc>
      </w:tr>
      <w:tr w:rsidR="005D70A2" w:rsidRPr="005D70A2" w14:paraId="0FB89142" w14:textId="77777777" w:rsidTr="00CD1C8A">
        <w:tc>
          <w:tcPr>
            <w:tcW w:w="4395" w:type="dxa"/>
            <w:tcBorders>
              <w:top w:val="single" w:sz="4" w:space="0" w:color="auto"/>
              <w:left w:val="single" w:sz="4" w:space="0" w:color="auto"/>
              <w:bottom w:val="single" w:sz="4" w:space="0" w:color="auto"/>
              <w:right w:val="single" w:sz="4" w:space="0" w:color="auto"/>
            </w:tcBorders>
            <w:hideMark/>
          </w:tcPr>
          <w:p w14:paraId="7A9ABDD1"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Agua Potable</w:t>
            </w:r>
          </w:p>
        </w:tc>
        <w:tc>
          <w:tcPr>
            <w:tcW w:w="4394" w:type="dxa"/>
            <w:tcBorders>
              <w:top w:val="single" w:sz="4" w:space="0" w:color="auto"/>
              <w:left w:val="single" w:sz="4" w:space="0" w:color="auto"/>
              <w:bottom w:val="single" w:sz="4" w:space="0" w:color="auto"/>
              <w:right w:val="single" w:sz="4" w:space="0" w:color="auto"/>
            </w:tcBorders>
            <w:hideMark/>
          </w:tcPr>
          <w:p w14:paraId="1D70E973" w14:textId="77777777" w:rsidR="005D70A2" w:rsidRPr="005D70A2" w:rsidRDefault="005D70A2" w:rsidP="00CD1C8A">
            <w:pPr>
              <w:pStyle w:val="Sinespaciado"/>
              <w:jc w:val="both"/>
              <w:rPr>
                <w:rFonts w:ascii="Century Gothic" w:hAnsi="Century Gothic"/>
                <w:bCs/>
              </w:rPr>
            </w:pPr>
            <w:r w:rsidRPr="005D70A2">
              <w:rPr>
                <w:rFonts w:ascii="Century Gothic" w:hAnsi="Century Gothic"/>
                <w:bCs/>
              </w:rPr>
              <w:t>40%</w:t>
            </w:r>
          </w:p>
        </w:tc>
      </w:tr>
      <w:tr w:rsidR="005D70A2" w:rsidRPr="005D70A2" w14:paraId="124160C3" w14:textId="77777777" w:rsidTr="00CD1C8A">
        <w:trPr>
          <w:trHeight w:val="162"/>
        </w:trPr>
        <w:tc>
          <w:tcPr>
            <w:tcW w:w="4395" w:type="dxa"/>
            <w:tcBorders>
              <w:top w:val="single" w:sz="4" w:space="0" w:color="auto"/>
              <w:left w:val="single" w:sz="4" w:space="0" w:color="auto"/>
              <w:bottom w:val="single" w:sz="4" w:space="0" w:color="auto"/>
              <w:right w:val="single" w:sz="4" w:space="0" w:color="auto"/>
            </w:tcBorders>
            <w:hideMark/>
          </w:tcPr>
          <w:p w14:paraId="36A95876"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Alcantarillado</w:t>
            </w:r>
          </w:p>
        </w:tc>
        <w:tc>
          <w:tcPr>
            <w:tcW w:w="4394" w:type="dxa"/>
            <w:tcBorders>
              <w:top w:val="single" w:sz="4" w:space="0" w:color="auto"/>
              <w:left w:val="single" w:sz="4" w:space="0" w:color="auto"/>
              <w:bottom w:val="single" w:sz="4" w:space="0" w:color="auto"/>
              <w:right w:val="single" w:sz="4" w:space="0" w:color="auto"/>
            </w:tcBorders>
            <w:hideMark/>
          </w:tcPr>
          <w:p w14:paraId="19B36549" w14:textId="77777777" w:rsidR="005D70A2" w:rsidRPr="005D70A2" w:rsidRDefault="005D70A2" w:rsidP="00CD1C8A">
            <w:pPr>
              <w:pStyle w:val="Sinespaciado"/>
              <w:jc w:val="both"/>
              <w:rPr>
                <w:rFonts w:ascii="Century Gothic" w:hAnsi="Century Gothic"/>
                <w:bCs/>
              </w:rPr>
            </w:pPr>
            <w:r w:rsidRPr="005D70A2">
              <w:rPr>
                <w:rFonts w:ascii="Century Gothic" w:hAnsi="Century Gothic"/>
                <w:bCs/>
              </w:rPr>
              <w:t>20%</w:t>
            </w:r>
          </w:p>
        </w:tc>
      </w:tr>
      <w:tr w:rsidR="005D70A2" w:rsidRPr="005D70A2" w14:paraId="43D54C91" w14:textId="77777777" w:rsidTr="00CD1C8A">
        <w:trPr>
          <w:trHeight w:val="81"/>
        </w:trPr>
        <w:tc>
          <w:tcPr>
            <w:tcW w:w="4395" w:type="dxa"/>
            <w:tcBorders>
              <w:top w:val="single" w:sz="4" w:space="0" w:color="auto"/>
              <w:left w:val="single" w:sz="4" w:space="0" w:color="auto"/>
              <w:bottom w:val="single" w:sz="4" w:space="0" w:color="auto"/>
              <w:right w:val="single" w:sz="4" w:space="0" w:color="auto"/>
            </w:tcBorders>
            <w:hideMark/>
          </w:tcPr>
          <w:p w14:paraId="7129D800" w14:textId="77777777" w:rsidR="005D70A2" w:rsidRPr="005D70A2" w:rsidRDefault="005D70A2" w:rsidP="00CD1C8A">
            <w:pPr>
              <w:pStyle w:val="Sinespaciado"/>
              <w:jc w:val="both"/>
              <w:rPr>
                <w:rFonts w:ascii="Century Gothic" w:hAnsi="Century Gothic"/>
                <w:b/>
                <w:bCs/>
              </w:rPr>
            </w:pPr>
            <w:r w:rsidRPr="005D70A2">
              <w:rPr>
                <w:rFonts w:ascii="Century Gothic" w:hAnsi="Century Gothic"/>
                <w:b/>
                <w:bCs/>
              </w:rPr>
              <w:t>Electricidad</w:t>
            </w:r>
          </w:p>
        </w:tc>
        <w:tc>
          <w:tcPr>
            <w:tcW w:w="4394" w:type="dxa"/>
            <w:tcBorders>
              <w:top w:val="single" w:sz="4" w:space="0" w:color="auto"/>
              <w:left w:val="single" w:sz="4" w:space="0" w:color="auto"/>
              <w:bottom w:val="single" w:sz="4" w:space="0" w:color="auto"/>
              <w:right w:val="single" w:sz="4" w:space="0" w:color="auto"/>
            </w:tcBorders>
            <w:hideMark/>
          </w:tcPr>
          <w:p w14:paraId="6D507CEC" w14:textId="77777777" w:rsidR="005D70A2" w:rsidRPr="005D70A2" w:rsidRDefault="005D70A2" w:rsidP="00CD1C8A">
            <w:pPr>
              <w:pStyle w:val="Sinespaciado"/>
              <w:jc w:val="both"/>
              <w:rPr>
                <w:rFonts w:ascii="Century Gothic" w:hAnsi="Century Gothic"/>
                <w:bCs/>
              </w:rPr>
            </w:pPr>
            <w:r w:rsidRPr="005D70A2">
              <w:rPr>
                <w:rFonts w:ascii="Century Gothic" w:hAnsi="Century Gothic"/>
                <w:bCs/>
              </w:rPr>
              <w:t>40%</w:t>
            </w:r>
          </w:p>
        </w:tc>
      </w:tr>
    </w:tbl>
    <w:p w14:paraId="4CDCC78A" w14:textId="16E81466" w:rsidR="005D70A2" w:rsidRDefault="005D70A2" w:rsidP="004F1336">
      <w:pPr>
        <w:jc w:val="both"/>
        <w:rPr>
          <w:rFonts w:ascii="Century Gothic" w:hAnsi="Century Gothic"/>
          <w:b/>
          <w:bCs/>
        </w:rPr>
      </w:pPr>
    </w:p>
    <w:p w14:paraId="7D363675" w14:textId="0A1FC755" w:rsidR="005D70A2" w:rsidRPr="005D70A2" w:rsidRDefault="005D70A2" w:rsidP="005D70A2">
      <w:pPr>
        <w:jc w:val="both"/>
        <w:rPr>
          <w:rFonts w:ascii="Century Gothic" w:hAnsi="Century Gothic"/>
          <w:b/>
          <w:bCs/>
        </w:rPr>
      </w:pPr>
      <w:r w:rsidRPr="005D70A2">
        <w:rPr>
          <w:rFonts w:ascii="Century Gothic" w:hAnsi="Century Gothic"/>
          <w:b/>
          <w:bCs/>
        </w:rPr>
        <w:t>Artículo 12. Del plazo de ejecución de las obras.</w:t>
      </w:r>
      <w:r>
        <w:rPr>
          <w:rFonts w:ascii="Century Gothic" w:hAnsi="Century Gothic"/>
          <w:b/>
          <w:bCs/>
        </w:rPr>
        <w:t xml:space="preserve"> </w:t>
      </w:r>
      <w:r w:rsidRPr="005D70A2">
        <w:rPr>
          <w:rFonts w:ascii="Century Gothic" w:hAnsi="Century Gothic"/>
          <w:b/>
          <w:bCs/>
        </w:rPr>
        <w:t xml:space="preserve">- </w:t>
      </w:r>
      <w:r w:rsidRPr="005D70A2">
        <w:rPr>
          <w:rFonts w:ascii="Century Gothic" w:hAnsi="Century Gothic"/>
        </w:rPr>
        <w:t>El plazo de ejecución de la totalidad de las obras civiles y de infraestructura, será de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23D4195F" w14:textId="77777777" w:rsidR="005D70A2" w:rsidRPr="005D70A2" w:rsidRDefault="005D70A2" w:rsidP="005D70A2">
      <w:pPr>
        <w:jc w:val="both"/>
        <w:rPr>
          <w:rFonts w:ascii="Century Gothic" w:hAnsi="Century Gothic"/>
          <w:b/>
          <w:bCs/>
        </w:rPr>
      </w:pPr>
    </w:p>
    <w:p w14:paraId="5512D152" w14:textId="002EB990" w:rsidR="005D70A2" w:rsidRPr="005D70A2" w:rsidRDefault="005D70A2" w:rsidP="005D70A2">
      <w:pPr>
        <w:jc w:val="both"/>
        <w:rPr>
          <w:rFonts w:ascii="Century Gothic" w:hAnsi="Century Gothic"/>
        </w:rPr>
      </w:pPr>
      <w:r w:rsidRPr="005D70A2">
        <w:rPr>
          <w:rFonts w:ascii="Century Gothic" w:hAnsi="Century Gothic"/>
        </w:rPr>
        <w:t>Las obras civiles y de infraestructura podrán ser ejecutadas, mediante gestión individual o concurrente bajo las siguientes modalidades: gestión municipal o pública, gestión directa o cogestión de conformidad a lo establecido en el artículo IV.7.72 de la Ordenanza No. 001 de 29 de marzo de 2019, que contiene el Código Municipal. El valor por contribución especial a mejoras se aplicará conforme la modalidad ejecutada.</w:t>
      </w:r>
    </w:p>
    <w:p w14:paraId="4CB14BFD" w14:textId="3422E8F3" w:rsidR="005D70A2" w:rsidRPr="005D70A2" w:rsidRDefault="005D70A2" w:rsidP="005D70A2">
      <w:pPr>
        <w:jc w:val="both"/>
        <w:rPr>
          <w:rFonts w:ascii="Century Gothic" w:hAnsi="Century Gothic"/>
          <w:b/>
          <w:bCs/>
        </w:rPr>
      </w:pPr>
      <w:r w:rsidRPr="005D70A2">
        <w:rPr>
          <w:rFonts w:ascii="Century Gothic" w:hAnsi="Century Gothic"/>
          <w:b/>
          <w:bCs/>
        </w:rPr>
        <w:t xml:space="preserve">Artículo 13. Del control de ejecución de las obras. - </w:t>
      </w:r>
      <w:r w:rsidRPr="005D70A2">
        <w:rPr>
          <w:rFonts w:ascii="Century Gothic" w:hAnsi="Century Gothic"/>
        </w:rPr>
        <w:t>La Administración Zonal Manuela Sáenz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Manuela Sáenz, será indispensable para cancelar la hipoteca.</w:t>
      </w:r>
      <w:r w:rsidRPr="005D70A2">
        <w:rPr>
          <w:rFonts w:ascii="Century Gothic" w:hAnsi="Century Gothic"/>
          <w:b/>
          <w:bCs/>
        </w:rPr>
        <w:t xml:space="preserve">  </w:t>
      </w:r>
    </w:p>
    <w:p w14:paraId="16FF8756" w14:textId="17D0974F" w:rsidR="005D70A2" w:rsidRPr="005D70A2" w:rsidRDefault="005D70A2" w:rsidP="005D70A2">
      <w:pPr>
        <w:jc w:val="both"/>
        <w:rPr>
          <w:rFonts w:ascii="Century Gothic" w:hAnsi="Century Gothic"/>
          <w:b/>
          <w:bCs/>
        </w:rPr>
      </w:pPr>
      <w:r w:rsidRPr="005D70A2">
        <w:rPr>
          <w:rFonts w:ascii="Century Gothic" w:hAnsi="Century Gothic"/>
          <w:b/>
          <w:bCs/>
        </w:rPr>
        <w:t xml:space="preserve">Artículo 14. De la multa por retraso en ejecución de obras. - </w:t>
      </w:r>
      <w:r w:rsidRPr="005D70A2">
        <w:rPr>
          <w:rFonts w:ascii="Century Gothic" w:hAnsi="Century Gothic"/>
        </w:rPr>
        <w:t>En caso de retraso en la ejecución de las obras civiles y de infraestructura, los copropietarios del inmueble sobre el cual se ubica el asentamiento humano de hecho y consolidado de interés social denominado “San Miguel de Collacoto” III Etapa, se sujetará a las sanciones contempladas en el Ordenamiento Jurídico Nacional y Metropolitano.</w:t>
      </w:r>
    </w:p>
    <w:p w14:paraId="3184B92B" w14:textId="793FF18F" w:rsidR="005D70A2" w:rsidRPr="005D70A2" w:rsidRDefault="005D70A2" w:rsidP="005D70A2">
      <w:pPr>
        <w:jc w:val="both"/>
        <w:rPr>
          <w:rFonts w:ascii="Century Gothic" w:hAnsi="Century Gothic"/>
          <w:b/>
          <w:bCs/>
        </w:rPr>
      </w:pPr>
      <w:r w:rsidRPr="005D70A2">
        <w:rPr>
          <w:rFonts w:ascii="Century Gothic" w:hAnsi="Century Gothic"/>
          <w:b/>
          <w:bCs/>
        </w:rPr>
        <w:t xml:space="preserve">Artículo 15. De la garantía de ejecución de las obras.- </w:t>
      </w:r>
      <w:r w:rsidRPr="005D70A2">
        <w:rPr>
          <w:rFonts w:ascii="Century Gothic" w:hAnsi="Century Gothic"/>
        </w:rPr>
        <w:t xml:space="preserve">Los lotes producto del fraccionamiento donde se encuentra ubicado el asentamiento humano de hecho y consolidado de interés social denominado “San Miguel de Collacoto” III Etapa, 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w:t>
      </w:r>
    </w:p>
    <w:p w14:paraId="3004E375" w14:textId="2523038C" w:rsidR="005D70A2" w:rsidRPr="005D70A2" w:rsidRDefault="005D70A2" w:rsidP="005D70A2">
      <w:pPr>
        <w:jc w:val="both"/>
        <w:rPr>
          <w:rFonts w:ascii="Century Gothic" w:hAnsi="Century Gothic"/>
          <w:b/>
          <w:bCs/>
        </w:rPr>
      </w:pPr>
      <w:r w:rsidRPr="005D70A2">
        <w:rPr>
          <w:rFonts w:ascii="Century Gothic" w:hAnsi="Century Gothic"/>
          <w:b/>
          <w:bCs/>
        </w:rPr>
        <w:t xml:space="preserve">Artículo 16. De la Protocolización e inscripción de la Ordenanza. -  </w:t>
      </w:r>
      <w:r w:rsidRPr="005D70A2">
        <w:rPr>
          <w:rFonts w:ascii="Century Gothic" w:hAnsi="Century Gothic"/>
        </w:rPr>
        <w:t xml:space="preserve">Los copropietarios del predio del asentamiento humano de hecho y consolidado de interés social denominado “San Miguel de Collacoto” III Etapa, deberán protocolizar la presente Ordenanza ante Notario Público e inscribirla en el Registro de la Propiedad del Distrito Metropolitano de Quito, con todos sus documentos habilitantes; </w:t>
      </w:r>
    </w:p>
    <w:p w14:paraId="24115729" w14:textId="4B4BCA6E" w:rsidR="005D70A2" w:rsidRPr="005D70A2" w:rsidRDefault="005D70A2" w:rsidP="005D70A2">
      <w:pPr>
        <w:jc w:val="both"/>
        <w:rPr>
          <w:rFonts w:ascii="Century Gothic" w:hAnsi="Century Gothic"/>
        </w:rPr>
      </w:pPr>
      <w:r w:rsidRPr="005D70A2">
        <w:rPr>
          <w:rFonts w:ascii="Century Gothic" w:hAnsi="Century Gothic"/>
        </w:rPr>
        <w:t xml:space="preserve">En caso de no inscribir la presente ordenanza, ésta caducará en el plazo de tres (03) años de conformidad con lo dispuesto en el artículo IV.7.64 de la Ordenanza No. 001 de 29 de marzo de 2019. </w:t>
      </w:r>
    </w:p>
    <w:p w14:paraId="48498368" w14:textId="35A1BD1F" w:rsidR="005D70A2" w:rsidRPr="005D70A2" w:rsidRDefault="005D70A2" w:rsidP="005D70A2">
      <w:pPr>
        <w:jc w:val="both"/>
        <w:rPr>
          <w:rFonts w:ascii="Century Gothic" w:hAnsi="Century Gothic"/>
          <w:b/>
          <w:bCs/>
        </w:rPr>
      </w:pPr>
      <w:r w:rsidRPr="005D70A2">
        <w:rPr>
          <w:rFonts w:ascii="Century Gothic" w:hAnsi="Century Gothic"/>
          <w:b/>
          <w:bCs/>
        </w:rPr>
        <w:t xml:space="preserve">Artículo 17. Solicitudes de ampliación de plazo. - </w:t>
      </w:r>
      <w:r w:rsidRPr="005D70A2">
        <w:rPr>
          <w:rFonts w:ascii="Century Gothic" w:hAnsi="Century Gothic"/>
        </w:rPr>
        <w:t>La Administración Zonal Manuela Sáenz queda plenamente facultada para resolver y aprobar las solicitudes de ampliación de plazo para ejecución de obras civiles y de infraestructura.</w:t>
      </w:r>
    </w:p>
    <w:p w14:paraId="4742F982" w14:textId="77777777" w:rsidR="005D70A2" w:rsidRPr="005D70A2" w:rsidRDefault="005D70A2" w:rsidP="005D70A2">
      <w:pPr>
        <w:jc w:val="both"/>
        <w:rPr>
          <w:rFonts w:ascii="Century Gothic" w:hAnsi="Century Gothic"/>
          <w:b/>
          <w:bCs/>
        </w:rPr>
      </w:pPr>
    </w:p>
    <w:p w14:paraId="6ED6BFD8" w14:textId="18E11BF7" w:rsidR="005D70A2" w:rsidRPr="005D70A2" w:rsidRDefault="005D70A2" w:rsidP="005D70A2">
      <w:pPr>
        <w:jc w:val="both"/>
        <w:rPr>
          <w:rFonts w:ascii="Century Gothic" w:hAnsi="Century Gothic"/>
        </w:rPr>
      </w:pPr>
      <w:r w:rsidRPr="005D70A2">
        <w:rPr>
          <w:rFonts w:ascii="Century Gothic" w:hAnsi="Century Gothic"/>
        </w:rPr>
        <w:lastRenderedPageBreak/>
        <w:t>La Administración Zonal Manuela Sáenz deberá notificar a los propietarios del asentamiento 6 meses antes a la conclusión del plazo establecido.</w:t>
      </w:r>
    </w:p>
    <w:p w14:paraId="492935C0" w14:textId="0EFA9412" w:rsidR="005D70A2" w:rsidRPr="005D70A2" w:rsidRDefault="005D70A2" w:rsidP="005D70A2">
      <w:pPr>
        <w:jc w:val="both"/>
        <w:rPr>
          <w:rFonts w:ascii="Century Gothic" w:hAnsi="Century Gothic"/>
        </w:rPr>
      </w:pPr>
      <w:r w:rsidRPr="005D70A2">
        <w:rPr>
          <w:rFonts w:ascii="Century Gothic" w:hAnsi="Century Gothic"/>
        </w:rPr>
        <w:t>La Administración Zonal Manuela Sáenz realizará el seguimiento en la ejecución y avance de obras civiles y de infraestructura, hasta la terminación de las mismas.</w:t>
      </w:r>
    </w:p>
    <w:p w14:paraId="0D0A8D0B" w14:textId="3E0F3900" w:rsidR="005D70A2" w:rsidRPr="005D70A2" w:rsidRDefault="005D70A2" w:rsidP="005D70A2">
      <w:pPr>
        <w:jc w:val="both"/>
        <w:rPr>
          <w:rFonts w:ascii="Century Gothic" w:hAnsi="Century Gothic"/>
        </w:rPr>
      </w:pPr>
      <w:r w:rsidRPr="005D70A2">
        <w:rPr>
          <w:rFonts w:ascii="Century Gothic" w:hAnsi="Century Gothic"/>
        </w:rPr>
        <w:t>Dichas solicitudes para ser evaluadas, deberán ser presentadas con al menos tres meses de anticipación a la conclusión del plazo establecido para la ejecución de las obras referidas y debidamente justificadas.</w:t>
      </w:r>
    </w:p>
    <w:p w14:paraId="4AFB5CFB" w14:textId="04EB7FE1" w:rsidR="005D70A2" w:rsidRPr="005D70A2" w:rsidRDefault="005D70A2" w:rsidP="005D70A2">
      <w:pPr>
        <w:jc w:val="both"/>
        <w:rPr>
          <w:rFonts w:ascii="Century Gothic" w:hAnsi="Century Gothic"/>
          <w:b/>
          <w:bCs/>
        </w:rPr>
      </w:pPr>
      <w:r w:rsidRPr="005D70A2">
        <w:rPr>
          <w:rFonts w:ascii="Century Gothic" w:hAnsi="Century Gothic"/>
          <w:b/>
          <w:bCs/>
        </w:rPr>
        <w:t>Artículo 18.</w:t>
      </w:r>
      <w:r>
        <w:rPr>
          <w:rFonts w:ascii="Century Gothic" w:hAnsi="Century Gothic"/>
          <w:b/>
          <w:bCs/>
        </w:rPr>
        <w:t xml:space="preserve"> </w:t>
      </w:r>
      <w:r w:rsidRPr="005D70A2">
        <w:rPr>
          <w:rFonts w:ascii="Century Gothic" w:hAnsi="Century Gothic"/>
          <w:b/>
          <w:bCs/>
        </w:rPr>
        <w:t xml:space="preserve">De la partición y adjudicación. - </w:t>
      </w:r>
      <w:r w:rsidRPr="005D70A2">
        <w:rPr>
          <w:rFonts w:ascii="Century Gothic" w:hAnsi="Century Gothic"/>
        </w:rPr>
        <w:t>Se faculta al señor Alcalde Metropolitano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Pr="005D70A2">
        <w:rPr>
          <w:rFonts w:ascii="Century Gothic" w:hAnsi="Century Gothic"/>
          <w:b/>
          <w:bCs/>
        </w:rPr>
        <w:t xml:space="preserve"> </w:t>
      </w:r>
    </w:p>
    <w:p w14:paraId="606337FD" w14:textId="59957DBB" w:rsidR="005D70A2" w:rsidRDefault="005D70A2" w:rsidP="005D70A2">
      <w:pPr>
        <w:jc w:val="both"/>
        <w:rPr>
          <w:rFonts w:ascii="Century Gothic" w:hAnsi="Century Gothic"/>
          <w:b/>
          <w:bCs/>
        </w:rPr>
      </w:pPr>
      <w:r w:rsidRPr="005D70A2">
        <w:rPr>
          <w:rFonts w:ascii="Century Gothic" w:hAnsi="Century Gothic"/>
          <w:b/>
          <w:bCs/>
        </w:rPr>
        <w:t xml:space="preserve">Artículo 19. Potestad de ejecución. - </w:t>
      </w:r>
      <w:r w:rsidRPr="005D70A2">
        <w:rPr>
          <w:rFonts w:ascii="Century Gothic" w:hAnsi="Century Gothic"/>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02AAFF3A" w14:textId="7494DF6D" w:rsidR="002931C0" w:rsidRPr="00A70C60" w:rsidRDefault="00A70C60" w:rsidP="00A70C60">
      <w:pPr>
        <w:jc w:val="center"/>
        <w:rPr>
          <w:rFonts w:ascii="Century Gothic" w:hAnsi="Century Gothic"/>
          <w:b/>
          <w:bCs/>
        </w:rPr>
      </w:pPr>
      <w:r w:rsidRPr="00A70C60">
        <w:rPr>
          <w:rFonts w:ascii="Century Gothic" w:hAnsi="Century Gothic"/>
          <w:b/>
          <w:bCs/>
        </w:rPr>
        <w:t>DISPOSICIONES GENERALES</w:t>
      </w:r>
      <w:r w:rsidR="00FA2CAE">
        <w:rPr>
          <w:rFonts w:ascii="Century Gothic" w:hAnsi="Century Gothic"/>
          <w:b/>
          <w:bCs/>
        </w:rPr>
        <w:t>.</w:t>
      </w:r>
    </w:p>
    <w:p w14:paraId="37BCE698" w14:textId="59FEDE3F" w:rsidR="002931C0" w:rsidRPr="002931C0" w:rsidRDefault="00A70C60" w:rsidP="002931C0">
      <w:pPr>
        <w:jc w:val="both"/>
        <w:rPr>
          <w:rFonts w:ascii="Century Gothic" w:hAnsi="Century Gothic"/>
        </w:rPr>
      </w:pPr>
      <w:r>
        <w:rPr>
          <w:rFonts w:ascii="Century Gothic" w:hAnsi="Century Gothic"/>
          <w:b/>
          <w:bCs/>
        </w:rPr>
        <w:t>PRIMERA. -</w:t>
      </w:r>
      <w:r w:rsidR="002931C0" w:rsidRPr="002931C0">
        <w:rPr>
          <w:rFonts w:ascii="Century Gothic" w:hAnsi="Century Gothic"/>
        </w:rPr>
        <w:t xml:space="preserve"> Todos los anexos adjuntos al proyecto de regularización son </w:t>
      </w:r>
      <w:r>
        <w:rPr>
          <w:rFonts w:ascii="Century Gothic" w:hAnsi="Century Gothic"/>
        </w:rPr>
        <w:t xml:space="preserve">los </w:t>
      </w:r>
      <w:r w:rsidR="002931C0" w:rsidRPr="002931C0">
        <w:rPr>
          <w:rFonts w:ascii="Century Gothic" w:hAnsi="Century Gothic"/>
        </w:rPr>
        <w:t>documentos habilitantes de esta Ordenanza.</w:t>
      </w:r>
    </w:p>
    <w:p w14:paraId="7C9373F2" w14:textId="2C0597B7" w:rsidR="005D70A2" w:rsidRPr="005D70A2" w:rsidRDefault="00A70C60" w:rsidP="005D70A2">
      <w:pPr>
        <w:jc w:val="both"/>
        <w:rPr>
          <w:rFonts w:ascii="Century Gothic" w:hAnsi="Century Gothic"/>
        </w:rPr>
      </w:pPr>
      <w:r w:rsidRPr="00A70C60">
        <w:rPr>
          <w:rFonts w:ascii="Century Gothic" w:hAnsi="Century Gothic"/>
          <w:b/>
          <w:bCs/>
        </w:rPr>
        <w:t>SEGUNDA. -</w:t>
      </w:r>
      <w:r w:rsidRPr="002931C0">
        <w:rPr>
          <w:rFonts w:ascii="Century Gothic" w:hAnsi="Century Gothic"/>
        </w:rPr>
        <w:t xml:space="preserve">  </w:t>
      </w:r>
      <w:r w:rsidR="005D70A2" w:rsidRPr="005D70A2">
        <w:rPr>
          <w:rFonts w:ascii="Century Gothic" w:hAnsi="Century Gothic"/>
        </w:rPr>
        <w:t xml:space="preserve">De acuerdo al Oficio Nro. GADDMQ-SGSG-2020-2452-OF, de 11 de diciembre de 2020, los copropietarios del asentamiento deberán cumplir las siguientes disposiciones, además de las recomendaciones generales y normativa legal vigente contenida en este mismo oficio y en el informe No. IT-ECR-185-AT-DMGR-2020, </w:t>
      </w:r>
      <w:r w:rsidR="005D70A2">
        <w:rPr>
          <w:rFonts w:ascii="Century Gothic" w:hAnsi="Century Gothic"/>
        </w:rPr>
        <w:t xml:space="preserve">de </w:t>
      </w:r>
      <w:r w:rsidR="005D70A2" w:rsidRPr="005D70A2">
        <w:rPr>
          <w:rFonts w:ascii="Century Gothic" w:hAnsi="Century Gothic"/>
        </w:rPr>
        <w:t>fecha 12 de diciembre de</w:t>
      </w:r>
      <w:r w:rsidR="005D70A2">
        <w:rPr>
          <w:rFonts w:ascii="Century Gothic" w:hAnsi="Century Gothic"/>
        </w:rPr>
        <w:t xml:space="preserve"> </w:t>
      </w:r>
      <w:r w:rsidR="005D70A2" w:rsidRPr="005D70A2">
        <w:rPr>
          <w:rFonts w:ascii="Century Gothic" w:hAnsi="Century Gothic"/>
        </w:rPr>
        <w:t>2020.</w:t>
      </w:r>
    </w:p>
    <w:p w14:paraId="433FE0B7" w14:textId="0D8F07F5" w:rsidR="005D70A2" w:rsidRPr="005D70A2" w:rsidRDefault="005D70A2" w:rsidP="005D70A2">
      <w:pPr>
        <w:pStyle w:val="Prrafodelista"/>
        <w:numPr>
          <w:ilvl w:val="0"/>
          <w:numId w:val="4"/>
        </w:numPr>
        <w:jc w:val="both"/>
        <w:rPr>
          <w:rFonts w:ascii="Century Gothic" w:hAnsi="Century Gothic"/>
        </w:rPr>
      </w:pPr>
      <w:r w:rsidRPr="005D70A2">
        <w:rPr>
          <w:rFonts w:ascii="Century Gothic" w:hAnsi="Century Gothic"/>
        </w:rPr>
        <w:t>Se dispone que el posesionario del lote 1 realice las obras de mitigación correspondientes dentro de sus predios, las mismas deberán ser diseñadas y realizadas por un técnico competente en la materia, quien que será corresponsable de la seguridad y funcionalidad del mismo.</w:t>
      </w:r>
    </w:p>
    <w:p w14:paraId="0AA7F251" w14:textId="44759F03" w:rsidR="005D70A2" w:rsidRPr="005D70A2" w:rsidRDefault="005D70A2" w:rsidP="005D70A2">
      <w:pPr>
        <w:pStyle w:val="Prrafodelista"/>
        <w:numPr>
          <w:ilvl w:val="0"/>
          <w:numId w:val="4"/>
        </w:numPr>
        <w:jc w:val="both"/>
        <w:rPr>
          <w:rFonts w:ascii="Century Gothic" w:hAnsi="Century Gothic"/>
        </w:rPr>
      </w:pPr>
      <w:r w:rsidRPr="005D70A2">
        <w:rPr>
          <w:rFonts w:ascii="Century Gothic" w:hAnsi="Century Gothic"/>
        </w:rPr>
        <w:t>Se dispone que los propietarios y/o posesionarios del AHHC,</w:t>
      </w:r>
      <w:r>
        <w:rPr>
          <w:rFonts w:ascii="Century Gothic" w:hAnsi="Century Gothic"/>
        </w:rPr>
        <w:t xml:space="preserve"> </w:t>
      </w:r>
      <w:r w:rsidRPr="005D70A2">
        <w:rPr>
          <w:rFonts w:ascii="Century Gothic" w:hAnsi="Century Gothic"/>
        </w:rPr>
        <w:t xml:space="preserve">no construyan más viviendas en el macro lote evaluado, ni aumenten pisos/ plantas sobre las edificaciones existentes, hasta que el proceso de regularización del asentamiento culmine y se determine su normativa de edificabilidad específica que deberá constar en sus respectivos Informes </w:t>
      </w:r>
      <w:r w:rsidRPr="005D70A2">
        <w:rPr>
          <w:rFonts w:ascii="Century Gothic" w:hAnsi="Century Gothic"/>
        </w:rPr>
        <w:lastRenderedPageBreak/>
        <w:t>de Regulación Metropolitana (IRM), previa emisión de la licencia de construcción de la autoridad competente que es la Secretaría de Territorio, Hábitat y Vivienda (STHV).</w:t>
      </w:r>
    </w:p>
    <w:p w14:paraId="1DE207F7" w14:textId="77777777" w:rsidR="005D70A2" w:rsidRDefault="005D70A2" w:rsidP="005D70A2">
      <w:pPr>
        <w:jc w:val="both"/>
        <w:rPr>
          <w:rFonts w:ascii="Century Gothic" w:hAnsi="Century Gothic"/>
        </w:rPr>
      </w:pPr>
      <w:r w:rsidRPr="005D70A2">
        <w:rPr>
          <w:rFonts w:ascii="Century Gothic" w:hAnsi="Century Gothic"/>
        </w:rPr>
        <w:t>La Unidad Especial Regula Tu Barrio deberá comunicar a la comunidad del AHHYC “San Miguel de Collacoto 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14F8EAB1" w14:textId="6F62018A" w:rsidR="00A70C60" w:rsidRPr="00A70C60" w:rsidRDefault="00A70C60" w:rsidP="005D70A2">
      <w:pPr>
        <w:jc w:val="center"/>
        <w:rPr>
          <w:rFonts w:ascii="Century Gothic" w:hAnsi="Century Gothic"/>
          <w:b/>
          <w:bCs/>
        </w:rPr>
      </w:pPr>
      <w:r w:rsidRPr="00A70C60">
        <w:rPr>
          <w:rFonts w:ascii="Century Gothic" w:hAnsi="Century Gothic"/>
          <w:b/>
          <w:bCs/>
        </w:rPr>
        <w:t>DISPOSICIÓN FINAL</w:t>
      </w:r>
      <w:r w:rsidR="00FA2CAE">
        <w:rPr>
          <w:rFonts w:ascii="Century Gothic" w:hAnsi="Century Gothic"/>
          <w:b/>
          <w:bCs/>
        </w:rPr>
        <w:t>.</w:t>
      </w:r>
    </w:p>
    <w:p w14:paraId="21E8211A" w14:textId="78128DB8" w:rsidR="002931C0" w:rsidRPr="002931C0" w:rsidRDefault="002931C0" w:rsidP="002931C0">
      <w:pPr>
        <w:jc w:val="both"/>
        <w:rPr>
          <w:rFonts w:ascii="Century Gothic" w:hAnsi="Century Gothic"/>
        </w:rPr>
      </w:pPr>
      <w:r w:rsidRPr="002931C0">
        <w:rPr>
          <w:rFonts w:ascii="Century Gothic" w:hAnsi="Century Gothic"/>
        </w:rPr>
        <w:t>Esta ordenanza entrará en vigencia a partir de la fecha de su sanción, sin perjuicio de su publicación en el Registro Oficial, Gaceta Municipal o la página web institucional de la Municipalidad.</w:t>
      </w:r>
    </w:p>
    <w:p w14:paraId="4E88E9AD" w14:textId="7EBF60A8" w:rsidR="002931C0" w:rsidRDefault="002931C0" w:rsidP="002931C0">
      <w:pPr>
        <w:jc w:val="both"/>
        <w:rPr>
          <w:rFonts w:ascii="Century Gothic" w:hAnsi="Century Gothic"/>
        </w:rPr>
      </w:pPr>
      <w:r w:rsidRPr="002931C0">
        <w:rPr>
          <w:rFonts w:ascii="Century Gothic" w:hAnsi="Century Gothic"/>
        </w:rPr>
        <w:t>Dada, en la Sala de Sesiones del Concejo Metropolitano de Quito, el</w:t>
      </w:r>
      <w:r w:rsidR="00A70C60">
        <w:rPr>
          <w:rFonts w:ascii="Century Gothic" w:hAnsi="Century Gothic"/>
        </w:rPr>
        <w:t xml:space="preserve"> </w:t>
      </w:r>
      <w:r w:rsidR="00A70C60" w:rsidRPr="002931C0">
        <w:rPr>
          <w:rFonts w:ascii="Century Gothic" w:hAnsi="Century Gothic"/>
        </w:rPr>
        <w:t>…</w:t>
      </w:r>
      <w:r w:rsidRPr="002931C0">
        <w:rPr>
          <w:rFonts w:ascii="Century Gothic" w:hAnsi="Century Gothic"/>
        </w:rPr>
        <w:t xml:space="preserve"> de …</w:t>
      </w:r>
      <w:r w:rsidR="00FA2CAE">
        <w:rPr>
          <w:rFonts w:ascii="Century Gothic" w:hAnsi="Century Gothic"/>
        </w:rPr>
        <w:t xml:space="preserve"> </w:t>
      </w:r>
      <w:r w:rsidRPr="002931C0">
        <w:rPr>
          <w:rFonts w:ascii="Century Gothic" w:hAnsi="Century Gothic"/>
        </w:rPr>
        <w:t>de 20</w:t>
      </w:r>
      <w:r w:rsidR="00A70C60">
        <w:rPr>
          <w:rFonts w:ascii="Century Gothic" w:hAnsi="Century Gothic"/>
        </w:rPr>
        <w:t>21</w:t>
      </w:r>
    </w:p>
    <w:p w14:paraId="7D60AE54" w14:textId="77777777" w:rsidR="00FA2CAE" w:rsidRPr="002931C0" w:rsidRDefault="00FA2CAE" w:rsidP="002931C0">
      <w:pPr>
        <w:jc w:val="both"/>
        <w:rPr>
          <w:rFonts w:ascii="Century Gothic" w:hAnsi="Century Gothic"/>
        </w:rPr>
      </w:pPr>
    </w:p>
    <w:p w14:paraId="75796790" w14:textId="77777777" w:rsidR="002931C0" w:rsidRPr="002931C0" w:rsidRDefault="002931C0" w:rsidP="00A70C60">
      <w:pPr>
        <w:spacing w:after="0"/>
        <w:jc w:val="center"/>
        <w:rPr>
          <w:rFonts w:ascii="Century Gothic" w:hAnsi="Century Gothic"/>
        </w:rPr>
      </w:pPr>
    </w:p>
    <w:p w14:paraId="4D86F7B9" w14:textId="77777777" w:rsidR="002931C0" w:rsidRPr="002931C0" w:rsidRDefault="002931C0" w:rsidP="00A70C60">
      <w:pPr>
        <w:spacing w:after="0"/>
        <w:jc w:val="center"/>
        <w:rPr>
          <w:rFonts w:ascii="Century Gothic" w:hAnsi="Century Gothic"/>
        </w:rPr>
      </w:pPr>
      <w:r w:rsidRPr="002931C0">
        <w:rPr>
          <w:rFonts w:ascii="Century Gothic" w:hAnsi="Century Gothic"/>
        </w:rPr>
        <w:t>Abg. Damaris Priscila Ortíz Pasuy</w:t>
      </w:r>
    </w:p>
    <w:p w14:paraId="4DDA4A26" w14:textId="77777777" w:rsidR="002931C0" w:rsidRPr="00A70C60" w:rsidRDefault="002931C0" w:rsidP="00A70C60">
      <w:pPr>
        <w:spacing w:after="0"/>
        <w:jc w:val="center"/>
        <w:rPr>
          <w:rFonts w:ascii="Century Gothic" w:hAnsi="Century Gothic"/>
          <w:b/>
          <w:bCs/>
        </w:rPr>
      </w:pPr>
      <w:r w:rsidRPr="00A70C60">
        <w:rPr>
          <w:rFonts w:ascii="Century Gothic" w:hAnsi="Century Gothic"/>
          <w:b/>
          <w:bCs/>
        </w:rPr>
        <w:t>SECRETARIA GENERAL DEL CONCEJO METROPOLITANO DE QUITO (E)</w:t>
      </w:r>
    </w:p>
    <w:p w14:paraId="4A5B7AC1" w14:textId="77777777" w:rsidR="002931C0" w:rsidRPr="002931C0" w:rsidRDefault="002931C0" w:rsidP="00A70C60">
      <w:pPr>
        <w:spacing w:after="0"/>
        <w:jc w:val="both"/>
        <w:rPr>
          <w:rFonts w:ascii="Century Gothic" w:hAnsi="Century Gothic"/>
        </w:rPr>
      </w:pPr>
    </w:p>
    <w:p w14:paraId="1945AE18" w14:textId="77777777" w:rsidR="00A70C60" w:rsidRDefault="00A70C60" w:rsidP="002931C0">
      <w:pPr>
        <w:jc w:val="both"/>
        <w:rPr>
          <w:rFonts w:ascii="Century Gothic" w:hAnsi="Century Gothic"/>
        </w:rPr>
      </w:pPr>
    </w:p>
    <w:tbl>
      <w:tblPr>
        <w:tblStyle w:val="Tablaconcuadrcula"/>
        <w:tblW w:w="0" w:type="auto"/>
        <w:jc w:val="center"/>
        <w:tblLook w:val="04A0" w:firstRow="1" w:lastRow="0" w:firstColumn="1" w:lastColumn="0" w:noHBand="0" w:noVBand="1"/>
      </w:tblPr>
      <w:tblGrid>
        <w:gridCol w:w="8494"/>
      </w:tblGrid>
      <w:tr w:rsidR="00A70C60" w:rsidRPr="00A70C60" w14:paraId="6D29E8C9" w14:textId="77777777" w:rsidTr="00A70C60">
        <w:trPr>
          <w:jc w:val="center"/>
        </w:trPr>
        <w:tc>
          <w:tcPr>
            <w:tcW w:w="8494" w:type="dxa"/>
          </w:tcPr>
          <w:p w14:paraId="7D70D860" w14:textId="77777777" w:rsidR="00A70C60" w:rsidRPr="00A70C60" w:rsidRDefault="00A70C60" w:rsidP="00A70C60">
            <w:pPr>
              <w:jc w:val="center"/>
              <w:rPr>
                <w:rFonts w:ascii="Century Gothic" w:hAnsi="Century Gothic"/>
                <w:b/>
                <w:bCs/>
              </w:rPr>
            </w:pPr>
            <w:r w:rsidRPr="00A70C60">
              <w:rPr>
                <w:rFonts w:ascii="Century Gothic" w:hAnsi="Century Gothic"/>
                <w:b/>
                <w:bCs/>
              </w:rPr>
              <w:t>CERTIFICADO DE DISCUSIÓN</w:t>
            </w:r>
          </w:p>
        </w:tc>
      </w:tr>
    </w:tbl>
    <w:p w14:paraId="397D4C7C" w14:textId="010CC049" w:rsidR="002931C0" w:rsidRPr="002931C0" w:rsidRDefault="002931C0" w:rsidP="002931C0">
      <w:pPr>
        <w:jc w:val="both"/>
        <w:rPr>
          <w:rFonts w:ascii="Century Gothic" w:hAnsi="Century Gothic"/>
        </w:rPr>
      </w:pPr>
      <w:r w:rsidRPr="002931C0">
        <w:rPr>
          <w:rFonts w:ascii="Century Gothic" w:hAnsi="Century Gothic"/>
        </w:rPr>
        <w:t>La infrascrita Secretaria General del Concejo Metropolitano de Quito, certifica que la presente ordenanza fue discutida y aprobada en dos debates, en sesiones de</w:t>
      </w:r>
      <w:r w:rsidR="00A70C60">
        <w:rPr>
          <w:rFonts w:ascii="Century Gothic" w:hAnsi="Century Gothic"/>
        </w:rPr>
        <w:t xml:space="preserve"> … </w:t>
      </w:r>
      <w:r w:rsidRPr="002931C0">
        <w:rPr>
          <w:rFonts w:ascii="Century Gothic" w:hAnsi="Century Gothic"/>
        </w:rPr>
        <w:t xml:space="preserve">de </w:t>
      </w:r>
      <w:r w:rsidR="00A70C60">
        <w:rPr>
          <w:rFonts w:ascii="Century Gothic" w:hAnsi="Century Gothic"/>
        </w:rPr>
        <w:t>..</w:t>
      </w:r>
      <w:r w:rsidRPr="002931C0">
        <w:rPr>
          <w:rFonts w:ascii="Century Gothic" w:hAnsi="Century Gothic"/>
        </w:rPr>
        <w:t xml:space="preserve">.  y </w:t>
      </w:r>
      <w:r w:rsidR="00A70C60">
        <w:rPr>
          <w:rFonts w:ascii="Century Gothic" w:hAnsi="Century Gothic"/>
        </w:rPr>
        <w:t>…</w:t>
      </w:r>
      <w:r w:rsidRPr="002931C0">
        <w:rPr>
          <w:rFonts w:ascii="Century Gothic" w:hAnsi="Century Gothic"/>
        </w:rPr>
        <w:t xml:space="preserve"> de </w:t>
      </w:r>
      <w:r w:rsidR="00A70C60">
        <w:rPr>
          <w:rFonts w:ascii="Century Gothic" w:hAnsi="Century Gothic"/>
        </w:rPr>
        <w:t>…</w:t>
      </w:r>
      <w:r w:rsidRPr="002931C0">
        <w:rPr>
          <w:rFonts w:ascii="Century Gothic" w:hAnsi="Century Gothic"/>
        </w:rPr>
        <w:t xml:space="preserve"> de 202</w:t>
      </w:r>
      <w:r w:rsidR="00A70C60">
        <w:rPr>
          <w:rFonts w:ascii="Century Gothic" w:hAnsi="Century Gothic"/>
        </w:rPr>
        <w:t xml:space="preserve">1 </w:t>
      </w:r>
      <w:r w:rsidRPr="002931C0">
        <w:rPr>
          <w:rFonts w:ascii="Century Gothic" w:hAnsi="Century Gothic"/>
        </w:rPr>
        <w:t>- Quito,</w:t>
      </w:r>
    </w:p>
    <w:p w14:paraId="16EC07D1" w14:textId="6FA7575D" w:rsidR="002931C0" w:rsidRDefault="002931C0" w:rsidP="002931C0">
      <w:pPr>
        <w:jc w:val="both"/>
        <w:rPr>
          <w:rFonts w:ascii="Century Gothic" w:hAnsi="Century Gothic"/>
        </w:rPr>
      </w:pPr>
    </w:p>
    <w:p w14:paraId="01CF6EE5" w14:textId="198E3583" w:rsidR="00FA2CAE" w:rsidRDefault="00FA2CAE" w:rsidP="002931C0">
      <w:pPr>
        <w:jc w:val="both"/>
        <w:rPr>
          <w:rFonts w:ascii="Century Gothic" w:hAnsi="Century Gothic"/>
        </w:rPr>
      </w:pPr>
    </w:p>
    <w:p w14:paraId="7FA78F2B" w14:textId="77777777" w:rsidR="00FA2CAE" w:rsidRPr="002931C0" w:rsidRDefault="00FA2CAE" w:rsidP="002931C0">
      <w:pPr>
        <w:jc w:val="both"/>
        <w:rPr>
          <w:rFonts w:ascii="Century Gothic" w:hAnsi="Century Gothic"/>
        </w:rPr>
      </w:pPr>
    </w:p>
    <w:p w14:paraId="77F49D70" w14:textId="77777777" w:rsidR="002931C0" w:rsidRPr="002931C0" w:rsidRDefault="002931C0" w:rsidP="00A70C60">
      <w:pPr>
        <w:spacing w:after="0"/>
        <w:jc w:val="center"/>
        <w:rPr>
          <w:rFonts w:ascii="Century Gothic" w:hAnsi="Century Gothic"/>
        </w:rPr>
      </w:pPr>
      <w:r w:rsidRPr="002931C0">
        <w:rPr>
          <w:rFonts w:ascii="Century Gothic" w:hAnsi="Century Gothic"/>
        </w:rPr>
        <w:t>Abg. Damaris Priscila Ortíz Pasuy</w:t>
      </w:r>
    </w:p>
    <w:p w14:paraId="7E48BA95" w14:textId="77777777" w:rsidR="002931C0" w:rsidRPr="00A70C60" w:rsidRDefault="002931C0" w:rsidP="00A70C60">
      <w:pPr>
        <w:spacing w:after="0"/>
        <w:jc w:val="center"/>
        <w:rPr>
          <w:rFonts w:ascii="Century Gothic" w:hAnsi="Century Gothic"/>
          <w:b/>
          <w:bCs/>
        </w:rPr>
      </w:pPr>
      <w:r w:rsidRPr="00A70C60">
        <w:rPr>
          <w:rFonts w:ascii="Century Gothic" w:hAnsi="Century Gothic"/>
          <w:b/>
          <w:bCs/>
        </w:rPr>
        <w:t>SECRETARIA GENERAL DEL CONCEJO METROPOLITANO DE QUITO (E)</w:t>
      </w:r>
    </w:p>
    <w:p w14:paraId="472AF1B8" w14:textId="77777777" w:rsidR="002931C0" w:rsidRPr="002931C0" w:rsidRDefault="002931C0" w:rsidP="002931C0">
      <w:pPr>
        <w:jc w:val="both"/>
        <w:rPr>
          <w:rFonts w:ascii="Century Gothic" w:hAnsi="Century Gothic"/>
        </w:rPr>
      </w:pPr>
    </w:p>
    <w:p w14:paraId="5ECCE5DD" w14:textId="12346BED" w:rsidR="002931C0" w:rsidRPr="002931C0" w:rsidRDefault="002931C0" w:rsidP="00ED13B7">
      <w:pPr>
        <w:spacing w:after="0"/>
        <w:jc w:val="center"/>
        <w:rPr>
          <w:rFonts w:ascii="Century Gothic" w:hAnsi="Century Gothic"/>
        </w:rPr>
      </w:pPr>
      <w:r w:rsidRPr="00ED13B7">
        <w:rPr>
          <w:rFonts w:ascii="Century Gothic" w:hAnsi="Century Gothic"/>
          <w:b/>
          <w:bCs/>
        </w:rPr>
        <w:t>ALCALDÍA DEL DISTRITO METROPOLITANO. -</w:t>
      </w:r>
      <w:r w:rsidRPr="002931C0">
        <w:rPr>
          <w:rFonts w:ascii="Century Gothic" w:hAnsi="Century Gothic"/>
        </w:rPr>
        <w:t xml:space="preserve">  Distrito Metropolitano de Quito,</w:t>
      </w:r>
    </w:p>
    <w:p w14:paraId="759B2BF8" w14:textId="77777777" w:rsidR="002931C0" w:rsidRPr="00ED13B7" w:rsidRDefault="002931C0" w:rsidP="00ED13B7">
      <w:pPr>
        <w:spacing w:after="0"/>
        <w:jc w:val="center"/>
        <w:rPr>
          <w:rFonts w:ascii="Century Gothic" w:hAnsi="Century Gothic"/>
          <w:b/>
          <w:bCs/>
        </w:rPr>
      </w:pPr>
      <w:r w:rsidRPr="00ED13B7">
        <w:rPr>
          <w:rFonts w:ascii="Century Gothic" w:hAnsi="Century Gothic"/>
          <w:b/>
          <w:bCs/>
        </w:rPr>
        <w:t>EJECÚTESE:</w:t>
      </w:r>
    </w:p>
    <w:p w14:paraId="416CB9D8" w14:textId="77777777" w:rsidR="002931C0" w:rsidRPr="002931C0" w:rsidRDefault="002931C0" w:rsidP="002931C0">
      <w:pPr>
        <w:jc w:val="both"/>
        <w:rPr>
          <w:rFonts w:ascii="Century Gothic" w:hAnsi="Century Gothic"/>
        </w:rPr>
      </w:pPr>
    </w:p>
    <w:p w14:paraId="03227614" w14:textId="0DDDEE15" w:rsidR="002931C0" w:rsidRDefault="002931C0" w:rsidP="00ED13B7">
      <w:pPr>
        <w:jc w:val="center"/>
        <w:rPr>
          <w:rFonts w:ascii="Century Gothic" w:hAnsi="Century Gothic"/>
        </w:rPr>
      </w:pPr>
    </w:p>
    <w:p w14:paraId="16035986" w14:textId="77777777" w:rsidR="00FA2CAE" w:rsidRPr="002931C0" w:rsidRDefault="00FA2CAE" w:rsidP="00ED13B7">
      <w:pPr>
        <w:jc w:val="center"/>
        <w:rPr>
          <w:rFonts w:ascii="Century Gothic" w:hAnsi="Century Gothic"/>
        </w:rPr>
      </w:pPr>
    </w:p>
    <w:p w14:paraId="5C18923D" w14:textId="77777777" w:rsidR="002931C0" w:rsidRPr="002931C0" w:rsidRDefault="002931C0" w:rsidP="00ED13B7">
      <w:pPr>
        <w:spacing w:after="0"/>
        <w:jc w:val="center"/>
        <w:rPr>
          <w:rFonts w:ascii="Century Gothic" w:hAnsi="Century Gothic"/>
        </w:rPr>
      </w:pPr>
      <w:r w:rsidRPr="002931C0">
        <w:rPr>
          <w:rFonts w:ascii="Century Gothic" w:hAnsi="Century Gothic"/>
        </w:rPr>
        <w:t>Dr. Jorge Yunda Machado</w:t>
      </w:r>
    </w:p>
    <w:p w14:paraId="35AF181D" w14:textId="77777777" w:rsidR="002931C0" w:rsidRPr="00ED13B7" w:rsidRDefault="002931C0" w:rsidP="00ED13B7">
      <w:pPr>
        <w:spacing w:after="0"/>
        <w:jc w:val="center"/>
        <w:rPr>
          <w:rFonts w:ascii="Century Gothic" w:hAnsi="Century Gothic"/>
          <w:b/>
          <w:bCs/>
        </w:rPr>
      </w:pPr>
      <w:r w:rsidRPr="00ED13B7">
        <w:rPr>
          <w:rFonts w:ascii="Century Gothic" w:hAnsi="Century Gothic"/>
          <w:b/>
          <w:bCs/>
        </w:rPr>
        <w:t>ALCALDE DEL DISTRITO METROPOLITANO DE QUITO</w:t>
      </w:r>
    </w:p>
    <w:p w14:paraId="4DBF3BAA" w14:textId="77777777" w:rsidR="002931C0" w:rsidRPr="002931C0" w:rsidRDefault="002931C0" w:rsidP="002931C0">
      <w:pPr>
        <w:jc w:val="both"/>
        <w:rPr>
          <w:rFonts w:ascii="Century Gothic" w:hAnsi="Century Gothic"/>
        </w:rPr>
      </w:pPr>
    </w:p>
    <w:p w14:paraId="716CBC23" w14:textId="5214FA4F" w:rsidR="002931C0" w:rsidRPr="002931C0" w:rsidRDefault="002931C0" w:rsidP="00BA4480">
      <w:pPr>
        <w:jc w:val="both"/>
        <w:rPr>
          <w:rFonts w:ascii="Century Gothic" w:hAnsi="Century Gothic"/>
        </w:rPr>
      </w:pPr>
      <w:r w:rsidRPr="00ED13B7">
        <w:rPr>
          <w:rFonts w:ascii="Century Gothic" w:hAnsi="Century Gothic"/>
          <w:b/>
          <w:bCs/>
        </w:rPr>
        <w:lastRenderedPageBreak/>
        <w:t>CERTIFICO</w:t>
      </w:r>
      <w:r w:rsidRPr="002931C0">
        <w:rPr>
          <w:rFonts w:ascii="Century Gothic" w:hAnsi="Century Gothic"/>
        </w:rPr>
        <w:t>, que la presente ordenanza fue sancionada por el Dr. Jorge Yunda Machado,</w:t>
      </w:r>
      <w:r w:rsidR="00ED13B7">
        <w:rPr>
          <w:rFonts w:ascii="Century Gothic" w:hAnsi="Century Gothic"/>
        </w:rPr>
        <w:t xml:space="preserve"> a</w:t>
      </w:r>
      <w:r w:rsidRPr="002931C0">
        <w:rPr>
          <w:rFonts w:ascii="Century Gothic" w:hAnsi="Century Gothic"/>
        </w:rPr>
        <w:t>lcalde del Distrito Metropolitano de Quito, el</w:t>
      </w:r>
      <w:r w:rsidR="00ED13B7">
        <w:rPr>
          <w:rFonts w:ascii="Century Gothic" w:hAnsi="Century Gothic"/>
        </w:rPr>
        <w:t xml:space="preserve"> … de … de … . </w:t>
      </w:r>
      <w:r w:rsidRPr="002931C0">
        <w:rPr>
          <w:rFonts w:ascii="Century Gothic" w:hAnsi="Century Gothic"/>
        </w:rPr>
        <w:t>- Distrito Metropolitano de Quito</w:t>
      </w:r>
      <w:r w:rsidR="00ED13B7">
        <w:rPr>
          <w:rFonts w:ascii="Century Gothic" w:hAnsi="Century Gothic"/>
        </w:rPr>
        <w:t>.</w:t>
      </w:r>
    </w:p>
    <w:sectPr w:rsidR="002931C0" w:rsidRPr="002931C0">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14AF7" w14:textId="77777777" w:rsidR="0096280F" w:rsidRDefault="0096280F" w:rsidP="002931C0">
      <w:pPr>
        <w:spacing w:after="0" w:line="240" w:lineRule="auto"/>
      </w:pPr>
      <w:r>
        <w:separator/>
      </w:r>
    </w:p>
  </w:endnote>
  <w:endnote w:type="continuationSeparator" w:id="0">
    <w:p w14:paraId="36535607" w14:textId="77777777" w:rsidR="0096280F" w:rsidRDefault="0096280F" w:rsidP="002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B45B" w14:textId="77777777" w:rsidR="00ED13B7" w:rsidRPr="00FA2CAE" w:rsidRDefault="00ED13B7">
    <w:pPr>
      <w:pStyle w:val="Piedepgina"/>
      <w:jc w:val="center"/>
      <w:rPr>
        <w:rFonts w:ascii="Century Gothic" w:hAnsi="Century Gothic"/>
      </w:rPr>
    </w:pPr>
    <w:r w:rsidRPr="00FA2CAE">
      <w:rPr>
        <w:rFonts w:ascii="Century Gothic" w:hAnsi="Century Gothic"/>
        <w:lang w:val="es-ES"/>
      </w:rPr>
      <w:t xml:space="preserve">Página </w:t>
    </w:r>
    <w:r w:rsidRPr="00FA2CAE">
      <w:rPr>
        <w:rFonts w:ascii="Century Gothic" w:hAnsi="Century Gothic"/>
      </w:rPr>
      <w:fldChar w:fldCharType="begin"/>
    </w:r>
    <w:r w:rsidRPr="00FA2CAE">
      <w:rPr>
        <w:rFonts w:ascii="Century Gothic" w:hAnsi="Century Gothic"/>
      </w:rPr>
      <w:instrText>PAGE  \* Arabic  \* MERGEFORMAT</w:instrText>
    </w:r>
    <w:r w:rsidRPr="00FA2CAE">
      <w:rPr>
        <w:rFonts w:ascii="Century Gothic" w:hAnsi="Century Gothic"/>
      </w:rPr>
      <w:fldChar w:fldCharType="separate"/>
    </w:r>
    <w:r w:rsidR="00F40EE6" w:rsidRPr="00F40EE6">
      <w:rPr>
        <w:rFonts w:ascii="Century Gothic" w:hAnsi="Century Gothic"/>
        <w:noProof/>
        <w:lang w:val="es-ES"/>
      </w:rPr>
      <w:t>1</w:t>
    </w:r>
    <w:r w:rsidRPr="00FA2CAE">
      <w:rPr>
        <w:rFonts w:ascii="Century Gothic" w:hAnsi="Century Gothic"/>
      </w:rPr>
      <w:fldChar w:fldCharType="end"/>
    </w:r>
    <w:r w:rsidRPr="00FA2CAE">
      <w:rPr>
        <w:rFonts w:ascii="Century Gothic" w:hAnsi="Century Gothic"/>
        <w:lang w:val="es-ES"/>
      </w:rPr>
      <w:t xml:space="preserve"> de </w:t>
    </w:r>
    <w:r w:rsidRPr="00FA2CAE">
      <w:rPr>
        <w:rFonts w:ascii="Century Gothic" w:hAnsi="Century Gothic"/>
      </w:rPr>
      <w:fldChar w:fldCharType="begin"/>
    </w:r>
    <w:r w:rsidRPr="00FA2CAE">
      <w:rPr>
        <w:rFonts w:ascii="Century Gothic" w:hAnsi="Century Gothic"/>
      </w:rPr>
      <w:instrText>NUMPAGES  \* Arabic  \* MERGEFORMAT</w:instrText>
    </w:r>
    <w:r w:rsidRPr="00FA2CAE">
      <w:rPr>
        <w:rFonts w:ascii="Century Gothic" w:hAnsi="Century Gothic"/>
      </w:rPr>
      <w:fldChar w:fldCharType="separate"/>
    </w:r>
    <w:r w:rsidR="00F40EE6" w:rsidRPr="00F40EE6">
      <w:rPr>
        <w:rFonts w:ascii="Century Gothic" w:hAnsi="Century Gothic"/>
        <w:noProof/>
        <w:lang w:val="es-ES"/>
      </w:rPr>
      <w:t>13</w:t>
    </w:r>
    <w:r w:rsidRPr="00FA2CAE">
      <w:rPr>
        <w:rFonts w:ascii="Century Gothic" w:hAnsi="Century Gothic"/>
      </w:rPr>
      <w:fldChar w:fldCharType="end"/>
    </w:r>
  </w:p>
  <w:p w14:paraId="3DCC6EE8" w14:textId="77777777" w:rsidR="00ED13B7" w:rsidRDefault="00ED13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9A544" w14:textId="77777777" w:rsidR="0096280F" w:rsidRDefault="0096280F" w:rsidP="002931C0">
      <w:pPr>
        <w:spacing w:after="0" w:line="240" w:lineRule="auto"/>
      </w:pPr>
      <w:r>
        <w:separator/>
      </w:r>
    </w:p>
  </w:footnote>
  <w:footnote w:type="continuationSeparator" w:id="0">
    <w:p w14:paraId="1926159E" w14:textId="77777777" w:rsidR="0096280F" w:rsidRDefault="0096280F" w:rsidP="00293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D0E9" w14:textId="2AA005DE" w:rsidR="006E0E33" w:rsidRDefault="0096280F">
    <w:pPr>
      <w:pStyle w:val="Encabezado"/>
    </w:pPr>
    <w:r>
      <w:rPr>
        <w:noProof/>
      </w:rPr>
      <w:pict w14:anchorId="59D7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56860" o:spid="_x0000_s2053" type="#_x0000_t136" style="position:absolute;margin-left:0;margin-top:0;width:499.55pt;height:99.9pt;rotation:315;z-index:-251655168;mso-position-horizontal:center;mso-position-horizontal-relative:margin;mso-position-vertical:center;mso-position-vertical-relative:margin" o:allowincell="f" fillcolor="#9cc2e5 [1944]" stroked="f">
          <v:fill opacity=".5"/>
          <v:textpath style="font-family:&quot;Century Gothic&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ADA2" w14:textId="506E2094" w:rsidR="002931C0" w:rsidRPr="004F1336" w:rsidRDefault="0096280F" w:rsidP="002931C0">
    <w:pPr>
      <w:pStyle w:val="Encabezado"/>
      <w:jc w:val="center"/>
      <w:rPr>
        <w:rFonts w:ascii="Century Gothic" w:hAnsi="Century Gothic"/>
      </w:rPr>
    </w:pPr>
    <w:r>
      <w:rPr>
        <w:rFonts w:ascii="Century Gothic" w:hAnsi="Century Gothic"/>
        <w:noProof/>
      </w:rPr>
      <w:pict w14:anchorId="77645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56861" o:spid="_x0000_s2054" type="#_x0000_t136" style="position:absolute;left:0;text-align:left;margin-left:0;margin-top:0;width:499.55pt;height:99.9pt;rotation:315;z-index:-251653120;mso-position-horizontal:center;mso-position-horizontal-relative:margin;mso-position-vertical:center;mso-position-vertical-relative:margin" o:allowincell="f" fillcolor="#9cc2e5 [1944]" stroked="f">
          <v:fill opacity=".5"/>
          <v:textpath style="font-family:&quot;Century Gothic&quot;;font-size:1pt" string="BORRADOR"/>
          <w10:wrap anchorx="margin" anchory="margin"/>
        </v:shape>
      </w:pict>
    </w:r>
    <w:r w:rsidR="004F1336" w:rsidRPr="004F1336">
      <w:rPr>
        <w:rFonts w:ascii="Century Gothic" w:hAnsi="Century Gothic"/>
      </w:rPr>
      <w:t>ORDENANZA NRO.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E7B7B" w14:textId="7C6611B5" w:rsidR="006E0E33" w:rsidRDefault="0096280F">
    <w:pPr>
      <w:pStyle w:val="Encabezado"/>
    </w:pPr>
    <w:r>
      <w:rPr>
        <w:noProof/>
      </w:rPr>
      <w:pict w14:anchorId="6247E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56859" o:spid="_x0000_s2052" type="#_x0000_t136" style="position:absolute;margin-left:0;margin-top:0;width:499.55pt;height:99.9pt;rotation:315;z-index:-251657216;mso-position-horizontal:center;mso-position-horizontal-relative:margin;mso-position-vertical:center;mso-position-vertical-relative:margin" o:allowincell="f" fillcolor="#9cc2e5 [1944]" stroked="f">
          <v:fill opacity=".5"/>
          <v:textpath style="font-family:&quot;Century Gothic&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60D4"/>
    <w:multiLevelType w:val="hybridMultilevel"/>
    <w:tmpl w:val="C58E69B4"/>
    <w:lvl w:ilvl="0" w:tplc="D71C0118">
      <w:numFmt w:val="bullet"/>
      <w:lvlText w:val="•"/>
      <w:lvlJc w:val="left"/>
      <w:pPr>
        <w:ind w:left="1065" w:hanging="705"/>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4E7320F"/>
    <w:multiLevelType w:val="hybridMultilevel"/>
    <w:tmpl w:val="2FF2AC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6C698E"/>
    <w:multiLevelType w:val="hybridMultilevel"/>
    <w:tmpl w:val="AA6EB59A"/>
    <w:lvl w:ilvl="0" w:tplc="D71C0118">
      <w:numFmt w:val="bullet"/>
      <w:lvlText w:val="•"/>
      <w:lvlJc w:val="left"/>
      <w:pPr>
        <w:ind w:left="1065" w:hanging="705"/>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D994AD7"/>
    <w:multiLevelType w:val="hybridMultilevel"/>
    <w:tmpl w:val="86608D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9A"/>
    <w:rsid w:val="000E0985"/>
    <w:rsid w:val="001D0A28"/>
    <w:rsid w:val="001F2AFF"/>
    <w:rsid w:val="002810AC"/>
    <w:rsid w:val="002862BC"/>
    <w:rsid w:val="002931C0"/>
    <w:rsid w:val="002D2D9A"/>
    <w:rsid w:val="003A1C94"/>
    <w:rsid w:val="003D34A3"/>
    <w:rsid w:val="003D58E2"/>
    <w:rsid w:val="003F6F37"/>
    <w:rsid w:val="004359F1"/>
    <w:rsid w:val="00472F86"/>
    <w:rsid w:val="004C6F79"/>
    <w:rsid w:val="004F1336"/>
    <w:rsid w:val="00581EC0"/>
    <w:rsid w:val="005D70A2"/>
    <w:rsid w:val="006951B1"/>
    <w:rsid w:val="006E0E33"/>
    <w:rsid w:val="00913B08"/>
    <w:rsid w:val="00933E9A"/>
    <w:rsid w:val="0096280F"/>
    <w:rsid w:val="00A70C60"/>
    <w:rsid w:val="00B16BBC"/>
    <w:rsid w:val="00B37309"/>
    <w:rsid w:val="00B66B11"/>
    <w:rsid w:val="00BA4480"/>
    <w:rsid w:val="00BD6238"/>
    <w:rsid w:val="00D04CE7"/>
    <w:rsid w:val="00EB375A"/>
    <w:rsid w:val="00ED13B7"/>
    <w:rsid w:val="00F061CD"/>
    <w:rsid w:val="00F40EE6"/>
    <w:rsid w:val="00FA2C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E193E"/>
  <w15:chartTrackingRefBased/>
  <w15:docId w15:val="{F280B6ED-B261-4874-89EE-4026FA92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31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1C0"/>
  </w:style>
  <w:style w:type="paragraph" w:styleId="Piedepgina">
    <w:name w:val="footer"/>
    <w:basedOn w:val="Normal"/>
    <w:link w:val="PiedepginaCar"/>
    <w:uiPriority w:val="99"/>
    <w:unhideWhenUsed/>
    <w:rsid w:val="00293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1C0"/>
  </w:style>
  <w:style w:type="paragraph" w:styleId="Prrafodelista">
    <w:name w:val="List Paragraph"/>
    <w:basedOn w:val="Normal"/>
    <w:uiPriority w:val="34"/>
    <w:qFormat/>
    <w:rsid w:val="00A70C60"/>
    <w:pPr>
      <w:ind w:left="720"/>
      <w:contextualSpacing/>
    </w:pPr>
  </w:style>
  <w:style w:type="table" w:styleId="Tablaconcuadrcula">
    <w:name w:val="Table Grid"/>
    <w:basedOn w:val="Tablanormal"/>
    <w:uiPriority w:val="59"/>
    <w:rsid w:val="00A7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F1336"/>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F13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95731">
      <w:bodyDiv w:val="1"/>
      <w:marLeft w:val="0"/>
      <w:marRight w:val="0"/>
      <w:marTop w:val="0"/>
      <w:marBottom w:val="0"/>
      <w:divBdr>
        <w:top w:val="none" w:sz="0" w:space="0" w:color="auto"/>
        <w:left w:val="none" w:sz="0" w:space="0" w:color="auto"/>
        <w:bottom w:val="none" w:sz="0" w:space="0" w:color="auto"/>
        <w:right w:val="none" w:sz="0" w:space="0" w:color="auto"/>
      </w:divBdr>
      <w:divsChild>
        <w:div w:id="1347173863">
          <w:marLeft w:val="0"/>
          <w:marRight w:val="0"/>
          <w:marTop w:val="0"/>
          <w:marBottom w:val="0"/>
          <w:divBdr>
            <w:top w:val="none" w:sz="0" w:space="0" w:color="auto"/>
            <w:left w:val="none" w:sz="0" w:space="0" w:color="auto"/>
            <w:bottom w:val="none" w:sz="0" w:space="0" w:color="auto"/>
            <w:right w:val="none" w:sz="0" w:space="0" w:color="auto"/>
          </w:divBdr>
        </w:div>
        <w:div w:id="1881160120">
          <w:marLeft w:val="0"/>
          <w:marRight w:val="0"/>
          <w:marTop w:val="0"/>
          <w:marBottom w:val="0"/>
          <w:divBdr>
            <w:top w:val="none" w:sz="0" w:space="0" w:color="auto"/>
            <w:left w:val="none" w:sz="0" w:space="0" w:color="auto"/>
            <w:bottom w:val="none" w:sz="0" w:space="0" w:color="auto"/>
            <w:right w:val="none" w:sz="0" w:space="0" w:color="auto"/>
          </w:divBdr>
        </w:div>
        <w:div w:id="1838838341">
          <w:marLeft w:val="0"/>
          <w:marRight w:val="0"/>
          <w:marTop w:val="0"/>
          <w:marBottom w:val="0"/>
          <w:divBdr>
            <w:top w:val="none" w:sz="0" w:space="0" w:color="auto"/>
            <w:left w:val="none" w:sz="0" w:space="0" w:color="auto"/>
            <w:bottom w:val="none" w:sz="0" w:space="0" w:color="auto"/>
            <w:right w:val="none" w:sz="0" w:space="0" w:color="auto"/>
          </w:divBdr>
        </w:div>
        <w:div w:id="2033066793">
          <w:marLeft w:val="0"/>
          <w:marRight w:val="0"/>
          <w:marTop w:val="0"/>
          <w:marBottom w:val="0"/>
          <w:divBdr>
            <w:top w:val="none" w:sz="0" w:space="0" w:color="auto"/>
            <w:left w:val="none" w:sz="0" w:space="0" w:color="auto"/>
            <w:bottom w:val="none" w:sz="0" w:space="0" w:color="auto"/>
            <w:right w:val="none" w:sz="0" w:space="0" w:color="auto"/>
          </w:divBdr>
        </w:div>
        <w:div w:id="1751341920">
          <w:marLeft w:val="0"/>
          <w:marRight w:val="0"/>
          <w:marTop w:val="0"/>
          <w:marBottom w:val="0"/>
          <w:divBdr>
            <w:top w:val="none" w:sz="0" w:space="0" w:color="auto"/>
            <w:left w:val="none" w:sz="0" w:space="0" w:color="auto"/>
            <w:bottom w:val="none" w:sz="0" w:space="0" w:color="auto"/>
            <w:right w:val="none" w:sz="0" w:space="0" w:color="auto"/>
          </w:divBdr>
        </w:div>
        <w:div w:id="443110348">
          <w:marLeft w:val="0"/>
          <w:marRight w:val="0"/>
          <w:marTop w:val="0"/>
          <w:marBottom w:val="0"/>
          <w:divBdr>
            <w:top w:val="none" w:sz="0" w:space="0" w:color="auto"/>
            <w:left w:val="none" w:sz="0" w:space="0" w:color="auto"/>
            <w:bottom w:val="none" w:sz="0" w:space="0" w:color="auto"/>
            <w:right w:val="none" w:sz="0" w:space="0" w:color="auto"/>
          </w:divBdr>
        </w:div>
        <w:div w:id="1572816089">
          <w:marLeft w:val="0"/>
          <w:marRight w:val="0"/>
          <w:marTop w:val="0"/>
          <w:marBottom w:val="0"/>
          <w:divBdr>
            <w:top w:val="none" w:sz="0" w:space="0" w:color="auto"/>
            <w:left w:val="none" w:sz="0" w:space="0" w:color="auto"/>
            <w:bottom w:val="none" w:sz="0" w:space="0" w:color="auto"/>
            <w:right w:val="none" w:sz="0" w:space="0" w:color="auto"/>
          </w:divBdr>
        </w:div>
        <w:div w:id="1457141401">
          <w:marLeft w:val="0"/>
          <w:marRight w:val="0"/>
          <w:marTop w:val="0"/>
          <w:marBottom w:val="0"/>
          <w:divBdr>
            <w:top w:val="none" w:sz="0" w:space="0" w:color="auto"/>
            <w:left w:val="none" w:sz="0" w:space="0" w:color="auto"/>
            <w:bottom w:val="none" w:sz="0" w:space="0" w:color="auto"/>
            <w:right w:val="none" w:sz="0" w:space="0" w:color="auto"/>
          </w:divBdr>
        </w:div>
        <w:div w:id="867572427">
          <w:marLeft w:val="0"/>
          <w:marRight w:val="0"/>
          <w:marTop w:val="0"/>
          <w:marBottom w:val="0"/>
          <w:divBdr>
            <w:top w:val="none" w:sz="0" w:space="0" w:color="auto"/>
            <w:left w:val="none" w:sz="0" w:space="0" w:color="auto"/>
            <w:bottom w:val="none" w:sz="0" w:space="0" w:color="auto"/>
            <w:right w:val="none" w:sz="0" w:space="0" w:color="auto"/>
          </w:divBdr>
        </w:div>
        <w:div w:id="9722766">
          <w:marLeft w:val="0"/>
          <w:marRight w:val="0"/>
          <w:marTop w:val="0"/>
          <w:marBottom w:val="0"/>
          <w:divBdr>
            <w:top w:val="none" w:sz="0" w:space="0" w:color="auto"/>
            <w:left w:val="none" w:sz="0" w:space="0" w:color="auto"/>
            <w:bottom w:val="none" w:sz="0" w:space="0" w:color="auto"/>
            <w:right w:val="none" w:sz="0" w:space="0" w:color="auto"/>
          </w:divBdr>
        </w:div>
        <w:div w:id="1801682144">
          <w:marLeft w:val="0"/>
          <w:marRight w:val="0"/>
          <w:marTop w:val="0"/>
          <w:marBottom w:val="0"/>
          <w:divBdr>
            <w:top w:val="none" w:sz="0" w:space="0" w:color="auto"/>
            <w:left w:val="none" w:sz="0" w:space="0" w:color="auto"/>
            <w:bottom w:val="none" w:sz="0" w:space="0" w:color="auto"/>
            <w:right w:val="none" w:sz="0" w:space="0" w:color="auto"/>
          </w:divBdr>
        </w:div>
        <w:div w:id="1095831686">
          <w:marLeft w:val="0"/>
          <w:marRight w:val="0"/>
          <w:marTop w:val="0"/>
          <w:marBottom w:val="0"/>
          <w:divBdr>
            <w:top w:val="none" w:sz="0" w:space="0" w:color="auto"/>
            <w:left w:val="none" w:sz="0" w:space="0" w:color="auto"/>
            <w:bottom w:val="none" w:sz="0" w:space="0" w:color="auto"/>
            <w:right w:val="none" w:sz="0" w:space="0" w:color="auto"/>
          </w:divBdr>
        </w:div>
        <w:div w:id="2053574585">
          <w:marLeft w:val="0"/>
          <w:marRight w:val="0"/>
          <w:marTop w:val="0"/>
          <w:marBottom w:val="0"/>
          <w:divBdr>
            <w:top w:val="none" w:sz="0" w:space="0" w:color="auto"/>
            <w:left w:val="none" w:sz="0" w:space="0" w:color="auto"/>
            <w:bottom w:val="none" w:sz="0" w:space="0" w:color="auto"/>
            <w:right w:val="none" w:sz="0" w:space="0" w:color="auto"/>
          </w:divBdr>
        </w:div>
        <w:div w:id="995719155">
          <w:marLeft w:val="0"/>
          <w:marRight w:val="0"/>
          <w:marTop w:val="0"/>
          <w:marBottom w:val="0"/>
          <w:divBdr>
            <w:top w:val="none" w:sz="0" w:space="0" w:color="auto"/>
            <w:left w:val="none" w:sz="0" w:space="0" w:color="auto"/>
            <w:bottom w:val="none" w:sz="0" w:space="0" w:color="auto"/>
            <w:right w:val="none" w:sz="0" w:space="0" w:color="auto"/>
          </w:divBdr>
        </w:div>
        <w:div w:id="1634098518">
          <w:marLeft w:val="0"/>
          <w:marRight w:val="0"/>
          <w:marTop w:val="0"/>
          <w:marBottom w:val="0"/>
          <w:divBdr>
            <w:top w:val="none" w:sz="0" w:space="0" w:color="auto"/>
            <w:left w:val="none" w:sz="0" w:space="0" w:color="auto"/>
            <w:bottom w:val="none" w:sz="0" w:space="0" w:color="auto"/>
            <w:right w:val="none" w:sz="0" w:space="0" w:color="auto"/>
          </w:divBdr>
        </w:div>
        <w:div w:id="1277758654">
          <w:marLeft w:val="0"/>
          <w:marRight w:val="0"/>
          <w:marTop w:val="0"/>
          <w:marBottom w:val="0"/>
          <w:divBdr>
            <w:top w:val="none" w:sz="0" w:space="0" w:color="auto"/>
            <w:left w:val="none" w:sz="0" w:space="0" w:color="auto"/>
            <w:bottom w:val="none" w:sz="0" w:space="0" w:color="auto"/>
            <w:right w:val="none" w:sz="0" w:space="0" w:color="auto"/>
          </w:divBdr>
        </w:div>
        <w:div w:id="1527790828">
          <w:marLeft w:val="0"/>
          <w:marRight w:val="0"/>
          <w:marTop w:val="0"/>
          <w:marBottom w:val="0"/>
          <w:divBdr>
            <w:top w:val="none" w:sz="0" w:space="0" w:color="auto"/>
            <w:left w:val="none" w:sz="0" w:space="0" w:color="auto"/>
            <w:bottom w:val="none" w:sz="0" w:space="0" w:color="auto"/>
            <w:right w:val="none" w:sz="0" w:space="0" w:color="auto"/>
          </w:divBdr>
        </w:div>
        <w:div w:id="1211570214">
          <w:marLeft w:val="0"/>
          <w:marRight w:val="0"/>
          <w:marTop w:val="0"/>
          <w:marBottom w:val="0"/>
          <w:divBdr>
            <w:top w:val="none" w:sz="0" w:space="0" w:color="auto"/>
            <w:left w:val="none" w:sz="0" w:space="0" w:color="auto"/>
            <w:bottom w:val="none" w:sz="0" w:space="0" w:color="auto"/>
            <w:right w:val="none" w:sz="0" w:space="0" w:color="auto"/>
          </w:divBdr>
        </w:div>
        <w:div w:id="176160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574F-A4D8-469E-B52C-C4C6FA6F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4837</Words>
  <Characters>26608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León Vélez</dc:creator>
  <cp:keywords/>
  <dc:description/>
  <cp:lastModifiedBy>Glenda Alexandra Allan Alegria</cp:lastModifiedBy>
  <cp:revision>2</cp:revision>
  <cp:lastPrinted>2021-04-26T23:39:00Z</cp:lastPrinted>
  <dcterms:created xsi:type="dcterms:W3CDTF">2021-05-05T22:59:00Z</dcterms:created>
  <dcterms:modified xsi:type="dcterms:W3CDTF">2021-05-05T22:59:00Z</dcterms:modified>
</cp:coreProperties>
</file>