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EDF" w:rsidRPr="00867BAA" w:rsidRDefault="00874EDF" w:rsidP="00874EDF">
      <w:pPr>
        <w:spacing w:after="0" w:line="240" w:lineRule="auto"/>
        <w:jc w:val="center"/>
        <w:rPr>
          <w:rFonts w:ascii="Palatino Linotype" w:hAnsi="Palatino Linotype" w:cs="Tahoma"/>
          <w:b/>
        </w:rPr>
      </w:pPr>
      <w:r w:rsidRPr="00867BAA">
        <w:rPr>
          <w:rFonts w:ascii="Palatino Linotype" w:hAnsi="Palatino Linotype" w:cs="Tahoma"/>
          <w:b/>
        </w:rPr>
        <w:t>ACTA DE LA SESIÓN N</w:t>
      </w:r>
      <w:r w:rsidR="006E3307">
        <w:rPr>
          <w:rFonts w:ascii="Palatino Linotype" w:hAnsi="Palatino Linotype" w:cs="Tahoma"/>
          <w:b/>
        </w:rPr>
        <w:t>r</w:t>
      </w:r>
      <w:r w:rsidR="00693DB4">
        <w:rPr>
          <w:rFonts w:ascii="Palatino Linotype" w:hAnsi="Palatino Linotype" w:cs="Tahoma"/>
          <w:b/>
        </w:rPr>
        <w:t xml:space="preserve">o. </w:t>
      </w:r>
      <w:r w:rsidR="00D278C9">
        <w:rPr>
          <w:rFonts w:ascii="Palatino Linotype" w:hAnsi="Palatino Linotype" w:cs="Tahoma"/>
          <w:b/>
        </w:rPr>
        <w:t>073</w:t>
      </w:r>
      <w:r w:rsidRPr="00867BAA">
        <w:rPr>
          <w:rFonts w:ascii="Palatino Linotype" w:hAnsi="Palatino Linotype" w:cs="Tahoma"/>
          <w:b/>
        </w:rPr>
        <w:t xml:space="preserve"> ORDINARIA</w:t>
      </w:r>
    </w:p>
    <w:p w:rsidR="00874EDF" w:rsidRDefault="00874EDF" w:rsidP="00874EDF">
      <w:pPr>
        <w:spacing w:after="0" w:line="240" w:lineRule="auto"/>
        <w:jc w:val="center"/>
        <w:rPr>
          <w:rFonts w:ascii="Palatino Linotype" w:hAnsi="Palatino Linotype" w:cs="Tahoma"/>
          <w:b/>
        </w:rPr>
      </w:pPr>
      <w:r w:rsidRPr="00867BAA">
        <w:rPr>
          <w:rFonts w:ascii="Palatino Linotype" w:hAnsi="Palatino Linotype" w:cs="Tahoma"/>
          <w:b/>
        </w:rPr>
        <w:t>DE LA COMISIÓN DE VIVIENDA Y HÁBITAT</w:t>
      </w:r>
    </w:p>
    <w:p w:rsidR="006D5F2B" w:rsidRPr="00867BAA" w:rsidRDefault="006D5F2B" w:rsidP="00874EDF">
      <w:pPr>
        <w:spacing w:after="0" w:line="240" w:lineRule="auto"/>
        <w:jc w:val="center"/>
        <w:rPr>
          <w:rFonts w:ascii="Palatino Linotype" w:hAnsi="Palatino Linotype" w:cs="Tahoma"/>
          <w:b/>
        </w:rPr>
      </w:pPr>
    </w:p>
    <w:p w:rsidR="00874EDF" w:rsidRPr="00867BAA" w:rsidRDefault="00874EDF" w:rsidP="00874EDF">
      <w:pPr>
        <w:spacing w:after="0" w:line="240" w:lineRule="auto"/>
        <w:jc w:val="center"/>
        <w:rPr>
          <w:rFonts w:ascii="Palatino Linotype" w:hAnsi="Palatino Linotype" w:cs="Tahoma"/>
          <w:b/>
        </w:rPr>
      </w:pPr>
    </w:p>
    <w:p w:rsidR="00874EDF" w:rsidRPr="00867BAA" w:rsidRDefault="002D25CE" w:rsidP="00874EDF">
      <w:pPr>
        <w:spacing w:after="0" w:line="240" w:lineRule="auto"/>
        <w:jc w:val="center"/>
        <w:rPr>
          <w:rFonts w:ascii="Palatino Linotype" w:hAnsi="Palatino Linotype" w:cs="Tahoma"/>
          <w:b/>
        </w:rPr>
      </w:pPr>
      <w:r>
        <w:rPr>
          <w:rFonts w:ascii="Palatino Linotype" w:hAnsi="Palatino Linotype" w:cs="Tahoma"/>
          <w:b/>
        </w:rPr>
        <w:t xml:space="preserve">MIÉRCOLES </w:t>
      </w:r>
      <w:r w:rsidR="00D278C9">
        <w:rPr>
          <w:rFonts w:ascii="Palatino Linotype" w:hAnsi="Palatino Linotype" w:cs="Tahoma"/>
          <w:b/>
        </w:rPr>
        <w:t>3</w:t>
      </w:r>
      <w:r w:rsidR="00874EDF" w:rsidRPr="00867BAA">
        <w:rPr>
          <w:rFonts w:ascii="Palatino Linotype" w:hAnsi="Palatino Linotype" w:cs="Tahoma"/>
          <w:b/>
        </w:rPr>
        <w:t xml:space="preserve"> DE </w:t>
      </w:r>
      <w:r w:rsidR="00D278C9">
        <w:rPr>
          <w:rFonts w:ascii="Palatino Linotype" w:hAnsi="Palatino Linotype" w:cs="Tahoma"/>
          <w:b/>
        </w:rPr>
        <w:t>AGOSTO</w:t>
      </w:r>
      <w:r w:rsidR="00FF0689">
        <w:rPr>
          <w:rFonts w:ascii="Palatino Linotype" w:hAnsi="Palatino Linotype" w:cs="Tahoma"/>
          <w:b/>
        </w:rPr>
        <w:t xml:space="preserve"> DE</w:t>
      </w:r>
      <w:r w:rsidR="00FA772F">
        <w:rPr>
          <w:rFonts w:ascii="Palatino Linotype" w:hAnsi="Palatino Linotype" w:cs="Tahoma"/>
          <w:b/>
        </w:rPr>
        <w:t>L</w:t>
      </w:r>
      <w:r w:rsidR="00FF0689">
        <w:rPr>
          <w:rFonts w:ascii="Palatino Linotype" w:hAnsi="Palatino Linotype" w:cs="Tahoma"/>
          <w:b/>
        </w:rPr>
        <w:t xml:space="preserve"> 2022</w:t>
      </w:r>
    </w:p>
    <w:p w:rsidR="00874EDF" w:rsidRPr="00867BAA" w:rsidRDefault="00874EDF" w:rsidP="00874EDF">
      <w:pPr>
        <w:spacing w:after="0" w:line="240" w:lineRule="auto"/>
        <w:jc w:val="center"/>
        <w:rPr>
          <w:rFonts w:ascii="Palatino Linotype" w:hAnsi="Palatino Linotype" w:cs="Tahoma"/>
          <w:b/>
        </w:rPr>
      </w:pPr>
    </w:p>
    <w:p w:rsidR="00874EDF" w:rsidRPr="00867BAA" w:rsidRDefault="00874EDF" w:rsidP="00874EDF">
      <w:pPr>
        <w:pStyle w:val="Subttulo"/>
        <w:rPr>
          <w:rFonts w:ascii="Palatino Linotype" w:hAnsi="Palatino Linotype" w:cs="Tahoma"/>
          <w:bCs/>
          <w:i w:val="0"/>
          <w:sz w:val="22"/>
          <w:szCs w:val="22"/>
        </w:rPr>
      </w:pPr>
      <w:r w:rsidRPr="00867BAA">
        <w:rPr>
          <w:rFonts w:ascii="Palatino Linotype" w:hAnsi="Palatino Linotype" w:cs="Tahoma"/>
          <w:bCs/>
          <w:i w:val="0"/>
          <w:sz w:val="22"/>
          <w:szCs w:val="22"/>
        </w:rPr>
        <w:t>En el Distrito Metropol</w:t>
      </w:r>
      <w:r w:rsidR="004122E6">
        <w:rPr>
          <w:rFonts w:ascii="Palatino Linotype" w:hAnsi="Palatino Linotype" w:cs="Tahoma"/>
          <w:bCs/>
          <w:i w:val="0"/>
          <w:sz w:val="22"/>
          <w:szCs w:val="22"/>
        </w:rPr>
        <w:t>itano de Quito, siendo las 14</w:t>
      </w:r>
      <w:r w:rsidR="00FF0689">
        <w:rPr>
          <w:rFonts w:ascii="Palatino Linotype" w:hAnsi="Palatino Linotype" w:cs="Tahoma"/>
          <w:bCs/>
          <w:i w:val="0"/>
          <w:sz w:val="22"/>
          <w:szCs w:val="22"/>
        </w:rPr>
        <w:t>h</w:t>
      </w:r>
      <w:r w:rsidR="00FD3A5C">
        <w:rPr>
          <w:rFonts w:ascii="Palatino Linotype" w:hAnsi="Palatino Linotype" w:cs="Tahoma"/>
          <w:bCs/>
          <w:i w:val="0"/>
          <w:sz w:val="22"/>
          <w:szCs w:val="22"/>
        </w:rPr>
        <w:t>3</w:t>
      </w:r>
      <w:r w:rsidR="00D278C9">
        <w:rPr>
          <w:rFonts w:ascii="Palatino Linotype" w:hAnsi="Palatino Linotype" w:cs="Tahoma"/>
          <w:bCs/>
          <w:i w:val="0"/>
          <w:sz w:val="22"/>
          <w:szCs w:val="22"/>
        </w:rPr>
        <w:t>8</w:t>
      </w:r>
      <w:r w:rsidRPr="00867BAA">
        <w:rPr>
          <w:rFonts w:ascii="Palatino Linotype" w:hAnsi="Palatino Linotype" w:cs="Tahoma"/>
          <w:bCs/>
          <w:i w:val="0"/>
          <w:sz w:val="22"/>
          <w:szCs w:val="22"/>
        </w:rPr>
        <w:t xml:space="preserve"> del miércoles </w:t>
      </w:r>
      <w:r w:rsidR="00D278C9">
        <w:rPr>
          <w:rFonts w:ascii="Palatino Linotype" w:hAnsi="Palatino Linotype" w:cs="Tahoma"/>
          <w:bCs/>
          <w:i w:val="0"/>
          <w:sz w:val="22"/>
          <w:szCs w:val="22"/>
        </w:rPr>
        <w:t>3</w:t>
      </w:r>
      <w:r w:rsidR="00FA772F">
        <w:rPr>
          <w:rFonts w:ascii="Palatino Linotype" w:hAnsi="Palatino Linotype" w:cs="Tahoma"/>
          <w:bCs/>
          <w:i w:val="0"/>
          <w:sz w:val="22"/>
          <w:szCs w:val="22"/>
        </w:rPr>
        <w:t xml:space="preserve"> de </w:t>
      </w:r>
      <w:r w:rsidR="00D278C9">
        <w:rPr>
          <w:rFonts w:ascii="Palatino Linotype" w:hAnsi="Palatino Linotype" w:cs="Tahoma"/>
          <w:bCs/>
          <w:i w:val="0"/>
          <w:sz w:val="22"/>
          <w:szCs w:val="22"/>
        </w:rPr>
        <w:t>agosto</w:t>
      </w:r>
      <w:r w:rsidR="005B0AD4">
        <w:rPr>
          <w:rFonts w:ascii="Palatino Linotype" w:hAnsi="Palatino Linotype" w:cs="Tahoma"/>
          <w:bCs/>
          <w:i w:val="0"/>
          <w:sz w:val="22"/>
          <w:szCs w:val="22"/>
        </w:rPr>
        <w:t xml:space="preserve"> de</w:t>
      </w:r>
      <w:r w:rsidR="00837510">
        <w:rPr>
          <w:rFonts w:ascii="Palatino Linotype" w:hAnsi="Palatino Linotype" w:cs="Tahoma"/>
          <w:bCs/>
          <w:i w:val="0"/>
          <w:sz w:val="22"/>
          <w:szCs w:val="22"/>
        </w:rPr>
        <w:t>l</w:t>
      </w:r>
      <w:r w:rsidR="005B0AD4">
        <w:rPr>
          <w:rFonts w:ascii="Palatino Linotype" w:hAnsi="Palatino Linotype" w:cs="Tahoma"/>
          <w:bCs/>
          <w:i w:val="0"/>
          <w:sz w:val="22"/>
          <w:szCs w:val="22"/>
        </w:rPr>
        <w:t xml:space="preserve"> 2022</w:t>
      </w:r>
      <w:r w:rsidRPr="00867BAA">
        <w:rPr>
          <w:rFonts w:ascii="Palatino Linotype" w:hAnsi="Palatino Linotype" w:cs="Tahoma"/>
          <w:bCs/>
          <w:i w:val="0"/>
          <w:sz w:val="22"/>
          <w:szCs w:val="22"/>
        </w:rPr>
        <w:t>, conforme la convocatoria No. 0</w:t>
      </w:r>
      <w:r w:rsidR="00527DB9">
        <w:rPr>
          <w:rFonts w:ascii="Palatino Linotype" w:hAnsi="Palatino Linotype" w:cs="Tahoma"/>
          <w:bCs/>
          <w:i w:val="0"/>
          <w:sz w:val="22"/>
          <w:szCs w:val="22"/>
        </w:rPr>
        <w:t>7</w:t>
      </w:r>
      <w:r w:rsidR="00D278C9">
        <w:rPr>
          <w:rFonts w:ascii="Palatino Linotype" w:hAnsi="Palatino Linotype" w:cs="Tahoma"/>
          <w:bCs/>
          <w:i w:val="0"/>
          <w:sz w:val="22"/>
          <w:szCs w:val="22"/>
        </w:rPr>
        <w:t>3</w:t>
      </w:r>
      <w:r w:rsidRPr="00867BAA">
        <w:rPr>
          <w:rFonts w:ascii="Palatino Linotype" w:hAnsi="Palatino Linotype" w:cs="Tahoma"/>
          <w:bCs/>
          <w:i w:val="0"/>
          <w:sz w:val="22"/>
          <w:szCs w:val="22"/>
        </w:rPr>
        <w:t xml:space="preserve"> de </w:t>
      </w:r>
      <w:r w:rsidR="00D278C9">
        <w:rPr>
          <w:rFonts w:ascii="Palatino Linotype" w:hAnsi="Palatino Linotype" w:cs="Tahoma"/>
          <w:bCs/>
          <w:i w:val="0"/>
          <w:sz w:val="22"/>
          <w:szCs w:val="22"/>
        </w:rPr>
        <w:t>1</w:t>
      </w:r>
      <w:r>
        <w:rPr>
          <w:rFonts w:ascii="Palatino Linotype" w:hAnsi="Palatino Linotype" w:cs="Tahoma"/>
          <w:bCs/>
          <w:i w:val="0"/>
          <w:sz w:val="22"/>
          <w:szCs w:val="22"/>
        </w:rPr>
        <w:t xml:space="preserve"> de </w:t>
      </w:r>
      <w:r w:rsidR="00D278C9">
        <w:rPr>
          <w:rFonts w:ascii="Palatino Linotype" w:hAnsi="Palatino Linotype" w:cs="Tahoma"/>
          <w:bCs/>
          <w:i w:val="0"/>
          <w:sz w:val="22"/>
          <w:szCs w:val="22"/>
        </w:rPr>
        <w:t>agosto</w:t>
      </w:r>
      <w:r w:rsidRPr="00867BAA">
        <w:rPr>
          <w:rFonts w:ascii="Palatino Linotype" w:hAnsi="Palatino Linotype" w:cs="Tahoma"/>
          <w:bCs/>
          <w:i w:val="0"/>
          <w:sz w:val="22"/>
          <w:szCs w:val="22"/>
        </w:rPr>
        <w:t xml:space="preserve"> de</w:t>
      </w:r>
      <w:r w:rsidR="00FE61AF">
        <w:rPr>
          <w:rFonts w:ascii="Palatino Linotype" w:hAnsi="Palatino Linotype" w:cs="Tahoma"/>
          <w:bCs/>
          <w:i w:val="0"/>
          <w:sz w:val="22"/>
          <w:szCs w:val="22"/>
        </w:rPr>
        <w:t>l</w:t>
      </w:r>
      <w:r w:rsidRPr="00867BAA">
        <w:rPr>
          <w:rFonts w:ascii="Palatino Linotype" w:hAnsi="Palatino Linotype" w:cs="Tahoma"/>
          <w:bCs/>
          <w:i w:val="0"/>
          <w:sz w:val="22"/>
          <w:szCs w:val="22"/>
        </w:rPr>
        <w:t xml:space="preserve"> 202</w:t>
      </w:r>
      <w:r w:rsidR="00FF0689">
        <w:rPr>
          <w:rFonts w:ascii="Palatino Linotype" w:hAnsi="Palatino Linotype" w:cs="Tahoma"/>
          <w:bCs/>
          <w:i w:val="0"/>
          <w:sz w:val="22"/>
          <w:szCs w:val="22"/>
        </w:rPr>
        <w:t>2</w:t>
      </w:r>
      <w:r w:rsidRPr="00867BAA">
        <w:rPr>
          <w:rFonts w:ascii="Palatino Linotype" w:hAnsi="Palatino Linotype" w:cs="Tahoma"/>
          <w:bCs/>
          <w:i w:val="0"/>
          <w:sz w:val="22"/>
          <w:szCs w:val="22"/>
        </w:rPr>
        <w:t>, s</w:t>
      </w:r>
      <w:r>
        <w:rPr>
          <w:rFonts w:ascii="Palatino Linotype" w:hAnsi="Palatino Linotype" w:cs="Tahoma"/>
          <w:bCs/>
          <w:i w:val="0"/>
          <w:sz w:val="22"/>
          <w:szCs w:val="22"/>
        </w:rPr>
        <w:t xml:space="preserve">e lleva a cabo de manera virtual, </w:t>
      </w:r>
      <w:r w:rsidRPr="00867BAA">
        <w:rPr>
          <w:rFonts w:ascii="Palatino Linotype" w:hAnsi="Palatino Linotype" w:cs="Tahoma"/>
          <w:bCs/>
          <w:i w:val="0"/>
          <w:sz w:val="22"/>
          <w:szCs w:val="22"/>
        </w:rPr>
        <w:t xml:space="preserve">por medio de la plataforma </w:t>
      </w:r>
      <w:proofErr w:type="spellStart"/>
      <w:r w:rsidRPr="00867BAA">
        <w:rPr>
          <w:rFonts w:ascii="Palatino Linotype" w:hAnsi="Palatino Linotype" w:cs="Tahoma"/>
          <w:bCs/>
          <w:i w:val="0"/>
          <w:sz w:val="22"/>
          <w:szCs w:val="22"/>
        </w:rPr>
        <w:t>Teams</w:t>
      </w:r>
      <w:proofErr w:type="spellEnd"/>
      <w:r w:rsidRPr="00867BAA">
        <w:rPr>
          <w:rFonts w:ascii="Palatino Linotype" w:hAnsi="Palatino Linotype" w:cs="Tahoma"/>
          <w:bCs/>
          <w:i w:val="0"/>
          <w:sz w:val="22"/>
          <w:szCs w:val="22"/>
        </w:rPr>
        <w:t xml:space="preserve">, la sesión </w:t>
      </w:r>
      <w:r w:rsidR="00527DB9">
        <w:rPr>
          <w:rFonts w:ascii="Palatino Linotype" w:hAnsi="Palatino Linotype" w:cs="Tahoma"/>
          <w:bCs/>
          <w:i w:val="0"/>
          <w:sz w:val="22"/>
          <w:szCs w:val="22"/>
        </w:rPr>
        <w:t>Nro. 07</w:t>
      </w:r>
      <w:r w:rsidR="00D278C9">
        <w:rPr>
          <w:rFonts w:ascii="Palatino Linotype" w:hAnsi="Palatino Linotype" w:cs="Tahoma"/>
          <w:bCs/>
          <w:i w:val="0"/>
          <w:sz w:val="22"/>
          <w:szCs w:val="22"/>
        </w:rPr>
        <w:t>3</w:t>
      </w:r>
      <w:r w:rsidR="005D209E">
        <w:rPr>
          <w:rFonts w:ascii="Palatino Linotype" w:hAnsi="Palatino Linotype" w:cs="Tahoma"/>
          <w:bCs/>
          <w:i w:val="0"/>
          <w:sz w:val="22"/>
          <w:szCs w:val="22"/>
        </w:rPr>
        <w:t xml:space="preserve">, </w:t>
      </w:r>
      <w:r w:rsidRPr="00867BAA">
        <w:rPr>
          <w:rFonts w:ascii="Palatino Linotype" w:hAnsi="Palatino Linotype" w:cs="Tahoma"/>
          <w:bCs/>
          <w:i w:val="0"/>
          <w:sz w:val="22"/>
          <w:szCs w:val="22"/>
        </w:rPr>
        <w:t xml:space="preserve">ordinaria de la Comisión de Vivienda y Hábitat, presidida por la concejala Blanca </w:t>
      </w:r>
      <w:proofErr w:type="spellStart"/>
      <w:r w:rsidRPr="00867BAA">
        <w:rPr>
          <w:rFonts w:ascii="Palatino Linotype" w:hAnsi="Palatino Linotype" w:cs="Tahoma"/>
          <w:bCs/>
          <w:i w:val="0"/>
          <w:sz w:val="22"/>
          <w:szCs w:val="22"/>
        </w:rPr>
        <w:t>Paucar</w:t>
      </w:r>
      <w:proofErr w:type="spellEnd"/>
      <w:r w:rsidRPr="00867BAA">
        <w:rPr>
          <w:rFonts w:ascii="Palatino Linotype" w:hAnsi="Palatino Linotype" w:cs="Tahoma"/>
          <w:bCs/>
          <w:i w:val="0"/>
          <w:sz w:val="22"/>
          <w:szCs w:val="22"/>
        </w:rPr>
        <w:t>.</w:t>
      </w:r>
    </w:p>
    <w:p w:rsidR="00874EDF" w:rsidRPr="00867BAA" w:rsidRDefault="00874EDF" w:rsidP="00874EDF">
      <w:pPr>
        <w:pStyle w:val="Subttulo"/>
        <w:rPr>
          <w:rFonts w:ascii="Palatino Linotype" w:hAnsi="Palatino Linotype" w:cs="Tahoma"/>
          <w:bCs/>
          <w:i w:val="0"/>
          <w:sz w:val="22"/>
          <w:szCs w:val="22"/>
        </w:rPr>
      </w:pPr>
    </w:p>
    <w:p w:rsidR="00874EDF" w:rsidRPr="00867BAA" w:rsidRDefault="00874EDF" w:rsidP="00874EDF">
      <w:pPr>
        <w:pStyle w:val="Subttulo"/>
        <w:rPr>
          <w:rFonts w:ascii="Palatino Linotype" w:hAnsi="Palatino Linotype" w:cs="Tahoma"/>
          <w:bCs/>
          <w:i w:val="0"/>
          <w:sz w:val="22"/>
          <w:szCs w:val="22"/>
        </w:rPr>
      </w:pPr>
      <w:r w:rsidRPr="00867BAA">
        <w:rPr>
          <w:rFonts w:ascii="Palatino Linotype" w:hAnsi="Palatino Linotype" w:cs="Tahoma"/>
          <w:bCs/>
          <w:i w:val="0"/>
          <w:sz w:val="22"/>
          <w:szCs w:val="22"/>
        </w:rPr>
        <w:t>Por disposición de la señora presidenta de la Comisión, se procede a constatar el quórum reglamentario, el mismo qu</w:t>
      </w:r>
      <w:r w:rsidR="002D25CE">
        <w:rPr>
          <w:rFonts w:ascii="Palatino Linotype" w:hAnsi="Palatino Linotype" w:cs="Tahoma"/>
          <w:bCs/>
          <w:i w:val="0"/>
          <w:sz w:val="22"/>
          <w:szCs w:val="22"/>
        </w:rPr>
        <w:t>e</w:t>
      </w:r>
      <w:r w:rsidR="00D278C9">
        <w:rPr>
          <w:rFonts w:ascii="Palatino Linotype" w:hAnsi="Palatino Linotype" w:cs="Tahoma"/>
          <w:bCs/>
          <w:i w:val="0"/>
          <w:sz w:val="22"/>
          <w:szCs w:val="22"/>
        </w:rPr>
        <w:t xml:space="preserve"> se encuentra conformado por el concejal y</w:t>
      </w:r>
      <w:r w:rsidR="002D25CE">
        <w:rPr>
          <w:rFonts w:ascii="Palatino Linotype" w:hAnsi="Palatino Linotype" w:cs="Tahoma"/>
          <w:bCs/>
          <w:i w:val="0"/>
          <w:sz w:val="22"/>
          <w:szCs w:val="22"/>
        </w:rPr>
        <w:t xml:space="preserve"> concejala</w:t>
      </w:r>
      <w:r w:rsidR="00837510">
        <w:rPr>
          <w:rFonts w:ascii="Palatino Linotype" w:hAnsi="Palatino Linotype" w:cs="Tahoma"/>
          <w:bCs/>
          <w:i w:val="0"/>
          <w:sz w:val="22"/>
          <w:szCs w:val="22"/>
        </w:rPr>
        <w:t xml:space="preserve">: </w:t>
      </w:r>
      <w:proofErr w:type="spellStart"/>
      <w:r w:rsidR="00D278C9">
        <w:rPr>
          <w:rFonts w:ascii="Palatino Linotype" w:hAnsi="Palatino Linotype" w:cs="Tahoma"/>
          <w:bCs/>
          <w:i w:val="0"/>
          <w:sz w:val="22"/>
          <w:szCs w:val="22"/>
        </w:rPr>
        <w:t>Crlos</w:t>
      </w:r>
      <w:proofErr w:type="spellEnd"/>
      <w:r w:rsidR="00D278C9">
        <w:rPr>
          <w:rFonts w:ascii="Palatino Linotype" w:hAnsi="Palatino Linotype" w:cs="Tahoma"/>
          <w:bCs/>
          <w:i w:val="0"/>
          <w:sz w:val="22"/>
          <w:szCs w:val="22"/>
        </w:rPr>
        <w:t xml:space="preserve"> Jaramillo y</w:t>
      </w:r>
      <w:r>
        <w:rPr>
          <w:rFonts w:ascii="Palatino Linotype" w:hAnsi="Palatino Linotype" w:cs="Tahoma"/>
          <w:bCs/>
          <w:i w:val="0"/>
          <w:sz w:val="22"/>
          <w:szCs w:val="22"/>
        </w:rPr>
        <w:t xml:space="preserve"> </w:t>
      </w:r>
      <w:r w:rsidRPr="00867BAA">
        <w:rPr>
          <w:rFonts w:ascii="Palatino Linotype" w:hAnsi="Palatino Linotype" w:cs="Tahoma"/>
          <w:bCs/>
          <w:i w:val="0"/>
          <w:sz w:val="22"/>
          <w:szCs w:val="22"/>
        </w:rPr>
        <w:t xml:space="preserve">Blanca </w:t>
      </w:r>
      <w:proofErr w:type="spellStart"/>
      <w:r w:rsidRPr="00867BAA">
        <w:rPr>
          <w:rFonts w:ascii="Palatino Linotype" w:hAnsi="Palatino Linotype" w:cs="Tahoma"/>
          <w:bCs/>
          <w:i w:val="0"/>
          <w:sz w:val="22"/>
          <w:szCs w:val="22"/>
        </w:rPr>
        <w:t>Paucar</w:t>
      </w:r>
      <w:proofErr w:type="spellEnd"/>
      <w:r w:rsidRPr="00867BAA">
        <w:rPr>
          <w:rFonts w:ascii="Palatino Linotype" w:hAnsi="Palatino Linotype" w:cs="Tahoma"/>
          <w:bCs/>
          <w:i w:val="0"/>
          <w:sz w:val="22"/>
          <w:szCs w:val="22"/>
        </w:rPr>
        <w:t>, de conformidad con el siguiente detalle:</w:t>
      </w:r>
    </w:p>
    <w:p w:rsidR="00874EDF" w:rsidRPr="00867BAA" w:rsidRDefault="00874EDF" w:rsidP="00874EDF">
      <w:pPr>
        <w:spacing w:after="0" w:line="240" w:lineRule="auto"/>
        <w:jc w:val="both"/>
        <w:rPr>
          <w:rFonts w:ascii="Palatino Linotype" w:hAnsi="Palatino Linotype" w:cs="Tahoma"/>
        </w:rPr>
      </w:pPr>
    </w:p>
    <w:tbl>
      <w:tblPr>
        <w:tblW w:w="10568" w:type="dxa"/>
        <w:tblInd w:w="55" w:type="dxa"/>
        <w:tblCellMar>
          <w:left w:w="70" w:type="dxa"/>
          <w:right w:w="70" w:type="dxa"/>
        </w:tblCellMar>
        <w:tblLook w:val="04A0" w:firstRow="1" w:lastRow="0" w:firstColumn="1" w:lastColumn="0" w:noHBand="0" w:noVBand="1"/>
      </w:tblPr>
      <w:tblGrid>
        <w:gridCol w:w="4003"/>
        <w:gridCol w:w="2638"/>
        <w:gridCol w:w="2345"/>
        <w:gridCol w:w="1582"/>
      </w:tblGrid>
      <w:tr w:rsidR="00874EDF" w:rsidRPr="00867BAA" w:rsidTr="00FF1851">
        <w:trPr>
          <w:gridAfter w:val="1"/>
          <w:wAfter w:w="1580" w:type="dxa"/>
          <w:trHeight w:hRule="exact" w:val="342"/>
        </w:trPr>
        <w:tc>
          <w:tcPr>
            <w:tcW w:w="8988"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REGISTRO DE ASISTENCIA – INICIO SESIÓN</w:t>
            </w:r>
            <w:r w:rsidRPr="00867BAA">
              <w:rPr>
                <w:rFonts w:ascii="Palatino Linotype" w:hAnsi="Palatino Linotype" w:cs="Tahoma"/>
                <w:b/>
              </w:rPr>
              <w:t xml:space="preserve"> </w:t>
            </w:r>
          </w:p>
          <w:p w:rsidR="00874EDF" w:rsidRPr="00867BAA" w:rsidRDefault="00874EDF" w:rsidP="00FF1851">
            <w:pPr>
              <w:spacing w:after="0" w:line="240" w:lineRule="auto"/>
              <w:jc w:val="center"/>
              <w:rPr>
                <w:rFonts w:ascii="Palatino Linotype" w:hAnsi="Palatino Linotype" w:cs="Tahoma"/>
                <w:b/>
                <w:bCs/>
                <w:color w:val="FFFFFF"/>
                <w:lang w:eastAsia="es-EC"/>
              </w:rPr>
            </w:pPr>
          </w:p>
        </w:tc>
      </w:tr>
      <w:tr w:rsidR="00874EDF" w:rsidRPr="00867BAA" w:rsidTr="00FF1851">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INTEGRANTE COMISIÓN</w:t>
            </w:r>
          </w:p>
        </w:tc>
        <w:tc>
          <w:tcPr>
            <w:tcW w:w="2638" w:type="dxa"/>
            <w:tcBorders>
              <w:top w:val="nil"/>
              <w:left w:val="nil"/>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PRESENTE</w:t>
            </w:r>
          </w:p>
        </w:tc>
        <w:tc>
          <w:tcPr>
            <w:tcW w:w="2343" w:type="dxa"/>
            <w:tcBorders>
              <w:top w:val="nil"/>
              <w:left w:val="nil"/>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AUSENTE</w:t>
            </w:r>
          </w:p>
        </w:tc>
      </w:tr>
      <w:tr w:rsidR="00874EDF" w:rsidRPr="00867BAA" w:rsidTr="00FF1851">
        <w:trPr>
          <w:trHeight w:hRule="exact" w:val="374"/>
        </w:trPr>
        <w:tc>
          <w:tcPr>
            <w:tcW w:w="4005" w:type="dxa"/>
            <w:tcBorders>
              <w:top w:val="nil"/>
              <w:left w:val="single" w:sz="8" w:space="0" w:color="000000"/>
              <w:bottom w:val="single" w:sz="8" w:space="0" w:color="000000"/>
              <w:right w:val="single" w:sz="8" w:space="0" w:color="000000"/>
            </w:tcBorders>
            <w:shd w:val="clear" w:color="auto" w:fill="auto"/>
            <w:vAlign w:val="center"/>
          </w:tcPr>
          <w:p w:rsidR="00874EDF" w:rsidRPr="00867BAA" w:rsidRDefault="00AD7DDC" w:rsidP="00FF1851">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2638" w:type="dxa"/>
            <w:tcBorders>
              <w:top w:val="nil"/>
              <w:left w:val="nil"/>
              <w:bottom w:val="single" w:sz="8" w:space="0" w:color="000000"/>
              <w:right w:val="single" w:sz="8" w:space="0" w:color="000000"/>
            </w:tcBorders>
            <w:shd w:val="clear" w:color="auto" w:fill="auto"/>
            <w:vAlign w:val="center"/>
          </w:tcPr>
          <w:p w:rsidR="00874EDF" w:rsidRPr="00867BAA" w:rsidRDefault="00874EDF" w:rsidP="00FF1851">
            <w:pPr>
              <w:spacing w:after="0" w:line="240" w:lineRule="auto"/>
              <w:jc w:val="center"/>
              <w:rPr>
                <w:rFonts w:ascii="Palatino Linotype" w:hAnsi="Palatino Linotype" w:cs="Tahoma"/>
                <w:color w:val="000000"/>
                <w:lang w:eastAsia="es-EC"/>
              </w:rPr>
            </w:pPr>
            <w:r w:rsidRPr="00867BAA">
              <w:rPr>
                <w:rFonts w:ascii="Palatino Linotype" w:hAnsi="Palatino Linotype" w:cs="Tahoma"/>
                <w:color w:val="000000"/>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c>
          <w:tcPr>
            <w:tcW w:w="1582" w:type="dxa"/>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r>
      <w:tr w:rsidR="00874EDF" w:rsidRPr="00867BAA" w:rsidTr="00FF1851">
        <w:trPr>
          <w:trHeight w:hRule="exact" w:val="316"/>
        </w:trPr>
        <w:tc>
          <w:tcPr>
            <w:tcW w:w="4005" w:type="dxa"/>
            <w:tcBorders>
              <w:top w:val="nil"/>
              <w:left w:val="single" w:sz="8" w:space="0" w:color="000000"/>
              <w:bottom w:val="single" w:sz="8" w:space="0" w:color="000000"/>
              <w:right w:val="single" w:sz="8" w:space="0" w:color="000000"/>
            </w:tcBorders>
            <w:shd w:val="clear" w:color="auto" w:fill="auto"/>
            <w:vAlign w:val="center"/>
          </w:tcPr>
          <w:p w:rsidR="00874EDF" w:rsidRPr="00867BAA" w:rsidRDefault="00D278C9" w:rsidP="00FF1851">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2638" w:type="dxa"/>
            <w:tcBorders>
              <w:top w:val="nil"/>
              <w:left w:val="nil"/>
              <w:bottom w:val="single" w:sz="8" w:space="0" w:color="000000"/>
              <w:right w:val="single" w:sz="8" w:space="0" w:color="000000"/>
            </w:tcBorders>
            <w:shd w:val="clear" w:color="auto" w:fill="auto"/>
            <w:vAlign w:val="center"/>
          </w:tcPr>
          <w:p w:rsidR="00874EDF" w:rsidRPr="00867BAA" w:rsidRDefault="00D278C9" w:rsidP="00FF1851">
            <w:pPr>
              <w:spacing w:after="0" w:line="240" w:lineRule="auto"/>
              <w:jc w:val="center"/>
              <w:rPr>
                <w:rFonts w:ascii="Palatino Linotype" w:hAnsi="Palatino Linotype" w:cs="Tahoma"/>
                <w:color w:val="000000"/>
                <w:lang w:eastAsia="es-EC"/>
              </w:rPr>
            </w:pPr>
            <w:r>
              <w:rPr>
                <w:rFonts w:ascii="Palatino Linotype" w:hAnsi="Palatino Linotype" w:cs="Tahoma"/>
                <w:color w:val="000000"/>
                <w:lang w:eastAsia="es-EC"/>
              </w:rPr>
              <w:t>0</w:t>
            </w:r>
          </w:p>
        </w:tc>
        <w:tc>
          <w:tcPr>
            <w:tcW w:w="2343" w:type="dxa"/>
            <w:tcBorders>
              <w:top w:val="nil"/>
              <w:left w:val="nil"/>
              <w:bottom w:val="single" w:sz="8" w:space="0" w:color="000000"/>
              <w:right w:val="single" w:sz="8" w:space="0" w:color="000000"/>
            </w:tcBorders>
            <w:shd w:val="clear" w:color="auto" w:fill="auto"/>
            <w:vAlign w:val="center"/>
          </w:tcPr>
          <w:p w:rsidR="00874EDF" w:rsidRPr="00867BAA" w:rsidRDefault="00D278C9" w:rsidP="00FF1851">
            <w:pPr>
              <w:spacing w:after="0" w:line="240" w:lineRule="auto"/>
              <w:jc w:val="center"/>
              <w:rPr>
                <w:rFonts w:ascii="Palatino Linotype" w:hAnsi="Palatino Linotype" w:cs="Tahoma"/>
                <w:color w:val="000000"/>
                <w:lang w:eastAsia="es-EC"/>
              </w:rPr>
            </w:pPr>
            <w:r>
              <w:rPr>
                <w:rFonts w:ascii="Palatino Linotype" w:hAnsi="Palatino Linotype" w:cs="Tahoma"/>
                <w:color w:val="000000"/>
                <w:lang w:eastAsia="es-EC"/>
              </w:rPr>
              <w:t>1</w:t>
            </w:r>
          </w:p>
        </w:tc>
        <w:tc>
          <w:tcPr>
            <w:tcW w:w="1582" w:type="dxa"/>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r>
      <w:tr w:rsidR="00874EDF" w:rsidRPr="00867BAA" w:rsidTr="00FF1851">
        <w:trPr>
          <w:trHeight w:hRule="exact" w:val="321"/>
        </w:trPr>
        <w:tc>
          <w:tcPr>
            <w:tcW w:w="4005" w:type="dxa"/>
            <w:tcBorders>
              <w:top w:val="nil"/>
              <w:left w:val="single" w:sz="8" w:space="0" w:color="000000"/>
              <w:bottom w:val="single" w:sz="8" w:space="0" w:color="000000"/>
              <w:right w:val="single" w:sz="8" w:space="0" w:color="000000"/>
            </w:tcBorders>
            <w:shd w:val="clear" w:color="auto" w:fill="auto"/>
            <w:vAlign w:val="center"/>
          </w:tcPr>
          <w:p w:rsidR="00874EDF" w:rsidRPr="00867BAA" w:rsidRDefault="00D278C9" w:rsidP="00FF1851">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Carlos Jaramillo</w:t>
            </w:r>
          </w:p>
        </w:tc>
        <w:tc>
          <w:tcPr>
            <w:tcW w:w="2638" w:type="dxa"/>
            <w:tcBorders>
              <w:top w:val="nil"/>
              <w:left w:val="nil"/>
              <w:bottom w:val="single" w:sz="8" w:space="0" w:color="000000"/>
              <w:right w:val="single" w:sz="8" w:space="0" w:color="000000"/>
            </w:tcBorders>
            <w:shd w:val="clear" w:color="auto" w:fill="auto"/>
            <w:vAlign w:val="center"/>
          </w:tcPr>
          <w:p w:rsidR="00874EDF" w:rsidRPr="00867BAA" w:rsidRDefault="00D278C9" w:rsidP="00FF1851">
            <w:pPr>
              <w:spacing w:after="0" w:line="240" w:lineRule="auto"/>
              <w:jc w:val="center"/>
              <w:rPr>
                <w:rFonts w:ascii="Palatino Linotype" w:hAnsi="Palatino Linotype" w:cs="Tahoma"/>
                <w:color w:val="000000"/>
                <w:lang w:eastAsia="es-EC"/>
              </w:rPr>
            </w:pPr>
            <w:r>
              <w:rPr>
                <w:rFonts w:ascii="Palatino Linotype" w:hAnsi="Palatino Linotype" w:cs="Tahoma"/>
                <w:color w:val="000000"/>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c>
          <w:tcPr>
            <w:tcW w:w="1582" w:type="dxa"/>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r>
      <w:tr w:rsidR="00874EDF" w:rsidRPr="00867BAA" w:rsidTr="00FF1851">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TOTAL</w:t>
            </w:r>
          </w:p>
        </w:tc>
        <w:tc>
          <w:tcPr>
            <w:tcW w:w="2638" w:type="dxa"/>
            <w:tcBorders>
              <w:top w:val="nil"/>
              <w:left w:val="nil"/>
              <w:bottom w:val="single" w:sz="8" w:space="0" w:color="000000"/>
              <w:right w:val="single" w:sz="8" w:space="0" w:color="000000"/>
            </w:tcBorders>
            <w:shd w:val="clear" w:color="000000" w:fill="0070C0"/>
            <w:vAlign w:val="center"/>
            <w:hideMark/>
          </w:tcPr>
          <w:p w:rsidR="00874EDF" w:rsidRPr="00867BAA" w:rsidRDefault="00837510" w:rsidP="00FF1851">
            <w:pPr>
              <w:spacing w:after="0" w:line="240" w:lineRule="auto"/>
              <w:jc w:val="center"/>
              <w:rPr>
                <w:rFonts w:ascii="Palatino Linotype" w:hAnsi="Palatino Linotype" w:cs="Tahoma"/>
                <w:color w:val="FFFFFF"/>
                <w:lang w:eastAsia="es-EC"/>
              </w:rPr>
            </w:pPr>
            <w:r>
              <w:rPr>
                <w:rFonts w:ascii="Palatino Linotype" w:hAnsi="Palatino Linotype" w:cs="Tahoma"/>
                <w:color w:val="FFFFFF"/>
                <w:lang w:eastAsia="es-EC"/>
              </w:rPr>
              <w:t>2</w:t>
            </w:r>
          </w:p>
          <w:p w:rsidR="00874EDF" w:rsidRPr="00867BAA" w:rsidRDefault="00874EDF" w:rsidP="00FF1851">
            <w:pPr>
              <w:spacing w:after="0" w:line="240" w:lineRule="auto"/>
              <w:jc w:val="center"/>
              <w:rPr>
                <w:rFonts w:ascii="Palatino Linotype" w:hAnsi="Palatino Linotype" w:cs="Tahoma"/>
                <w:color w:val="FFFFFF"/>
                <w:lang w:eastAsia="es-EC"/>
              </w:rPr>
            </w:pPr>
          </w:p>
        </w:tc>
        <w:tc>
          <w:tcPr>
            <w:tcW w:w="2343" w:type="dxa"/>
            <w:tcBorders>
              <w:top w:val="nil"/>
              <w:left w:val="nil"/>
              <w:bottom w:val="single" w:sz="8" w:space="0" w:color="000000"/>
              <w:right w:val="single" w:sz="8" w:space="0" w:color="000000"/>
            </w:tcBorders>
            <w:shd w:val="clear" w:color="000000" w:fill="0070C0"/>
            <w:vAlign w:val="center"/>
            <w:hideMark/>
          </w:tcPr>
          <w:p w:rsidR="00874EDF" w:rsidRPr="00867BAA" w:rsidRDefault="00837510" w:rsidP="00FF1851">
            <w:pPr>
              <w:spacing w:after="0" w:line="240" w:lineRule="auto"/>
              <w:jc w:val="center"/>
              <w:rPr>
                <w:rFonts w:ascii="Palatino Linotype" w:hAnsi="Palatino Linotype" w:cs="Tahoma"/>
                <w:color w:val="FFFFFF"/>
                <w:lang w:eastAsia="es-EC"/>
              </w:rPr>
            </w:pPr>
            <w:r>
              <w:rPr>
                <w:rFonts w:ascii="Palatino Linotype" w:hAnsi="Palatino Linotype" w:cs="Tahoma"/>
                <w:color w:val="FFFFFF"/>
                <w:lang w:eastAsia="es-EC"/>
              </w:rPr>
              <w:t>1</w:t>
            </w:r>
          </w:p>
        </w:tc>
      </w:tr>
    </w:tbl>
    <w:p w:rsidR="00874EDF" w:rsidRPr="00867BAA" w:rsidRDefault="00874EDF" w:rsidP="00874EDF">
      <w:pPr>
        <w:pStyle w:val="Subttulo"/>
        <w:rPr>
          <w:rFonts w:ascii="Palatino Linotype" w:hAnsi="Palatino Linotype" w:cs="Tahoma"/>
          <w:bCs/>
          <w:i w:val="0"/>
          <w:sz w:val="22"/>
          <w:szCs w:val="22"/>
        </w:rPr>
      </w:pPr>
    </w:p>
    <w:p w:rsidR="00235844" w:rsidRDefault="00874EDF" w:rsidP="00874EDF">
      <w:pPr>
        <w:pStyle w:val="Subttulo"/>
        <w:rPr>
          <w:rFonts w:ascii="Palatino Linotype" w:hAnsi="Palatino Linotype" w:cs="Tahoma"/>
          <w:i w:val="0"/>
          <w:color w:val="000000" w:themeColor="text1"/>
          <w:sz w:val="22"/>
          <w:szCs w:val="22"/>
        </w:rPr>
      </w:pPr>
      <w:r w:rsidRPr="00AA0092">
        <w:rPr>
          <w:rFonts w:ascii="Palatino Linotype" w:hAnsi="Palatino Linotype" w:cs="Tahoma"/>
          <w:bCs/>
          <w:i w:val="0"/>
          <w:color w:val="000000" w:themeColor="text1"/>
          <w:sz w:val="22"/>
          <w:szCs w:val="22"/>
        </w:rPr>
        <w:t xml:space="preserve">Además, se registra la presencia de </w:t>
      </w:r>
      <w:r w:rsidRPr="00AA0092">
        <w:rPr>
          <w:rFonts w:ascii="Palatino Linotype" w:hAnsi="Palatino Linotype" w:cs="Tahoma"/>
          <w:i w:val="0"/>
          <w:color w:val="000000" w:themeColor="text1"/>
          <w:sz w:val="22"/>
          <w:szCs w:val="22"/>
        </w:rPr>
        <w:t>los siguientes funcionarios:</w:t>
      </w:r>
      <w:r w:rsidR="004122E6" w:rsidRPr="00AA0092">
        <w:rPr>
          <w:rFonts w:ascii="Palatino Linotype" w:hAnsi="Palatino Linotype" w:cs="Tahoma"/>
          <w:i w:val="0"/>
          <w:color w:val="000000" w:themeColor="text1"/>
          <w:sz w:val="22"/>
          <w:szCs w:val="22"/>
        </w:rPr>
        <w:t xml:space="preserve"> </w:t>
      </w:r>
      <w:r w:rsidR="00235844">
        <w:rPr>
          <w:rFonts w:ascii="Palatino Linotype" w:hAnsi="Palatino Linotype" w:cs="Tahoma"/>
          <w:i w:val="0"/>
          <w:color w:val="000000" w:themeColor="text1"/>
          <w:sz w:val="22"/>
          <w:szCs w:val="22"/>
        </w:rPr>
        <w:t xml:space="preserve">Jaime Alfonso Pérez Clavijo, Jaime Morán, </w:t>
      </w:r>
      <w:r w:rsidR="004122E6" w:rsidRPr="00EF390B">
        <w:rPr>
          <w:rFonts w:ascii="Palatino Linotype" w:hAnsi="Palatino Linotype" w:cs="Tahoma"/>
          <w:i w:val="0"/>
          <w:color w:val="000000" w:themeColor="text1"/>
          <w:sz w:val="22"/>
          <w:szCs w:val="22"/>
        </w:rPr>
        <w:t xml:space="preserve"> de la Empresa Pública Metropolitana de Hábitat y Vivienda</w:t>
      </w:r>
      <w:r w:rsidR="004122E6" w:rsidRPr="00AA0092">
        <w:rPr>
          <w:rFonts w:ascii="Palatino Linotype" w:hAnsi="Palatino Linotype" w:cs="Tahoma"/>
          <w:i w:val="0"/>
          <w:color w:val="000000" w:themeColor="text1"/>
          <w:sz w:val="22"/>
          <w:szCs w:val="22"/>
        </w:rPr>
        <w:t xml:space="preserve">; </w:t>
      </w:r>
      <w:r w:rsidR="002F573D">
        <w:rPr>
          <w:rFonts w:ascii="Palatino Linotype" w:hAnsi="Palatino Linotype" w:cs="Tahoma"/>
          <w:i w:val="0"/>
          <w:color w:val="000000" w:themeColor="text1"/>
          <w:sz w:val="22"/>
          <w:szCs w:val="22"/>
        </w:rPr>
        <w:t xml:space="preserve">Mónica Cueva </w:t>
      </w:r>
      <w:r w:rsidR="00004D50" w:rsidRPr="00EF390B">
        <w:rPr>
          <w:rFonts w:ascii="Palatino Linotype" w:hAnsi="Palatino Linotype" w:cs="Tahoma"/>
          <w:i w:val="0"/>
          <w:color w:val="000000" w:themeColor="text1"/>
          <w:sz w:val="22"/>
          <w:szCs w:val="22"/>
        </w:rPr>
        <w:t>de la Secretaría General de Coordinación Territorial y Part</w:t>
      </w:r>
      <w:r w:rsidR="00762293" w:rsidRPr="00EF390B">
        <w:rPr>
          <w:rFonts w:ascii="Palatino Linotype" w:hAnsi="Palatino Linotype" w:cs="Tahoma"/>
          <w:i w:val="0"/>
          <w:color w:val="000000" w:themeColor="text1"/>
          <w:sz w:val="22"/>
          <w:szCs w:val="22"/>
        </w:rPr>
        <w:t>icipación Ciudadana</w:t>
      </w:r>
      <w:r w:rsidR="00BA6206" w:rsidRPr="00EF390B">
        <w:rPr>
          <w:rFonts w:ascii="Palatino Linotype" w:hAnsi="Palatino Linotype" w:cs="Tahoma"/>
          <w:i w:val="0"/>
          <w:color w:val="000000" w:themeColor="text1"/>
          <w:sz w:val="22"/>
          <w:szCs w:val="22"/>
        </w:rPr>
        <w:t>;</w:t>
      </w:r>
      <w:r w:rsidR="002D1BDC">
        <w:rPr>
          <w:rFonts w:ascii="Palatino Linotype" w:hAnsi="Palatino Linotype" w:cs="Tahoma"/>
          <w:i w:val="0"/>
          <w:color w:val="000000" w:themeColor="text1"/>
          <w:sz w:val="22"/>
          <w:szCs w:val="22"/>
        </w:rPr>
        <w:t xml:space="preserve"> </w:t>
      </w:r>
      <w:proofErr w:type="spellStart"/>
      <w:r w:rsidR="002F573D">
        <w:rPr>
          <w:rFonts w:ascii="Palatino Linotype" w:hAnsi="Palatino Linotype" w:cs="Tahoma"/>
          <w:i w:val="0"/>
          <w:color w:val="000000" w:themeColor="text1"/>
          <w:sz w:val="22"/>
          <w:szCs w:val="22"/>
        </w:rPr>
        <w:t>Mariangel</w:t>
      </w:r>
      <w:proofErr w:type="spellEnd"/>
      <w:r w:rsidR="002F573D">
        <w:rPr>
          <w:rFonts w:ascii="Palatino Linotype" w:hAnsi="Palatino Linotype" w:cs="Tahoma"/>
          <w:i w:val="0"/>
          <w:color w:val="000000" w:themeColor="text1"/>
          <w:sz w:val="22"/>
          <w:szCs w:val="22"/>
        </w:rPr>
        <w:t xml:space="preserve"> Muñoz de la Secretaría General de Seguridad y Gobernabilidad José Herrera </w:t>
      </w:r>
      <w:r w:rsidR="00780B77" w:rsidRPr="005A336E">
        <w:rPr>
          <w:rFonts w:ascii="Palatino Linotype" w:hAnsi="Palatino Linotype" w:cs="Tahoma"/>
          <w:i w:val="0"/>
          <w:color w:val="000000" w:themeColor="text1"/>
          <w:sz w:val="22"/>
          <w:szCs w:val="22"/>
        </w:rPr>
        <w:t>de la Secretaría de Territorio Hábitat y Vivienda</w:t>
      </w:r>
      <w:r w:rsidR="00780B77">
        <w:rPr>
          <w:rFonts w:ascii="Palatino Linotype" w:hAnsi="Palatino Linotype" w:cs="Tahoma"/>
          <w:i w:val="0"/>
          <w:color w:val="000000" w:themeColor="text1"/>
          <w:sz w:val="22"/>
          <w:szCs w:val="22"/>
        </w:rPr>
        <w:t xml:space="preserve">; </w:t>
      </w:r>
      <w:proofErr w:type="spellStart"/>
      <w:r w:rsidR="002F573D">
        <w:rPr>
          <w:rFonts w:ascii="Palatino Linotype" w:hAnsi="Palatino Linotype" w:cs="Tahoma"/>
          <w:i w:val="0"/>
          <w:color w:val="000000" w:themeColor="text1"/>
          <w:sz w:val="22"/>
          <w:szCs w:val="22"/>
        </w:rPr>
        <w:t>Geovany</w:t>
      </w:r>
      <w:proofErr w:type="spellEnd"/>
      <w:r w:rsidR="002F573D">
        <w:rPr>
          <w:rFonts w:ascii="Palatino Linotype" w:hAnsi="Palatino Linotype" w:cs="Tahoma"/>
          <w:i w:val="0"/>
          <w:color w:val="000000" w:themeColor="text1"/>
          <w:sz w:val="22"/>
          <w:szCs w:val="22"/>
        </w:rPr>
        <w:t xml:space="preserve"> Ortiz </w:t>
      </w:r>
      <w:proofErr w:type="spellStart"/>
      <w:r w:rsidR="002F573D">
        <w:rPr>
          <w:rFonts w:ascii="Palatino Linotype" w:hAnsi="Palatino Linotype" w:cs="Tahoma"/>
          <w:i w:val="0"/>
          <w:color w:val="000000" w:themeColor="text1"/>
          <w:sz w:val="22"/>
          <w:szCs w:val="22"/>
        </w:rPr>
        <w:t>de l</w:t>
      </w:r>
      <w:proofErr w:type="spellEnd"/>
      <w:r w:rsidR="002F573D">
        <w:rPr>
          <w:rFonts w:ascii="Palatino Linotype" w:hAnsi="Palatino Linotype" w:cs="Tahoma"/>
          <w:i w:val="0"/>
          <w:color w:val="000000" w:themeColor="text1"/>
          <w:sz w:val="22"/>
          <w:szCs w:val="22"/>
        </w:rPr>
        <w:t xml:space="preserve"> Dirección Metropolitana de Catastro; Felipe Hidalgo </w:t>
      </w:r>
      <w:r w:rsidR="005A336E" w:rsidRPr="001A5856">
        <w:rPr>
          <w:rFonts w:ascii="Palatino Linotype" w:hAnsi="Palatino Linotype" w:cs="Tahoma"/>
          <w:i w:val="0"/>
          <w:color w:val="000000" w:themeColor="text1"/>
          <w:sz w:val="22"/>
          <w:szCs w:val="22"/>
        </w:rPr>
        <w:t>de la Procuraduría Metropolitana</w:t>
      </w:r>
      <w:r w:rsidR="005A336E">
        <w:rPr>
          <w:rFonts w:ascii="Palatino Linotype" w:hAnsi="Palatino Linotype" w:cs="Tahoma"/>
          <w:i w:val="0"/>
          <w:color w:val="000000" w:themeColor="text1"/>
          <w:sz w:val="22"/>
          <w:szCs w:val="22"/>
        </w:rPr>
        <w:t>;</w:t>
      </w:r>
      <w:r w:rsidR="002F573D">
        <w:rPr>
          <w:rFonts w:ascii="Palatino Linotype" w:hAnsi="Palatino Linotype" w:cs="Tahoma"/>
          <w:i w:val="0"/>
          <w:color w:val="000000" w:themeColor="text1"/>
          <w:sz w:val="22"/>
          <w:szCs w:val="22"/>
        </w:rPr>
        <w:t xml:space="preserve"> </w:t>
      </w:r>
      <w:r w:rsidR="00BA6206" w:rsidRPr="00EF390B">
        <w:rPr>
          <w:rFonts w:ascii="Palatino Linotype" w:hAnsi="Palatino Linotype" w:cs="Tahoma"/>
          <w:i w:val="0"/>
          <w:color w:val="000000" w:themeColor="text1"/>
          <w:sz w:val="22"/>
          <w:szCs w:val="22"/>
        </w:rPr>
        <w:t xml:space="preserve">Ricardo </w:t>
      </w:r>
      <w:proofErr w:type="spellStart"/>
      <w:r w:rsidR="00BA6206" w:rsidRPr="00EF390B">
        <w:rPr>
          <w:rFonts w:ascii="Palatino Linotype" w:hAnsi="Palatino Linotype" w:cs="Tahoma"/>
          <w:i w:val="0"/>
          <w:color w:val="000000" w:themeColor="text1"/>
          <w:sz w:val="22"/>
          <w:szCs w:val="22"/>
        </w:rPr>
        <w:t>Minda</w:t>
      </w:r>
      <w:proofErr w:type="spellEnd"/>
      <w:r w:rsidR="00BA6206" w:rsidRPr="001A5856">
        <w:rPr>
          <w:rFonts w:ascii="Palatino Linotype" w:hAnsi="Palatino Linotype" w:cs="Tahoma"/>
          <w:i w:val="0"/>
          <w:color w:val="000000" w:themeColor="text1"/>
          <w:sz w:val="22"/>
          <w:szCs w:val="22"/>
        </w:rPr>
        <w:t>, Elizabeth Cevallos del despacho</w:t>
      </w:r>
      <w:r w:rsidR="00923A27">
        <w:rPr>
          <w:rFonts w:ascii="Palatino Linotype" w:hAnsi="Palatino Linotype" w:cs="Tahoma"/>
          <w:i w:val="0"/>
          <w:color w:val="000000" w:themeColor="text1"/>
          <w:sz w:val="22"/>
          <w:szCs w:val="22"/>
        </w:rPr>
        <w:t xml:space="preserve"> de la concejala Blanca </w:t>
      </w:r>
      <w:proofErr w:type="spellStart"/>
      <w:r w:rsidR="00923A27">
        <w:rPr>
          <w:rFonts w:ascii="Palatino Linotype" w:hAnsi="Palatino Linotype" w:cs="Tahoma"/>
          <w:i w:val="0"/>
          <w:color w:val="000000" w:themeColor="text1"/>
          <w:sz w:val="22"/>
          <w:szCs w:val="22"/>
        </w:rPr>
        <w:t>Paucar</w:t>
      </w:r>
      <w:proofErr w:type="spellEnd"/>
      <w:r w:rsidR="006B6563">
        <w:rPr>
          <w:rFonts w:ascii="Palatino Linotype" w:hAnsi="Palatino Linotype" w:cs="Tahoma"/>
          <w:i w:val="0"/>
          <w:color w:val="000000" w:themeColor="text1"/>
          <w:sz w:val="22"/>
          <w:szCs w:val="22"/>
        </w:rPr>
        <w:t>.</w:t>
      </w:r>
      <w:r w:rsidR="00235844">
        <w:rPr>
          <w:rFonts w:ascii="Palatino Linotype" w:hAnsi="Palatino Linotype" w:cs="Tahoma"/>
          <w:i w:val="0"/>
          <w:color w:val="000000" w:themeColor="text1"/>
          <w:sz w:val="22"/>
          <w:szCs w:val="22"/>
        </w:rPr>
        <w:t xml:space="preserve"> </w:t>
      </w:r>
    </w:p>
    <w:p w:rsidR="00AB1004" w:rsidRDefault="00874EDF" w:rsidP="005A3123">
      <w:pPr>
        <w:pStyle w:val="Textoindependiente"/>
        <w:spacing w:before="240" w:after="0" w:line="240" w:lineRule="auto"/>
        <w:jc w:val="both"/>
        <w:rPr>
          <w:rFonts w:ascii="Palatino Linotype" w:hAnsi="Palatino Linotype"/>
        </w:rPr>
      </w:pPr>
      <w:r w:rsidRPr="008B0BC2">
        <w:rPr>
          <w:rFonts w:ascii="Palatino Linotype" w:hAnsi="Palatino Linotype"/>
        </w:rPr>
        <w:t>El Abg. Pablo Solórzano delegado de la Secretaría General del Concejo Metropolitano de Quito a la Comisión</w:t>
      </w:r>
      <w:r w:rsidRPr="00867BAA">
        <w:rPr>
          <w:rFonts w:ascii="Palatino Linotype" w:hAnsi="Palatino Linotype"/>
        </w:rPr>
        <w:t xml:space="preserve"> de Vivienda y Hábitat, por disposición de la señora presidenta procede a dar lectura del orden del día:</w:t>
      </w:r>
    </w:p>
    <w:p w:rsidR="006B6563" w:rsidRPr="006B6563" w:rsidRDefault="006B6563" w:rsidP="006B6563">
      <w:pPr>
        <w:pStyle w:val="Textoindependiente"/>
        <w:spacing w:before="240" w:after="0" w:line="240" w:lineRule="auto"/>
        <w:jc w:val="both"/>
        <w:rPr>
          <w:rFonts w:ascii="Palatino Linotype" w:hAnsi="Palatino Linotype"/>
        </w:rPr>
      </w:pPr>
      <w:r w:rsidRPr="006B6563">
        <w:rPr>
          <w:rFonts w:ascii="Palatino Linotype" w:hAnsi="Palatino Linotype"/>
          <w:b/>
        </w:rPr>
        <w:t>1.</w:t>
      </w:r>
      <w:r w:rsidRPr="006B6563">
        <w:rPr>
          <w:rFonts w:ascii="Palatino Linotype" w:hAnsi="Palatino Linotype"/>
        </w:rPr>
        <w:t xml:space="preserve"> Aprobación del acta de la sesión Nro. 71 de 6 de julio de 2022. </w:t>
      </w:r>
    </w:p>
    <w:p w:rsidR="006B6563" w:rsidRPr="006B6563" w:rsidRDefault="006B6563" w:rsidP="006B6563">
      <w:pPr>
        <w:pStyle w:val="Textoindependiente"/>
        <w:spacing w:before="240" w:after="0" w:line="240" w:lineRule="auto"/>
        <w:jc w:val="both"/>
        <w:rPr>
          <w:rFonts w:ascii="Palatino Linotype" w:hAnsi="Palatino Linotype"/>
        </w:rPr>
      </w:pPr>
      <w:r w:rsidRPr="006B6563">
        <w:rPr>
          <w:rFonts w:ascii="Palatino Linotype" w:hAnsi="Palatino Linotype"/>
          <w:b/>
        </w:rPr>
        <w:t>2.</w:t>
      </w:r>
      <w:r w:rsidRPr="006B6563">
        <w:rPr>
          <w:rFonts w:ascii="Palatino Linotype" w:hAnsi="Palatino Linotype"/>
        </w:rPr>
        <w:t xml:space="preserve"> Comisión General para recibir a los señores: Ángel Patricio Hinojosa y Nicolás Narváez. Tema: Proceso de Relocalización. </w:t>
      </w:r>
    </w:p>
    <w:p w:rsidR="001A5B16" w:rsidRPr="006B6563" w:rsidRDefault="006B6563" w:rsidP="006B6563">
      <w:pPr>
        <w:pStyle w:val="Textoindependiente"/>
        <w:spacing w:before="240" w:after="0" w:line="240" w:lineRule="auto"/>
        <w:jc w:val="both"/>
        <w:rPr>
          <w:rFonts w:ascii="Palatino Linotype" w:hAnsi="Palatino Linotype"/>
        </w:rPr>
      </w:pPr>
      <w:r w:rsidRPr="006B6563">
        <w:rPr>
          <w:rFonts w:ascii="Palatino Linotype" w:hAnsi="Palatino Linotype"/>
          <w:b/>
        </w:rPr>
        <w:t>3.</w:t>
      </w:r>
      <w:r w:rsidRPr="006B6563">
        <w:rPr>
          <w:rFonts w:ascii="Palatino Linotype" w:hAnsi="Palatino Linotype"/>
        </w:rPr>
        <w:t xml:space="preserve"> Informe por parte de la Empres Púbica Metropolitana de Hábitat y Vivienda, sobre el avance del proceso de cierre de los convenios 064 y 202, acorde a la resolución 009-CVH-2022.; y resolución al respecto.</w:t>
      </w:r>
    </w:p>
    <w:p w:rsidR="001A5B16" w:rsidRDefault="001A5B16" w:rsidP="001A5B16">
      <w:pPr>
        <w:pStyle w:val="Textoindependiente"/>
        <w:spacing w:before="240" w:after="0" w:line="240" w:lineRule="auto"/>
        <w:jc w:val="both"/>
        <w:rPr>
          <w:rFonts w:ascii="Palatino Linotype" w:hAnsi="Palatino Linotype"/>
        </w:rPr>
      </w:pPr>
      <w:r>
        <w:rPr>
          <w:rFonts w:ascii="Palatino Linotype" w:hAnsi="Palatino Linotype"/>
        </w:rPr>
        <w:lastRenderedPageBreak/>
        <w:t xml:space="preserve">Sin haber observaciones se procede a tomar votación para la aprobación del orden del día, registrándose los siguientes resultados: </w:t>
      </w:r>
    </w:p>
    <w:p w:rsidR="001A5B16" w:rsidRDefault="001A5B16" w:rsidP="001A5B16">
      <w:pPr>
        <w:pStyle w:val="Textoindependiente"/>
        <w:spacing w:before="240" w:after="0" w:line="240" w:lineRule="auto"/>
        <w:jc w:val="both"/>
        <w:rPr>
          <w:rFonts w:ascii="Palatino Linotype" w:hAnsi="Palatino Linotype"/>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1A5B16" w:rsidRPr="00867BAA" w:rsidTr="00FF270B">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1A5B16" w:rsidRPr="00867BAA" w:rsidRDefault="001A5B16" w:rsidP="00FF27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REGISTRO DE VOTACIÓN</w:t>
            </w:r>
          </w:p>
        </w:tc>
      </w:tr>
      <w:tr w:rsidR="001A5B16" w:rsidRPr="00867BAA" w:rsidTr="00FF270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1A5B16" w:rsidRPr="00867BAA" w:rsidRDefault="001A5B16" w:rsidP="00FF27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1A5B16" w:rsidRPr="00867BAA" w:rsidRDefault="001A5B16" w:rsidP="00FF27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1A5B16" w:rsidRPr="00867BAA" w:rsidRDefault="001A5B16" w:rsidP="00FF27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1A5B16" w:rsidRPr="00867BAA" w:rsidRDefault="001A5B16" w:rsidP="00FF270B">
            <w:pPr>
              <w:pStyle w:val="Subttulo"/>
              <w:jc w:val="center"/>
              <w:rPr>
                <w:rFonts w:ascii="Palatino Linotype" w:hAnsi="Palatino Linotype"/>
                <w:b/>
                <w:i w:val="0"/>
                <w:color w:val="FFFFFF"/>
                <w:sz w:val="22"/>
                <w:szCs w:val="22"/>
                <w:lang w:val="es-ES"/>
              </w:rPr>
            </w:pPr>
          </w:p>
          <w:p w:rsidR="001A5B16" w:rsidRPr="00867BAA" w:rsidRDefault="001A5B16" w:rsidP="00FF27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A5B16" w:rsidRPr="00867BAA" w:rsidRDefault="001A5B16" w:rsidP="00FF27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1A5B16" w:rsidRPr="00867BAA" w:rsidRDefault="001A5B16" w:rsidP="00FF270B">
            <w:pPr>
              <w:pStyle w:val="Subttulo"/>
              <w:jc w:val="center"/>
              <w:rPr>
                <w:rFonts w:ascii="Palatino Linotype" w:hAnsi="Palatino Linotype"/>
                <w:b/>
                <w:i w:val="0"/>
                <w:color w:val="FFFFFF"/>
                <w:sz w:val="22"/>
                <w:szCs w:val="22"/>
                <w:lang w:val="es-ES"/>
              </w:rPr>
            </w:pPr>
          </w:p>
          <w:p w:rsidR="001A5B16" w:rsidRPr="00867BAA" w:rsidRDefault="001A5B16" w:rsidP="00FF27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1A5B16" w:rsidRPr="00867BAA" w:rsidTr="00FF270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1A5B16" w:rsidRPr="00867BAA" w:rsidRDefault="001A5B16" w:rsidP="00FF270B">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A5B16" w:rsidRPr="00867BAA" w:rsidRDefault="001A5B16" w:rsidP="00FF270B">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1A5B16" w:rsidRPr="00867BAA" w:rsidRDefault="001A5B16" w:rsidP="00FF270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1A5B16" w:rsidRPr="00867BAA" w:rsidRDefault="001A5B16" w:rsidP="00FF270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A5B16" w:rsidRPr="00867BAA" w:rsidRDefault="001A5B16" w:rsidP="00FF270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A5B16" w:rsidRPr="00867BAA" w:rsidRDefault="001A5B16" w:rsidP="00FF270B">
            <w:pPr>
              <w:pStyle w:val="Subttulo"/>
              <w:jc w:val="center"/>
              <w:rPr>
                <w:rFonts w:ascii="Palatino Linotype" w:hAnsi="Palatino Linotype"/>
                <w:i w:val="0"/>
                <w:color w:val="000000"/>
                <w:sz w:val="22"/>
                <w:szCs w:val="22"/>
                <w:lang w:val="es-ES"/>
              </w:rPr>
            </w:pPr>
          </w:p>
        </w:tc>
      </w:tr>
      <w:tr w:rsidR="001A5B16" w:rsidRPr="00867BAA" w:rsidTr="00FF270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1A5B16" w:rsidRPr="00867BAA" w:rsidRDefault="006B6563" w:rsidP="00FF270B">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1134" w:type="dxa"/>
            <w:tcBorders>
              <w:top w:val="single" w:sz="4" w:space="0" w:color="auto"/>
              <w:left w:val="single" w:sz="4" w:space="0" w:color="auto"/>
              <w:bottom w:val="single" w:sz="4" w:space="0" w:color="auto"/>
              <w:right w:val="single" w:sz="4" w:space="0" w:color="auto"/>
            </w:tcBorders>
          </w:tcPr>
          <w:p w:rsidR="001A5B16" w:rsidRPr="00867BAA" w:rsidRDefault="006B6563" w:rsidP="00FF270B">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1A5B16" w:rsidRPr="00867BAA" w:rsidRDefault="001A5B16" w:rsidP="00FF270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1A5B16" w:rsidRPr="00867BAA" w:rsidRDefault="001A5B16" w:rsidP="00FF270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A5B16" w:rsidRPr="00867BAA" w:rsidRDefault="001A5B16" w:rsidP="00FF270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A5B16" w:rsidRPr="00867BAA" w:rsidRDefault="006B6563" w:rsidP="00FF270B">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1A5B16" w:rsidRPr="00867BAA" w:rsidTr="00FF270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1A5B16" w:rsidRPr="00867BAA" w:rsidRDefault="006B6563" w:rsidP="00FF270B">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Carlos Jaramillo</w:t>
            </w:r>
          </w:p>
        </w:tc>
        <w:tc>
          <w:tcPr>
            <w:tcW w:w="1134" w:type="dxa"/>
            <w:tcBorders>
              <w:top w:val="single" w:sz="4" w:space="0" w:color="auto"/>
              <w:left w:val="single" w:sz="4" w:space="0" w:color="auto"/>
              <w:bottom w:val="single" w:sz="4" w:space="0" w:color="auto"/>
              <w:right w:val="single" w:sz="4" w:space="0" w:color="auto"/>
            </w:tcBorders>
          </w:tcPr>
          <w:p w:rsidR="001A5B16" w:rsidRPr="00867BAA" w:rsidRDefault="006B6563" w:rsidP="00FF270B">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1A5B16" w:rsidRPr="00867BAA" w:rsidRDefault="001A5B16" w:rsidP="00FF270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1A5B16" w:rsidRPr="00867BAA" w:rsidRDefault="001A5B16" w:rsidP="00FF270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A5B16" w:rsidRPr="00867BAA" w:rsidRDefault="001A5B16" w:rsidP="00FF270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A5B16" w:rsidRPr="00867BAA" w:rsidRDefault="001A5B16" w:rsidP="00FF270B">
            <w:pPr>
              <w:pStyle w:val="Subttulo"/>
              <w:jc w:val="center"/>
              <w:rPr>
                <w:rFonts w:ascii="Palatino Linotype" w:hAnsi="Palatino Linotype"/>
                <w:i w:val="0"/>
                <w:color w:val="000000"/>
                <w:sz w:val="22"/>
                <w:szCs w:val="22"/>
                <w:lang w:val="es-ES"/>
              </w:rPr>
            </w:pPr>
          </w:p>
        </w:tc>
      </w:tr>
      <w:tr w:rsidR="001A5B16" w:rsidRPr="00867BAA" w:rsidTr="00FF270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1A5B16" w:rsidRPr="00867BAA" w:rsidRDefault="001A5B16" w:rsidP="00FF270B">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1A5B16" w:rsidRPr="00867BAA" w:rsidRDefault="001A5B16" w:rsidP="00FF270B">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1A5B16" w:rsidRPr="00867BAA" w:rsidRDefault="001A5B16" w:rsidP="00FF270B">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1A5B16" w:rsidRPr="00867BAA" w:rsidRDefault="001A5B16" w:rsidP="00FF270B">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A5B16" w:rsidRPr="00867BAA" w:rsidRDefault="001A5B16" w:rsidP="00FF270B">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1A5B16" w:rsidRPr="00867BAA" w:rsidRDefault="001A5B16" w:rsidP="00FF270B">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1A5B16" w:rsidRDefault="001A5B16" w:rsidP="001A5B16">
      <w:pPr>
        <w:pStyle w:val="Textoindependiente"/>
        <w:spacing w:before="240" w:after="0" w:line="240" w:lineRule="auto"/>
        <w:jc w:val="both"/>
        <w:rPr>
          <w:rFonts w:ascii="Palatino Linotype" w:hAnsi="Palatino Linotype"/>
        </w:rPr>
      </w:pPr>
      <w:r>
        <w:rPr>
          <w:rFonts w:ascii="Palatino Linotype" w:hAnsi="Palatino Linotype"/>
        </w:rPr>
        <w:t>Con dos votos a favor se aprueba el orden del día.</w:t>
      </w:r>
    </w:p>
    <w:p w:rsidR="00F345F9" w:rsidRDefault="00F345F9" w:rsidP="00F345F9">
      <w:pPr>
        <w:pStyle w:val="Textoindependiente"/>
        <w:spacing w:before="240" w:after="0" w:line="240" w:lineRule="auto"/>
        <w:jc w:val="center"/>
        <w:rPr>
          <w:rFonts w:ascii="Palatino Linotype" w:hAnsi="Palatino Linotype"/>
          <w:b/>
        </w:rPr>
      </w:pPr>
      <w:r w:rsidRPr="00F345F9">
        <w:rPr>
          <w:rFonts w:ascii="Palatino Linotype" w:hAnsi="Palatino Linotype"/>
          <w:b/>
        </w:rPr>
        <w:t>DESARROLLO DE LA SESIÓN</w:t>
      </w:r>
    </w:p>
    <w:p w:rsidR="00F345F9" w:rsidRDefault="0048009C" w:rsidP="00F345F9">
      <w:pPr>
        <w:pStyle w:val="Textoindependiente"/>
        <w:spacing w:before="240" w:after="0" w:line="240" w:lineRule="auto"/>
        <w:jc w:val="both"/>
        <w:rPr>
          <w:rFonts w:ascii="Palatino Linotype" w:hAnsi="Palatino Linotype"/>
          <w:b/>
        </w:rPr>
      </w:pPr>
      <w:r>
        <w:rPr>
          <w:rFonts w:ascii="Palatino Linotype" w:hAnsi="Palatino Linotype"/>
          <w:b/>
        </w:rPr>
        <w:t>Primer Punto:</w:t>
      </w:r>
      <w:r w:rsidR="006B6563">
        <w:rPr>
          <w:rFonts w:ascii="Palatino Linotype" w:hAnsi="Palatino Linotype"/>
          <w:b/>
        </w:rPr>
        <w:t xml:space="preserve"> </w:t>
      </w:r>
      <w:r w:rsidR="006B6563" w:rsidRPr="006B6563">
        <w:rPr>
          <w:rFonts w:ascii="Palatino Linotype" w:hAnsi="Palatino Linotype"/>
          <w:b/>
        </w:rPr>
        <w:t>Aprobación del acta de la sesión Nro. 71 de 6 de julio de 2022</w:t>
      </w:r>
      <w:r w:rsidRPr="006B6563">
        <w:rPr>
          <w:rFonts w:ascii="Palatino Linotype" w:hAnsi="Palatino Linotype"/>
          <w:b/>
        </w:rPr>
        <w:t>.</w:t>
      </w:r>
    </w:p>
    <w:p w:rsidR="00712513" w:rsidRDefault="009B4B44" w:rsidP="00F345F9">
      <w:pPr>
        <w:pStyle w:val="Textoindependiente"/>
        <w:spacing w:before="240" w:after="0" w:line="240" w:lineRule="auto"/>
        <w:jc w:val="both"/>
        <w:rPr>
          <w:rFonts w:ascii="Palatino Linotype" w:hAnsi="Palatino Linotype"/>
        </w:rPr>
      </w:pPr>
      <w:r w:rsidRPr="009B4B44">
        <w:rPr>
          <w:rFonts w:ascii="Palatino Linotype" w:hAnsi="Palatino Linotype"/>
          <w:b/>
        </w:rPr>
        <w:t>Interviene</w:t>
      </w:r>
      <w:r w:rsidR="006B6563" w:rsidRPr="009B4B44">
        <w:rPr>
          <w:rFonts w:ascii="Palatino Linotype" w:hAnsi="Palatino Linotype"/>
          <w:b/>
        </w:rPr>
        <w:t xml:space="preserve"> la concejala Blanca </w:t>
      </w:r>
      <w:proofErr w:type="spellStart"/>
      <w:r w:rsidR="006B6563" w:rsidRPr="009B4B44">
        <w:rPr>
          <w:rFonts w:ascii="Palatino Linotype" w:hAnsi="Palatino Linotype"/>
          <w:b/>
        </w:rPr>
        <w:t>Paucar</w:t>
      </w:r>
      <w:proofErr w:type="spellEnd"/>
      <w:r w:rsidR="006B6563" w:rsidRPr="009B4B44">
        <w:rPr>
          <w:rFonts w:ascii="Palatino Linotype" w:hAnsi="Palatino Linotype"/>
          <w:b/>
        </w:rPr>
        <w:t>;</w:t>
      </w:r>
      <w:r w:rsidR="006B6563">
        <w:rPr>
          <w:rFonts w:ascii="Palatino Linotype" w:hAnsi="Palatino Linotype"/>
        </w:rPr>
        <w:t xml:space="preserve"> menciona que, debido a la ausencia de la concejala Soledad Ben</w:t>
      </w:r>
      <w:r>
        <w:rPr>
          <w:rFonts w:ascii="Palatino Linotype" w:hAnsi="Palatino Linotype"/>
        </w:rPr>
        <w:t>ítez, que estuvo presente en la sesión anterior, se suspende el tratamiento del punto.</w:t>
      </w:r>
    </w:p>
    <w:p w:rsidR="009B4B44" w:rsidRDefault="009B4B44" w:rsidP="00F345F9">
      <w:pPr>
        <w:pStyle w:val="Textoindependiente"/>
        <w:spacing w:before="240" w:after="0" w:line="240" w:lineRule="auto"/>
        <w:jc w:val="both"/>
        <w:rPr>
          <w:rFonts w:ascii="Palatino Linotype" w:hAnsi="Palatino Linotype"/>
        </w:rPr>
      </w:pPr>
      <w:r w:rsidRPr="009B4B44">
        <w:rPr>
          <w:rFonts w:ascii="Palatino Linotype" w:hAnsi="Palatino Linotype"/>
          <w:b/>
        </w:rPr>
        <w:t>Segundo Punto: Comisión General para recibir a los señores: Ángel Patricio Hinojosa y Nicolás Narváez. Tema: Proceso de Relocalización</w:t>
      </w:r>
      <w:r w:rsidRPr="006B6563">
        <w:rPr>
          <w:rFonts w:ascii="Palatino Linotype" w:hAnsi="Palatino Linotype"/>
        </w:rPr>
        <w:t>.</w:t>
      </w:r>
    </w:p>
    <w:p w:rsidR="009B4B44" w:rsidRDefault="009B4B44" w:rsidP="00F345F9">
      <w:pPr>
        <w:pStyle w:val="Textoindependiente"/>
        <w:spacing w:before="240" w:after="0" w:line="240" w:lineRule="auto"/>
        <w:jc w:val="both"/>
        <w:rPr>
          <w:rFonts w:ascii="Palatino Linotype" w:hAnsi="Palatino Linotype"/>
        </w:rPr>
      </w:pPr>
      <w:r w:rsidRPr="009B4B44">
        <w:rPr>
          <w:rFonts w:ascii="Palatino Linotype" w:hAnsi="Palatino Linotype"/>
          <w:b/>
        </w:rPr>
        <w:t>Interviene el ciudadano Nicolás Narv</w:t>
      </w:r>
      <w:r w:rsidR="00767AFE">
        <w:rPr>
          <w:rFonts w:ascii="Palatino Linotype" w:hAnsi="Palatino Linotype"/>
          <w:b/>
        </w:rPr>
        <w:t xml:space="preserve">áez; </w:t>
      </w:r>
      <w:r w:rsidR="00767AFE">
        <w:rPr>
          <w:rFonts w:ascii="Palatino Linotype" w:hAnsi="Palatino Linotype"/>
        </w:rPr>
        <w:t>menciona que, luego de la reunión con las autoridades municipales se sienten contentos, luego de diez años se tiene la esperanz</w:t>
      </w:r>
      <w:r w:rsidR="000E2D55">
        <w:rPr>
          <w:rFonts w:ascii="Palatino Linotype" w:hAnsi="Palatino Linotype"/>
        </w:rPr>
        <w:t xml:space="preserve">a para que se resuelva el tema; en tal razón pide que se </w:t>
      </w:r>
      <w:r w:rsidR="00D5274C">
        <w:rPr>
          <w:rFonts w:ascii="Palatino Linotype" w:hAnsi="Palatino Linotype"/>
        </w:rPr>
        <w:t>dé</w:t>
      </w:r>
      <w:r w:rsidR="000E2D55">
        <w:rPr>
          <w:rFonts w:ascii="Palatino Linotype" w:hAnsi="Palatino Linotype"/>
        </w:rPr>
        <w:t xml:space="preserve"> luz verde al tema, para tener una propiedad </w:t>
      </w:r>
      <w:r w:rsidR="00D5274C">
        <w:rPr>
          <w:rFonts w:ascii="Palatino Linotype" w:hAnsi="Palatino Linotype"/>
        </w:rPr>
        <w:t xml:space="preserve">en un lugar seguro; agradece a la concejala Blanca </w:t>
      </w:r>
      <w:proofErr w:type="spellStart"/>
      <w:r w:rsidR="00D5274C">
        <w:rPr>
          <w:rFonts w:ascii="Palatino Linotype" w:hAnsi="Palatino Linotype"/>
        </w:rPr>
        <w:t>Paucar</w:t>
      </w:r>
      <w:proofErr w:type="spellEnd"/>
      <w:r w:rsidR="00D5274C">
        <w:rPr>
          <w:rFonts w:ascii="Palatino Linotype" w:hAnsi="Palatino Linotype"/>
        </w:rPr>
        <w:t>, por el trabajo en este tema.</w:t>
      </w:r>
    </w:p>
    <w:p w:rsidR="00E76D01" w:rsidRDefault="00E76D01" w:rsidP="00F345F9">
      <w:pPr>
        <w:pStyle w:val="Textoindependiente"/>
        <w:spacing w:before="240" w:after="0" w:line="240" w:lineRule="auto"/>
        <w:jc w:val="both"/>
        <w:rPr>
          <w:rFonts w:ascii="Palatino Linotype" w:hAnsi="Palatino Linotype"/>
        </w:rPr>
      </w:pPr>
      <w:r w:rsidRPr="00CD4158">
        <w:rPr>
          <w:rFonts w:ascii="Palatino Linotype" w:hAnsi="Palatino Linotype"/>
          <w:b/>
        </w:rPr>
        <w:t xml:space="preserve">Interviene la concejala Blanca </w:t>
      </w:r>
      <w:proofErr w:type="spellStart"/>
      <w:r w:rsidRPr="00CD4158">
        <w:rPr>
          <w:rFonts w:ascii="Palatino Linotype" w:hAnsi="Palatino Linotype"/>
          <w:b/>
        </w:rPr>
        <w:t>Paucar</w:t>
      </w:r>
      <w:proofErr w:type="spellEnd"/>
      <w:r w:rsidRPr="00CD4158">
        <w:rPr>
          <w:rFonts w:ascii="Palatino Linotype" w:hAnsi="Palatino Linotype"/>
          <w:b/>
        </w:rPr>
        <w:t>;</w:t>
      </w:r>
      <w:r>
        <w:rPr>
          <w:rFonts w:ascii="Palatino Linotype" w:hAnsi="Palatino Linotype"/>
        </w:rPr>
        <w:t xml:space="preserve"> menciona que</w:t>
      </w:r>
      <w:r w:rsidR="00A7774E">
        <w:rPr>
          <w:rFonts w:ascii="Palatino Linotype" w:hAnsi="Palatino Linotype"/>
        </w:rPr>
        <w:t>,</w:t>
      </w:r>
      <w:r>
        <w:rPr>
          <w:rFonts w:ascii="Palatino Linotype" w:hAnsi="Palatino Linotype"/>
        </w:rPr>
        <w:t xml:space="preserve"> est</w:t>
      </w:r>
      <w:r w:rsidR="00CD4158">
        <w:rPr>
          <w:rFonts w:ascii="Palatino Linotype" w:hAnsi="Palatino Linotype"/>
        </w:rPr>
        <w:t>án comprometidos, en la mesa de trabajo se ha llegado a algunos acuerdos; en tal sentido estarán revisando la acción de las entidades municipales que han acompañado en el proceso para entregar la vivienda en el caso específico de Victoria del Sur.</w:t>
      </w:r>
    </w:p>
    <w:p w:rsidR="0009519A" w:rsidRDefault="00936AE8" w:rsidP="00F345F9">
      <w:pPr>
        <w:pStyle w:val="Textoindependiente"/>
        <w:spacing w:before="240" w:after="0" w:line="240" w:lineRule="auto"/>
        <w:jc w:val="both"/>
        <w:rPr>
          <w:rFonts w:ascii="Palatino Linotype" w:hAnsi="Palatino Linotype"/>
        </w:rPr>
      </w:pPr>
      <w:r w:rsidRPr="00936AE8">
        <w:rPr>
          <w:rFonts w:ascii="Palatino Linotype" w:hAnsi="Palatino Linotype"/>
          <w:b/>
        </w:rPr>
        <w:t>Interviene el concejal Carlos Jaramillo;</w:t>
      </w:r>
      <w:r>
        <w:rPr>
          <w:rFonts w:ascii="Palatino Linotype" w:hAnsi="Palatino Linotype"/>
        </w:rPr>
        <w:t xml:space="preserve"> hace un llamado a los personeros que están a cargo, lo hagan lo más pronto posible. </w:t>
      </w:r>
    </w:p>
    <w:p w:rsidR="00FF270B" w:rsidRPr="00FF270B" w:rsidRDefault="00FF270B" w:rsidP="00F345F9">
      <w:pPr>
        <w:pStyle w:val="Textoindependiente"/>
        <w:spacing w:before="240" w:after="0" w:line="240" w:lineRule="auto"/>
        <w:jc w:val="both"/>
        <w:rPr>
          <w:rFonts w:ascii="Palatino Linotype" w:hAnsi="Palatino Linotype"/>
          <w:b/>
        </w:rPr>
      </w:pPr>
      <w:r w:rsidRPr="00FF270B">
        <w:rPr>
          <w:rFonts w:ascii="Palatino Linotype" w:hAnsi="Palatino Linotype"/>
          <w:b/>
        </w:rPr>
        <w:t>Tercer Punto: Informe por parte de la Empres Púbica Metropolitana de Hábitat y Vivienda, sobre el avance del proceso de cierre de los convenios 064 y 202, acorde a la resolución 009-CVH-2022.; y resolución al respecto.</w:t>
      </w:r>
    </w:p>
    <w:p w:rsidR="009B4B44" w:rsidRDefault="00C3590E" w:rsidP="00F345F9">
      <w:pPr>
        <w:pStyle w:val="Textoindependiente"/>
        <w:spacing w:before="240" w:after="0" w:line="240" w:lineRule="auto"/>
        <w:jc w:val="both"/>
        <w:rPr>
          <w:rFonts w:ascii="Palatino Linotype" w:hAnsi="Palatino Linotype"/>
        </w:rPr>
      </w:pPr>
      <w:r>
        <w:rPr>
          <w:rFonts w:ascii="Palatino Linotype" w:hAnsi="Palatino Linotype"/>
        </w:rPr>
        <w:t xml:space="preserve">Interviene la concejala Blanca </w:t>
      </w:r>
      <w:proofErr w:type="spellStart"/>
      <w:r>
        <w:rPr>
          <w:rFonts w:ascii="Palatino Linotype" w:hAnsi="Palatino Linotype"/>
        </w:rPr>
        <w:t>Paucar</w:t>
      </w:r>
      <w:proofErr w:type="spellEnd"/>
      <w:r>
        <w:rPr>
          <w:rFonts w:ascii="Palatino Linotype" w:hAnsi="Palatino Linotype"/>
        </w:rPr>
        <w:t xml:space="preserve">; menciona que, en la sesión 063 ordinaria, realizada el día miércoles, 16 de febrero del 2022, se resolvió que la Empresa Pública Metropolitana de Hábitat y vivienda, presente a la Comisión de Vivienda y Hábitat, un informe con </w:t>
      </w:r>
      <w:r>
        <w:rPr>
          <w:rFonts w:ascii="Palatino Linotype" w:hAnsi="Palatino Linotype"/>
        </w:rPr>
        <w:lastRenderedPageBreak/>
        <w:t>documentos de respaldo y firmas de responsabilidad sobre los avances de las gestiones y cierre de los convenios, 064 y 202; la EPMHV, envió un informe el 15 de mayo en el que recomienda algunas acciones;</w:t>
      </w:r>
      <w:r w:rsidR="006203B2">
        <w:rPr>
          <w:rFonts w:ascii="Palatino Linotype" w:hAnsi="Palatino Linotype"/>
        </w:rPr>
        <w:t xml:space="preserve"> de</w:t>
      </w:r>
      <w:r>
        <w:rPr>
          <w:rFonts w:ascii="Palatino Linotype" w:hAnsi="Palatino Linotype"/>
        </w:rPr>
        <w:t xml:space="preserve">sde la fecha no se ha tenido información, </w:t>
      </w:r>
      <w:r w:rsidR="00BF7E86">
        <w:rPr>
          <w:rFonts w:ascii="Palatino Linotype" w:hAnsi="Palatino Linotype"/>
        </w:rPr>
        <w:t xml:space="preserve">en ese sentido pregunta qué es lo que ha pasado. </w:t>
      </w:r>
    </w:p>
    <w:p w:rsidR="00BF7E86" w:rsidRDefault="00BF7E86" w:rsidP="00F345F9">
      <w:pPr>
        <w:pStyle w:val="Textoindependiente"/>
        <w:spacing w:before="240" w:after="0" w:line="240" w:lineRule="auto"/>
        <w:jc w:val="both"/>
        <w:rPr>
          <w:rFonts w:ascii="Palatino Linotype" w:hAnsi="Palatino Linotype"/>
        </w:rPr>
      </w:pPr>
      <w:r w:rsidRPr="00BF7E86">
        <w:rPr>
          <w:rFonts w:ascii="Palatino Linotype" w:hAnsi="Palatino Linotype"/>
          <w:b/>
        </w:rPr>
        <w:t xml:space="preserve">Interviene el Ing. Jaime Alfonso Pérez Clavijo, Gerente General de la Empresa Pública Metropolitana de Hábitat y Vivienda; </w:t>
      </w:r>
      <w:r>
        <w:rPr>
          <w:rFonts w:ascii="Palatino Linotype" w:hAnsi="Palatino Linotype"/>
        </w:rPr>
        <w:t>menciona que, se ha tomado contacto con la actual ministra y viceministro, para el cierre de los convenios.</w:t>
      </w:r>
    </w:p>
    <w:p w:rsidR="003C37BC" w:rsidRDefault="00BF7E86" w:rsidP="00F345F9">
      <w:pPr>
        <w:pStyle w:val="Textoindependiente"/>
        <w:spacing w:before="240" w:after="0" w:line="240" w:lineRule="auto"/>
        <w:jc w:val="both"/>
        <w:rPr>
          <w:rFonts w:ascii="Palatino Linotype" w:hAnsi="Palatino Linotype"/>
        </w:rPr>
      </w:pPr>
      <w:r w:rsidRPr="00BF7E86">
        <w:rPr>
          <w:rFonts w:ascii="Palatino Linotype" w:hAnsi="Palatino Linotype"/>
          <w:b/>
        </w:rPr>
        <w:t xml:space="preserve">Interviene Jaime Morán de la </w:t>
      </w:r>
      <w:r w:rsidRPr="00BF7E86">
        <w:rPr>
          <w:rFonts w:ascii="Palatino Linotype" w:hAnsi="Palatino Linotype"/>
          <w:b/>
        </w:rPr>
        <w:t>Empresa Pública Metropolitana de Hábitat y Vivienda;</w:t>
      </w:r>
      <w:r>
        <w:rPr>
          <w:rFonts w:ascii="Palatino Linotype" w:hAnsi="Palatino Linotype"/>
          <w:b/>
        </w:rPr>
        <w:t xml:space="preserve"> </w:t>
      </w:r>
      <w:r>
        <w:rPr>
          <w:rFonts w:ascii="Palatino Linotype" w:hAnsi="Palatino Linotype"/>
        </w:rPr>
        <w:t>realiza su presentación referente a los convenios 064 y 202</w:t>
      </w:r>
      <w:r w:rsidR="003C37BC">
        <w:rPr>
          <w:rFonts w:ascii="Palatino Linotype" w:hAnsi="Palatino Linotype"/>
        </w:rPr>
        <w:t xml:space="preserve">, mencionando los antecedentes; agrega que, el asunto está siendo convocado de manera periódica por la defensoría del pueblo en función de la denuncia presentada por el señor H, que representa  a las familias que no se le ha dado solución, en función de eso  se reúnen la EPMHV, SGSG, representantes del MIDUVI, hay espacios para seguimiento y evaluación, como segundo espacio de seguimiento está la Comisión de Vivienda y Hábitat y como tercero, la alcaldía; los convenios ya no están vigentes, aún no hay respuesta de la Secretaría General de Gestión d Riesgos, para concretar el cierre. Desde la EPMHV, se han cumplido con los aspectos necesarios para los cierres de los convenios, por ejemplo, se ha construido las viviendas y dado mantenimientos, esta información se ha enviado al MIDUVI. </w:t>
      </w:r>
    </w:p>
    <w:p w:rsidR="00BF7E86" w:rsidRDefault="003C37BC" w:rsidP="00F345F9">
      <w:pPr>
        <w:pStyle w:val="Textoindependiente"/>
        <w:spacing w:before="240" w:after="0" w:line="240" w:lineRule="auto"/>
        <w:jc w:val="both"/>
        <w:rPr>
          <w:rFonts w:ascii="Palatino Linotype" w:hAnsi="Palatino Linotype"/>
        </w:rPr>
      </w:pPr>
      <w:r w:rsidRPr="00DF7083">
        <w:rPr>
          <w:rFonts w:ascii="Palatino Linotype" w:hAnsi="Palatino Linotype"/>
          <w:b/>
        </w:rPr>
        <w:t>I</w:t>
      </w:r>
      <w:r w:rsidR="000C2503" w:rsidRPr="00DF7083">
        <w:rPr>
          <w:rFonts w:ascii="Palatino Linotype" w:hAnsi="Palatino Linotype"/>
          <w:b/>
        </w:rPr>
        <w:t>nterviene Diego Erazo de la Secretaría de Seguridad y Gobernabilidad;</w:t>
      </w:r>
      <w:r w:rsidR="000C2503">
        <w:rPr>
          <w:rFonts w:ascii="Palatino Linotype" w:hAnsi="Palatino Linotype"/>
        </w:rPr>
        <w:t xml:space="preserve"> menciona que, también han sido parte de las mesas de las mesas de trabajo que lleva la Defensoría del Pueblo, además sugiere que la liquidación de los convenios sea sobre la fase constructiva, esto no se ha podido cerrar por que se depende de terceros, en tal sentido se debe solicitar al </w:t>
      </w:r>
      <w:proofErr w:type="spellStart"/>
      <w:r w:rsidR="000C2503">
        <w:rPr>
          <w:rFonts w:ascii="Palatino Linotype" w:hAnsi="Palatino Linotype"/>
        </w:rPr>
        <w:t>Miduvi</w:t>
      </w:r>
      <w:proofErr w:type="spellEnd"/>
      <w:r w:rsidR="000C2503">
        <w:rPr>
          <w:rFonts w:ascii="Palatino Linotype" w:hAnsi="Palatino Linotype"/>
        </w:rPr>
        <w:t xml:space="preserve">, el cierre sobre la fase constructiva, porque si se hace una liquidación por escrituración o por beneficiario, se puede tardar dos años más, </w:t>
      </w:r>
      <w:r w:rsidR="009E5895">
        <w:rPr>
          <w:rFonts w:ascii="Palatino Linotype" w:hAnsi="Palatino Linotype"/>
        </w:rPr>
        <w:t xml:space="preserve">esto ya se dijo en la Defensoría del Pueblo. </w:t>
      </w:r>
      <w:r w:rsidR="00DF7083">
        <w:rPr>
          <w:rFonts w:ascii="Palatino Linotype" w:hAnsi="Palatino Linotype"/>
        </w:rPr>
        <w:t>Agrega que, e</w:t>
      </w:r>
      <w:r w:rsidR="009E5895">
        <w:rPr>
          <w:rFonts w:ascii="Palatino Linotype" w:hAnsi="Palatino Linotype"/>
        </w:rPr>
        <w:t xml:space="preserve">s importante que, donde los usuarios no han respondido al proceso de relocalización, se pueda </w:t>
      </w:r>
      <w:r w:rsidR="00DF7083">
        <w:rPr>
          <w:rFonts w:ascii="Palatino Linotype" w:hAnsi="Palatino Linotype"/>
        </w:rPr>
        <w:t>reasignar estas viviendas en favor de otros beneficiarios que cumplen con los requisitos. También vale que se analice, si los convenios han cumplido con el objeto, pese a estar vencidos los plazos</w:t>
      </w:r>
      <w:r w:rsidR="008B369E">
        <w:rPr>
          <w:rFonts w:ascii="Palatino Linotype" w:hAnsi="Palatino Linotype"/>
        </w:rPr>
        <w:t>.</w:t>
      </w:r>
    </w:p>
    <w:p w:rsidR="008B369E" w:rsidRDefault="008B369E" w:rsidP="00F345F9">
      <w:pPr>
        <w:pStyle w:val="Textoindependiente"/>
        <w:spacing w:before="240" w:after="0" w:line="240" w:lineRule="auto"/>
        <w:jc w:val="both"/>
        <w:rPr>
          <w:rFonts w:ascii="Palatino Linotype" w:hAnsi="Palatino Linotype"/>
        </w:rPr>
      </w:pPr>
      <w:r w:rsidRPr="00BF7E86">
        <w:rPr>
          <w:rFonts w:ascii="Palatino Linotype" w:hAnsi="Palatino Linotype"/>
          <w:b/>
        </w:rPr>
        <w:t xml:space="preserve">Interviene el Ing. Jaime Alfonso Pérez Clavijo, Gerente General de la Empresa Pública Metropolitana de Hábitat y Vivienda; </w:t>
      </w:r>
      <w:r>
        <w:rPr>
          <w:rFonts w:ascii="Palatino Linotype" w:hAnsi="Palatino Linotype"/>
        </w:rPr>
        <w:t>menciona que,</w:t>
      </w:r>
      <w:r>
        <w:rPr>
          <w:rFonts w:ascii="Palatino Linotype" w:hAnsi="Palatino Linotype"/>
        </w:rPr>
        <w:t xml:space="preserve"> en cuanto al tema de algunas unidades de relocalización, hay que hacer una depuración de usuarios que no han accedido.</w:t>
      </w:r>
    </w:p>
    <w:p w:rsidR="00A7774E" w:rsidRDefault="00A7774E" w:rsidP="00F345F9">
      <w:pPr>
        <w:pStyle w:val="Textoindependiente"/>
        <w:spacing w:before="240" w:after="0" w:line="240" w:lineRule="auto"/>
        <w:jc w:val="both"/>
        <w:rPr>
          <w:rFonts w:ascii="Palatino Linotype" w:hAnsi="Palatino Linotype"/>
        </w:rPr>
      </w:pPr>
      <w:r w:rsidRPr="00CD4158">
        <w:rPr>
          <w:rFonts w:ascii="Palatino Linotype" w:hAnsi="Palatino Linotype"/>
          <w:b/>
        </w:rPr>
        <w:t xml:space="preserve">Interviene la concejala Blanca </w:t>
      </w:r>
      <w:proofErr w:type="spellStart"/>
      <w:r w:rsidRPr="00CD4158">
        <w:rPr>
          <w:rFonts w:ascii="Palatino Linotype" w:hAnsi="Palatino Linotype"/>
          <w:b/>
        </w:rPr>
        <w:t>Paucar</w:t>
      </w:r>
      <w:proofErr w:type="spellEnd"/>
      <w:r w:rsidRPr="00CD4158">
        <w:rPr>
          <w:rFonts w:ascii="Palatino Linotype" w:hAnsi="Palatino Linotype"/>
          <w:b/>
        </w:rPr>
        <w:t>;</w:t>
      </w:r>
      <w:r w:rsidR="00AB39B4">
        <w:rPr>
          <w:rFonts w:ascii="Palatino Linotype" w:hAnsi="Palatino Linotype"/>
        </w:rPr>
        <w:t xml:space="preserve"> solicita a la EPMHV y a quienes están involucrados en la hoja de ruta, según las acciones que se debían continuar las responsabilidades asumidas por cada uno de los entes municipales en referencia al tema de la vivienda, se reúnan para actualizar la información en la siguiente sesión de la Comisión de Vivienda y Hábitat; así mismo, pide a la EPMHV, el cumplimiento de la Resolución emitida el 16 de febrero del 2022, en la sesión 063,</w:t>
      </w:r>
      <w:r w:rsidR="00463CC5">
        <w:rPr>
          <w:rFonts w:ascii="Palatino Linotype" w:hAnsi="Palatino Linotype"/>
        </w:rPr>
        <w:t xml:space="preserve"> referente el informe quincenal, en tal sentido mociona: </w:t>
      </w:r>
      <w:r w:rsidR="00463CC5" w:rsidRPr="00463CC5">
        <w:rPr>
          <w:rFonts w:ascii="Palatino Linotype" w:hAnsi="Palatino Linotype"/>
        </w:rPr>
        <w:t xml:space="preserve">Que la Empresa Pública Metropolitana de Hábitat y </w:t>
      </w:r>
      <w:r w:rsidR="00463CC5" w:rsidRPr="00463CC5">
        <w:rPr>
          <w:rFonts w:ascii="Palatino Linotype" w:hAnsi="Palatino Linotype"/>
        </w:rPr>
        <w:lastRenderedPageBreak/>
        <w:t>Vivienda actualice la información de la hoja de ruta y en la siguiente sesión de la comisión de Vivienda y Hábitat, entregue los respectivos informes; así como, la información quincenal, acorde a lo establecido en la Resolución 009-CVH-2022, de fecha 16 de febrero del 2022</w:t>
      </w:r>
      <w:r w:rsidR="00463CC5">
        <w:rPr>
          <w:rFonts w:ascii="Palatino Linotype" w:hAnsi="Palatino Linotype"/>
        </w:rPr>
        <w:t>.</w:t>
      </w:r>
    </w:p>
    <w:p w:rsidR="008B369E" w:rsidRPr="00BF7E86" w:rsidRDefault="00463CC5" w:rsidP="00F345F9">
      <w:pPr>
        <w:pStyle w:val="Textoindependiente"/>
        <w:spacing w:before="240" w:after="0" w:line="240" w:lineRule="auto"/>
        <w:jc w:val="both"/>
        <w:rPr>
          <w:rFonts w:ascii="Palatino Linotype" w:hAnsi="Palatino Linotype"/>
        </w:rPr>
      </w:pPr>
      <w:r>
        <w:rPr>
          <w:rFonts w:ascii="Palatino Linotype" w:hAnsi="Palatino Linotype"/>
        </w:rPr>
        <w:t>Una vez apoyada la moción se procede a tomar votación, registrándose los siguientes resultados:</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712513" w:rsidRPr="00867BAA" w:rsidTr="00EF390B">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712513" w:rsidRPr="00867BAA" w:rsidRDefault="00712513" w:rsidP="00EF39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REGISTRO DE VOTACIÓN</w:t>
            </w:r>
          </w:p>
        </w:tc>
      </w:tr>
      <w:tr w:rsidR="00712513" w:rsidRPr="00867BAA" w:rsidTr="00EF390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712513" w:rsidRPr="00867BAA" w:rsidRDefault="00712513" w:rsidP="00EF39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712513" w:rsidRPr="00867BAA" w:rsidRDefault="00712513" w:rsidP="00EF39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712513" w:rsidRPr="00867BAA" w:rsidRDefault="00712513" w:rsidP="00EF39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712513" w:rsidRPr="00867BAA" w:rsidRDefault="00712513" w:rsidP="00EF390B">
            <w:pPr>
              <w:pStyle w:val="Subttulo"/>
              <w:jc w:val="center"/>
              <w:rPr>
                <w:rFonts w:ascii="Palatino Linotype" w:hAnsi="Palatino Linotype"/>
                <w:b/>
                <w:i w:val="0"/>
                <w:color w:val="FFFFFF"/>
                <w:sz w:val="22"/>
                <w:szCs w:val="22"/>
                <w:lang w:val="es-ES"/>
              </w:rPr>
            </w:pPr>
          </w:p>
          <w:p w:rsidR="00712513" w:rsidRPr="00867BAA" w:rsidRDefault="00712513" w:rsidP="00EF39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12513" w:rsidRPr="00867BAA" w:rsidRDefault="00712513" w:rsidP="00EF39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712513" w:rsidRPr="00867BAA" w:rsidRDefault="00712513" w:rsidP="00EF390B">
            <w:pPr>
              <w:pStyle w:val="Subttulo"/>
              <w:jc w:val="center"/>
              <w:rPr>
                <w:rFonts w:ascii="Palatino Linotype" w:hAnsi="Palatino Linotype"/>
                <w:b/>
                <w:i w:val="0"/>
                <w:color w:val="FFFFFF"/>
                <w:sz w:val="22"/>
                <w:szCs w:val="22"/>
                <w:lang w:val="es-ES"/>
              </w:rPr>
            </w:pPr>
          </w:p>
          <w:p w:rsidR="00712513" w:rsidRPr="00867BAA" w:rsidRDefault="00712513" w:rsidP="00EF39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712513" w:rsidRPr="00867BAA" w:rsidTr="00EF390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712513" w:rsidRPr="00867BAA" w:rsidRDefault="00712513" w:rsidP="00EF390B">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12513" w:rsidRPr="00867BAA" w:rsidRDefault="00712513" w:rsidP="00EF390B">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i w:val="0"/>
                <w:color w:val="000000"/>
                <w:sz w:val="22"/>
                <w:szCs w:val="22"/>
                <w:lang w:val="es-ES"/>
              </w:rPr>
            </w:pPr>
          </w:p>
        </w:tc>
      </w:tr>
      <w:tr w:rsidR="00712513" w:rsidRPr="00867BAA" w:rsidTr="00EF390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712513" w:rsidRPr="00867BAA" w:rsidRDefault="00463CC5" w:rsidP="00EF390B">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1134" w:type="dxa"/>
            <w:tcBorders>
              <w:top w:val="single" w:sz="4" w:space="0" w:color="auto"/>
              <w:left w:val="single" w:sz="4" w:space="0" w:color="auto"/>
              <w:bottom w:val="single" w:sz="4" w:space="0" w:color="auto"/>
              <w:right w:val="single" w:sz="4" w:space="0" w:color="auto"/>
            </w:tcBorders>
          </w:tcPr>
          <w:p w:rsidR="00712513" w:rsidRPr="00867BAA" w:rsidRDefault="00463CC5" w:rsidP="00EF390B">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12513" w:rsidRPr="00867BAA" w:rsidRDefault="00463CC5" w:rsidP="00EF390B">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712513" w:rsidRPr="00867BAA" w:rsidTr="00EF390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712513" w:rsidRPr="00867BAA" w:rsidRDefault="00463CC5" w:rsidP="00EF390B">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Carlos Jaramillo</w:t>
            </w:r>
          </w:p>
        </w:tc>
        <w:tc>
          <w:tcPr>
            <w:tcW w:w="1134" w:type="dxa"/>
            <w:tcBorders>
              <w:top w:val="single" w:sz="4" w:space="0" w:color="auto"/>
              <w:left w:val="single" w:sz="4" w:space="0" w:color="auto"/>
              <w:bottom w:val="single" w:sz="4" w:space="0" w:color="auto"/>
              <w:right w:val="single" w:sz="4" w:space="0" w:color="auto"/>
            </w:tcBorders>
          </w:tcPr>
          <w:p w:rsidR="00712513" w:rsidRPr="00867BAA" w:rsidRDefault="00463CC5" w:rsidP="00EF390B">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i w:val="0"/>
                <w:color w:val="000000"/>
                <w:sz w:val="22"/>
                <w:szCs w:val="22"/>
                <w:lang w:val="es-ES"/>
              </w:rPr>
            </w:pPr>
          </w:p>
        </w:tc>
      </w:tr>
      <w:tr w:rsidR="00712513" w:rsidRPr="00867BAA" w:rsidTr="00EF390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712513" w:rsidRPr="00867BAA" w:rsidRDefault="00712513" w:rsidP="00EF390B">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712513" w:rsidRPr="00867BAA" w:rsidRDefault="00F345F9" w:rsidP="00EF390B">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712513" w:rsidRPr="00867BAA" w:rsidRDefault="00712513" w:rsidP="00EF390B">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712513" w:rsidRPr="00867BAA" w:rsidRDefault="00FB6219" w:rsidP="00EF390B">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12513" w:rsidRPr="00867BAA" w:rsidRDefault="00712513" w:rsidP="00EF390B">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712513" w:rsidRPr="00867BAA" w:rsidRDefault="00F345F9" w:rsidP="00EF390B">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892E34" w:rsidRDefault="00F345F9" w:rsidP="00463CC5">
      <w:pPr>
        <w:pStyle w:val="Textoindependiente"/>
        <w:spacing w:before="240" w:line="240" w:lineRule="auto"/>
        <w:jc w:val="both"/>
        <w:rPr>
          <w:rFonts w:ascii="Palatino Linotype" w:hAnsi="Palatino Linotype"/>
        </w:rPr>
      </w:pPr>
      <w:r>
        <w:rPr>
          <w:rFonts w:ascii="Palatino Linotype" w:hAnsi="Palatino Linotype"/>
        </w:rPr>
        <w:t xml:space="preserve">Con dos votos a favor, la Comisión de Vivienda y Hábitat </w:t>
      </w:r>
      <w:r w:rsidR="00463CC5">
        <w:rPr>
          <w:rFonts w:ascii="Palatino Linotype" w:hAnsi="Palatino Linotype"/>
        </w:rPr>
        <w:t xml:space="preserve">resolvió: </w:t>
      </w:r>
      <w:r w:rsidR="00463CC5" w:rsidRPr="00463CC5">
        <w:rPr>
          <w:rFonts w:ascii="Palatino Linotype" w:hAnsi="Palatino Linotype"/>
        </w:rPr>
        <w:t>Que la Empresa Pública Metropolitana de Hábitat y Vivienda actualice la información de la hoja de ruta y en la siguiente sesión de la comisión de Vivienda y Hábitat, entregue los respectivos informes; así como, la información quincenal, acorde a lo establecido en la Resolución 009-CVH-2022, de fecha 16 de febrero del 2022</w:t>
      </w:r>
      <w:r w:rsidR="00463CC5">
        <w:rPr>
          <w:rFonts w:ascii="Palatino Linotype" w:hAnsi="Palatino Linotype"/>
        </w:rPr>
        <w:t>.</w:t>
      </w:r>
    </w:p>
    <w:p w:rsidR="00874EDF" w:rsidRPr="00867BAA" w:rsidRDefault="00874EDF" w:rsidP="00272BE8">
      <w:pPr>
        <w:pStyle w:val="NormalWeb"/>
        <w:spacing w:before="240" w:beforeAutospacing="0" w:after="0" w:afterAutospacing="0"/>
        <w:jc w:val="both"/>
        <w:textAlignment w:val="baseline"/>
        <w:rPr>
          <w:rFonts w:ascii="Palatino Linotype" w:hAnsi="Palatino Linotype"/>
          <w:bCs/>
          <w:color w:val="000000"/>
          <w:sz w:val="22"/>
          <w:szCs w:val="22"/>
        </w:rPr>
      </w:pPr>
      <w:r>
        <w:rPr>
          <w:rFonts w:ascii="Palatino Linotype" w:hAnsi="Palatino Linotype"/>
          <w:color w:val="000000"/>
          <w:sz w:val="22"/>
          <w:szCs w:val="22"/>
        </w:rPr>
        <w:t xml:space="preserve">Siendo las </w:t>
      </w:r>
      <w:r w:rsidR="00AC2AFD">
        <w:rPr>
          <w:rFonts w:ascii="Palatino Linotype" w:hAnsi="Palatino Linotype"/>
          <w:color w:val="000000"/>
          <w:sz w:val="22"/>
          <w:szCs w:val="22"/>
        </w:rPr>
        <w:t>1</w:t>
      </w:r>
      <w:r w:rsidR="00E76A3E">
        <w:rPr>
          <w:rFonts w:ascii="Palatino Linotype" w:hAnsi="Palatino Linotype"/>
          <w:color w:val="000000"/>
          <w:sz w:val="22"/>
          <w:szCs w:val="22"/>
        </w:rPr>
        <w:t>5</w:t>
      </w:r>
      <w:r w:rsidRPr="00802ED1">
        <w:rPr>
          <w:rFonts w:ascii="Palatino Linotype" w:hAnsi="Palatino Linotype"/>
          <w:color w:val="000000"/>
          <w:sz w:val="22"/>
          <w:szCs w:val="22"/>
        </w:rPr>
        <w:t>h</w:t>
      </w:r>
      <w:r w:rsidR="00463CC5">
        <w:rPr>
          <w:rFonts w:ascii="Palatino Linotype" w:hAnsi="Palatino Linotype"/>
          <w:color w:val="000000"/>
          <w:sz w:val="22"/>
          <w:szCs w:val="22"/>
        </w:rPr>
        <w:t>28</w:t>
      </w:r>
      <w:r w:rsidRPr="00802ED1">
        <w:rPr>
          <w:rFonts w:ascii="Palatino Linotype" w:hAnsi="Palatino Linotype"/>
          <w:color w:val="000000"/>
          <w:sz w:val="22"/>
          <w:szCs w:val="22"/>
        </w:rPr>
        <w:t xml:space="preserve">, </w:t>
      </w:r>
      <w:r w:rsidRPr="00802ED1">
        <w:rPr>
          <w:rFonts w:ascii="Palatino Linotype" w:hAnsi="Palatino Linotype"/>
          <w:color w:val="000000"/>
          <w:sz w:val="22"/>
          <w:szCs w:val="22"/>
          <w:lang w:val="es-ES"/>
        </w:rPr>
        <w:t>habiendo</w:t>
      </w:r>
      <w:r w:rsidRPr="00867BAA">
        <w:rPr>
          <w:rFonts w:ascii="Palatino Linotype" w:hAnsi="Palatino Linotype"/>
          <w:color w:val="000000"/>
          <w:sz w:val="22"/>
          <w:szCs w:val="22"/>
          <w:lang w:val="es-ES"/>
        </w:rPr>
        <w:t xml:space="preserve"> agotado el </w:t>
      </w:r>
      <w:r w:rsidR="00202B90">
        <w:rPr>
          <w:rFonts w:ascii="Palatino Linotype" w:hAnsi="Palatino Linotype"/>
          <w:color w:val="000000"/>
          <w:sz w:val="22"/>
          <w:szCs w:val="22"/>
          <w:lang w:val="es-ES"/>
        </w:rPr>
        <w:t xml:space="preserve">tratamiento de los puntos del </w:t>
      </w:r>
      <w:r w:rsidRPr="00867BAA">
        <w:rPr>
          <w:rFonts w:ascii="Palatino Linotype" w:hAnsi="Palatino Linotype"/>
          <w:color w:val="000000"/>
          <w:sz w:val="22"/>
          <w:szCs w:val="22"/>
          <w:lang w:val="es-ES"/>
        </w:rPr>
        <w:t xml:space="preserve">orden del día, la presidenta de la Comisión declara clausurada la sesión. </w:t>
      </w:r>
    </w:p>
    <w:p w:rsidR="00874EDF" w:rsidRPr="00867BAA" w:rsidRDefault="00874EDF" w:rsidP="00874EDF">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874EDF" w:rsidRPr="00867BAA" w:rsidTr="00FF1851">
        <w:trPr>
          <w:trHeight w:val="25"/>
          <w:jc w:val="center"/>
        </w:trPr>
        <w:tc>
          <w:tcPr>
            <w:tcW w:w="8871" w:type="dxa"/>
            <w:gridSpan w:val="3"/>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sz w:val="22"/>
                <w:szCs w:val="22"/>
              </w:rPr>
              <w:t xml:space="preserve">          </w:t>
            </w:r>
            <w:r w:rsidRPr="00867BAA">
              <w:rPr>
                <w:rFonts w:ascii="Palatino Linotype" w:hAnsi="Palatino Linotype" w:cs="Tahoma"/>
                <w:b/>
                <w:i w:val="0"/>
                <w:color w:val="FFFFFF"/>
                <w:sz w:val="22"/>
                <w:szCs w:val="22"/>
                <w:lang w:val="es-ES"/>
              </w:rPr>
              <w:t>REGISTRO ASISTENCIA – FINALIZACIÓN  SESIÓN</w:t>
            </w:r>
          </w:p>
        </w:tc>
      </w:tr>
      <w:tr w:rsidR="00874EDF" w:rsidRPr="00867BAA" w:rsidTr="00FF1851">
        <w:trPr>
          <w:trHeight w:val="25"/>
          <w:jc w:val="center"/>
        </w:trPr>
        <w:tc>
          <w:tcPr>
            <w:tcW w:w="499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96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PRESENTE</w:t>
            </w:r>
          </w:p>
        </w:tc>
        <w:tc>
          <w:tcPr>
            <w:tcW w:w="1917"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 xml:space="preserve">AUSENTE </w:t>
            </w:r>
          </w:p>
        </w:tc>
      </w:tr>
      <w:tr w:rsidR="00874EDF" w:rsidRPr="00867BAA" w:rsidTr="00FF1851">
        <w:trPr>
          <w:trHeight w:val="25"/>
          <w:jc w:val="center"/>
        </w:trPr>
        <w:tc>
          <w:tcPr>
            <w:tcW w:w="4992" w:type="dxa"/>
            <w:shd w:val="clear" w:color="auto" w:fill="auto"/>
          </w:tcPr>
          <w:p w:rsidR="00874EDF" w:rsidRPr="00867BAA" w:rsidRDefault="00874EDF" w:rsidP="00FF1851">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 xml:space="preserve">Blanca </w:t>
            </w:r>
            <w:proofErr w:type="spellStart"/>
            <w:r w:rsidRPr="00867BAA">
              <w:rPr>
                <w:rFonts w:ascii="Palatino Linotype" w:hAnsi="Palatino Linotype"/>
                <w:b/>
                <w:i w:val="0"/>
                <w:color w:val="000000"/>
                <w:sz w:val="22"/>
                <w:szCs w:val="22"/>
                <w:lang w:val="es-ES"/>
              </w:rPr>
              <w:t>Paucar</w:t>
            </w:r>
            <w:proofErr w:type="spellEnd"/>
            <w:r w:rsidRPr="00867BAA">
              <w:rPr>
                <w:rFonts w:ascii="Palatino Linotype" w:hAnsi="Palatino Linotype"/>
                <w:b/>
                <w:i w:val="0"/>
                <w:color w:val="000000"/>
                <w:sz w:val="22"/>
                <w:szCs w:val="22"/>
                <w:lang w:val="es-ES"/>
              </w:rPr>
              <w:t xml:space="preserve"> </w:t>
            </w:r>
          </w:p>
        </w:tc>
        <w:tc>
          <w:tcPr>
            <w:tcW w:w="1962"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auto"/>
          </w:tcPr>
          <w:p w:rsidR="00874EDF" w:rsidRPr="00867BAA" w:rsidRDefault="00463CC5" w:rsidP="00FF1851">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Eduardo del Pozo</w:t>
            </w:r>
          </w:p>
        </w:tc>
        <w:tc>
          <w:tcPr>
            <w:tcW w:w="1962" w:type="dxa"/>
            <w:shd w:val="clear" w:color="auto" w:fill="auto"/>
          </w:tcPr>
          <w:p w:rsidR="00874EDF" w:rsidRPr="00867BAA" w:rsidRDefault="00463CC5"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917" w:type="dxa"/>
            <w:shd w:val="clear" w:color="auto" w:fill="auto"/>
          </w:tcPr>
          <w:p w:rsidR="00874EDF" w:rsidRPr="00867BAA" w:rsidRDefault="00463CC5"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874EDF" w:rsidRPr="00867BAA" w:rsidTr="00FF1851">
        <w:trPr>
          <w:trHeight w:val="25"/>
          <w:jc w:val="center"/>
        </w:trPr>
        <w:tc>
          <w:tcPr>
            <w:tcW w:w="4992" w:type="dxa"/>
            <w:shd w:val="clear" w:color="auto" w:fill="auto"/>
          </w:tcPr>
          <w:p w:rsidR="00874EDF" w:rsidRPr="00867BAA" w:rsidRDefault="00463CC5" w:rsidP="00FF1851">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Carlos Jaramillo</w:t>
            </w:r>
          </w:p>
        </w:tc>
        <w:tc>
          <w:tcPr>
            <w:tcW w:w="1962" w:type="dxa"/>
            <w:shd w:val="clear" w:color="auto" w:fill="auto"/>
          </w:tcPr>
          <w:p w:rsidR="00874EDF" w:rsidRPr="00867BAA" w:rsidRDefault="00463CC5"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TOTAL</w:t>
            </w:r>
          </w:p>
        </w:tc>
        <w:tc>
          <w:tcPr>
            <w:tcW w:w="1962" w:type="dxa"/>
            <w:shd w:val="clear" w:color="auto" w:fill="0070C0"/>
          </w:tcPr>
          <w:p w:rsidR="00874EDF" w:rsidRPr="00867BAA" w:rsidRDefault="0002095D" w:rsidP="00FF1851">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2</w:t>
            </w:r>
          </w:p>
        </w:tc>
        <w:tc>
          <w:tcPr>
            <w:tcW w:w="1917" w:type="dxa"/>
            <w:shd w:val="clear" w:color="auto" w:fill="0070C0"/>
          </w:tcPr>
          <w:p w:rsidR="00874EDF" w:rsidRPr="00867BAA" w:rsidRDefault="00FD04FE" w:rsidP="00FF1851">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1</w:t>
            </w:r>
          </w:p>
        </w:tc>
      </w:tr>
    </w:tbl>
    <w:p w:rsidR="00874EDF" w:rsidRPr="00867BAA" w:rsidRDefault="00874EDF" w:rsidP="00874EDF">
      <w:pPr>
        <w:spacing w:after="0" w:line="240" w:lineRule="auto"/>
        <w:jc w:val="both"/>
        <w:rPr>
          <w:rStyle w:val="Textoennegrita"/>
          <w:rFonts w:ascii="Palatino Linotype" w:hAnsi="Palatino Linotype" w:cs="Tahoma"/>
          <w:b w:val="0"/>
        </w:rPr>
      </w:pPr>
    </w:p>
    <w:p w:rsidR="00874EDF" w:rsidRPr="00EA38DD" w:rsidRDefault="00874EDF" w:rsidP="00874EDF">
      <w:pPr>
        <w:spacing w:after="0" w:line="240" w:lineRule="auto"/>
        <w:jc w:val="both"/>
        <w:rPr>
          <w:rStyle w:val="Textoennegrita"/>
          <w:rFonts w:ascii="Palatino Linotype" w:hAnsi="Palatino Linotype"/>
          <w:b w:val="0"/>
        </w:rPr>
      </w:pPr>
      <w:r w:rsidRPr="00EA38DD">
        <w:rPr>
          <w:rStyle w:val="Textoennegrita"/>
          <w:rFonts w:ascii="Palatino Linotype" w:hAnsi="Palatino Linotype" w:cs="Tahoma"/>
          <w:b w:val="0"/>
        </w:rPr>
        <w:t>Para constancia de lo actuado, firman la presidenta de la Comisión de Vivienda y Hábitat y el Secretario General del Concejo Metropolitano de Quito.</w:t>
      </w:r>
    </w:p>
    <w:p w:rsidR="00874EDF" w:rsidRPr="00867BAA" w:rsidRDefault="00874EDF" w:rsidP="00874EDF">
      <w:pPr>
        <w:spacing w:after="0" w:line="240" w:lineRule="auto"/>
        <w:jc w:val="both"/>
        <w:rPr>
          <w:rFonts w:ascii="Palatino Linotype" w:hAnsi="Palatino Linotype"/>
          <w:color w:val="000000"/>
        </w:rPr>
      </w:pPr>
    </w:p>
    <w:p w:rsidR="00874EDF" w:rsidRPr="00867BAA" w:rsidRDefault="00874EDF" w:rsidP="00874EDF">
      <w:pPr>
        <w:spacing w:after="0" w:line="240" w:lineRule="auto"/>
        <w:jc w:val="both"/>
        <w:rPr>
          <w:rFonts w:ascii="Palatino Linotype" w:hAnsi="Palatino Linotype"/>
          <w:color w:val="000000"/>
        </w:rPr>
      </w:pPr>
    </w:p>
    <w:p w:rsidR="00874EDF" w:rsidRDefault="00874EDF" w:rsidP="00874EDF">
      <w:pPr>
        <w:spacing w:after="0" w:line="240" w:lineRule="auto"/>
        <w:jc w:val="both"/>
        <w:rPr>
          <w:rFonts w:ascii="Palatino Linotype" w:hAnsi="Palatino Linotype"/>
          <w:color w:val="000000"/>
        </w:rPr>
      </w:pPr>
    </w:p>
    <w:p w:rsidR="00E20A43" w:rsidRPr="00867BAA" w:rsidRDefault="00E20A43" w:rsidP="00874EDF">
      <w:pPr>
        <w:spacing w:after="0" w:line="240" w:lineRule="auto"/>
        <w:jc w:val="both"/>
        <w:rPr>
          <w:rFonts w:ascii="Palatino Linotype" w:hAnsi="Palatino Linotype"/>
          <w:color w:val="000000"/>
        </w:rPr>
      </w:pPr>
    </w:p>
    <w:p w:rsidR="00874EDF" w:rsidRPr="00867BAA" w:rsidRDefault="00874EDF" w:rsidP="00874EDF">
      <w:pPr>
        <w:spacing w:after="0" w:line="240" w:lineRule="auto"/>
        <w:jc w:val="both"/>
        <w:rPr>
          <w:rFonts w:ascii="Palatino Linotype" w:hAnsi="Palatino Linotype"/>
          <w:color w:val="000000"/>
        </w:rPr>
      </w:pPr>
    </w:p>
    <w:p w:rsidR="00874EDF" w:rsidRPr="00867BAA" w:rsidRDefault="00874EDF" w:rsidP="00874EDF">
      <w:pPr>
        <w:spacing w:after="0" w:line="240" w:lineRule="auto"/>
        <w:jc w:val="both"/>
        <w:rPr>
          <w:rFonts w:ascii="Palatino Linotype" w:hAnsi="Palatino Linotype"/>
          <w:color w:val="000000"/>
        </w:rPr>
      </w:pPr>
    </w:p>
    <w:p w:rsidR="00874EDF" w:rsidRPr="00867BAA" w:rsidRDefault="00133DE9" w:rsidP="00874EDF">
      <w:pPr>
        <w:pStyle w:val="Sinespaciado"/>
        <w:jc w:val="both"/>
        <w:rPr>
          <w:rFonts w:ascii="Palatino Linotype" w:hAnsi="Palatino Linotype" w:cs="Tahoma"/>
        </w:rPr>
      </w:pPr>
      <w:r>
        <w:rPr>
          <w:rFonts w:ascii="Palatino Linotype" w:hAnsi="Palatino Linotype" w:cs="Tahoma"/>
        </w:rPr>
        <w:t xml:space="preserve">Lic. Blanca </w:t>
      </w:r>
      <w:proofErr w:type="spellStart"/>
      <w:r>
        <w:rPr>
          <w:rFonts w:ascii="Palatino Linotype" w:hAnsi="Palatino Linotype" w:cs="Tahoma"/>
        </w:rPr>
        <w:t>Pa</w:t>
      </w:r>
      <w:r w:rsidR="00EA38DD">
        <w:rPr>
          <w:rFonts w:ascii="Palatino Linotype" w:hAnsi="Palatino Linotype" w:cs="Tahoma"/>
        </w:rPr>
        <w:t>uc</w:t>
      </w:r>
      <w:r w:rsidR="00874EDF" w:rsidRPr="00867BAA">
        <w:rPr>
          <w:rFonts w:ascii="Palatino Linotype" w:hAnsi="Palatino Linotype" w:cs="Tahoma"/>
        </w:rPr>
        <w:t>ar</w:t>
      </w:r>
      <w:proofErr w:type="spellEnd"/>
      <w:r w:rsidR="00874EDF" w:rsidRPr="00867BAA">
        <w:rPr>
          <w:rFonts w:ascii="Palatino Linotype" w:hAnsi="Palatino Linotype" w:cs="Tahoma"/>
        </w:rPr>
        <w:t xml:space="preserve"> </w:t>
      </w:r>
      <w:r w:rsidR="00874EDF" w:rsidRPr="00867BAA">
        <w:rPr>
          <w:rFonts w:ascii="Palatino Linotype" w:hAnsi="Palatino Linotype" w:cs="Tahoma"/>
        </w:rPr>
        <w:tab/>
      </w:r>
      <w:r w:rsidR="00874EDF" w:rsidRPr="00867BAA">
        <w:rPr>
          <w:rFonts w:ascii="Palatino Linotype" w:hAnsi="Palatino Linotype" w:cs="Tahoma"/>
        </w:rPr>
        <w:tab/>
      </w:r>
      <w:r w:rsidR="00874EDF" w:rsidRPr="00867BAA">
        <w:rPr>
          <w:rFonts w:ascii="Palatino Linotype" w:hAnsi="Palatino Linotype" w:cs="Tahoma"/>
        </w:rPr>
        <w:tab/>
      </w:r>
      <w:r w:rsidR="00874EDF" w:rsidRPr="00867BAA">
        <w:rPr>
          <w:rFonts w:ascii="Palatino Linotype" w:hAnsi="Palatino Linotype" w:cs="Tahoma"/>
        </w:rPr>
        <w:tab/>
      </w:r>
      <w:r w:rsidR="00874EDF" w:rsidRPr="00867BAA">
        <w:rPr>
          <w:rFonts w:ascii="Palatino Linotype" w:hAnsi="Palatino Linotype" w:cs="Tahoma"/>
        </w:rPr>
        <w:tab/>
        <w:t xml:space="preserve">Abg. </w:t>
      </w:r>
      <w:r w:rsidR="00874EDF">
        <w:rPr>
          <w:rFonts w:ascii="Palatino Linotype" w:hAnsi="Palatino Linotype" w:cs="Tahoma"/>
        </w:rPr>
        <w:t xml:space="preserve">Pablo </w:t>
      </w:r>
      <w:r w:rsidR="00CF5DA8">
        <w:rPr>
          <w:rFonts w:ascii="Palatino Linotype" w:hAnsi="Palatino Linotype" w:cs="Tahoma"/>
        </w:rPr>
        <w:t>Santillán</w:t>
      </w:r>
      <w:r w:rsidR="00874EDF">
        <w:rPr>
          <w:rFonts w:ascii="Palatino Linotype" w:hAnsi="Palatino Linotype" w:cs="Tahoma"/>
        </w:rPr>
        <w:t xml:space="preserve"> </w:t>
      </w:r>
      <w:r w:rsidR="00874EDF" w:rsidRPr="00867BAA">
        <w:rPr>
          <w:rFonts w:ascii="Palatino Linotype" w:hAnsi="Palatino Linotype" w:cs="Tahoma"/>
        </w:rPr>
        <w:tab/>
      </w:r>
      <w:r w:rsidR="00874EDF">
        <w:rPr>
          <w:rFonts w:ascii="Palatino Linotype" w:hAnsi="Palatino Linotype" w:cs="Tahoma"/>
        </w:rPr>
        <w:t>Paredes</w:t>
      </w:r>
    </w:p>
    <w:p w:rsidR="00874EDF" w:rsidRPr="00867BAA" w:rsidRDefault="00874EDF" w:rsidP="00874EDF">
      <w:pPr>
        <w:spacing w:after="0" w:line="240" w:lineRule="auto"/>
        <w:rPr>
          <w:rFonts w:ascii="Palatino Linotype" w:hAnsi="Palatino Linotype" w:cs="Tahoma"/>
          <w:b/>
        </w:rPr>
      </w:pPr>
      <w:r w:rsidRPr="00867BAA">
        <w:rPr>
          <w:rFonts w:ascii="Palatino Linotype" w:hAnsi="Palatino Linotype" w:cs="Tahoma"/>
          <w:b/>
        </w:rPr>
        <w:t xml:space="preserve">PRESIDENTA DE LA COMISIÓN </w:t>
      </w:r>
      <w:r w:rsidRPr="00867BAA">
        <w:rPr>
          <w:rFonts w:ascii="Palatino Linotype" w:hAnsi="Palatino Linotype" w:cs="Tahoma"/>
          <w:b/>
        </w:rPr>
        <w:tab/>
      </w:r>
      <w:r w:rsidRPr="00867BAA">
        <w:rPr>
          <w:rFonts w:ascii="Palatino Linotype" w:hAnsi="Palatino Linotype" w:cs="Tahoma"/>
          <w:b/>
        </w:rPr>
        <w:tab/>
      </w:r>
      <w:r w:rsidRPr="00867BAA">
        <w:rPr>
          <w:rFonts w:ascii="Palatino Linotype" w:hAnsi="Palatino Linotype" w:cs="Tahoma"/>
          <w:b/>
        </w:rPr>
        <w:tab/>
        <w:t xml:space="preserve">SECRETARIO GENERAL DEL </w:t>
      </w:r>
    </w:p>
    <w:p w:rsidR="00874EDF" w:rsidRPr="00867BAA" w:rsidRDefault="00874EDF" w:rsidP="00874EDF">
      <w:pPr>
        <w:pStyle w:val="Sinespaciado"/>
        <w:jc w:val="both"/>
        <w:rPr>
          <w:rFonts w:ascii="Palatino Linotype" w:hAnsi="Palatino Linotype" w:cs="Tahoma"/>
          <w:b/>
        </w:rPr>
      </w:pPr>
      <w:r w:rsidRPr="00867BAA">
        <w:rPr>
          <w:rFonts w:ascii="Palatino Linotype" w:hAnsi="Palatino Linotype" w:cs="Tahoma"/>
          <w:b/>
        </w:rPr>
        <w:t xml:space="preserve">VIVIENDA Y HÁBITAT </w:t>
      </w:r>
      <w:r w:rsidRPr="00867BAA">
        <w:rPr>
          <w:rFonts w:ascii="Palatino Linotype" w:hAnsi="Palatino Linotype" w:cs="Tahoma"/>
          <w:b/>
        </w:rPr>
        <w:tab/>
      </w:r>
      <w:r w:rsidRPr="00867BAA">
        <w:rPr>
          <w:rFonts w:ascii="Palatino Linotype" w:hAnsi="Palatino Linotype" w:cs="Tahoma"/>
          <w:b/>
        </w:rPr>
        <w:tab/>
        <w:t xml:space="preserve">                      </w:t>
      </w:r>
      <w:r w:rsidRPr="00867BAA">
        <w:rPr>
          <w:rFonts w:ascii="Palatino Linotype" w:hAnsi="Palatino Linotype" w:cs="Tahoma"/>
          <w:b/>
        </w:rPr>
        <w:tab/>
        <w:t>CONCEJO METROPOLITANO</w:t>
      </w:r>
    </w:p>
    <w:p w:rsidR="00874EDF" w:rsidRPr="00867BAA" w:rsidRDefault="00874EDF" w:rsidP="00874EDF">
      <w:pPr>
        <w:pStyle w:val="Sinespaciado"/>
        <w:jc w:val="both"/>
        <w:rPr>
          <w:rFonts w:ascii="Palatino Linotype" w:hAnsi="Palatino Linotype" w:cs="Tahoma"/>
          <w:b/>
        </w:rPr>
      </w:pPr>
      <w:r>
        <w:rPr>
          <w:rFonts w:ascii="Palatino Linotype" w:hAnsi="Palatino Linotype" w:cs="Tahoma"/>
          <w:b/>
        </w:rPr>
        <w:t xml:space="preserve">PATRIMONIO </w:t>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t>DE QUITO</w:t>
      </w:r>
    </w:p>
    <w:p w:rsidR="00874EDF" w:rsidRPr="00867BAA" w:rsidRDefault="00874EDF" w:rsidP="00874EDF">
      <w:pPr>
        <w:pStyle w:val="Sinespaciado"/>
        <w:ind w:left="4248" w:firstLine="708"/>
        <w:jc w:val="both"/>
        <w:rPr>
          <w:rFonts w:ascii="Palatino Linotype" w:hAnsi="Palatino Linotype" w:cs="Tahoma"/>
          <w:b/>
        </w:rPr>
      </w:pPr>
    </w:p>
    <w:p w:rsidR="00874EDF" w:rsidRPr="00867BAA" w:rsidRDefault="00874EDF" w:rsidP="00874EDF">
      <w:pPr>
        <w:pStyle w:val="Sinespaciado"/>
        <w:ind w:left="4248" w:firstLine="708"/>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874EDF" w:rsidRPr="00867BAA" w:rsidTr="00FF1851">
        <w:trPr>
          <w:trHeight w:val="25"/>
          <w:jc w:val="center"/>
        </w:trPr>
        <w:tc>
          <w:tcPr>
            <w:tcW w:w="8871" w:type="dxa"/>
            <w:gridSpan w:val="3"/>
            <w:shd w:val="clear" w:color="auto" w:fill="0070C0"/>
          </w:tcPr>
          <w:p w:rsidR="00874EDF" w:rsidRPr="00867BAA" w:rsidRDefault="00874EDF" w:rsidP="001212DF">
            <w:pPr>
              <w:pStyle w:val="Subttulo"/>
              <w:jc w:val="center"/>
              <w:rPr>
                <w:rFonts w:ascii="Palatino Linotype" w:hAnsi="Palatino Linotype" w:cs="Tahoma"/>
                <w:b/>
                <w:i w:val="0"/>
                <w:color w:val="FFFFFF"/>
                <w:sz w:val="22"/>
                <w:szCs w:val="22"/>
                <w:lang w:val="es-ES"/>
              </w:rPr>
            </w:pPr>
            <w:r w:rsidRPr="00867BAA">
              <w:rPr>
                <w:rFonts w:ascii="Palatino Linotype" w:hAnsi="Palatino Linotype"/>
                <w:sz w:val="22"/>
                <w:szCs w:val="22"/>
              </w:rPr>
              <w:t xml:space="preserve">          </w:t>
            </w:r>
            <w:r w:rsidRPr="00867BAA">
              <w:rPr>
                <w:rFonts w:ascii="Palatino Linotype" w:hAnsi="Palatino Linotype" w:cs="Tahoma"/>
                <w:b/>
                <w:i w:val="0"/>
                <w:color w:val="FFFFFF"/>
                <w:sz w:val="22"/>
                <w:szCs w:val="22"/>
                <w:lang w:val="es-ES"/>
              </w:rPr>
              <w:t>REGISTRO ASISTENCIA – RESUMEN DE SESIÓN</w:t>
            </w:r>
          </w:p>
        </w:tc>
      </w:tr>
      <w:tr w:rsidR="00874EDF" w:rsidRPr="00867BAA" w:rsidTr="00FF1851">
        <w:trPr>
          <w:trHeight w:val="25"/>
          <w:jc w:val="center"/>
        </w:trPr>
        <w:tc>
          <w:tcPr>
            <w:tcW w:w="499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96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PRESENTE</w:t>
            </w:r>
          </w:p>
        </w:tc>
        <w:tc>
          <w:tcPr>
            <w:tcW w:w="1917"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 xml:space="preserve">AUSENTE </w:t>
            </w:r>
          </w:p>
        </w:tc>
      </w:tr>
      <w:tr w:rsidR="00874EDF" w:rsidRPr="00867BAA" w:rsidTr="00FF1851">
        <w:trPr>
          <w:trHeight w:val="25"/>
          <w:jc w:val="center"/>
        </w:trPr>
        <w:tc>
          <w:tcPr>
            <w:tcW w:w="4992" w:type="dxa"/>
            <w:shd w:val="clear" w:color="auto" w:fill="auto"/>
          </w:tcPr>
          <w:p w:rsidR="00874EDF" w:rsidRPr="00867BAA" w:rsidRDefault="00874EDF" w:rsidP="00FF1851">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 xml:space="preserve">Blanca </w:t>
            </w:r>
            <w:proofErr w:type="spellStart"/>
            <w:r w:rsidRPr="00867BAA">
              <w:rPr>
                <w:rFonts w:ascii="Palatino Linotype" w:hAnsi="Palatino Linotype"/>
                <w:b/>
                <w:i w:val="0"/>
                <w:color w:val="000000"/>
                <w:sz w:val="22"/>
                <w:szCs w:val="22"/>
                <w:lang w:val="es-ES"/>
              </w:rPr>
              <w:t>Paucar</w:t>
            </w:r>
            <w:proofErr w:type="spellEnd"/>
            <w:r w:rsidRPr="00867BAA">
              <w:rPr>
                <w:rFonts w:ascii="Palatino Linotype" w:hAnsi="Palatino Linotype"/>
                <w:b/>
                <w:i w:val="0"/>
                <w:color w:val="000000"/>
                <w:sz w:val="22"/>
                <w:szCs w:val="22"/>
                <w:lang w:val="es-ES"/>
              </w:rPr>
              <w:t xml:space="preserve"> </w:t>
            </w:r>
          </w:p>
        </w:tc>
        <w:tc>
          <w:tcPr>
            <w:tcW w:w="1962"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auto"/>
          </w:tcPr>
          <w:p w:rsidR="00874EDF" w:rsidRPr="00867BAA" w:rsidRDefault="00463CC5" w:rsidP="00FF1851">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Eduardo del Pozo</w:t>
            </w:r>
          </w:p>
        </w:tc>
        <w:tc>
          <w:tcPr>
            <w:tcW w:w="1962" w:type="dxa"/>
            <w:shd w:val="clear" w:color="auto" w:fill="auto"/>
          </w:tcPr>
          <w:p w:rsidR="00874EDF" w:rsidRPr="00867BAA" w:rsidRDefault="00463CC5"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917" w:type="dxa"/>
            <w:shd w:val="clear" w:color="auto" w:fill="auto"/>
          </w:tcPr>
          <w:p w:rsidR="00874EDF" w:rsidRPr="00867BAA" w:rsidRDefault="00463CC5"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bookmarkStart w:id="0" w:name="_GoBack"/>
            <w:bookmarkEnd w:id="0"/>
          </w:p>
        </w:tc>
      </w:tr>
      <w:tr w:rsidR="00874EDF" w:rsidRPr="00867BAA" w:rsidTr="00FF1851">
        <w:trPr>
          <w:trHeight w:val="25"/>
          <w:jc w:val="center"/>
        </w:trPr>
        <w:tc>
          <w:tcPr>
            <w:tcW w:w="4992" w:type="dxa"/>
            <w:shd w:val="clear" w:color="auto" w:fill="auto"/>
          </w:tcPr>
          <w:p w:rsidR="00874EDF" w:rsidRPr="00867BAA" w:rsidRDefault="00463CC5" w:rsidP="00FF1851">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Carlos Jaramillo</w:t>
            </w:r>
          </w:p>
        </w:tc>
        <w:tc>
          <w:tcPr>
            <w:tcW w:w="1962" w:type="dxa"/>
            <w:shd w:val="clear" w:color="auto" w:fill="auto"/>
          </w:tcPr>
          <w:p w:rsidR="00874EDF" w:rsidRPr="00867BAA" w:rsidRDefault="00463CC5"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TOTAL</w:t>
            </w:r>
          </w:p>
        </w:tc>
        <w:tc>
          <w:tcPr>
            <w:tcW w:w="1962" w:type="dxa"/>
            <w:shd w:val="clear" w:color="auto" w:fill="0070C0"/>
          </w:tcPr>
          <w:p w:rsidR="00874EDF" w:rsidRPr="00867BAA" w:rsidRDefault="00202B90" w:rsidP="00FF1851">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2</w:t>
            </w:r>
          </w:p>
        </w:tc>
        <w:tc>
          <w:tcPr>
            <w:tcW w:w="1917" w:type="dxa"/>
            <w:shd w:val="clear" w:color="auto" w:fill="0070C0"/>
          </w:tcPr>
          <w:p w:rsidR="00874EDF" w:rsidRPr="00867BAA" w:rsidRDefault="00202B90" w:rsidP="00FF1851">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1</w:t>
            </w:r>
          </w:p>
        </w:tc>
      </w:tr>
    </w:tbl>
    <w:p w:rsidR="00874EDF" w:rsidRPr="00867BAA" w:rsidRDefault="00874EDF" w:rsidP="00874EDF">
      <w:pPr>
        <w:spacing w:after="0" w:line="240" w:lineRule="auto"/>
        <w:rPr>
          <w:rFonts w:ascii="Palatino Linotype" w:hAnsi="Palatino Linotype" w:cs="Tahoma"/>
          <w:b/>
        </w:rPr>
      </w:pPr>
    </w:p>
    <w:p w:rsidR="00874EDF" w:rsidRPr="00867BAA" w:rsidRDefault="00874EDF" w:rsidP="00874EDF">
      <w:pPr>
        <w:spacing w:after="0" w:line="240" w:lineRule="auto"/>
        <w:rPr>
          <w:rFonts w:ascii="Palatino Linotype" w:hAnsi="Palatino Linotype"/>
        </w:rPr>
      </w:pPr>
    </w:p>
    <w:p w:rsidR="00874EDF" w:rsidRPr="00867BAA" w:rsidRDefault="00874EDF" w:rsidP="00874EDF">
      <w:pPr>
        <w:spacing w:after="0" w:line="240" w:lineRule="auto"/>
        <w:rPr>
          <w:rFonts w:ascii="Palatino Linotype" w:hAnsi="Palatino Linotype"/>
        </w:rPr>
      </w:pPr>
    </w:p>
    <w:p w:rsidR="00874EDF" w:rsidRDefault="00874EDF" w:rsidP="00874EDF"/>
    <w:p w:rsidR="00874EDF" w:rsidRDefault="00874EDF" w:rsidP="00874EDF"/>
    <w:p w:rsidR="00874EDF" w:rsidRDefault="00874EDF" w:rsidP="00874EDF"/>
    <w:p w:rsidR="003C3E2C" w:rsidRDefault="003C3E2C"/>
    <w:sectPr w:rsidR="003C3E2C" w:rsidSect="00FF1851">
      <w:headerReference w:type="default" r:id="rId6"/>
      <w:footerReference w:type="default" r:id="rId7"/>
      <w:pgSz w:w="11906" w:h="16838" w:code="9"/>
      <w:pgMar w:top="226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188" w:rsidRDefault="00781188">
      <w:pPr>
        <w:spacing w:after="0" w:line="240" w:lineRule="auto"/>
      </w:pPr>
      <w:r>
        <w:separator/>
      </w:r>
    </w:p>
  </w:endnote>
  <w:endnote w:type="continuationSeparator" w:id="0">
    <w:p w:rsidR="00781188" w:rsidRDefault="00781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702"/>
      <w:docPartObj>
        <w:docPartGallery w:val="Page Numbers (Bottom of Page)"/>
        <w:docPartUnique/>
      </w:docPartObj>
    </w:sdtPr>
    <w:sdtContent>
      <w:sdt>
        <w:sdtPr>
          <w:id w:val="860082579"/>
          <w:docPartObj>
            <w:docPartGallery w:val="Page Numbers (Top of Page)"/>
            <w:docPartUnique/>
          </w:docPartObj>
        </w:sdtPr>
        <w:sdtContent>
          <w:p w:rsidR="00FF270B" w:rsidRDefault="00FF270B" w:rsidP="00FF185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63CC5">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63CC5">
              <w:rPr>
                <w:b/>
                <w:bCs/>
                <w:noProof/>
              </w:rPr>
              <w:t>5</w:t>
            </w:r>
            <w:r>
              <w:rPr>
                <w:b/>
                <w:bCs/>
                <w:sz w:val="24"/>
                <w:szCs w:val="24"/>
              </w:rPr>
              <w:fldChar w:fldCharType="end"/>
            </w:r>
          </w:p>
        </w:sdtContent>
      </w:sdt>
    </w:sdtContent>
  </w:sdt>
  <w:p w:rsidR="00FF270B" w:rsidRDefault="00FF27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188" w:rsidRDefault="00781188">
      <w:pPr>
        <w:spacing w:after="0" w:line="240" w:lineRule="auto"/>
      </w:pPr>
      <w:r>
        <w:separator/>
      </w:r>
    </w:p>
  </w:footnote>
  <w:footnote w:type="continuationSeparator" w:id="0">
    <w:p w:rsidR="00781188" w:rsidRDefault="00781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B" w:rsidRDefault="00FF270B">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89.55pt;margin-top:-125.4pt;width:594pt;height:852.65pt;z-index:-251658752;mso-wrap-edited:f;mso-width-percent:0;mso-position-horizontal-relative:margin;mso-position-vertical-relative:margin;mso-width-percent:0" o:allowincell="f">
          <v:imagedata r:id="rId1" o:title="hoja membretada-concejo-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C8"/>
    <w:rsid w:val="00002003"/>
    <w:rsid w:val="0000356E"/>
    <w:rsid w:val="00004D50"/>
    <w:rsid w:val="00005797"/>
    <w:rsid w:val="000113DA"/>
    <w:rsid w:val="000128FF"/>
    <w:rsid w:val="00016336"/>
    <w:rsid w:val="00017F90"/>
    <w:rsid w:val="0002095D"/>
    <w:rsid w:val="0002301F"/>
    <w:rsid w:val="0002550E"/>
    <w:rsid w:val="000267EA"/>
    <w:rsid w:val="00027630"/>
    <w:rsid w:val="00030095"/>
    <w:rsid w:val="00036752"/>
    <w:rsid w:val="00037699"/>
    <w:rsid w:val="000434EE"/>
    <w:rsid w:val="00047658"/>
    <w:rsid w:val="00054287"/>
    <w:rsid w:val="00057929"/>
    <w:rsid w:val="000666CD"/>
    <w:rsid w:val="00076388"/>
    <w:rsid w:val="00080E1E"/>
    <w:rsid w:val="00081B3D"/>
    <w:rsid w:val="00085657"/>
    <w:rsid w:val="00086C57"/>
    <w:rsid w:val="00086F1C"/>
    <w:rsid w:val="000933CC"/>
    <w:rsid w:val="00093D8B"/>
    <w:rsid w:val="0009519A"/>
    <w:rsid w:val="00095A94"/>
    <w:rsid w:val="000A00FA"/>
    <w:rsid w:val="000A09DC"/>
    <w:rsid w:val="000A2A27"/>
    <w:rsid w:val="000A43A3"/>
    <w:rsid w:val="000A5B61"/>
    <w:rsid w:val="000B0653"/>
    <w:rsid w:val="000B4950"/>
    <w:rsid w:val="000C2503"/>
    <w:rsid w:val="000C27D6"/>
    <w:rsid w:val="000C63E0"/>
    <w:rsid w:val="000E2066"/>
    <w:rsid w:val="000E2C5B"/>
    <w:rsid w:val="000E2D55"/>
    <w:rsid w:val="000E3EBD"/>
    <w:rsid w:val="000F320A"/>
    <w:rsid w:val="000F49B2"/>
    <w:rsid w:val="001026D1"/>
    <w:rsid w:val="00103C2F"/>
    <w:rsid w:val="001144F6"/>
    <w:rsid w:val="00117A00"/>
    <w:rsid w:val="001212DF"/>
    <w:rsid w:val="001232DB"/>
    <w:rsid w:val="00124A1E"/>
    <w:rsid w:val="00132D20"/>
    <w:rsid w:val="00133DE9"/>
    <w:rsid w:val="001431EA"/>
    <w:rsid w:val="00151AA2"/>
    <w:rsid w:val="00152CBA"/>
    <w:rsid w:val="00155F29"/>
    <w:rsid w:val="00162ECD"/>
    <w:rsid w:val="0016453A"/>
    <w:rsid w:val="0016560C"/>
    <w:rsid w:val="001665F0"/>
    <w:rsid w:val="001666BF"/>
    <w:rsid w:val="0017319B"/>
    <w:rsid w:val="00177391"/>
    <w:rsid w:val="001803C8"/>
    <w:rsid w:val="001816E4"/>
    <w:rsid w:val="00181704"/>
    <w:rsid w:val="00184548"/>
    <w:rsid w:val="001861F9"/>
    <w:rsid w:val="00187306"/>
    <w:rsid w:val="001903AD"/>
    <w:rsid w:val="0019078E"/>
    <w:rsid w:val="00190C9F"/>
    <w:rsid w:val="0019173D"/>
    <w:rsid w:val="001917BD"/>
    <w:rsid w:val="001A0427"/>
    <w:rsid w:val="001A5856"/>
    <w:rsid w:val="001A5A14"/>
    <w:rsid w:val="001A5B16"/>
    <w:rsid w:val="001B10F9"/>
    <w:rsid w:val="001B40DA"/>
    <w:rsid w:val="001B4945"/>
    <w:rsid w:val="001B5AC0"/>
    <w:rsid w:val="001B6A17"/>
    <w:rsid w:val="001C4BC8"/>
    <w:rsid w:val="001C776F"/>
    <w:rsid w:val="001D3840"/>
    <w:rsid w:val="001E3AA1"/>
    <w:rsid w:val="001E510B"/>
    <w:rsid w:val="001E5897"/>
    <w:rsid w:val="001E7CD1"/>
    <w:rsid w:val="001F2635"/>
    <w:rsid w:val="001F49D4"/>
    <w:rsid w:val="001F65A4"/>
    <w:rsid w:val="001F7565"/>
    <w:rsid w:val="00202B90"/>
    <w:rsid w:val="00215501"/>
    <w:rsid w:val="00217B87"/>
    <w:rsid w:val="002209BC"/>
    <w:rsid w:val="002251E8"/>
    <w:rsid w:val="00232222"/>
    <w:rsid w:val="00234A99"/>
    <w:rsid w:val="00235844"/>
    <w:rsid w:val="00235E67"/>
    <w:rsid w:val="00241EF1"/>
    <w:rsid w:val="00245363"/>
    <w:rsid w:val="00252F0F"/>
    <w:rsid w:val="00266266"/>
    <w:rsid w:val="00272005"/>
    <w:rsid w:val="00272BE8"/>
    <w:rsid w:val="00275FE8"/>
    <w:rsid w:val="00280E90"/>
    <w:rsid w:val="002924C9"/>
    <w:rsid w:val="00292830"/>
    <w:rsid w:val="002A5B41"/>
    <w:rsid w:val="002A5FC2"/>
    <w:rsid w:val="002A7238"/>
    <w:rsid w:val="002B09BE"/>
    <w:rsid w:val="002B0A17"/>
    <w:rsid w:val="002B0C72"/>
    <w:rsid w:val="002B3D2B"/>
    <w:rsid w:val="002B3DCB"/>
    <w:rsid w:val="002B402C"/>
    <w:rsid w:val="002B45FA"/>
    <w:rsid w:val="002B4BA3"/>
    <w:rsid w:val="002B5B69"/>
    <w:rsid w:val="002B783E"/>
    <w:rsid w:val="002C054C"/>
    <w:rsid w:val="002C2E55"/>
    <w:rsid w:val="002D0E80"/>
    <w:rsid w:val="002D1BC6"/>
    <w:rsid w:val="002D1BDC"/>
    <w:rsid w:val="002D1C6F"/>
    <w:rsid w:val="002D25CE"/>
    <w:rsid w:val="002D486E"/>
    <w:rsid w:val="002E3874"/>
    <w:rsid w:val="002F3C68"/>
    <w:rsid w:val="002F420D"/>
    <w:rsid w:val="002F4E7F"/>
    <w:rsid w:val="002F573D"/>
    <w:rsid w:val="003065B1"/>
    <w:rsid w:val="00306CCC"/>
    <w:rsid w:val="0033094E"/>
    <w:rsid w:val="003367A7"/>
    <w:rsid w:val="0034165B"/>
    <w:rsid w:val="0034611A"/>
    <w:rsid w:val="0035619A"/>
    <w:rsid w:val="0035743B"/>
    <w:rsid w:val="00362865"/>
    <w:rsid w:val="00367388"/>
    <w:rsid w:val="00372D2A"/>
    <w:rsid w:val="00383ED3"/>
    <w:rsid w:val="00390648"/>
    <w:rsid w:val="00391157"/>
    <w:rsid w:val="00394F1C"/>
    <w:rsid w:val="00396C03"/>
    <w:rsid w:val="003A235A"/>
    <w:rsid w:val="003A708C"/>
    <w:rsid w:val="003B6C15"/>
    <w:rsid w:val="003C1C67"/>
    <w:rsid w:val="003C362E"/>
    <w:rsid w:val="003C37BC"/>
    <w:rsid w:val="003C3E2C"/>
    <w:rsid w:val="003C5B56"/>
    <w:rsid w:val="003D2B68"/>
    <w:rsid w:val="003D6BDD"/>
    <w:rsid w:val="003E1E2A"/>
    <w:rsid w:val="003E6331"/>
    <w:rsid w:val="003E68A0"/>
    <w:rsid w:val="003E7A86"/>
    <w:rsid w:val="003F7C4F"/>
    <w:rsid w:val="004005F7"/>
    <w:rsid w:val="004039FF"/>
    <w:rsid w:val="00410684"/>
    <w:rsid w:val="004122E6"/>
    <w:rsid w:val="00414F94"/>
    <w:rsid w:val="00417840"/>
    <w:rsid w:val="00421A8D"/>
    <w:rsid w:val="004256C7"/>
    <w:rsid w:val="004332E7"/>
    <w:rsid w:val="00436150"/>
    <w:rsid w:val="004542FC"/>
    <w:rsid w:val="004573C9"/>
    <w:rsid w:val="004630D1"/>
    <w:rsid w:val="00463CC5"/>
    <w:rsid w:val="004716CF"/>
    <w:rsid w:val="00472380"/>
    <w:rsid w:val="0047500E"/>
    <w:rsid w:val="0048009C"/>
    <w:rsid w:val="004841EA"/>
    <w:rsid w:val="004844F9"/>
    <w:rsid w:val="00494DB3"/>
    <w:rsid w:val="004A7AEA"/>
    <w:rsid w:val="004B1654"/>
    <w:rsid w:val="004B4B1D"/>
    <w:rsid w:val="004B53FA"/>
    <w:rsid w:val="004C25A7"/>
    <w:rsid w:val="004D5D59"/>
    <w:rsid w:val="004F1C66"/>
    <w:rsid w:val="004F2711"/>
    <w:rsid w:val="004F7751"/>
    <w:rsid w:val="0050268D"/>
    <w:rsid w:val="00503E73"/>
    <w:rsid w:val="005061BD"/>
    <w:rsid w:val="00512571"/>
    <w:rsid w:val="00513432"/>
    <w:rsid w:val="005164E6"/>
    <w:rsid w:val="00522E3F"/>
    <w:rsid w:val="00527DB9"/>
    <w:rsid w:val="005340DB"/>
    <w:rsid w:val="00561AF7"/>
    <w:rsid w:val="00564D4B"/>
    <w:rsid w:val="00567FD3"/>
    <w:rsid w:val="0057204A"/>
    <w:rsid w:val="005727F3"/>
    <w:rsid w:val="00577872"/>
    <w:rsid w:val="00581555"/>
    <w:rsid w:val="0058221D"/>
    <w:rsid w:val="005834A9"/>
    <w:rsid w:val="00586924"/>
    <w:rsid w:val="0059018F"/>
    <w:rsid w:val="00591770"/>
    <w:rsid w:val="00592B2B"/>
    <w:rsid w:val="00592E51"/>
    <w:rsid w:val="00593F4C"/>
    <w:rsid w:val="00594F68"/>
    <w:rsid w:val="00595A9A"/>
    <w:rsid w:val="005A3123"/>
    <w:rsid w:val="005A336E"/>
    <w:rsid w:val="005A4F6F"/>
    <w:rsid w:val="005A77AA"/>
    <w:rsid w:val="005B0AD4"/>
    <w:rsid w:val="005B45B6"/>
    <w:rsid w:val="005C4708"/>
    <w:rsid w:val="005C7FCA"/>
    <w:rsid w:val="005D209E"/>
    <w:rsid w:val="005D2EF8"/>
    <w:rsid w:val="005D4E26"/>
    <w:rsid w:val="005D6816"/>
    <w:rsid w:val="005E6805"/>
    <w:rsid w:val="00603B7D"/>
    <w:rsid w:val="00616A6B"/>
    <w:rsid w:val="006203B2"/>
    <w:rsid w:val="0062210C"/>
    <w:rsid w:val="00622E59"/>
    <w:rsid w:val="00625EF0"/>
    <w:rsid w:val="00627A95"/>
    <w:rsid w:val="00630FD1"/>
    <w:rsid w:val="00637474"/>
    <w:rsid w:val="006436C3"/>
    <w:rsid w:val="00645402"/>
    <w:rsid w:val="006504DC"/>
    <w:rsid w:val="006539EF"/>
    <w:rsid w:val="00661F4A"/>
    <w:rsid w:val="00675112"/>
    <w:rsid w:val="00680322"/>
    <w:rsid w:val="00681FC2"/>
    <w:rsid w:val="0069307D"/>
    <w:rsid w:val="0069326C"/>
    <w:rsid w:val="00693DB4"/>
    <w:rsid w:val="00696DC8"/>
    <w:rsid w:val="006A3B94"/>
    <w:rsid w:val="006A5F42"/>
    <w:rsid w:val="006A6E72"/>
    <w:rsid w:val="006B0D51"/>
    <w:rsid w:val="006B1EA3"/>
    <w:rsid w:val="006B546D"/>
    <w:rsid w:val="006B6563"/>
    <w:rsid w:val="006C0C04"/>
    <w:rsid w:val="006C6D09"/>
    <w:rsid w:val="006D5F2B"/>
    <w:rsid w:val="006E1B06"/>
    <w:rsid w:val="006E3307"/>
    <w:rsid w:val="006E3E14"/>
    <w:rsid w:val="006F0D1D"/>
    <w:rsid w:val="006F7AF4"/>
    <w:rsid w:val="007022B5"/>
    <w:rsid w:val="0070556B"/>
    <w:rsid w:val="00706C9F"/>
    <w:rsid w:val="00707FEC"/>
    <w:rsid w:val="00712513"/>
    <w:rsid w:val="00724F78"/>
    <w:rsid w:val="00732FC6"/>
    <w:rsid w:val="00736B21"/>
    <w:rsid w:val="007372C8"/>
    <w:rsid w:val="00737B31"/>
    <w:rsid w:val="007421AB"/>
    <w:rsid w:val="007457C5"/>
    <w:rsid w:val="00753DD0"/>
    <w:rsid w:val="00756CF5"/>
    <w:rsid w:val="00757C21"/>
    <w:rsid w:val="00762293"/>
    <w:rsid w:val="0076299C"/>
    <w:rsid w:val="007630CC"/>
    <w:rsid w:val="00767AFE"/>
    <w:rsid w:val="007736D6"/>
    <w:rsid w:val="0077609A"/>
    <w:rsid w:val="00780B77"/>
    <w:rsid w:val="00781188"/>
    <w:rsid w:val="007819EC"/>
    <w:rsid w:val="00787751"/>
    <w:rsid w:val="00795C84"/>
    <w:rsid w:val="007A0C81"/>
    <w:rsid w:val="007A6E65"/>
    <w:rsid w:val="007B4E6C"/>
    <w:rsid w:val="007C4B2A"/>
    <w:rsid w:val="007C64A5"/>
    <w:rsid w:val="007C6D7E"/>
    <w:rsid w:val="007D00D9"/>
    <w:rsid w:val="007E0529"/>
    <w:rsid w:val="007F02CD"/>
    <w:rsid w:val="007F339D"/>
    <w:rsid w:val="00801D24"/>
    <w:rsid w:val="00806234"/>
    <w:rsid w:val="00811EBA"/>
    <w:rsid w:val="0081228E"/>
    <w:rsid w:val="00815925"/>
    <w:rsid w:val="0082268B"/>
    <w:rsid w:val="00837510"/>
    <w:rsid w:val="00837F85"/>
    <w:rsid w:val="00841DA7"/>
    <w:rsid w:val="00842499"/>
    <w:rsid w:val="00843922"/>
    <w:rsid w:val="00850C21"/>
    <w:rsid w:val="00853644"/>
    <w:rsid w:val="00854F37"/>
    <w:rsid w:val="008574F2"/>
    <w:rsid w:val="00860266"/>
    <w:rsid w:val="008625C0"/>
    <w:rsid w:val="00874601"/>
    <w:rsid w:val="00874EDF"/>
    <w:rsid w:val="00875D67"/>
    <w:rsid w:val="00882C49"/>
    <w:rsid w:val="00885091"/>
    <w:rsid w:val="00886F2C"/>
    <w:rsid w:val="00887382"/>
    <w:rsid w:val="00892E34"/>
    <w:rsid w:val="008965C2"/>
    <w:rsid w:val="008A4DF3"/>
    <w:rsid w:val="008A5848"/>
    <w:rsid w:val="008A6B3E"/>
    <w:rsid w:val="008B1137"/>
    <w:rsid w:val="008B281C"/>
    <w:rsid w:val="008B2E01"/>
    <w:rsid w:val="008B369E"/>
    <w:rsid w:val="008B4774"/>
    <w:rsid w:val="008B5507"/>
    <w:rsid w:val="008B5F92"/>
    <w:rsid w:val="008C10AC"/>
    <w:rsid w:val="008C1B33"/>
    <w:rsid w:val="008C4D25"/>
    <w:rsid w:val="008C6DA1"/>
    <w:rsid w:val="008D18FA"/>
    <w:rsid w:val="008D2F29"/>
    <w:rsid w:val="008D6727"/>
    <w:rsid w:val="008D7B89"/>
    <w:rsid w:val="008E2502"/>
    <w:rsid w:val="008E3806"/>
    <w:rsid w:val="008E4ACA"/>
    <w:rsid w:val="008E7690"/>
    <w:rsid w:val="008F6CB8"/>
    <w:rsid w:val="0091161E"/>
    <w:rsid w:val="00923A27"/>
    <w:rsid w:val="00925874"/>
    <w:rsid w:val="009345F0"/>
    <w:rsid w:val="00934697"/>
    <w:rsid w:val="00935397"/>
    <w:rsid w:val="00936AE8"/>
    <w:rsid w:val="00940E1D"/>
    <w:rsid w:val="00960EB6"/>
    <w:rsid w:val="0096391E"/>
    <w:rsid w:val="00964D42"/>
    <w:rsid w:val="009706EC"/>
    <w:rsid w:val="00971E87"/>
    <w:rsid w:val="00976DC4"/>
    <w:rsid w:val="009828FD"/>
    <w:rsid w:val="00992ED0"/>
    <w:rsid w:val="009A6D33"/>
    <w:rsid w:val="009B3812"/>
    <w:rsid w:val="009B3CB9"/>
    <w:rsid w:val="009B4B44"/>
    <w:rsid w:val="009B5052"/>
    <w:rsid w:val="009B52DC"/>
    <w:rsid w:val="009C6D99"/>
    <w:rsid w:val="009C7CFE"/>
    <w:rsid w:val="009D1987"/>
    <w:rsid w:val="009E3325"/>
    <w:rsid w:val="009E4679"/>
    <w:rsid w:val="009E5895"/>
    <w:rsid w:val="009E624D"/>
    <w:rsid w:val="009E7029"/>
    <w:rsid w:val="009E70ED"/>
    <w:rsid w:val="009E742E"/>
    <w:rsid w:val="009F749E"/>
    <w:rsid w:val="00A021F1"/>
    <w:rsid w:val="00A023A3"/>
    <w:rsid w:val="00A06323"/>
    <w:rsid w:val="00A07DE2"/>
    <w:rsid w:val="00A16A6F"/>
    <w:rsid w:val="00A226DD"/>
    <w:rsid w:val="00A25F22"/>
    <w:rsid w:val="00A26F47"/>
    <w:rsid w:val="00A27C80"/>
    <w:rsid w:val="00A306C9"/>
    <w:rsid w:val="00A31139"/>
    <w:rsid w:val="00A31659"/>
    <w:rsid w:val="00A32C78"/>
    <w:rsid w:val="00A3683C"/>
    <w:rsid w:val="00A478F8"/>
    <w:rsid w:val="00A56278"/>
    <w:rsid w:val="00A604D6"/>
    <w:rsid w:val="00A62433"/>
    <w:rsid w:val="00A712D8"/>
    <w:rsid w:val="00A7447C"/>
    <w:rsid w:val="00A753E4"/>
    <w:rsid w:val="00A7774E"/>
    <w:rsid w:val="00A84247"/>
    <w:rsid w:val="00A845B1"/>
    <w:rsid w:val="00A92152"/>
    <w:rsid w:val="00AA0092"/>
    <w:rsid w:val="00AA3FA1"/>
    <w:rsid w:val="00AA55E7"/>
    <w:rsid w:val="00AA5C51"/>
    <w:rsid w:val="00AA6715"/>
    <w:rsid w:val="00AB0D35"/>
    <w:rsid w:val="00AB1004"/>
    <w:rsid w:val="00AB39B4"/>
    <w:rsid w:val="00AB777B"/>
    <w:rsid w:val="00AB7CDA"/>
    <w:rsid w:val="00AC1D03"/>
    <w:rsid w:val="00AC2AFD"/>
    <w:rsid w:val="00AD0492"/>
    <w:rsid w:val="00AD4946"/>
    <w:rsid w:val="00AD7DDC"/>
    <w:rsid w:val="00AE1856"/>
    <w:rsid w:val="00AE2EB2"/>
    <w:rsid w:val="00AE59FD"/>
    <w:rsid w:val="00AE66B0"/>
    <w:rsid w:val="00AE793F"/>
    <w:rsid w:val="00AF0C33"/>
    <w:rsid w:val="00AF27C5"/>
    <w:rsid w:val="00AF3474"/>
    <w:rsid w:val="00AF5AF8"/>
    <w:rsid w:val="00B00150"/>
    <w:rsid w:val="00B00F64"/>
    <w:rsid w:val="00B03E01"/>
    <w:rsid w:val="00B0717C"/>
    <w:rsid w:val="00B075AF"/>
    <w:rsid w:val="00B1648D"/>
    <w:rsid w:val="00B20E3B"/>
    <w:rsid w:val="00B34C24"/>
    <w:rsid w:val="00B40E75"/>
    <w:rsid w:val="00B46609"/>
    <w:rsid w:val="00B52568"/>
    <w:rsid w:val="00B52B2A"/>
    <w:rsid w:val="00B54482"/>
    <w:rsid w:val="00B5483E"/>
    <w:rsid w:val="00B67110"/>
    <w:rsid w:val="00B67C53"/>
    <w:rsid w:val="00B701C9"/>
    <w:rsid w:val="00B75A05"/>
    <w:rsid w:val="00B81E49"/>
    <w:rsid w:val="00B839C5"/>
    <w:rsid w:val="00B841AB"/>
    <w:rsid w:val="00B845CA"/>
    <w:rsid w:val="00B85145"/>
    <w:rsid w:val="00B85B7F"/>
    <w:rsid w:val="00B9637F"/>
    <w:rsid w:val="00B96AD2"/>
    <w:rsid w:val="00BA2B24"/>
    <w:rsid w:val="00BA2C05"/>
    <w:rsid w:val="00BA6206"/>
    <w:rsid w:val="00BA7978"/>
    <w:rsid w:val="00BB0420"/>
    <w:rsid w:val="00BB251E"/>
    <w:rsid w:val="00BB6992"/>
    <w:rsid w:val="00BD6F44"/>
    <w:rsid w:val="00BE211A"/>
    <w:rsid w:val="00BE29D0"/>
    <w:rsid w:val="00BE40F4"/>
    <w:rsid w:val="00BF1E2D"/>
    <w:rsid w:val="00BF1E6A"/>
    <w:rsid w:val="00BF7E86"/>
    <w:rsid w:val="00C03B49"/>
    <w:rsid w:val="00C04A44"/>
    <w:rsid w:val="00C06861"/>
    <w:rsid w:val="00C1029D"/>
    <w:rsid w:val="00C10384"/>
    <w:rsid w:val="00C12590"/>
    <w:rsid w:val="00C16DC0"/>
    <w:rsid w:val="00C20B8D"/>
    <w:rsid w:val="00C21BF9"/>
    <w:rsid w:val="00C27339"/>
    <w:rsid w:val="00C27961"/>
    <w:rsid w:val="00C344B2"/>
    <w:rsid w:val="00C3530B"/>
    <w:rsid w:val="00C3590E"/>
    <w:rsid w:val="00C36678"/>
    <w:rsid w:val="00C37A63"/>
    <w:rsid w:val="00C37CAA"/>
    <w:rsid w:val="00C44BC0"/>
    <w:rsid w:val="00C44CD7"/>
    <w:rsid w:val="00C46974"/>
    <w:rsid w:val="00C6065D"/>
    <w:rsid w:val="00C61385"/>
    <w:rsid w:val="00C656FB"/>
    <w:rsid w:val="00C71707"/>
    <w:rsid w:val="00C73227"/>
    <w:rsid w:val="00C73B2E"/>
    <w:rsid w:val="00C83EF0"/>
    <w:rsid w:val="00C84657"/>
    <w:rsid w:val="00C86276"/>
    <w:rsid w:val="00CA14C0"/>
    <w:rsid w:val="00CA2EBA"/>
    <w:rsid w:val="00CB2CAB"/>
    <w:rsid w:val="00CB4751"/>
    <w:rsid w:val="00CC6438"/>
    <w:rsid w:val="00CD0BB2"/>
    <w:rsid w:val="00CD17C9"/>
    <w:rsid w:val="00CD1D79"/>
    <w:rsid w:val="00CD4158"/>
    <w:rsid w:val="00CD4C3C"/>
    <w:rsid w:val="00CD6832"/>
    <w:rsid w:val="00CE1464"/>
    <w:rsid w:val="00CE37E5"/>
    <w:rsid w:val="00CE4176"/>
    <w:rsid w:val="00CF1446"/>
    <w:rsid w:val="00CF5CBC"/>
    <w:rsid w:val="00CF5DA8"/>
    <w:rsid w:val="00CF791E"/>
    <w:rsid w:val="00D00351"/>
    <w:rsid w:val="00D028B3"/>
    <w:rsid w:val="00D1169F"/>
    <w:rsid w:val="00D21217"/>
    <w:rsid w:val="00D22E36"/>
    <w:rsid w:val="00D22FBF"/>
    <w:rsid w:val="00D278C9"/>
    <w:rsid w:val="00D36A84"/>
    <w:rsid w:val="00D40942"/>
    <w:rsid w:val="00D5274C"/>
    <w:rsid w:val="00D569EB"/>
    <w:rsid w:val="00D77703"/>
    <w:rsid w:val="00D80009"/>
    <w:rsid w:val="00D82E8B"/>
    <w:rsid w:val="00D87614"/>
    <w:rsid w:val="00DA7A4E"/>
    <w:rsid w:val="00DB6425"/>
    <w:rsid w:val="00DC1ACE"/>
    <w:rsid w:val="00DC1CDA"/>
    <w:rsid w:val="00DC21E6"/>
    <w:rsid w:val="00DD495F"/>
    <w:rsid w:val="00DD6F3A"/>
    <w:rsid w:val="00DD7AD0"/>
    <w:rsid w:val="00DE2086"/>
    <w:rsid w:val="00DE2CAE"/>
    <w:rsid w:val="00DF66B9"/>
    <w:rsid w:val="00DF7083"/>
    <w:rsid w:val="00E130B9"/>
    <w:rsid w:val="00E1331D"/>
    <w:rsid w:val="00E145BD"/>
    <w:rsid w:val="00E1492C"/>
    <w:rsid w:val="00E15502"/>
    <w:rsid w:val="00E1748D"/>
    <w:rsid w:val="00E17D58"/>
    <w:rsid w:val="00E20A43"/>
    <w:rsid w:val="00E20C6C"/>
    <w:rsid w:val="00E335D5"/>
    <w:rsid w:val="00E34338"/>
    <w:rsid w:val="00E37A60"/>
    <w:rsid w:val="00E423C9"/>
    <w:rsid w:val="00E43895"/>
    <w:rsid w:val="00E536EE"/>
    <w:rsid w:val="00E60325"/>
    <w:rsid w:val="00E63D1E"/>
    <w:rsid w:val="00E703B5"/>
    <w:rsid w:val="00E70515"/>
    <w:rsid w:val="00E76A3E"/>
    <w:rsid w:val="00E76D01"/>
    <w:rsid w:val="00E80905"/>
    <w:rsid w:val="00E819B7"/>
    <w:rsid w:val="00E85ECF"/>
    <w:rsid w:val="00E86A49"/>
    <w:rsid w:val="00EA38DD"/>
    <w:rsid w:val="00EA40F2"/>
    <w:rsid w:val="00EA4383"/>
    <w:rsid w:val="00EB0BE8"/>
    <w:rsid w:val="00EB4686"/>
    <w:rsid w:val="00ED12E4"/>
    <w:rsid w:val="00ED3272"/>
    <w:rsid w:val="00EE25B7"/>
    <w:rsid w:val="00EE7801"/>
    <w:rsid w:val="00EF278F"/>
    <w:rsid w:val="00EF390B"/>
    <w:rsid w:val="00EF4184"/>
    <w:rsid w:val="00EF47B4"/>
    <w:rsid w:val="00EF5DF2"/>
    <w:rsid w:val="00EF6733"/>
    <w:rsid w:val="00F03B84"/>
    <w:rsid w:val="00F109D3"/>
    <w:rsid w:val="00F20B6A"/>
    <w:rsid w:val="00F22FF7"/>
    <w:rsid w:val="00F345F9"/>
    <w:rsid w:val="00F35DE0"/>
    <w:rsid w:val="00F40C41"/>
    <w:rsid w:val="00F40E4F"/>
    <w:rsid w:val="00F43F84"/>
    <w:rsid w:val="00F4433C"/>
    <w:rsid w:val="00F4681D"/>
    <w:rsid w:val="00F54774"/>
    <w:rsid w:val="00F57E68"/>
    <w:rsid w:val="00F62816"/>
    <w:rsid w:val="00F6454E"/>
    <w:rsid w:val="00F66317"/>
    <w:rsid w:val="00F73747"/>
    <w:rsid w:val="00F73AF0"/>
    <w:rsid w:val="00F74397"/>
    <w:rsid w:val="00F75D5D"/>
    <w:rsid w:val="00F76D99"/>
    <w:rsid w:val="00F821F0"/>
    <w:rsid w:val="00F86D0B"/>
    <w:rsid w:val="00F87C7F"/>
    <w:rsid w:val="00F910D9"/>
    <w:rsid w:val="00F912C0"/>
    <w:rsid w:val="00F9490E"/>
    <w:rsid w:val="00FA2126"/>
    <w:rsid w:val="00FA2F61"/>
    <w:rsid w:val="00FA772F"/>
    <w:rsid w:val="00FA7AB8"/>
    <w:rsid w:val="00FB6219"/>
    <w:rsid w:val="00FC5DDA"/>
    <w:rsid w:val="00FC713B"/>
    <w:rsid w:val="00FD04FE"/>
    <w:rsid w:val="00FD3426"/>
    <w:rsid w:val="00FD3A5C"/>
    <w:rsid w:val="00FE45C3"/>
    <w:rsid w:val="00FE6007"/>
    <w:rsid w:val="00FE61AF"/>
    <w:rsid w:val="00FE77B3"/>
    <w:rsid w:val="00FF0689"/>
    <w:rsid w:val="00FF088B"/>
    <w:rsid w:val="00FF1851"/>
    <w:rsid w:val="00FF270B"/>
    <w:rsid w:val="00FF6CF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50E606"/>
  <w15:chartTrackingRefBased/>
  <w15:docId w15:val="{7980B077-40C9-4D05-9AC1-4E7E3F58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ED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874EDF"/>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874EDF"/>
    <w:rPr>
      <w:rFonts w:ascii="Times New Roman" w:eastAsia="Times New Roman" w:hAnsi="Times New Roman" w:cs="Times New Roman"/>
      <w:i/>
      <w:iCs/>
      <w:sz w:val="24"/>
      <w:szCs w:val="24"/>
      <w:lang w:val="es-MX" w:eastAsia="es-ES"/>
    </w:rPr>
  </w:style>
  <w:style w:type="character" w:styleId="Textoennegrita">
    <w:name w:val="Strong"/>
    <w:basedOn w:val="Fuentedeprrafopredeter"/>
    <w:uiPriority w:val="22"/>
    <w:qFormat/>
    <w:rsid w:val="00874EDF"/>
    <w:rPr>
      <w:b/>
      <w:bCs/>
    </w:rPr>
  </w:style>
  <w:style w:type="paragraph" w:styleId="Piedepgina">
    <w:name w:val="footer"/>
    <w:basedOn w:val="Normal"/>
    <w:link w:val="PiedepginaCar"/>
    <w:uiPriority w:val="99"/>
    <w:unhideWhenUsed/>
    <w:rsid w:val="00874E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4EDF"/>
  </w:style>
  <w:style w:type="paragraph" w:styleId="NormalWeb">
    <w:name w:val="Normal (Web)"/>
    <w:basedOn w:val="Normal"/>
    <w:uiPriority w:val="99"/>
    <w:unhideWhenUsed/>
    <w:rsid w:val="00874EDF"/>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Sinespaciado">
    <w:name w:val="No Spacing"/>
    <w:uiPriority w:val="1"/>
    <w:qFormat/>
    <w:rsid w:val="00874EDF"/>
    <w:pPr>
      <w:spacing w:after="0" w:line="240" w:lineRule="auto"/>
    </w:pPr>
  </w:style>
  <w:style w:type="paragraph" w:styleId="Textoindependiente">
    <w:name w:val="Body Text"/>
    <w:basedOn w:val="Normal"/>
    <w:link w:val="TextoindependienteCar"/>
    <w:uiPriority w:val="99"/>
    <w:unhideWhenUsed/>
    <w:rsid w:val="00874EDF"/>
    <w:pPr>
      <w:spacing w:after="120"/>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874EDF"/>
    <w:rPr>
      <w:rFonts w:ascii="Calibri" w:eastAsia="MS Mincho" w:hAnsi="Calibri" w:cs="Times New Roman"/>
    </w:rPr>
  </w:style>
  <w:style w:type="character" w:customStyle="1" w:styleId="fontstyle01">
    <w:name w:val="fontstyle01"/>
    <w:basedOn w:val="Fuentedeprrafopredeter"/>
    <w:rsid w:val="00874EDF"/>
    <w:rPr>
      <w:rFonts w:ascii="Times-Bold" w:hAnsi="Times-Bold" w:hint="default"/>
      <w:b/>
      <w:bCs/>
      <w:i w:val="0"/>
      <w:iCs w:val="0"/>
      <w:color w:val="000000"/>
      <w:sz w:val="20"/>
      <w:szCs w:val="20"/>
    </w:rPr>
  </w:style>
  <w:style w:type="paragraph" w:styleId="Encabezado">
    <w:name w:val="header"/>
    <w:basedOn w:val="Normal"/>
    <w:link w:val="EncabezadoCar"/>
    <w:uiPriority w:val="99"/>
    <w:unhideWhenUsed/>
    <w:rsid w:val="00874E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10953</TotalTime>
  <Pages>5</Pages>
  <Words>1391</Words>
  <Characters>7651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Saul Solorzano Salinas</dc:creator>
  <cp:keywords/>
  <dc:description/>
  <cp:lastModifiedBy>Pablo Saul Solorzano Salinas</cp:lastModifiedBy>
  <cp:revision>459</cp:revision>
  <cp:lastPrinted>2022-02-21T17:24:00Z</cp:lastPrinted>
  <dcterms:created xsi:type="dcterms:W3CDTF">2022-01-03T02:37:00Z</dcterms:created>
  <dcterms:modified xsi:type="dcterms:W3CDTF">2022-08-18T21:27:00Z</dcterms:modified>
</cp:coreProperties>
</file>