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00693DB4">
        <w:rPr>
          <w:rFonts w:ascii="Palatino Linotype" w:hAnsi="Palatino Linotype" w:cs="Tahoma"/>
          <w:b/>
        </w:rPr>
        <w:t xml:space="preserve">o. </w:t>
      </w:r>
      <w:r w:rsidR="00693DB4" w:rsidRPr="00E17D58">
        <w:rPr>
          <w:rFonts w:ascii="Palatino Linotype" w:hAnsi="Palatino Linotype" w:cs="Tahoma"/>
          <w:b/>
        </w:rPr>
        <w:t>06</w:t>
      </w:r>
      <w:r w:rsidR="00FD3A5C">
        <w:rPr>
          <w:rFonts w:ascii="Palatino Linotype" w:hAnsi="Palatino Linotype" w:cs="Tahoma"/>
          <w:b/>
        </w:rPr>
        <w:t>7</w:t>
      </w:r>
      <w:r w:rsidRPr="00867BAA">
        <w:rPr>
          <w:rFonts w:ascii="Palatino Linotype" w:hAnsi="Palatino Linotype" w:cs="Tahoma"/>
          <w:b/>
        </w:rPr>
        <w:t xml:space="preserve"> ORDINARIA</w:t>
      </w:r>
    </w:p>
    <w:p w:rsidR="00874EDF"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6D5F2B" w:rsidRPr="00867BAA" w:rsidRDefault="006D5F2B"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p>
    <w:p w:rsidR="00874EDF" w:rsidRPr="00867BAA" w:rsidRDefault="002D25CE" w:rsidP="00874EDF">
      <w:pPr>
        <w:spacing w:after="0" w:line="240" w:lineRule="auto"/>
        <w:jc w:val="center"/>
        <w:rPr>
          <w:rFonts w:ascii="Palatino Linotype" w:hAnsi="Palatino Linotype" w:cs="Tahoma"/>
          <w:b/>
        </w:rPr>
      </w:pPr>
      <w:r>
        <w:rPr>
          <w:rFonts w:ascii="Palatino Linotype" w:hAnsi="Palatino Linotype" w:cs="Tahoma"/>
          <w:b/>
        </w:rPr>
        <w:t xml:space="preserve">MIÉRCOLES </w:t>
      </w:r>
      <w:r w:rsidR="00FD3A5C">
        <w:rPr>
          <w:rFonts w:ascii="Palatino Linotype" w:hAnsi="Palatino Linotype" w:cs="Tahoma"/>
          <w:b/>
        </w:rPr>
        <w:t>27</w:t>
      </w:r>
      <w:r w:rsidR="00874EDF" w:rsidRPr="00867BAA">
        <w:rPr>
          <w:rFonts w:ascii="Palatino Linotype" w:hAnsi="Palatino Linotype" w:cs="Tahoma"/>
          <w:b/>
        </w:rPr>
        <w:t xml:space="preserve"> DE </w:t>
      </w:r>
      <w:r w:rsidR="00837510">
        <w:rPr>
          <w:rFonts w:ascii="Palatino Linotype" w:hAnsi="Palatino Linotype" w:cs="Tahoma"/>
          <w:b/>
        </w:rPr>
        <w:t>ABRIL</w:t>
      </w:r>
      <w:r w:rsidR="00FF0689">
        <w:rPr>
          <w:rFonts w:ascii="Palatino Linotype" w:hAnsi="Palatino Linotype" w:cs="Tahoma"/>
          <w:b/>
        </w:rPr>
        <w:t xml:space="preserve"> DE</w:t>
      </w:r>
      <w:r w:rsidR="00FA772F">
        <w:rPr>
          <w:rFonts w:ascii="Palatino Linotype" w:hAnsi="Palatino Linotype" w:cs="Tahoma"/>
          <w:b/>
        </w:rPr>
        <w:t>L</w:t>
      </w:r>
      <w:r w:rsidR="00FF0689">
        <w:rPr>
          <w:rFonts w:ascii="Palatino Linotype" w:hAnsi="Palatino Linotype" w:cs="Tahoma"/>
          <w:b/>
        </w:rPr>
        <w:t xml:space="preserve"> 2022</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4122E6">
        <w:rPr>
          <w:rFonts w:ascii="Palatino Linotype" w:hAnsi="Palatino Linotype" w:cs="Tahoma"/>
          <w:bCs/>
          <w:i w:val="0"/>
          <w:sz w:val="22"/>
          <w:szCs w:val="22"/>
        </w:rPr>
        <w:t>itano de Quito, siendo las 14</w:t>
      </w:r>
      <w:r w:rsidR="00FF0689">
        <w:rPr>
          <w:rFonts w:ascii="Palatino Linotype" w:hAnsi="Palatino Linotype" w:cs="Tahoma"/>
          <w:bCs/>
          <w:i w:val="0"/>
          <w:sz w:val="22"/>
          <w:szCs w:val="22"/>
        </w:rPr>
        <w:t>h</w:t>
      </w:r>
      <w:r w:rsidR="00FD3A5C">
        <w:rPr>
          <w:rFonts w:ascii="Palatino Linotype" w:hAnsi="Palatino Linotype" w:cs="Tahoma"/>
          <w:bCs/>
          <w:i w:val="0"/>
          <w:sz w:val="22"/>
          <w:szCs w:val="22"/>
        </w:rPr>
        <w:t>3</w:t>
      </w:r>
      <w:r w:rsidR="00837510">
        <w:rPr>
          <w:rFonts w:ascii="Palatino Linotype" w:hAnsi="Palatino Linotype" w:cs="Tahoma"/>
          <w:bCs/>
          <w:i w:val="0"/>
          <w:sz w:val="22"/>
          <w:szCs w:val="22"/>
        </w:rPr>
        <w:t>4</w:t>
      </w:r>
      <w:r w:rsidRPr="00867BAA">
        <w:rPr>
          <w:rFonts w:ascii="Palatino Linotype" w:hAnsi="Palatino Linotype" w:cs="Tahoma"/>
          <w:bCs/>
          <w:i w:val="0"/>
          <w:sz w:val="22"/>
          <w:szCs w:val="22"/>
        </w:rPr>
        <w:t xml:space="preserve"> del miércoles </w:t>
      </w:r>
      <w:r w:rsidR="00FD3A5C">
        <w:rPr>
          <w:rFonts w:ascii="Palatino Linotype" w:hAnsi="Palatino Linotype" w:cs="Tahoma"/>
          <w:bCs/>
          <w:i w:val="0"/>
          <w:sz w:val="22"/>
          <w:szCs w:val="22"/>
        </w:rPr>
        <w:t>27</w:t>
      </w:r>
      <w:r w:rsidR="00FA772F">
        <w:rPr>
          <w:rFonts w:ascii="Palatino Linotype" w:hAnsi="Palatino Linotype" w:cs="Tahoma"/>
          <w:bCs/>
          <w:i w:val="0"/>
          <w:sz w:val="22"/>
          <w:szCs w:val="22"/>
        </w:rPr>
        <w:t xml:space="preserve"> de </w:t>
      </w:r>
      <w:r w:rsidR="00837510">
        <w:rPr>
          <w:rFonts w:ascii="Palatino Linotype" w:hAnsi="Palatino Linotype" w:cs="Tahoma"/>
          <w:bCs/>
          <w:i w:val="0"/>
          <w:sz w:val="22"/>
          <w:szCs w:val="22"/>
        </w:rPr>
        <w:t>abril</w:t>
      </w:r>
      <w:r w:rsidR="005B0AD4">
        <w:rPr>
          <w:rFonts w:ascii="Palatino Linotype" w:hAnsi="Palatino Linotype" w:cs="Tahoma"/>
          <w:bCs/>
          <w:i w:val="0"/>
          <w:sz w:val="22"/>
          <w:szCs w:val="22"/>
        </w:rPr>
        <w:t xml:space="preserve"> de</w:t>
      </w:r>
      <w:r w:rsidR="00837510">
        <w:rPr>
          <w:rFonts w:ascii="Palatino Linotype" w:hAnsi="Palatino Linotype" w:cs="Tahoma"/>
          <w:bCs/>
          <w:i w:val="0"/>
          <w:sz w:val="22"/>
          <w:szCs w:val="22"/>
        </w:rPr>
        <w:t>l</w:t>
      </w:r>
      <w:r w:rsidR="005B0AD4">
        <w:rPr>
          <w:rFonts w:ascii="Palatino Linotype" w:hAnsi="Palatino Linotype" w:cs="Tahoma"/>
          <w:bCs/>
          <w:i w:val="0"/>
          <w:sz w:val="22"/>
          <w:szCs w:val="22"/>
        </w:rPr>
        <w:t xml:space="preserve"> 2022</w:t>
      </w:r>
      <w:r w:rsidRPr="00867BAA">
        <w:rPr>
          <w:rFonts w:ascii="Palatino Linotype" w:hAnsi="Palatino Linotype" w:cs="Tahoma"/>
          <w:bCs/>
          <w:i w:val="0"/>
          <w:sz w:val="22"/>
          <w:szCs w:val="22"/>
        </w:rPr>
        <w:t>, conforme la convocatoria No. 0</w:t>
      </w:r>
      <w:r w:rsidR="00837510">
        <w:rPr>
          <w:rFonts w:ascii="Palatino Linotype" w:hAnsi="Palatino Linotype" w:cs="Tahoma"/>
          <w:bCs/>
          <w:i w:val="0"/>
          <w:sz w:val="22"/>
          <w:szCs w:val="22"/>
        </w:rPr>
        <w:t>6</w:t>
      </w:r>
      <w:r w:rsidR="00FD3A5C">
        <w:rPr>
          <w:rFonts w:ascii="Palatino Linotype" w:hAnsi="Palatino Linotype" w:cs="Tahoma"/>
          <w:bCs/>
          <w:i w:val="0"/>
          <w:sz w:val="22"/>
          <w:szCs w:val="22"/>
        </w:rPr>
        <w:t>7</w:t>
      </w:r>
      <w:r w:rsidRPr="00867BAA">
        <w:rPr>
          <w:rFonts w:ascii="Palatino Linotype" w:hAnsi="Palatino Linotype" w:cs="Tahoma"/>
          <w:bCs/>
          <w:i w:val="0"/>
          <w:sz w:val="22"/>
          <w:szCs w:val="22"/>
        </w:rPr>
        <w:t xml:space="preserve"> de </w:t>
      </w:r>
      <w:r w:rsidR="00FD3A5C">
        <w:rPr>
          <w:rFonts w:ascii="Palatino Linotype" w:hAnsi="Palatino Linotype" w:cs="Tahoma"/>
          <w:bCs/>
          <w:i w:val="0"/>
          <w:sz w:val="22"/>
          <w:szCs w:val="22"/>
        </w:rPr>
        <w:t>25</w:t>
      </w:r>
      <w:r>
        <w:rPr>
          <w:rFonts w:ascii="Palatino Linotype" w:hAnsi="Palatino Linotype" w:cs="Tahoma"/>
          <w:bCs/>
          <w:i w:val="0"/>
          <w:sz w:val="22"/>
          <w:szCs w:val="22"/>
        </w:rPr>
        <w:t xml:space="preserve"> de </w:t>
      </w:r>
      <w:r w:rsidR="00837510">
        <w:rPr>
          <w:rFonts w:ascii="Palatino Linotype" w:hAnsi="Palatino Linotype" w:cs="Tahoma"/>
          <w:bCs/>
          <w:i w:val="0"/>
          <w:sz w:val="22"/>
          <w:szCs w:val="22"/>
        </w:rPr>
        <w:t>abril</w:t>
      </w:r>
      <w:r w:rsidRPr="00867BAA">
        <w:rPr>
          <w:rFonts w:ascii="Palatino Linotype" w:hAnsi="Palatino Linotype" w:cs="Tahoma"/>
          <w:bCs/>
          <w:i w:val="0"/>
          <w:sz w:val="22"/>
          <w:szCs w:val="22"/>
        </w:rPr>
        <w:t xml:space="preserve"> de</w:t>
      </w:r>
      <w:r w:rsidR="00FE61AF">
        <w:rPr>
          <w:rFonts w:ascii="Palatino Linotype" w:hAnsi="Palatino Linotype" w:cs="Tahoma"/>
          <w:bCs/>
          <w:i w:val="0"/>
          <w:sz w:val="22"/>
          <w:szCs w:val="22"/>
        </w:rPr>
        <w:t>l</w:t>
      </w:r>
      <w:r w:rsidRPr="00867BAA">
        <w:rPr>
          <w:rFonts w:ascii="Palatino Linotype" w:hAnsi="Palatino Linotype" w:cs="Tahoma"/>
          <w:bCs/>
          <w:i w:val="0"/>
          <w:sz w:val="22"/>
          <w:szCs w:val="22"/>
        </w:rPr>
        <w:t xml:space="preserve"> 202</w:t>
      </w:r>
      <w:r w:rsidR="00FF0689">
        <w:rPr>
          <w:rFonts w:ascii="Palatino Linotype" w:hAnsi="Palatino Linotype" w:cs="Tahoma"/>
          <w:bCs/>
          <w:i w:val="0"/>
          <w:sz w:val="22"/>
          <w:szCs w:val="22"/>
        </w:rPr>
        <w:t>2</w:t>
      </w:r>
      <w:r w:rsidRPr="00867BAA">
        <w:rPr>
          <w:rFonts w:ascii="Palatino Linotype" w:hAnsi="Palatino Linotype" w:cs="Tahoma"/>
          <w:bCs/>
          <w:i w:val="0"/>
          <w:sz w:val="22"/>
          <w:szCs w:val="22"/>
        </w:rPr>
        <w:t>,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5D209E">
        <w:rPr>
          <w:rFonts w:ascii="Palatino Linotype" w:hAnsi="Palatino Linotype" w:cs="Tahoma"/>
          <w:bCs/>
          <w:i w:val="0"/>
          <w:sz w:val="22"/>
          <w:szCs w:val="22"/>
        </w:rPr>
        <w:t xml:space="preserve">Nro. 067, </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w:t>
      </w:r>
      <w:r w:rsidR="002D25CE">
        <w:rPr>
          <w:rFonts w:ascii="Palatino Linotype" w:hAnsi="Palatino Linotype" w:cs="Tahoma"/>
          <w:bCs/>
          <w:i w:val="0"/>
          <w:sz w:val="22"/>
          <w:szCs w:val="22"/>
        </w:rPr>
        <w:t>e</w:t>
      </w:r>
      <w:r w:rsidR="004122E6">
        <w:rPr>
          <w:rFonts w:ascii="Palatino Linotype" w:hAnsi="Palatino Linotype" w:cs="Tahoma"/>
          <w:bCs/>
          <w:i w:val="0"/>
          <w:sz w:val="22"/>
          <w:szCs w:val="22"/>
        </w:rPr>
        <w:t xml:space="preserve"> se encuentra conformado por el concejal y</w:t>
      </w:r>
      <w:r w:rsidR="002D25CE">
        <w:rPr>
          <w:rFonts w:ascii="Palatino Linotype" w:hAnsi="Palatino Linotype" w:cs="Tahoma"/>
          <w:bCs/>
          <w:i w:val="0"/>
          <w:sz w:val="22"/>
          <w:szCs w:val="22"/>
        </w:rPr>
        <w:t xml:space="preserve"> concejala</w:t>
      </w:r>
      <w:r w:rsidR="00837510">
        <w:rPr>
          <w:rFonts w:ascii="Palatino Linotype" w:hAnsi="Palatino Linotype" w:cs="Tahoma"/>
          <w:bCs/>
          <w:i w:val="0"/>
          <w:sz w:val="22"/>
          <w:szCs w:val="22"/>
        </w:rPr>
        <w:t xml:space="preserve">s: </w:t>
      </w:r>
      <w:r w:rsidR="004122E6">
        <w:rPr>
          <w:rFonts w:ascii="Palatino Linotype" w:hAnsi="Palatino Linotype" w:cs="Tahoma"/>
          <w:bCs/>
          <w:i w:val="0"/>
          <w:sz w:val="22"/>
          <w:szCs w:val="22"/>
        </w:rPr>
        <w:t>Soledad Benítez</w:t>
      </w:r>
      <w:r w:rsidR="00FF0689">
        <w:rPr>
          <w:rFonts w:ascii="Palatino Linotype" w:hAnsi="Palatino Linotype" w:cs="Tahoma"/>
          <w:bCs/>
          <w:i w:val="0"/>
          <w:sz w:val="22"/>
          <w:szCs w:val="22"/>
        </w:rPr>
        <w:t xml:space="preserve"> y</w:t>
      </w:r>
      <w:r>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FF1851">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FF1851">
            <w:pPr>
              <w:spacing w:after="0" w:line="240" w:lineRule="auto"/>
              <w:jc w:val="center"/>
              <w:rPr>
                <w:rFonts w:ascii="Palatino Linotype" w:hAnsi="Palatino Linotype" w:cs="Tahoma"/>
                <w:b/>
                <w:bCs/>
                <w:color w:val="FFFFFF"/>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FF1851">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4122E6"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37510"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37510"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37510"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874EDF" w:rsidRPr="00867BAA" w:rsidRDefault="00874EDF" w:rsidP="00FF1851">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37510"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74EDF" w:rsidRPr="00867BAA" w:rsidRDefault="00874EDF" w:rsidP="00874EDF">
      <w:pPr>
        <w:pStyle w:val="Subttulo"/>
        <w:rPr>
          <w:rFonts w:ascii="Palatino Linotype" w:hAnsi="Palatino Linotype" w:cs="Tahoma"/>
          <w:bCs/>
          <w:i w:val="0"/>
          <w:sz w:val="22"/>
          <w:szCs w:val="22"/>
        </w:rPr>
      </w:pPr>
    </w:p>
    <w:p w:rsidR="005A3123" w:rsidRPr="005A3123" w:rsidRDefault="00874EDF" w:rsidP="00874EDF">
      <w:pPr>
        <w:pStyle w:val="Subttulo"/>
        <w:rPr>
          <w:rFonts w:ascii="Palatino Linotype" w:hAnsi="Palatino Linotype" w:cs="Tahoma"/>
          <w:i w:val="0"/>
          <w:color w:val="000000" w:themeColor="text1"/>
          <w:sz w:val="22"/>
          <w:szCs w:val="22"/>
        </w:rPr>
      </w:pPr>
      <w:r w:rsidRPr="00AA0092">
        <w:rPr>
          <w:rFonts w:ascii="Palatino Linotype" w:hAnsi="Palatino Linotype" w:cs="Tahoma"/>
          <w:bCs/>
          <w:i w:val="0"/>
          <w:color w:val="000000" w:themeColor="text1"/>
          <w:sz w:val="22"/>
          <w:szCs w:val="22"/>
        </w:rPr>
        <w:t xml:space="preserve">Además, se registra la presencia de </w:t>
      </w:r>
      <w:r w:rsidRPr="00AA0092">
        <w:rPr>
          <w:rFonts w:ascii="Palatino Linotype" w:hAnsi="Palatino Linotype" w:cs="Tahoma"/>
          <w:i w:val="0"/>
          <w:color w:val="000000" w:themeColor="text1"/>
          <w:sz w:val="22"/>
          <w:szCs w:val="22"/>
        </w:rPr>
        <w:t>los siguientes funcionarios:</w:t>
      </w:r>
      <w:r w:rsidR="004122E6" w:rsidRPr="00AA0092">
        <w:rPr>
          <w:rFonts w:ascii="Palatino Linotype" w:hAnsi="Palatino Linotype" w:cs="Tahoma"/>
          <w:i w:val="0"/>
          <w:color w:val="000000" w:themeColor="text1"/>
          <w:sz w:val="22"/>
          <w:szCs w:val="22"/>
        </w:rPr>
        <w:t xml:space="preserve"> </w:t>
      </w:r>
      <w:r w:rsidR="00AA0092">
        <w:rPr>
          <w:rFonts w:ascii="Palatino Linotype" w:hAnsi="Palatino Linotype" w:cs="Tahoma"/>
          <w:i w:val="0"/>
          <w:color w:val="000000" w:themeColor="text1"/>
          <w:sz w:val="22"/>
          <w:szCs w:val="22"/>
        </w:rPr>
        <w:t xml:space="preserve">Jaime Alfonso Pérez Clavijo, </w:t>
      </w:r>
      <w:r w:rsidR="004122E6" w:rsidRPr="00EF390B">
        <w:rPr>
          <w:rFonts w:ascii="Palatino Linotype" w:hAnsi="Palatino Linotype" w:cs="Tahoma"/>
          <w:i w:val="0"/>
          <w:color w:val="000000" w:themeColor="text1"/>
          <w:sz w:val="22"/>
          <w:szCs w:val="22"/>
        </w:rPr>
        <w:t>Gerente de la Empresa Pública Metropolitana de Hábitat y Vivienda</w:t>
      </w:r>
      <w:r w:rsidR="004122E6" w:rsidRPr="00AA0092">
        <w:rPr>
          <w:rFonts w:ascii="Palatino Linotype" w:hAnsi="Palatino Linotype" w:cs="Tahoma"/>
          <w:i w:val="0"/>
          <w:color w:val="000000" w:themeColor="text1"/>
          <w:sz w:val="22"/>
          <w:szCs w:val="22"/>
        </w:rPr>
        <w:t xml:space="preserve">; </w:t>
      </w:r>
      <w:proofErr w:type="spellStart"/>
      <w:r w:rsidR="004122E6" w:rsidRPr="00EF390B">
        <w:rPr>
          <w:rFonts w:ascii="Palatino Linotype" w:hAnsi="Palatino Linotype" w:cs="Tahoma"/>
          <w:i w:val="0"/>
          <w:color w:val="000000" w:themeColor="text1"/>
          <w:sz w:val="22"/>
          <w:szCs w:val="22"/>
        </w:rPr>
        <w:t>Lileth</w:t>
      </w:r>
      <w:proofErr w:type="spellEnd"/>
      <w:r w:rsidR="004122E6" w:rsidRPr="00EF390B">
        <w:rPr>
          <w:rFonts w:ascii="Palatino Linotype" w:hAnsi="Palatino Linotype" w:cs="Tahoma"/>
          <w:i w:val="0"/>
          <w:color w:val="000000" w:themeColor="text1"/>
          <w:sz w:val="22"/>
          <w:szCs w:val="22"/>
        </w:rPr>
        <w:t xml:space="preserve"> Hernández </w:t>
      </w:r>
      <w:r w:rsidR="00004D50" w:rsidRPr="00EF390B">
        <w:rPr>
          <w:rFonts w:ascii="Palatino Linotype" w:hAnsi="Palatino Linotype" w:cs="Tahoma"/>
          <w:i w:val="0"/>
          <w:color w:val="000000" w:themeColor="text1"/>
          <w:sz w:val="22"/>
          <w:szCs w:val="22"/>
        </w:rPr>
        <w:t>de la Secretaría General de Coordinación Territorial y Part</w:t>
      </w:r>
      <w:r w:rsidR="00762293" w:rsidRPr="00EF390B">
        <w:rPr>
          <w:rFonts w:ascii="Palatino Linotype" w:hAnsi="Palatino Linotype" w:cs="Tahoma"/>
          <w:i w:val="0"/>
          <w:color w:val="000000" w:themeColor="text1"/>
          <w:sz w:val="22"/>
          <w:szCs w:val="22"/>
        </w:rPr>
        <w:t>icipación Ciudadana</w:t>
      </w:r>
      <w:r w:rsidR="00BA6206" w:rsidRPr="00EF390B">
        <w:rPr>
          <w:rFonts w:ascii="Palatino Linotype" w:hAnsi="Palatino Linotype" w:cs="Tahoma"/>
          <w:i w:val="0"/>
          <w:color w:val="000000" w:themeColor="text1"/>
          <w:sz w:val="22"/>
          <w:szCs w:val="22"/>
        </w:rPr>
        <w:t>;</w:t>
      </w:r>
      <w:r w:rsidR="002D1BDC">
        <w:rPr>
          <w:rFonts w:ascii="Palatino Linotype" w:hAnsi="Palatino Linotype" w:cs="Tahoma"/>
          <w:i w:val="0"/>
          <w:color w:val="000000" w:themeColor="text1"/>
          <w:sz w:val="22"/>
          <w:szCs w:val="22"/>
        </w:rPr>
        <w:t xml:space="preserve"> Alfredo Sebastián Nader del despacho de la concejala </w:t>
      </w:r>
      <w:proofErr w:type="spellStart"/>
      <w:r w:rsidR="002D1BDC">
        <w:rPr>
          <w:rFonts w:ascii="Palatino Linotype" w:hAnsi="Palatino Linotype" w:cs="Tahoma"/>
          <w:i w:val="0"/>
          <w:color w:val="000000" w:themeColor="text1"/>
          <w:sz w:val="22"/>
          <w:szCs w:val="22"/>
        </w:rPr>
        <w:t>Soleadad</w:t>
      </w:r>
      <w:proofErr w:type="spellEnd"/>
      <w:r w:rsidR="002D1BDC">
        <w:rPr>
          <w:rFonts w:ascii="Palatino Linotype" w:hAnsi="Palatino Linotype" w:cs="Tahoma"/>
          <w:i w:val="0"/>
          <w:color w:val="000000" w:themeColor="text1"/>
          <w:sz w:val="22"/>
          <w:szCs w:val="22"/>
        </w:rPr>
        <w:t xml:space="preserve"> Benítez;</w:t>
      </w:r>
      <w:r w:rsidR="00F87C7F" w:rsidRPr="00EF390B">
        <w:rPr>
          <w:rFonts w:ascii="Palatino Linotype" w:hAnsi="Palatino Linotype" w:cs="Tahoma"/>
          <w:i w:val="0"/>
          <w:color w:val="000000" w:themeColor="text1"/>
          <w:sz w:val="22"/>
          <w:szCs w:val="22"/>
        </w:rPr>
        <w:t xml:space="preserve"> </w:t>
      </w:r>
      <w:r w:rsidR="005A3123" w:rsidRPr="005A3123">
        <w:rPr>
          <w:rFonts w:ascii="Palatino Linotype" w:hAnsi="Palatino Linotype" w:cs="Tahoma"/>
          <w:i w:val="0"/>
          <w:color w:val="000000" w:themeColor="text1"/>
          <w:sz w:val="22"/>
          <w:szCs w:val="22"/>
        </w:rPr>
        <w:t>Joselito Ortiz</w:t>
      </w:r>
      <w:r w:rsidR="002B0A17">
        <w:rPr>
          <w:rFonts w:ascii="Palatino Linotype" w:hAnsi="Palatino Linotype" w:cs="Tahoma"/>
          <w:i w:val="0"/>
          <w:color w:val="000000" w:themeColor="text1"/>
          <w:sz w:val="22"/>
          <w:szCs w:val="22"/>
        </w:rPr>
        <w:t xml:space="preserve"> y Pamela Sánchez</w:t>
      </w:r>
      <w:r w:rsidR="005A3123" w:rsidRPr="005A3123">
        <w:rPr>
          <w:rFonts w:ascii="Palatino Linotype" w:hAnsi="Palatino Linotype" w:cs="Tahoma"/>
          <w:i w:val="0"/>
          <w:color w:val="000000" w:themeColor="text1"/>
          <w:sz w:val="22"/>
          <w:szCs w:val="22"/>
        </w:rPr>
        <w:t xml:space="preserve"> </w:t>
      </w:r>
      <w:r w:rsidR="00004D50" w:rsidRPr="005A3123">
        <w:rPr>
          <w:rFonts w:ascii="Palatino Linotype" w:hAnsi="Palatino Linotype" w:cs="Tahoma"/>
          <w:i w:val="0"/>
          <w:color w:val="000000" w:themeColor="text1"/>
          <w:sz w:val="22"/>
          <w:szCs w:val="22"/>
        </w:rPr>
        <w:t xml:space="preserve">de la Secretaría de Territorio Hábitat y Vivienda, </w:t>
      </w:r>
      <w:r w:rsidR="009A6D33" w:rsidRPr="005A3123">
        <w:rPr>
          <w:rFonts w:ascii="Palatino Linotype" w:hAnsi="Palatino Linotype" w:cs="Tahoma"/>
          <w:i w:val="0"/>
          <w:color w:val="000000" w:themeColor="text1"/>
          <w:sz w:val="22"/>
          <w:szCs w:val="22"/>
        </w:rPr>
        <w:t>Dirección</w:t>
      </w:r>
      <w:r w:rsidR="00004D50" w:rsidRPr="005A3123">
        <w:rPr>
          <w:rFonts w:ascii="Palatino Linotype" w:hAnsi="Palatino Linotype" w:cs="Tahoma"/>
          <w:i w:val="0"/>
          <w:color w:val="000000" w:themeColor="text1"/>
          <w:sz w:val="22"/>
          <w:szCs w:val="22"/>
        </w:rPr>
        <w:t xml:space="preserve"> Metropolitana de Catastro; </w:t>
      </w:r>
      <w:r w:rsidR="00BA6206" w:rsidRPr="00EF390B">
        <w:rPr>
          <w:rFonts w:ascii="Palatino Linotype" w:hAnsi="Palatino Linotype" w:cs="Tahoma"/>
          <w:i w:val="0"/>
          <w:color w:val="000000" w:themeColor="text1"/>
          <w:sz w:val="22"/>
          <w:szCs w:val="22"/>
        </w:rPr>
        <w:t xml:space="preserve">Ricardo </w:t>
      </w:r>
      <w:proofErr w:type="spellStart"/>
      <w:r w:rsidR="00BA6206" w:rsidRPr="00EF390B">
        <w:rPr>
          <w:rFonts w:ascii="Palatino Linotype" w:hAnsi="Palatino Linotype" w:cs="Tahoma"/>
          <w:i w:val="0"/>
          <w:color w:val="000000" w:themeColor="text1"/>
          <w:sz w:val="22"/>
          <w:szCs w:val="22"/>
        </w:rPr>
        <w:t>Minda</w:t>
      </w:r>
      <w:proofErr w:type="spellEnd"/>
      <w:r w:rsidR="00BA6206" w:rsidRPr="001A5856">
        <w:rPr>
          <w:rFonts w:ascii="Palatino Linotype" w:hAnsi="Palatino Linotype" w:cs="Tahoma"/>
          <w:i w:val="0"/>
          <w:color w:val="000000" w:themeColor="text1"/>
          <w:sz w:val="22"/>
          <w:szCs w:val="22"/>
        </w:rPr>
        <w:t xml:space="preserve">, Elizabeth Cevallos del despacho de la concejala Blanca </w:t>
      </w:r>
      <w:proofErr w:type="spellStart"/>
      <w:r w:rsidR="00BA6206" w:rsidRPr="001A5856">
        <w:rPr>
          <w:rFonts w:ascii="Palatino Linotype" w:hAnsi="Palatino Linotype" w:cs="Tahoma"/>
          <w:i w:val="0"/>
          <w:color w:val="000000" w:themeColor="text1"/>
          <w:sz w:val="22"/>
          <w:szCs w:val="22"/>
        </w:rPr>
        <w:t>Paucar</w:t>
      </w:r>
      <w:proofErr w:type="spellEnd"/>
      <w:r w:rsidR="00BA6206" w:rsidRPr="001A5856">
        <w:rPr>
          <w:rFonts w:ascii="Palatino Linotype" w:hAnsi="Palatino Linotype" w:cs="Tahoma"/>
          <w:i w:val="0"/>
          <w:color w:val="000000" w:themeColor="text1"/>
          <w:sz w:val="22"/>
          <w:szCs w:val="22"/>
        </w:rPr>
        <w:t xml:space="preserve">; </w:t>
      </w:r>
      <w:r w:rsidR="001A5856">
        <w:rPr>
          <w:rFonts w:ascii="Palatino Linotype" w:hAnsi="Palatino Linotype" w:cs="Tahoma"/>
          <w:i w:val="0"/>
          <w:color w:val="000000" w:themeColor="text1"/>
          <w:sz w:val="22"/>
          <w:szCs w:val="22"/>
        </w:rPr>
        <w:t xml:space="preserve">Diego Erazo </w:t>
      </w:r>
      <w:r w:rsidR="00BA6206" w:rsidRPr="001A5856">
        <w:rPr>
          <w:rFonts w:ascii="Palatino Linotype" w:hAnsi="Palatino Linotype" w:cs="Tahoma"/>
          <w:i w:val="0"/>
          <w:color w:val="000000" w:themeColor="text1"/>
          <w:sz w:val="22"/>
          <w:szCs w:val="22"/>
        </w:rPr>
        <w:t xml:space="preserve">de la Secretaría General de Seguridad y Gobernabilidad; </w:t>
      </w:r>
      <w:r w:rsidR="001A5856" w:rsidRPr="001A5856">
        <w:rPr>
          <w:rFonts w:ascii="Palatino Linotype" w:hAnsi="Palatino Linotype" w:cs="Tahoma"/>
          <w:i w:val="0"/>
          <w:color w:val="000000" w:themeColor="text1"/>
          <w:sz w:val="22"/>
          <w:szCs w:val="22"/>
        </w:rPr>
        <w:t>Norma Jim</w:t>
      </w:r>
      <w:bookmarkStart w:id="0" w:name="_GoBack"/>
      <w:bookmarkEnd w:id="0"/>
      <w:r w:rsidR="001A5856" w:rsidRPr="001A5856">
        <w:rPr>
          <w:rFonts w:ascii="Palatino Linotype" w:hAnsi="Palatino Linotype" w:cs="Tahoma"/>
          <w:i w:val="0"/>
          <w:color w:val="000000" w:themeColor="text1"/>
          <w:sz w:val="22"/>
          <w:szCs w:val="22"/>
        </w:rPr>
        <w:t xml:space="preserve">énez </w:t>
      </w:r>
      <w:r w:rsidR="008D2F29" w:rsidRPr="001A5856">
        <w:rPr>
          <w:rFonts w:ascii="Palatino Linotype" w:hAnsi="Palatino Linotype" w:cs="Tahoma"/>
          <w:i w:val="0"/>
          <w:color w:val="000000" w:themeColor="text1"/>
          <w:sz w:val="22"/>
          <w:szCs w:val="22"/>
        </w:rPr>
        <w:t>de la Procuraduría Metropolitana</w:t>
      </w:r>
      <w:r w:rsidR="00E819B7" w:rsidRPr="001A5856">
        <w:rPr>
          <w:rFonts w:ascii="Palatino Linotype" w:hAnsi="Palatino Linotype" w:cs="Tahoma"/>
          <w:i w:val="0"/>
          <w:color w:val="000000" w:themeColor="text1"/>
          <w:sz w:val="22"/>
          <w:szCs w:val="22"/>
        </w:rPr>
        <w:t xml:space="preserve">; </w:t>
      </w:r>
      <w:r w:rsidR="001A5856">
        <w:rPr>
          <w:rFonts w:ascii="Palatino Linotype" w:hAnsi="Palatino Linotype" w:cs="Tahoma"/>
          <w:i w:val="0"/>
          <w:color w:val="000000" w:themeColor="text1"/>
          <w:sz w:val="22"/>
          <w:szCs w:val="22"/>
        </w:rPr>
        <w:t xml:space="preserve">Nadia Raquel Ruiz Maldonado, de la Secretaría General de Planificación; Andrea </w:t>
      </w:r>
      <w:proofErr w:type="spellStart"/>
      <w:r w:rsidR="001A5856">
        <w:rPr>
          <w:rFonts w:ascii="Palatino Linotype" w:hAnsi="Palatino Linotype" w:cs="Tahoma"/>
          <w:i w:val="0"/>
          <w:color w:val="000000" w:themeColor="text1"/>
          <w:sz w:val="22"/>
          <w:szCs w:val="22"/>
        </w:rPr>
        <w:t>Sangoluisa</w:t>
      </w:r>
      <w:proofErr w:type="spellEnd"/>
      <w:r w:rsidR="001A5856">
        <w:rPr>
          <w:rFonts w:ascii="Palatino Linotype" w:hAnsi="Palatino Linotype" w:cs="Tahoma"/>
          <w:i w:val="0"/>
          <w:color w:val="000000" w:themeColor="text1"/>
          <w:sz w:val="22"/>
          <w:szCs w:val="22"/>
        </w:rPr>
        <w:t xml:space="preserve"> y </w:t>
      </w:r>
      <w:r w:rsidR="004844F9">
        <w:rPr>
          <w:rFonts w:ascii="Palatino Linotype" w:hAnsi="Palatino Linotype" w:cs="Tahoma"/>
          <w:i w:val="0"/>
          <w:color w:val="000000" w:themeColor="text1"/>
          <w:sz w:val="22"/>
          <w:szCs w:val="22"/>
        </w:rPr>
        <w:t xml:space="preserve">Patricia Pacheco de la </w:t>
      </w:r>
      <w:r w:rsidR="001A5856">
        <w:rPr>
          <w:rFonts w:ascii="Palatino Linotype" w:hAnsi="Palatino Linotype" w:cs="Tahoma"/>
          <w:i w:val="0"/>
          <w:color w:val="000000" w:themeColor="text1"/>
          <w:sz w:val="22"/>
          <w:szCs w:val="22"/>
        </w:rPr>
        <w:t>Secret</w:t>
      </w:r>
      <w:r w:rsidR="004844F9">
        <w:rPr>
          <w:rFonts w:ascii="Palatino Linotype" w:hAnsi="Palatino Linotype" w:cs="Tahoma"/>
          <w:i w:val="0"/>
          <w:color w:val="000000" w:themeColor="text1"/>
          <w:sz w:val="22"/>
          <w:szCs w:val="22"/>
        </w:rPr>
        <w:t>ar</w:t>
      </w:r>
      <w:r w:rsidR="001A5856">
        <w:rPr>
          <w:rFonts w:ascii="Palatino Linotype" w:hAnsi="Palatino Linotype" w:cs="Tahoma"/>
          <w:i w:val="0"/>
          <w:color w:val="000000" w:themeColor="text1"/>
          <w:sz w:val="22"/>
          <w:szCs w:val="22"/>
        </w:rPr>
        <w:t>ía G</w:t>
      </w:r>
      <w:r w:rsidR="004844F9">
        <w:rPr>
          <w:rFonts w:ascii="Palatino Linotype" w:hAnsi="Palatino Linotype" w:cs="Tahoma"/>
          <w:i w:val="0"/>
          <w:color w:val="000000" w:themeColor="text1"/>
          <w:sz w:val="22"/>
          <w:szCs w:val="22"/>
        </w:rPr>
        <w:t xml:space="preserve">eneral de </w:t>
      </w:r>
      <w:r w:rsidR="001A5856">
        <w:rPr>
          <w:rFonts w:ascii="Palatino Linotype" w:hAnsi="Palatino Linotype" w:cs="Tahoma"/>
          <w:i w:val="0"/>
          <w:color w:val="000000" w:themeColor="text1"/>
          <w:sz w:val="22"/>
          <w:szCs w:val="22"/>
        </w:rPr>
        <w:t>Coordinación</w:t>
      </w:r>
      <w:r w:rsidR="004844F9">
        <w:rPr>
          <w:rFonts w:ascii="Palatino Linotype" w:hAnsi="Palatino Linotype" w:cs="Tahoma"/>
          <w:i w:val="0"/>
          <w:color w:val="000000" w:themeColor="text1"/>
          <w:sz w:val="22"/>
          <w:szCs w:val="22"/>
        </w:rPr>
        <w:t xml:space="preserve"> Territorial y Participación Ciudadana; </w:t>
      </w:r>
      <w:r w:rsidR="00F87C7F" w:rsidRPr="00EF390B">
        <w:rPr>
          <w:rFonts w:ascii="Palatino Linotype" w:hAnsi="Palatino Linotype" w:cs="Tahoma"/>
          <w:i w:val="0"/>
          <w:color w:val="000000" w:themeColor="text1"/>
          <w:sz w:val="22"/>
          <w:szCs w:val="22"/>
        </w:rPr>
        <w:t>Iván Vladimir Tapia</w:t>
      </w:r>
      <w:r w:rsidR="002D1BDC">
        <w:rPr>
          <w:rFonts w:ascii="Palatino Linotype" w:hAnsi="Palatino Linotype" w:cs="Tahoma"/>
          <w:i w:val="0"/>
          <w:color w:val="000000" w:themeColor="text1"/>
          <w:sz w:val="22"/>
          <w:szCs w:val="22"/>
        </w:rPr>
        <w:t>,</w:t>
      </w:r>
      <w:r w:rsidR="001A5856">
        <w:rPr>
          <w:rFonts w:ascii="Palatino Linotype" w:hAnsi="Palatino Linotype" w:cs="Tahoma"/>
          <w:i w:val="0"/>
          <w:color w:val="000000" w:themeColor="text1"/>
          <w:sz w:val="22"/>
          <w:szCs w:val="22"/>
        </w:rPr>
        <w:t xml:space="preserve"> </w:t>
      </w:r>
      <w:proofErr w:type="spellStart"/>
      <w:r w:rsidR="001A5856">
        <w:rPr>
          <w:rFonts w:ascii="Palatino Linotype" w:hAnsi="Palatino Linotype" w:cs="Tahoma"/>
          <w:i w:val="0"/>
          <w:color w:val="000000" w:themeColor="text1"/>
          <w:sz w:val="22"/>
          <w:szCs w:val="22"/>
        </w:rPr>
        <w:t>Ninike</w:t>
      </w:r>
      <w:proofErr w:type="spellEnd"/>
      <w:r w:rsidR="001A5856">
        <w:rPr>
          <w:rFonts w:ascii="Palatino Linotype" w:hAnsi="Palatino Linotype" w:cs="Tahoma"/>
          <w:i w:val="0"/>
          <w:color w:val="000000" w:themeColor="text1"/>
          <w:sz w:val="22"/>
          <w:szCs w:val="22"/>
        </w:rPr>
        <w:t xml:space="preserve"> </w:t>
      </w:r>
      <w:proofErr w:type="spellStart"/>
      <w:r w:rsidR="001A5856">
        <w:rPr>
          <w:rFonts w:ascii="Palatino Linotype" w:hAnsi="Palatino Linotype" w:cs="Tahoma"/>
          <w:i w:val="0"/>
          <w:color w:val="000000" w:themeColor="text1"/>
          <w:sz w:val="22"/>
          <w:szCs w:val="22"/>
        </w:rPr>
        <w:t>Celi</w:t>
      </w:r>
      <w:proofErr w:type="spellEnd"/>
      <w:r w:rsidR="001A5856">
        <w:rPr>
          <w:rFonts w:ascii="Palatino Linotype" w:hAnsi="Palatino Linotype" w:cs="Tahoma"/>
          <w:i w:val="0"/>
          <w:color w:val="000000" w:themeColor="text1"/>
          <w:sz w:val="22"/>
          <w:szCs w:val="22"/>
        </w:rPr>
        <w:t>,</w:t>
      </w:r>
      <w:r w:rsidR="002D1BDC">
        <w:rPr>
          <w:rFonts w:ascii="Palatino Linotype" w:hAnsi="Palatino Linotype" w:cs="Tahoma"/>
          <w:i w:val="0"/>
          <w:color w:val="000000" w:themeColor="text1"/>
          <w:sz w:val="22"/>
          <w:szCs w:val="22"/>
        </w:rPr>
        <w:t xml:space="preserve"> </w:t>
      </w:r>
      <w:proofErr w:type="spellStart"/>
      <w:r w:rsidR="001A5856">
        <w:rPr>
          <w:rFonts w:ascii="Palatino Linotype" w:hAnsi="Palatino Linotype" w:cs="Tahoma"/>
          <w:i w:val="0"/>
          <w:color w:val="000000" w:themeColor="text1"/>
          <w:sz w:val="22"/>
          <w:szCs w:val="22"/>
        </w:rPr>
        <w:t>Wladimir</w:t>
      </w:r>
      <w:proofErr w:type="spellEnd"/>
      <w:r w:rsidR="001A5856">
        <w:rPr>
          <w:rFonts w:ascii="Palatino Linotype" w:hAnsi="Palatino Linotype" w:cs="Tahoma"/>
          <w:i w:val="0"/>
          <w:color w:val="000000" w:themeColor="text1"/>
          <w:sz w:val="22"/>
          <w:szCs w:val="22"/>
        </w:rPr>
        <w:t xml:space="preserve"> De La Torre</w:t>
      </w:r>
      <w:r w:rsidR="005A3123">
        <w:rPr>
          <w:rFonts w:ascii="Palatino Linotype" w:hAnsi="Palatino Linotype" w:cs="Tahoma"/>
          <w:i w:val="0"/>
          <w:color w:val="000000" w:themeColor="text1"/>
          <w:sz w:val="22"/>
          <w:szCs w:val="22"/>
        </w:rPr>
        <w:t xml:space="preserve">, </w:t>
      </w:r>
      <w:r w:rsidR="002D1BDC">
        <w:rPr>
          <w:rFonts w:ascii="Palatino Linotype" w:hAnsi="Palatino Linotype" w:cs="Tahoma"/>
          <w:i w:val="0"/>
          <w:color w:val="000000" w:themeColor="text1"/>
          <w:sz w:val="22"/>
          <w:szCs w:val="22"/>
        </w:rPr>
        <w:t>José Salomón Herrera</w:t>
      </w:r>
      <w:r w:rsidR="00F87C7F" w:rsidRPr="00EF390B">
        <w:rPr>
          <w:rFonts w:ascii="Palatino Linotype" w:hAnsi="Palatino Linotype" w:cs="Tahoma"/>
          <w:i w:val="0"/>
          <w:color w:val="000000" w:themeColor="text1"/>
          <w:sz w:val="22"/>
          <w:szCs w:val="22"/>
        </w:rPr>
        <w:t xml:space="preserve"> y</w:t>
      </w:r>
      <w:r w:rsidR="003A708C">
        <w:rPr>
          <w:rFonts w:ascii="Palatino Linotype" w:hAnsi="Palatino Linotype" w:cs="Tahoma"/>
          <w:i w:val="0"/>
          <w:color w:val="000000" w:themeColor="text1"/>
          <w:sz w:val="22"/>
          <w:szCs w:val="22"/>
        </w:rPr>
        <w:t xml:space="preserve"> Adriana Lucía Ávila Santacruz</w:t>
      </w:r>
      <w:r w:rsidR="002D1BDC">
        <w:rPr>
          <w:rFonts w:ascii="Palatino Linotype" w:hAnsi="Palatino Linotype" w:cs="Tahoma"/>
          <w:i w:val="0"/>
          <w:color w:val="000000" w:themeColor="text1"/>
          <w:sz w:val="22"/>
          <w:szCs w:val="22"/>
        </w:rPr>
        <w:t xml:space="preserve"> d</w:t>
      </w:r>
      <w:r w:rsidR="00F87C7F" w:rsidRPr="00EF390B">
        <w:rPr>
          <w:rFonts w:ascii="Palatino Linotype" w:hAnsi="Palatino Linotype" w:cs="Tahoma"/>
          <w:i w:val="0"/>
          <w:color w:val="000000" w:themeColor="text1"/>
          <w:sz w:val="22"/>
          <w:szCs w:val="22"/>
        </w:rPr>
        <w:t>e la Secretaría de Territorio Hábitat y Vivienda;</w:t>
      </w:r>
      <w:r w:rsidR="00AA0092">
        <w:rPr>
          <w:rFonts w:ascii="Palatino Linotype" w:hAnsi="Palatino Linotype" w:cs="Tahoma"/>
          <w:i w:val="0"/>
          <w:color w:val="000000" w:themeColor="text1"/>
          <w:sz w:val="22"/>
          <w:szCs w:val="22"/>
        </w:rPr>
        <w:t xml:space="preserve"> </w:t>
      </w:r>
      <w:r w:rsidR="001A5856">
        <w:rPr>
          <w:rFonts w:ascii="Palatino Linotype" w:hAnsi="Palatino Linotype" w:cs="Tahoma"/>
          <w:i w:val="0"/>
          <w:color w:val="000000" w:themeColor="text1"/>
          <w:sz w:val="22"/>
          <w:szCs w:val="22"/>
        </w:rPr>
        <w:t xml:space="preserve">Christian Ayala Suárez y </w:t>
      </w:r>
      <w:r w:rsidR="002D1BDC">
        <w:rPr>
          <w:rFonts w:ascii="Palatino Linotype" w:hAnsi="Palatino Linotype" w:cs="Tahoma"/>
          <w:i w:val="0"/>
          <w:color w:val="000000" w:themeColor="text1"/>
          <w:sz w:val="22"/>
          <w:szCs w:val="22"/>
        </w:rPr>
        <w:t xml:space="preserve">Freddy Erazo de la Administración General; </w:t>
      </w:r>
      <w:r w:rsidR="00AA0092">
        <w:rPr>
          <w:rFonts w:ascii="Palatino Linotype" w:hAnsi="Palatino Linotype" w:cs="Tahoma"/>
          <w:i w:val="0"/>
          <w:color w:val="000000" w:themeColor="text1"/>
          <w:sz w:val="22"/>
          <w:szCs w:val="22"/>
        </w:rPr>
        <w:t xml:space="preserve">Byron Madera de la Secretaría General de Planificación; María José Vivanco de la Dirección Metropolitana </w:t>
      </w:r>
      <w:proofErr w:type="spellStart"/>
      <w:r w:rsidR="00AA0092">
        <w:rPr>
          <w:rFonts w:ascii="Palatino Linotype" w:hAnsi="Palatino Linotype" w:cs="Tahoma"/>
          <w:i w:val="0"/>
          <w:color w:val="000000" w:themeColor="text1"/>
          <w:sz w:val="22"/>
          <w:szCs w:val="22"/>
        </w:rPr>
        <w:t>Trbutaria</w:t>
      </w:r>
      <w:proofErr w:type="spellEnd"/>
      <w:r w:rsidR="00AA0092">
        <w:rPr>
          <w:rFonts w:ascii="Palatino Linotype" w:hAnsi="Palatino Linotype" w:cs="Tahoma"/>
          <w:i w:val="0"/>
          <w:color w:val="000000" w:themeColor="text1"/>
          <w:sz w:val="22"/>
          <w:szCs w:val="22"/>
        </w:rPr>
        <w:t>;</w:t>
      </w:r>
      <w:r w:rsidR="00F87C7F" w:rsidRPr="00EF390B">
        <w:rPr>
          <w:rFonts w:ascii="Palatino Linotype" w:hAnsi="Palatino Linotype" w:cs="Tahoma"/>
          <w:i w:val="0"/>
          <w:color w:val="000000" w:themeColor="text1"/>
          <w:sz w:val="22"/>
          <w:szCs w:val="22"/>
        </w:rPr>
        <w:t xml:space="preserve"> </w:t>
      </w:r>
      <w:r w:rsidR="00AA5C51" w:rsidRPr="00AA0092">
        <w:rPr>
          <w:rFonts w:ascii="Palatino Linotype" w:hAnsi="Palatino Linotype" w:cs="Tahoma"/>
          <w:i w:val="0"/>
          <w:color w:val="000000" w:themeColor="text1"/>
          <w:sz w:val="22"/>
          <w:szCs w:val="22"/>
        </w:rPr>
        <w:t xml:space="preserve">Juan Carlos </w:t>
      </w:r>
      <w:r w:rsidR="00762293" w:rsidRPr="00AA0092">
        <w:rPr>
          <w:rFonts w:ascii="Palatino Linotype" w:hAnsi="Palatino Linotype" w:cs="Tahoma"/>
          <w:i w:val="0"/>
          <w:color w:val="000000" w:themeColor="text1"/>
          <w:sz w:val="22"/>
          <w:szCs w:val="22"/>
        </w:rPr>
        <w:t>León</w:t>
      </w:r>
      <w:r w:rsidR="00AA5C51" w:rsidRPr="00AA0092">
        <w:rPr>
          <w:rFonts w:ascii="Palatino Linotype" w:hAnsi="Palatino Linotype" w:cs="Tahoma"/>
          <w:i w:val="0"/>
          <w:color w:val="000000" w:themeColor="text1"/>
          <w:sz w:val="22"/>
          <w:szCs w:val="22"/>
        </w:rPr>
        <w:t xml:space="preserve"> del despacho del concejal Eduardo del Pozo; </w:t>
      </w:r>
    </w:p>
    <w:p w:rsidR="00AB1004" w:rsidRDefault="00874EDF" w:rsidP="005A3123">
      <w:pPr>
        <w:pStyle w:val="Textoindependiente"/>
        <w:spacing w:before="240"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F73747" w:rsidRPr="00F73747" w:rsidRDefault="00F73747" w:rsidP="00F73747">
      <w:pPr>
        <w:pStyle w:val="Textoindependiente"/>
        <w:spacing w:before="240" w:after="0" w:line="240" w:lineRule="auto"/>
        <w:jc w:val="both"/>
        <w:rPr>
          <w:rFonts w:ascii="Palatino Linotype" w:hAnsi="Palatino Linotype"/>
        </w:rPr>
      </w:pPr>
      <w:r w:rsidRPr="00F73747">
        <w:rPr>
          <w:rFonts w:ascii="Palatino Linotype" w:hAnsi="Palatino Linotype"/>
          <w:b/>
        </w:rPr>
        <w:t>1.-</w:t>
      </w:r>
      <w:r w:rsidRPr="00F73747">
        <w:rPr>
          <w:rFonts w:ascii="Palatino Linotype" w:hAnsi="Palatino Linotype"/>
        </w:rPr>
        <w:t xml:space="preserve"> Aprobación del acta de la sesión Nro. 66, del 13 de abril de 2022.  </w:t>
      </w:r>
    </w:p>
    <w:p w:rsidR="00F73747" w:rsidRPr="00F73747" w:rsidRDefault="00F73747" w:rsidP="00F73747">
      <w:pPr>
        <w:pStyle w:val="Textoindependiente"/>
        <w:spacing w:before="240" w:after="0" w:line="240" w:lineRule="auto"/>
        <w:jc w:val="both"/>
        <w:rPr>
          <w:rFonts w:ascii="Palatino Linotype" w:hAnsi="Palatino Linotype"/>
        </w:rPr>
      </w:pPr>
      <w:r w:rsidRPr="00F73747">
        <w:rPr>
          <w:rFonts w:ascii="Palatino Linotype" w:hAnsi="Palatino Linotype"/>
          <w:b/>
        </w:rPr>
        <w:lastRenderedPageBreak/>
        <w:t>2.-</w:t>
      </w:r>
      <w:r w:rsidRPr="00F73747">
        <w:rPr>
          <w:rFonts w:ascii="Palatino Linotype" w:hAnsi="Palatino Linotype"/>
        </w:rPr>
        <w:t xml:space="preserve"> Informe sobre el avance del cumplimiento de la Resolución 013-CVH-2022.  </w:t>
      </w:r>
    </w:p>
    <w:p w:rsidR="00F73747" w:rsidRDefault="00F73747" w:rsidP="00F73747">
      <w:pPr>
        <w:pStyle w:val="Textoindependiente"/>
        <w:spacing w:before="240" w:line="240" w:lineRule="auto"/>
        <w:jc w:val="both"/>
        <w:rPr>
          <w:rFonts w:ascii="Palatino Linotype" w:hAnsi="Palatino Linotype"/>
        </w:rPr>
      </w:pPr>
      <w:r w:rsidRPr="00F73747">
        <w:rPr>
          <w:rFonts w:ascii="Palatino Linotype" w:hAnsi="Palatino Linotype"/>
          <w:b/>
        </w:rPr>
        <w:t>2.1.-</w:t>
      </w:r>
      <w:r w:rsidRPr="00F73747">
        <w:rPr>
          <w:rFonts w:ascii="Palatino Linotype" w:hAnsi="Palatino Linotype"/>
        </w:rPr>
        <w:t xml:space="preserve"> Presentación del proyecto de Ordenanza Metropolitana Sustitutiva del libro IV.5 "De la Vivienda y Hábitat", del libro IV "Eje Territorial" restructurada y alineada con Ley Orgánica de Vivienda de Interés Social y su Reglamento, y presentación de la matriz comparativa, por parte de la Secretaria de Territorio, Hábitat y Vivienda, con el fin de cumplir con los términos señalados en la Ley; y resolución al respecto.  </w:t>
      </w:r>
    </w:p>
    <w:p w:rsidR="00F73747" w:rsidRDefault="00F73747" w:rsidP="00F73747">
      <w:pPr>
        <w:pStyle w:val="Textoindependiente"/>
        <w:spacing w:before="240" w:line="240" w:lineRule="auto"/>
        <w:jc w:val="both"/>
        <w:rPr>
          <w:rFonts w:ascii="Palatino Linotype" w:hAnsi="Palatino Linotype"/>
        </w:rPr>
      </w:pPr>
      <w:r w:rsidRPr="00F73747">
        <w:rPr>
          <w:rFonts w:ascii="Palatino Linotype" w:hAnsi="Palatino Linotype"/>
          <w:b/>
        </w:rPr>
        <w:t>Interviene la concejala Blanca Panucar;</w:t>
      </w:r>
      <w:r>
        <w:rPr>
          <w:rFonts w:ascii="Palatino Linotype" w:hAnsi="Palatino Linotype"/>
        </w:rPr>
        <w:t xml:space="preserve"> mociona: </w:t>
      </w:r>
      <w:r w:rsidR="00712513">
        <w:rPr>
          <w:rFonts w:ascii="Palatino Linotype" w:hAnsi="Palatino Linotype"/>
        </w:rPr>
        <w:t>q</w:t>
      </w:r>
      <w:r w:rsidR="00712513" w:rsidRPr="00712513">
        <w:rPr>
          <w:rFonts w:ascii="Palatino Linotype" w:hAnsi="Palatino Linotype"/>
        </w:rPr>
        <w:t>ue dentro del punto 2.1 del orden del día, luego de la palabra " presentación " se incluya las palabras " del avance", de tal manera que el punto del orden día diga: presentación del avance  del proyecto de ordenanza metropolitana sustitutiva del libro IV.5 de la vivienda y hábitat del libro IV Eje territorial, restructurada y alineada  con la ley orgánica de vivienda de interés social y su reglamento  y presentación de la matriz comparativa,  por parte de la secretaria  de territorial hábitat y vivienda, con el fin de cumplir con los términos señalados en la Ley; y resolución al respecto.</w:t>
      </w:r>
    </w:p>
    <w:p w:rsidR="00712513" w:rsidRDefault="00712513" w:rsidP="00F73747">
      <w:pPr>
        <w:pStyle w:val="Textoindependiente"/>
        <w:spacing w:before="240" w:line="240" w:lineRule="auto"/>
        <w:jc w:val="both"/>
        <w:rPr>
          <w:rFonts w:ascii="Palatino Linotype" w:hAnsi="Palatino Linotype"/>
        </w:rPr>
      </w:pPr>
      <w:r>
        <w:rPr>
          <w:rFonts w:ascii="Palatino Linotype" w:hAnsi="Palatino Linotype"/>
        </w:rPr>
        <w:t xml:space="preserve">Por un asunto de carácter técnico, se desconecta el usuario del secretario de la Comisión de Vivienda y Hábitat, </w:t>
      </w:r>
      <w:r w:rsidR="00A32C78">
        <w:rPr>
          <w:rFonts w:ascii="Palatino Linotype" w:hAnsi="Palatino Linotype"/>
        </w:rPr>
        <w:t xml:space="preserve">Abg. </w:t>
      </w:r>
      <w:r>
        <w:rPr>
          <w:rFonts w:ascii="Palatino Linotype" w:hAnsi="Palatino Linotype"/>
        </w:rPr>
        <w:t>Pablo Sol</w:t>
      </w:r>
      <w:r w:rsidR="00A32C78">
        <w:rPr>
          <w:rFonts w:ascii="Palatino Linotype" w:hAnsi="Palatino Linotype"/>
        </w:rPr>
        <w:t>órzano; en tal sentido,</w:t>
      </w:r>
      <w:r>
        <w:rPr>
          <w:rFonts w:ascii="Palatino Linotype" w:hAnsi="Palatino Linotype"/>
        </w:rPr>
        <w:t xml:space="preserve"> asume la secretaría de la sesión el Abg. Samuel </w:t>
      </w:r>
      <w:proofErr w:type="spellStart"/>
      <w:r>
        <w:rPr>
          <w:rFonts w:ascii="Palatino Linotype" w:hAnsi="Palatino Linotype"/>
        </w:rPr>
        <w:t>Byun</w:t>
      </w:r>
      <w:proofErr w:type="spellEnd"/>
      <w:r>
        <w:rPr>
          <w:rFonts w:ascii="Palatino Linotype" w:hAnsi="Palatino Linotype"/>
        </w:rPr>
        <w:t>, Prosecretario General del Concejo Metropolitano</w:t>
      </w:r>
      <w:r w:rsidR="00FB6219">
        <w:rPr>
          <w:rFonts w:ascii="Palatino Linotype" w:hAnsi="Palatino Linotype"/>
        </w:rPr>
        <w:t>.</w:t>
      </w:r>
    </w:p>
    <w:p w:rsidR="00712513" w:rsidRDefault="00712513" w:rsidP="00712513">
      <w:pPr>
        <w:pStyle w:val="Textoindependiente"/>
        <w:spacing w:before="240" w:line="240" w:lineRule="auto"/>
        <w:jc w:val="both"/>
        <w:rPr>
          <w:rFonts w:ascii="Palatino Linotype" w:hAnsi="Palatino Linotype" w:cs="Tahoma"/>
        </w:rPr>
      </w:pPr>
      <w:r>
        <w:rPr>
          <w:rFonts w:ascii="Palatino Linotype" w:hAnsi="Palatino Linotype" w:cs="Tahoma"/>
        </w:rPr>
        <w:t>Una vez apoyada la moción, se procede a tomar votación de la moción planteada, registrándose los siguientes resultados:</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12513" w:rsidRPr="00867BAA" w:rsidTr="00EF390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p>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p>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712513" w:rsidP="00EF390B">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12513" w:rsidRPr="00867BAA" w:rsidRDefault="00712513" w:rsidP="00EF390B">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712513" w:rsidP="00EF390B">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712513" w:rsidP="00EF390B">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712513" w:rsidRPr="00867BAA" w:rsidRDefault="00FB6219" w:rsidP="00EF39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1E5897"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FB6219"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73747" w:rsidRDefault="00712513" w:rsidP="001E5897">
      <w:pPr>
        <w:pStyle w:val="Textoindependiente"/>
        <w:spacing w:before="240" w:line="240" w:lineRule="auto"/>
        <w:jc w:val="both"/>
        <w:rPr>
          <w:rFonts w:ascii="Palatino Linotype" w:hAnsi="Palatino Linotype"/>
        </w:rPr>
      </w:pPr>
      <w:r>
        <w:rPr>
          <w:rFonts w:ascii="Palatino Linotype" w:hAnsi="Palatino Linotype"/>
        </w:rPr>
        <w:t xml:space="preserve"> </w:t>
      </w:r>
      <w:r w:rsidR="001E5897">
        <w:rPr>
          <w:rFonts w:ascii="Palatino Linotype" w:hAnsi="Palatino Linotype"/>
        </w:rPr>
        <w:t xml:space="preserve">Seguidamente se procede a tomar votación para la aprobación del orden del día con la modificación propuesta: </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1E5897" w:rsidRPr="00867BAA" w:rsidTr="00EF390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1E5897" w:rsidRPr="00867BAA" w:rsidRDefault="001E5897"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1E5897"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b/>
                <w:i w:val="0"/>
                <w:color w:val="FFFFFF"/>
                <w:sz w:val="22"/>
                <w:szCs w:val="22"/>
                <w:lang w:val="es-ES"/>
              </w:rPr>
            </w:pPr>
          </w:p>
          <w:p w:rsidR="001E5897" w:rsidRPr="00867BAA" w:rsidRDefault="001E5897"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E5897" w:rsidRPr="00867BAA" w:rsidRDefault="001E5897"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b/>
                <w:i w:val="0"/>
                <w:color w:val="FFFFFF"/>
                <w:sz w:val="22"/>
                <w:szCs w:val="22"/>
                <w:lang w:val="es-ES"/>
              </w:rPr>
            </w:pPr>
          </w:p>
          <w:p w:rsidR="001E5897" w:rsidRPr="00867BAA" w:rsidRDefault="001E5897"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1E5897"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E5897" w:rsidRPr="00867BAA" w:rsidRDefault="001E5897" w:rsidP="00EF390B">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E5897" w:rsidRPr="00867BAA" w:rsidRDefault="001E5897" w:rsidP="00EF390B">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r>
      <w:tr w:rsidR="001E5897"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E5897" w:rsidRPr="00867BAA" w:rsidRDefault="001E5897" w:rsidP="00EF390B">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r>
      <w:tr w:rsidR="001E5897"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E5897" w:rsidRPr="00867BAA" w:rsidRDefault="001E5897" w:rsidP="00EF390B">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E5897" w:rsidRPr="00867BAA" w:rsidRDefault="001E5897" w:rsidP="00EF390B">
            <w:pPr>
              <w:pStyle w:val="Subttulo"/>
              <w:jc w:val="center"/>
              <w:rPr>
                <w:rFonts w:ascii="Palatino Linotype" w:hAnsi="Palatino Linotype"/>
                <w:i w:val="0"/>
                <w:color w:val="000000"/>
                <w:sz w:val="22"/>
                <w:szCs w:val="22"/>
                <w:lang w:val="es-ES"/>
              </w:rPr>
            </w:pPr>
          </w:p>
        </w:tc>
      </w:tr>
      <w:tr w:rsidR="001E5897"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E5897" w:rsidRPr="00867BAA" w:rsidRDefault="001E5897" w:rsidP="00EF39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E5897" w:rsidRPr="00867BAA" w:rsidRDefault="001E5897"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1E5897" w:rsidRDefault="00A32C78" w:rsidP="001E5897">
      <w:pPr>
        <w:pStyle w:val="Textoindependiente"/>
        <w:spacing w:before="240" w:line="240" w:lineRule="auto"/>
        <w:jc w:val="both"/>
        <w:rPr>
          <w:rFonts w:ascii="Palatino Linotype" w:hAnsi="Palatino Linotype"/>
        </w:rPr>
      </w:pPr>
      <w:r>
        <w:rPr>
          <w:rFonts w:ascii="Palatino Linotype" w:hAnsi="Palatino Linotype"/>
        </w:rPr>
        <w:t>Por unanimidad</w:t>
      </w:r>
      <w:r w:rsidR="001E5897">
        <w:rPr>
          <w:rFonts w:ascii="Palatino Linotype" w:hAnsi="Palatino Linotype"/>
        </w:rPr>
        <w:t xml:space="preserve"> de</w:t>
      </w:r>
      <w:r>
        <w:rPr>
          <w:rFonts w:ascii="Palatino Linotype" w:hAnsi="Palatino Linotype"/>
        </w:rPr>
        <w:t xml:space="preserve"> </w:t>
      </w:r>
      <w:r w:rsidR="001E5897">
        <w:rPr>
          <w:rFonts w:ascii="Palatino Linotype" w:hAnsi="Palatino Linotype"/>
        </w:rPr>
        <w:t>los miembros de la Comisión de Vivienda y Hábitat, queda aprobado el Orden del día.</w:t>
      </w:r>
    </w:p>
    <w:p w:rsidR="001E5897" w:rsidRDefault="001E5897" w:rsidP="001E5897">
      <w:pPr>
        <w:pStyle w:val="Textoindependiente"/>
        <w:spacing w:before="240" w:line="240" w:lineRule="auto"/>
        <w:jc w:val="both"/>
        <w:rPr>
          <w:rFonts w:ascii="Palatino Linotype" w:hAnsi="Palatino Linotype"/>
        </w:rPr>
      </w:pPr>
    </w:p>
    <w:p w:rsidR="00874EDF" w:rsidRPr="00867BAA" w:rsidRDefault="00874EDF" w:rsidP="00837510">
      <w:pPr>
        <w:spacing w:before="240" w:after="0" w:line="240" w:lineRule="auto"/>
        <w:jc w:val="center"/>
        <w:rPr>
          <w:rFonts w:ascii="Palatino Linotype" w:hAnsi="Palatino Linotype" w:cs="Tahoma"/>
          <w:b/>
        </w:rPr>
      </w:pPr>
      <w:r w:rsidRPr="00867BAA">
        <w:rPr>
          <w:rFonts w:ascii="Palatino Linotype" w:hAnsi="Palatino Linotype" w:cs="Tahoma"/>
          <w:b/>
        </w:rPr>
        <w:t>DESARROLLO DE LA SESIÓN</w:t>
      </w:r>
    </w:p>
    <w:p w:rsidR="00874EDF" w:rsidRPr="00867BAA" w:rsidRDefault="00874EDF" w:rsidP="00874EDF">
      <w:pPr>
        <w:spacing w:after="0" w:line="240" w:lineRule="auto"/>
        <w:jc w:val="both"/>
        <w:rPr>
          <w:rFonts w:ascii="Palatino Linotype" w:hAnsi="Palatino Linotype" w:cs="Tahoma"/>
        </w:rPr>
      </w:pPr>
    </w:p>
    <w:p w:rsidR="00837510" w:rsidRPr="00837510" w:rsidRDefault="00874EDF" w:rsidP="00837510">
      <w:pPr>
        <w:spacing w:after="0" w:line="240" w:lineRule="auto"/>
        <w:jc w:val="both"/>
        <w:rPr>
          <w:rFonts w:ascii="Palatino Linotype" w:hAnsi="Palatino Linotype" w:cs="Tahoma"/>
          <w:b/>
        </w:rPr>
      </w:pPr>
      <w:r w:rsidRPr="002D0D84">
        <w:rPr>
          <w:rStyle w:val="fontstyle01"/>
          <w:rFonts w:ascii="Palatino Linotype" w:hAnsi="Palatino Linotype"/>
          <w:sz w:val="22"/>
        </w:rPr>
        <w:t>Punto uno:</w:t>
      </w:r>
      <w:r w:rsidR="00837510">
        <w:rPr>
          <w:rFonts w:ascii="Palatino Linotype" w:hAnsi="Palatino Linotype" w:cs="Tahoma"/>
          <w:b/>
        </w:rPr>
        <w:t xml:space="preserve"> </w:t>
      </w:r>
      <w:r w:rsidR="00837510" w:rsidRPr="00837510">
        <w:rPr>
          <w:rFonts w:ascii="Palatino Linotype" w:hAnsi="Palatino Linotype" w:cs="Tahoma"/>
          <w:b/>
        </w:rPr>
        <w:t>Aprobaci</w:t>
      </w:r>
      <w:r w:rsidR="00A32C78">
        <w:rPr>
          <w:rFonts w:ascii="Palatino Linotype" w:hAnsi="Palatino Linotype" w:cs="Tahoma"/>
          <w:b/>
        </w:rPr>
        <w:t>ón del acta de la sesión Nro. 66 del 13</w:t>
      </w:r>
      <w:r w:rsidR="00837510" w:rsidRPr="00837510">
        <w:rPr>
          <w:rFonts w:ascii="Palatino Linotype" w:hAnsi="Palatino Linotype" w:cs="Tahoma"/>
          <w:b/>
        </w:rPr>
        <w:t xml:space="preserve"> de </w:t>
      </w:r>
      <w:r w:rsidR="00A32C78">
        <w:rPr>
          <w:rFonts w:ascii="Palatino Linotype" w:hAnsi="Palatino Linotype" w:cs="Tahoma"/>
          <w:b/>
        </w:rPr>
        <w:t>abril</w:t>
      </w:r>
      <w:r w:rsidR="00837510" w:rsidRPr="00837510">
        <w:rPr>
          <w:rFonts w:ascii="Palatino Linotype" w:hAnsi="Palatino Linotype" w:cs="Tahoma"/>
          <w:b/>
        </w:rPr>
        <w:t xml:space="preserve"> de</w:t>
      </w:r>
      <w:r w:rsidR="00A32C78">
        <w:rPr>
          <w:rFonts w:ascii="Palatino Linotype" w:hAnsi="Palatino Linotype" w:cs="Tahoma"/>
          <w:b/>
        </w:rPr>
        <w:t>l</w:t>
      </w:r>
      <w:r w:rsidR="00837510" w:rsidRPr="00837510">
        <w:rPr>
          <w:rFonts w:ascii="Palatino Linotype" w:hAnsi="Palatino Linotype" w:cs="Tahoma"/>
          <w:b/>
        </w:rPr>
        <w:t xml:space="preserve"> 2022.    </w:t>
      </w:r>
    </w:p>
    <w:p w:rsidR="00FA772F" w:rsidRDefault="00FA772F" w:rsidP="00874EDF">
      <w:pPr>
        <w:pStyle w:val="Textoindependiente"/>
        <w:spacing w:after="0" w:line="240" w:lineRule="auto"/>
        <w:jc w:val="both"/>
        <w:rPr>
          <w:rFonts w:ascii="Palatino Linotype" w:hAnsi="Palatino Linotype"/>
          <w:b/>
        </w:rPr>
      </w:pPr>
    </w:p>
    <w:p w:rsidR="0033094E" w:rsidRDefault="0033094E" w:rsidP="00874EDF">
      <w:pPr>
        <w:pStyle w:val="Textoindependiente"/>
        <w:spacing w:after="0" w:line="240" w:lineRule="auto"/>
        <w:jc w:val="both"/>
        <w:rPr>
          <w:rFonts w:ascii="Palatino Linotype" w:hAnsi="Palatino Linotype" w:cs="Tahoma"/>
        </w:rPr>
      </w:pPr>
      <w:r>
        <w:rPr>
          <w:rFonts w:ascii="Palatino Linotype" w:hAnsi="Palatino Linotype"/>
        </w:rPr>
        <w:t xml:space="preserve">Sin haber observaciones, se procede con la votación del </w:t>
      </w:r>
      <w:r w:rsidR="00A32C78">
        <w:rPr>
          <w:rFonts w:ascii="Palatino Linotype" w:hAnsi="Palatino Linotype" w:cs="Tahoma"/>
        </w:rPr>
        <w:t>Acta de la sesión 66, de 13</w:t>
      </w:r>
      <w:r w:rsidRPr="0033094E">
        <w:rPr>
          <w:rFonts w:ascii="Palatino Linotype" w:hAnsi="Palatino Linotype" w:cs="Tahoma"/>
        </w:rPr>
        <w:t xml:space="preserve"> de </w:t>
      </w:r>
      <w:r w:rsidR="00A32C78">
        <w:rPr>
          <w:rFonts w:ascii="Palatino Linotype" w:hAnsi="Palatino Linotype" w:cs="Tahoma"/>
        </w:rPr>
        <w:t>abril</w:t>
      </w:r>
      <w:r w:rsidRPr="0033094E">
        <w:rPr>
          <w:rFonts w:ascii="Palatino Linotype" w:hAnsi="Palatino Linotype" w:cs="Tahoma"/>
        </w:rPr>
        <w:t xml:space="preserve"> de</w:t>
      </w:r>
      <w:r w:rsidR="00F57E68">
        <w:rPr>
          <w:rFonts w:ascii="Palatino Linotype" w:hAnsi="Palatino Linotype" w:cs="Tahoma"/>
        </w:rPr>
        <w:t>l</w:t>
      </w:r>
      <w:r>
        <w:rPr>
          <w:rFonts w:ascii="Palatino Linotype" w:hAnsi="Palatino Linotype" w:cs="Tahoma"/>
        </w:rPr>
        <w:t xml:space="preserve"> </w:t>
      </w:r>
      <w:r w:rsidRPr="0033094E">
        <w:rPr>
          <w:rFonts w:ascii="Palatino Linotype" w:hAnsi="Palatino Linotype" w:cs="Tahoma"/>
        </w:rPr>
        <w:t>2022</w:t>
      </w:r>
      <w:r>
        <w:rPr>
          <w:rFonts w:ascii="Palatino Linotype" w:hAnsi="Palatino Linotype" w:cs="Tahoma"/>
        </w:rPr>
        <w:t>, registrándose los siguientes resultados:</w:t>
      </w:r>
    </w:p>
    <w:p w:rsidR="0033094E" w:rsidRDefault="0033094E" w:rsidP="00874EDF">
      <w:pPr>
        <w:pStyle w:val="Textoindependiente"/>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3094E" w:rsidRPr="00867BAA" w:rsidTr="00B9637F">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p>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p>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3094E" w:rsidRPr="00867BAA" w:rsidRDefault="0033094E" w:rsidP="00B9637F">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094E" w:rsidRPr="00867BAA" w:rsidRDefault="0033094E" w:rsidP="00B9637F">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3094E" w:rsidRPr="00867BAA" w:rsidRDefault="0033094E" w:rsidP="00B9637F">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3094E" w:rsidRPr="00867BAA" w:rsidRDefault="0033094E" w:rsidP="00B9637F">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3094E" w:rsidRPr="00867BAA" w:rsidRDefault="0033094E" w:rsidP="00B9637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33094E" w:rsidRPr="0033094E" w:rsidRDefault="0033094E" w:rsidP="00874EDF">
      <w:pPr>
        <w:pStyle w:val="Textoindependiente"/>
        <w:spacing w:after="0" w:line="240" w:lineRule="auto"/>
        <w:jc w:val="both"/>
        <w:rPr>
          <w:rFonts w:ascii="Palatino Linotype" w:hAnsi="Palatino Linotype"/>
        </w:rPr>
      </w:pPr>
    </w:p>
    <w:p w:rsidR="0033094E" w:rsidRDefault="0033094E" w:rsidP="00874EDF">
      <w:pPr>
        <w:pStyle w:val="Textoindependiente"/>
        <w:spacing w:after="0" w:line="240" w:lineRule="auto"/>
        <w:jc w:val="both"/>
        <w:rPr>
          <w:rFonts w:ascii="Palatino Linotype" w:hAnsi="Palatino Linotype" w:cs="Tahoma"/>
        </w:rPr>
      </w:pPr>
      <w:r>
        <w:rPr>
          <w:rFonts w:ascii="Palatino Linotype" w:hAnsi="Palatino Linotype"/>
        </w:rPr>
        <w:t xml:space="preserve">Con dos votos a favor, la Comisión de Vivienda y Hábitat, aprueba el acta </w:t>
      </w:r>
      <w:r w:rsidRPr="0033094E">
        <w:rPr>
          <w:rFonts w:ascii="Palatino Linotype" w:hAnsi="Palatino Linotype" w:cs="Tahoma"/>
        </w:rPr>
        <w:t xml:space="preserve">de la </w:t>
      </w:r>
      <w:r w:rsidR="00A32C78">
        <w:rPr>
          <w:rFonts w:ascii="Palatino Linotype" w:hAnsi="Palatino Linotype" w:cs="Tahoma"/>
        </w:rPr>
        <w:t>sesión 66</w:t>
      </w:r>
      <w:r w:rsidRPr="0033094E">
        <w:rPr>
          <w:rFonts w:ascii="Palatino Linotype" w:hAnsi="Palatino Linotype" w:cs="Tahoma"/>
        </w:rPr>
        <w:t>, de 1</w:t>
      </w:r>
      <w:r w:rsidR="00A32C78">
        <w:rPr>
          <w:rFonts w:ascii="Palatino Linotype" w:hAnsi="Palatino Linotype" w:cs="Tahoma"/>
        </w:rPr>
        <w:t>3 de abril</w:t>
      </w:r>
      <w:r w:rsidRPr="0033094E">
        <w:rPr>
          <w:rFonts w:ascii="Palatino Linotype" w:hAnsi="Palatino Linotype" w:cs="Tahoma"/>
        </w:rPr>
        <w:t xml:space="preserve"> de</w:t>
      </w:r>
      <w:r w:rsidR="00882C49">
        <w:rPr>
          <w:rFonts w:ascii="Palatino Linotype" w:hAnsi="Palatino Linotype" w:cs="Tahoma"/>
        </w:rPr>
        <w:t>l</w:t>
      </w:r>
      <w:r>
        <w:rPr>
          <w:rFonts w:ascii="Palatino Linotype" w:hAnsi="Palatino Linotype" w:cs="Tahoma"/>
        </w:rPr>
        <w:t xml:space="preserve"> </w:t>
      </w:r>
      <w:r w:rsidRPr="0033094E">
        <w:rPr>
          <w:rFonts w:ascii="Palatino Linotype" w:hAnsi="Palatino Linotype" w:cs="Tahoma"/>
        </w:rPr>
        <w:t>2022</w:t>
      </w:r>
      <w:r>
        <w:rPr>
          <w:rFonts w:ascii="Palatino Linotype" w:hAnsi="Palatino Linotype" w:cs="Tahoma"/>
        </w:rPr>
        <w:t>.</w:t>
      </w:r>
    </w:p>
    <w:p w:rsidR="00A32C78" w:rsidRPr="00A32C78" w:rsidRDefault="00F40C41" w:rsidP="00A32C78">
      <w:pPr>
        <w:pStyle w:val="Textoindependiente"/>
        <w:spacing w:before="240" w:line="240" w:lineRule="auto"/>
        <w:jc w:val="both"/>
        <w:rPr>
          <w:rFonts w:ascii="Palatino Linotype" w:hAnsi="Palatino Linotype"/>
          <w:b/>
        </w:rPr>
      </w:pPr>
      <w:r w:rsidRPr="00A32C78">
        <w:rPr>
          <w:rFonts w:ascii="Palatino Linotype" w:hAnsi="Palatino Linotype" w:cs="Tahoma"/>
          <w:b/>
        </w:rPr>
        <w:t xml:space="preserve">Segundo punto: </w:t>
      </w:r>
      <w:r w:rsidR="00A32C78" w:rsidRPr="00A32C78">
        <w:rPr>
          <w:rFonts w:ascii="Palatino Linotype" w:hAnsi="Palatino Linotype"/>
          <w:b/>
        </w:rPr>
        <w:t xml:space="preserve">Informe sobre el avance del cumplimiento de la Resolución 013-CVH-2022. </w:t>
      </w:r>
    </w:p>
    <w:p w:rsidR="00A32C78" w:rsidRDefault="00A32C78" w:rsidP="00A32C78">
      <w:pPr>
        <w:pStyle w:val="Textoindependiente"/>
        <w:spacing w:before="240" w:line="240" w:lineRule="auto"/>
        <w:jc w:val="both"/>
        <w:rPr>
          <w:rFonts w:ascii="Palatino Linotype" w:hAnsi="Palatino Linotype"/>
          <w:b/>
        </w:rPr>
      </w:pPr>
      <w:r w:rsidRPr="00A32C78">
        <w:rPr>
          <w:rFonts w:ascii="Palatino Linotype" w:hAnsi="Palatino Linotype"/>
          <w:b/>
        </w:rPr>
        <w:t>2.1.- P</w:t>
      </w:r>
      <w:r w:rsidR="006A6E72">
        <w:rPr>
          <w:rFonts w:ascii="Palatino Linotype" w:hAnsi="Palatino Linotype"/>
          <w:b/>
        </w:rPr>
        <w:t xml:space="preserve">resentación del avance </w:t>
      </w:r>
      <w:r w:rsidRPr="00A32C78">
        <w:rPr>
          <w:rFonts w:ascii="Palatino Linotype" w:hAnsi="Palatino Linotype"/>
          <w:b/>
        </w:rPr>
        <w:t>del proyecto de ordenanza metropolitana sustitutiva del libro IV.5 de la vivienda y hábitat del libro IV Eje territorial, restructurada y alineada con la ley orgánica de vivienda de interés social y su reglamento y presenta</w:t>
      </w:r>
      <w:r w:rsidR="006A6E72">
        <w:rPr>
          <w:rFonts w:ascii="Palatino Linotype" w:hAnsi="Palatino Linotype"/>
          <w:b/>
        </w:rPr>
        <w:t xml:space="preserve">ción de la matriz comparativa, </w:t>
      </w:r>
      <w:r w:rsidRPr="00A32C78">
        <w:rPr>
          <w:rFonts w:ascii="Palatino Linotype" w:hAnsi="Palatino Linotype"/>
          <w:b/>
        </w:rPr>
        <w:t>por parte de la secretaria de territorial hábitat y vivienda, con el fin de cumplir con los términos señalados en la Ley; y resolución al respecto.</w:t>
      </w:r>
    </w:p>
    <w:p w:rsidR="00A32C78" w:rsidRDefault="00A32C78" w:rsidP="00A32C78">
      <w:pPr>
        <w:pStyle w:val="Textoindependiente"/>
        <w:spacing w:before="240" w:line="240" w:lineRule="auto"/>
        <w:jc w:val="both"/>
        <w:rPr>
          <w:rFonts w:ascii="Palatino Linotype" w:hAnsi="Palatino Linotype"/>
        </w:rPr>
      </w:pPr>
      <w:r>
        <w:rPr>
          <w:rFonts w:ascii="Palatino Linotype" w:hAnsi="Palatino Linotype"/>
          <w:b/>
        </w:rPr>
        <w:t xml:space="preserve">Interviene </w:t>
      </w:r>
      <w:r w:rsidR="006A6E72">
        <w:rPr>
          <w:rFonts w:ascii="Palatino Linotype" w:hAnsi="Palatino Linotype"/>
          <w:b/>
        </w:rPr>
        <w:t>Iván</w:t>
      </w:r>
      <w:r>
        <w:rPr>
          <w:rFonts w:ascii="Palatino Linotype" w:hAnsi="Palatino Linotype"/>
          <w:b/>
        </w:rPr>
        <w:t xml:space="preserve"> Vladimir Tapia, Secretario de Territorio Hábitat y Vivienda; </w:t>
      </w:r>
      <w:r>
        <w:rPr>
          <w:rFonts w:ascii="Palatino Linotype" w:hAnsi="Palatino Linotype"/>
        </w:rPr>
        <w:t>menciona que, una vez que fue conocido y aprobado en resoluci</w:t>
      </w:r>
      <w:r w:rsidR="00A753E4">
        <w:rPr>
          <w:rFonts w:ascii="Palatino Linotype" w:hAnsi="Palatino Linotype"/>
        </w:rPr>
        <w:t>ón, por p</w:t>
      </w:r>
      <w:r>
        <w:rPr>
          <w:rFonts w:ascii="Palatino Linotype" w:hAnsi="Palatino Linotype"/>
        </w:rPr>
        <w:t>a</w:t>
      </w:r>
      <w:r w:rsidR="00A753E4">
        <w:rPr>
          <w:rFonts w:ascii="Palatino Linotype" w:hAnsi="Palatino Linotype"/>
        </w:rPr>
        <w:t>r</w:t>
      </w:r>
      <w:r>
        <w:rPr>
          <w:rFonts w:ascii="Palatino Linotype" w:hAnsi="Palatino Linotype"/>
        </w:rPr>
        <w:t xml:space="preserve">te de la Comisión, el cronograma de trabajo para el proyecto de ordenanza de vivienda de interés social, </w:t>
      </w:r>
      <w:r w:rsidR="00A753E4">
        <w:rPr>
          <w:rFonts w:ascii="Palatino Linotype" w:hAnsi="Palatino Linotype"/>
        </w:rPr>
        <w:t xml:space="preserve">menciona que, han cumplido con la primera parte del cronograma, en donde se presentó, el ajuste estructural a la propuesta de ordenanza alineado a la Ley Orgánica de Vivienda de Interés Social, agrega que han tenido la primera mesa de trabajo, como introducción han hecho un análisis detallado del contenido de la ley, </w:t>
      </w:r>
      <w:r w:rsidR="006A6E72">
        <w:rPr>
          <w:rFonts w:ascii="Palatino Linotype" w:hAnsi="Palatino Linotype"/>
        </w:rPr>
        <w:t xml:space="preserve">se ha evidenciado que </w:t>
      </w:r>
      <w:r w:rsidR="00B701C9">
        <w:rPr>
          <w:rFonts w:ascii="Palatino Linotype" w:hAnsi="Palatino Linotype"/>
        </w:rPr>
        <w:t>hay la obligación por parte de</w:t>
      </w:r>
      <w:r w:rsidR="00383ED3">
        <w:rPr>
          <w:rFonts w:ascii="Palatino Linotype" w:hAnsi="Palatino Linotype"/>
        </w:rPr>
        <w:t xml:space="preserve">l Ministerio de Desarrollo Urbano y Vivienda, MIDUVI, para emitir varios acuerdos ministeriales en relación al cumplimiento y </w:t>
      </w:r>
      <w:proofErr w:type="spellStart"/>
      <w:r w:rsidR="00383ED3">
        <w:rPr>
          <w:rFonts w:ascii="Palatino Linotype" w:hAnsi="Palatino Linotype"/>
        </w:rPr>
        <w:t>operativización</w:t>
      </w:r>
      <w:proofErr w:type="spellEnd"/>
      <w:r w:rsidR="00383ED3">
        <w:rPr>
          <w:rFonts w:ascii="Palatino Linotype" w:hAnsi="Palatino Linotype"/>
        </w:rPr>
        <w:t xml:space="preserve"> de la Ordenanza de la Vivienda de Interés Social, por cuanto, en caso de no existir, la ordenanza podría seguir sufriendo cambios, hasta po</w:t>
      </w:r>
      <w:r w:rsidR="00AB7CDA">
        <w:rPr>
          <w:rFonts w:ascii="Palatino Linotype" w:hAnsi="Palatino Linotype"/>
        </w:rPr>
        <w:t>der tener el decreto ejecutivo. Se emitió el decreto ejecutivo 305, por parte del presidente de la República, con fecha 21 de abril del 2022, en el cual ya se emite los acuerdos ministeriales que se tienen que emitir</w:t>
      </w:r>
      <w:r w:rsidR="0059018F">
        <w:rPr>
          <w:rFonts w:ascii="Palatino Linotype" w:hAnsi="Palatino Linotype"/>
        </w:rPr>
        <w:t xml:space="preserve"> para la </w:t>
      </w:r>
      <w:proofErr w:type="spellStart"/>
      <w:r w:rsidR="0059018F">
        <w:rPr>
          <w:rFonts w:ascii="Palatino Linotype" w:hAnsi="Palatino Linotype"/>
        </w:rPr>
        <w:t>oper</w:t>
      </w:r>
      <w:r w:rsidR="00AB7CDA">
        <w:rPr>
          <w:rFonts w:ascii="Palatino Linotype" w:hAnsi="Palatino Linotype"/>
        </w:rPr>
        <w:t>ativización</w:t>
      </w:r>
      <w:proofErr w:type="spellEnd"/>
      <w:r w:rsidR="00AB7CDA">
        <w:rPr>
          <w:rFonts w:ascii="Palatino Linotype" w:hAnsi="Palatino Linotype"/>
        </w:rPr>
        <w:t xml:space="preserve"> para Ordenanza de Interese Social, este acuerdo ministerial, establece el reglamento de vivienda de interés social e interés público,  el cual entre otras cosas define el techo para la vivienda de interés social, 75 mil dólares, el </w:t>
      </w:r>
      <w:r w:rsidR="003E6331">
        <w:rPr>
          <w:rFonts w:ascii="Palatino Linotype" w:hAnsi="Palatino Linotype"/>
        </w:rPr>
        <w:t>cual</w:t>
      </w:r>
      <w:r w:rsidR="00AB7CDA">
        <w:rPr>
          <w:rFonts w:ascii="Palatino Linotype" w:hAnsi="Palatino Linotype"/>
        </w:rPr>
        <w:t xml:space="preserve"> va a ser </w:t>
      </w:r>
      <w:r w:rsidR="00AB7CDA">
        <w:rPr>
          <w:rFonts w:ascii="Palatino Linotype" w:hAnsi="Palatino Linotype"/>
        </w:rPr>
        <w:lastRenderedPageBreak/>
        <w:t xml:space="preserve">que la propuesta de ordenanza se tenga que acoger a lo definido por los acuerdos </w:t>
      </w:r>
      <w:r w:rsidR="003E6331">
        <w:rPr>
          <w:rFonts w:ascii="Palatino Linotype" w:hAnsi="Palatino Linotype"/>
        </w:rPr>
        <w:t>ministeriales.</w:t>
      </w:r>
    </w:p>
    <w:p w:rsidR="0002550E" w:rsidRDefault="003E6331" w:rsidP="00CB4751">
      <w:pPr>
        <w:pStyle w:val="Textoindependiente"/>
        <w:spacing w:before="240" w:line="240" w:lineRule="auto"/>
        <w:jc w:val="both"/>
        <w:rPr>
          <w:rFonts w:ascii="Palatino Linotype" w:hAnsi="Palatino Linotype"/>
        </w:rPr>
      </w:pPr>
      <w:r w:rsidRPr="003E6331">
        <w:rPr>
          <w:rFonts w:ascii="Palatino Linotype" w:hAnsi="Palatino Linotype"/>
          <w:b/>
        </w:rPr>
        <w:t xml:space="preserve">Interviene </w:t>
      </w:r>
      <w:r>
        <w:rPr>
          <w:rFonts w:ascii="Palatino Linotype" w:hAnsi="Palatino Linotype"/>
          <w:b/>
        </w:rPr>
        <w:t>María José Villalba</w:t>
      </w:r>
      <w:r w:rsidRPr="003E6331">
        <w:rPr>
          <w:rFonts w:ascii="Palatino Linotype" w:hAnsi="Palatino Linotype"/>
          <w:b/>
        </w:rPr>
        <w:t xml:space="preserve"> de la Secretaría de Territorio Hábitat y Vivienda; </w:t>
      </w:r>
      <w:r>
        <w:rPr>
          <w:rFonts w:ascii="Palatino Linotype" w:hAnsi="Palatino Linotype"/>
        </w:rPr>
        <w:t>realiza su presentación,</w:t>
      </w:r>
      <w:r w:rsidR="0016453A">
        <w:rPr>
          <w:rFonts w:ascii="Palatino Linotype" w:hAnsi="Palatino Linotype"/>
        </w:rPr>
        <w:t xml:space="preserve"> presentando una l</w:t>
      </w:r>
      <w:r w:rsidR="00093D8B">
        <w:rPr>
          <w:rFonts w:ascii="Palatino Linotype" w:hAnsi="Palatino Linotype"/>
        </w:rPr>
        <w:t>ínea de tiempo,</w:t>
      </w:r>
      <w:r w:rsidR="0059018F">
        <w:rPr>
          <w:rFonts w:ascii="Palatino Linotype" w:hAnsi="Palatino Linotype"/>
        </w:rPr>
        <w:t xml:space="preserve"> de lo que se estableció en el cronograma, muestra la estructuración del mismo, menciona que se ha </w:t>
      </w:r>
      <w:r w:rsidR="004C25A7">
        <w:rPr>
          <w:rFonts w:ascii="Palatino Linotype" w:hAnsi="Palatino Linotype"/>
        </w:rPr>
        <w:t>tenido</w:t>
      </w:r>
      <w:r w:rsidR="0059018F">
        <w:rPr>
          <w:rFonts w:ascii="Palatino Linotype" w:hAnsi="Palatino Linotype"/>
        </w:rPr>
        <w:t xml:space="preserve"> una reunión con el MIDUVI, en la cual informaron los tiempos que tienen para desarrollar loa curdos ministeriales y los reglamentos, a partir de la LOVIS y del decreto presidencial,  se demoraría más de lo establecido, referente  a la organización de las mesas de trabajo,  se ha desarrollado con entidades municipales y organizaciones sociales, también se ha desarrollado la mesa social;  presenta un resumen del cronograma presentado en la sesión anterior,  da lectura a la Disposición transitoria sobre el ente rector, </w:t>
      </w:r>
      <w:r w:rsidR="00CB4751">
        <w:rPr>
          <w:rFonts w:ascii="Palatino Linotype" w:hAnsi="Palatino Linotype"/>
        </w:rPr>
        <w:t xml:space="preserve">así mismo, muestra los instrumentos normativos por emitir; menciona que como Municipio se tiene 90 días para expedir la Ordenanza, en lo cual se está trabajando, presenta un pantallazo de cómo se estructuró la ordenanza previo a la LOVIS, menciona que  esa estructura se ve alterada; muestra las competencias que ha asumido el MIDUVI así como acciones que permitirán avanzar en la ordenanza;  muestra la propuesta presentada hasta el año 2021, con articulado detallado, que concuerdan con la Ley, </w:t>
      </w:r>
      <w:r w:rsidR="004C25A7">
        <w:rPr>
          <w:rFonts w:ascii="Palatino Linotype" w:hAnsi="Palatino Linotype"/>
        </w:rPr>
        <w:t>todas las propuestas presentadas</w:t>
      </w:r>
      <w:r w:rsidR="00EF278F">
        <w:rPr>
          <w:rFonts w:ascii="Palatino Linotype" w:hAnsi="Palatino Linotype"/>
        </w:rPr>
        <w:t>; menciona que, se mantienen las zonas especiales de interés social, en la nueva propuesta de ordenanza se genera la necesidad de que los proyectos estén dentro  de un territorio y que ya estén atados a nuestra normativa, PUGS, régimen de suelo para que las ordenanzas tengan una connotación válida en su aplicación, por lo tanto las propuestas, tienen un análisis artículo por artículo, con la  co</w:t>
      </w:r>
      <w:r w:rsidR="009D1987">
        <w:rPr>
          <w:rFonts w:ascii="Palatino Linotype" w:hAnsi="Palatino Linotype"/>
        </w:rPr>
        <w:t xml:space="preserve">mpetencia que entrega la LOVIS; así mismo, manifiesta que, dentro de la comisión  ya se estructuró el documento, se discutieron principios, el procedimiento de las condiciones generales de interés social debe ir atado  con todos los estándares que se están desarrollando en el PUGS, para que tenga fuerza la construcción de la vivienda de interés social; en cuanto a la parte de población beneficiaria, hay que volver a reestructurar </w:t>
      </w:r>
      <w:r w:rsidR="00B75A05">
        <w:rPr>
          <w:rFonts w:ascii="Palatino Linotype" w:hAnsi="Palatino Linotype"/>
        </w:rPr>
        <w:t>porque</w:t>
      </w:r>
      <w:r w:rsidR="009D1987">
        <w:rPr>
          <w:rFonts w:ascii="Palatino Linotype" w:hAnsi="Palatino Linotype"/>
        </w:rPr>
        <w:t xml:space="preserve"> en la mesa se estableció un proceso distinto. </w:t>
      </w:r>
    </w:p>
    <w:p w:rsidR="0034165B" w:rsidRPr="0034165B" w:rsidRDefault="00B75A05" w:rsidP="0034165B">
      <w:pPr>
        <w:pStyle w:val="Textoindependiente"/>
        <w:spacing w:before="240" w:line="240" w:lineRule="auto"/>
        <w:jc w:val="both"/>
        <w:rPr>
          <w:rFonts w:ascii="Palatino Linotype" w:hAnsi="Palatino Linotype"/>
        </w:rPr>
      </w:pPr>
      <w:r w:rsidRPr="00B75A05">
        <w:rPr>
          <w:rFonts w:ascii="Palatino Linotype" w:hAnsi="Palatino Linotype"/>
          <w:b/>
        </w:rPr>
        <w:t xml:space="preserve">Interviene la concejala Blanca </w:t>
      </w:r>
      <w:proofErr w:type="spellStart"/>
      <w:r w:rsidRPr="00B75A05">
        <w:rPr>
          <w:rFonts w:ascii="Palatino Linotype" w:hAnsi="Palatino Linotype"/>
          <w:b/>
        </w:rPr>
        <w:t>Paucar</w:t>
      </w:r>
      <w:proofErr w:type="spellEnd"/>
      <w:r w:rsidRPr="00B75A05">
        <w:rPr>
          <w:rFonts w:ascii="Palatino Linotype" w:hAnsi="Palatino Linotype"/>
          <w:b/>
        </w:rPr>
        <w:t xml:space="preserve">; </w:t>
      </w:r>
      <w:r w:rsidR="00F9490E">
        <w:rPr>
          <w:rFonts w:ascii="Palatino Linotype" w:hAnsi="Palatino Linotype"/>
        </w:rPr>
        <w:t xml:space="preserve">menciona que,  en una de las mesas de trabajo faltaban algunos actores que no han sido convocados, lo cual se debe mejorara; seguidamente mociona: </w:t>
      </w:r>
      <w:r w:rsidR="0034165B" w:rsidRPr="0034165B">
        <w:rPr>
          <w:rFonts w:ascii="Palatino Linotype" w:hAnsi="Palatino Linotype"/>
        </w:rPr>
        <w:t xml:space="preserve">Que la Secretaría de Territorio Hábitat y Vivienda, de manera inmediata remita a esta comisión; a todos los miembros del Concejo Metropolitano y entidades municipales competentes, el cronograma, agenda de mesas de trabajo y el último borrador del proyecto de ordenanza metropolitana sustitutiva del libro IV.5 de la vivienda y hábitat del libro IV del eje territorial del Código Municipal para el Distrito Metropolitano de Quito, con la matriz comparativa. </w:t>
      </w:r>
    </w:p>
    <w:p w:rsidR="00B75A05" w:rsidRPr="00F9490E" w:rsidRDefault="0034165B" w:rsidP="0034165B">
      <w:pPr>
        <w:pStyle w:val="Textoindependiente"/>
        <w:spacing w:before="240" w:line="240" w:lineRule="auto"/>
        <w:jc w:val="both"/>
        <w:rPr>
          <w:rFonts w:ascii="Palatino Linotype" w:hAnsi="Palatino Linotype"/>
        </w:rPr>
      </w:pPr>
      <w:r w:rsidRPr="0034165B">
        <w:rPr>
          <w:rFonts w:ascii="Palatino Linotype" w:hAnsi="Palatino Linotype"/>
        </w:rPr>
        <w:t>Estas convocatorias a mesas de trabajo deberán ser amplias y participativas, a las cuales se convocarán a: todos los miembros del Concejo Metropolitano, actores sociales, la academia, entidades municipales y demás involucrados dentro de este ejercicio de participación ciudadana y de la construcción de esta ordenanza de vivienda de interés social en general.</w:t>
      </w:r>
    </w:p>
    <w:p w:rsidR="005C7FCA" w:rsidRPr="0034165B" w:rsidRDefault="009E624D" w:rsidP="005C7FCA">
      <w:pPr>
        <w:pStyle w:val="Textoindependiente"/>
        <w:spacing w:before="240" w:line="240" w:lineRule="auto"/>
        <w:jc w:val="both"/>
        <w:rPr>
          <w:rFonts w:ascii="Palatino Linotype" w:hAnsi="Palatino Linotype"/>
        </w:rPr>
      </w:pPr>
      <w:r>
        <w:rPr>
          <w:rFonts w:ascii="Palatino Linotype" w:hAnsi="Palatino Linotype" w:cs="Tahoma"/>
        </w:rPr>
        <w:lastRenderedPageBreak/>
        <w:t xml:space="preserve">Una vez apoyada la moción, se procede a tomar votación de la moción planteada, registrándose </w:t>
      </w:r>
      <w:r w:rsidR="002B4BA3">
        <w:rPr>
          <w:rFonts w:ascii="Palatino Linotype" w:hAnsi="Palatino Linotype" w:cs="Tahoma"/>
        </w:rPr>
        <w:t>los siguientes resultados:</w:t>
      </w:r>
      <w:r w:rsidR="005C7FCA">
        <w:rPr>
          <w:rFonts w:ascii="Palatino Linotype" w:hAnsi="Palatino Linotype" w:cs="Tahoma"/>
        </w:rPr>
        <w:t xml:space="preserve"> </w:t>
      </w:r>
      <w:r w:rsidR="005C7FCA" w:rsidRPr="0034165B">
        <w:rPr>
          <w:rFonts w:ascii="Palatino Linotype" w:hAnsi="Palatino Linotype"/>
        </w:rPr>
        <w:t xml:space="preserve">Que la Secretaría de Territorio Hábitat y Vivienda, de manera inmediata remita a esta comisión; a todos los miembros del Concejo Metropolitano y entidades municipales competentes, el cronograma, agenda de mesas de trabajo y el último borrador del proyecto de ordenanza metropolitana sustitutiva del libro IV.5 de la vivienda y hábitat del libro IV del eje territorial del Código Municipal para el Distrito Metropolitano de Quito, con la matriz comparativa. </w:t>
      </w:r>
    </w:p>
    <w:p w:rsidR="005C7FCA" w:rsidRDefault="005C7FCA" w:rsidP="005C7FCA">
      <w:pPr>
        <w:pStyle w:val="Textoindependiente"/>
        <w:spacing w:before="240" w:line="240" w:lineRule="auto"/>
        <w:jc w:val="both"/>
        <w:rPr>
          <w:rFonts w:ascii="Palatino Linotype" w:hAnsi="Palatino Linotype"/>
        </w:rPr>
      </w:pPr>
      <w:r w:rsidRPr="0034165B">
        <w:rPr>
          <w:rFonts w:ascii="Palatino Linotype" w:hAnsi="Palatino Linotype"/>
        </w:rPr>
        <w:t>Estas convocatorias a mesas de trabajo deberán ser amplias y participativas, a las cuales se convocarán a: todos los miembros del Concejo Metropolitano, actores sociales, la academia, entidades municipales y demás involucrados dentro de este ejercicio de participación ciudadana y de la construcción de esta ordenanza de vivienda de interés social en general.</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B4BA3" w:rsidRPr="00867BAA" w:rsidTr="00FF185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p>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p>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B4BA3" w:rsidRPr="00867BAA" w:rsidRDefault="002B4BA3"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2B4BA3" w:rsidRPr="00867BAA" w:rsidRDefault="00C86276"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2B4BA3" w:rsidRPr="00867BAA" w:rsidRDefault="0016560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5C7FCA" w:rsidP="00FF1851">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16560C"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16560C"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5C7FCA"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5C7FCA" w:rsidRPr="0034165B" w:rsidRDefault="0016560C" w:rsidP="005C7FCA">
      <w:pPr>
        <w:pStyle w:val="Textoindependiente"/>
        <w:spacing w:before="240" w:line="240" w:lineRule="auto"/>
        <w:jc w:val="both"/>
        <w:rPr>
          <w:rFonts w:ascii="Palatino Linotype" w:hAnsi="Palatino Linotype"/>
        </w:rPr>
      </w:pPr>
      <w:r>
        <w:rPr>
          <w:rFonts w:ascii="Palatino Linotype" w:hAnsi="Palatino Linotype" w:cs="Tahoma"/>
        </w:rPr>
        <w:t>Con dos</w:t>
      </w:r>
      <w:r w:rsidR="002B4BA3">
        <w:rPr>
          <w:rFonts w:ascii="Palatino Linotype" w:hAnsi="Palatino Linotype" w:cs="Tahoma"/>
        </w:rPr>
        <w:t xml:space="preserve"> votos a favor, la Comisión de Vivienda y Hábitat, resolvió: </w:t>
      </w:r>
      <w:r w:rsidR="005C7FCA" w:rsidRPr="0034165B">
        <w:rPr>
          <w:rFonts w:ascii="Palatino Linotype" w:hAnsi="Palatino Linotype"/>
        </w:rPr>
        <w:t xml:space="preserve">Que la Secretaría de Territorio Hábitat y Vivienda, de manera inmediata remita a esta comisión; a todos los miembros del Concejo Metropolitano y entidades municipales competentes, el cronograma, agenda de mesas de trabajo y el último borrador del proyecto de ordenanza metropolitana sustitutiva del libro IV.5 de la vivienda y hábitat del libro IV del eje territorial del Código Municipal para el Distrito Metropolitano de Quito, con la matriz comparativa. </w:t>
      </w:r>
    </w:p>
    <w:p w:rsidR="005C7FCA" w:rsidRPr="00F9490E" w:rsidRDefault="005C7FCA" w:rsidP="005C7FCA">
      <w:pPr>
        <w:pStyle w:val="Textoindependiente"/>
        <w:spacing w:before="240" w:line="240" w:lineRule="auto"/>
        <w:jc w:val="both"/>
        <w:rPr>
          <w:rFonts w:ascii="Palatino Linotype" w:hAnsi="Palatino Linotype"/>
        </w:rPr>
      </w:pPr>
      <w:r w:rsidRPr="0034165B">
        <w:rPr>
          <w:rFonts w:ascii="Palatino Linotype" w:hAnsi="Palatino Linotype"/>
        </w:rPr>
        <w:t>Estas convocatorias a mesas de trabajo deberán ser amplias y participativas, a las cuales se convocarán a: todos los miembros del Concejo Metropolitano, actores sociales, la academia, entidades municipales y demás involucrados dentro de este ejercicio de participación ciudadana y de la construcción de esta ordenanza de vivienda de interés social en general.</w:t>
      </w:r>
    </w:p>
    <w:p w:rsidR="0096391E" w:rsidRDefault="005C7FCA" w:rsidP="0016560C">
      <w:pPr>
        <w:pStyle w:val="Textoindependiente"/>
        <w:spacing w:before="240" w:after="0" w:line="240" w:lineRule="auto"/>
        <w:jc w:val="both"/>
        <w:rPr>
          <w:rFonts w:ascii="Palatino Linotype" w:hAnsi="Palatino Linotype" w:cs="Tahoma"/>
        </w:rPr>
      </w:pPr>
      <w:r w:rsidRPr="005C7FCA">
        <w:rPr>
          <w:rFonts w:ascii="Palatino Linotype" w:hAnsi="Palatino Linotype" w:cs="Tahoma"/>
          <w:b/>
        </w:rPr>
        <w:t>Interviene Iván Tapia Secretario de Territorio Hábitat y Vivienda;</w:t>
      </w:r>
      <w:r>
        <w:rPr>
          <w:rFonts w:ascii="Palatino Linotype" w:hAnsi="Palatino Linotype" w:cs="Tahoma"/>
        </w:rPr>
        <w:t xml:space="preserve"> menciona que, respecto a la resolución que se acaba de aprobar, en la presentación hecha en la anterior comisión, se presentó el cronograma de trabajo, incluyendo las mesas que se sugería, agrega que entiende que se debería ampliar a otros participantes, ya que la convocatoria fue remitida al 100 % de las personas involucradas, en tal sentido pide que se aclare para saber cómo proceder en las siguientes mesas.</w:t>
      </w:r>
    </w:p>
    <w:p w:rsidR="005C7FCA" w:rsidRDefault="00CF5CBC" w:rsidP="0016560C">
      <w:pPr>
        <w:pStyle w:val="Textoindependiente"/>
        <w:spacing w:before="240" w:after="0" w:line="240" w:lineRule="auto"/>
        <w:jc w:val="both"/>
        <w:rPr>
          <w:rFonts w:ascii="Palatino Linotype" w:hAnsi="Palatino Linotype" w:cs="Tahoma"/>
        </w:rPr>
      </w:pPr>
      <w:r w:rsidRPr="00CF5CBC">
        <w:rPr>
          <w:rFonts w:ascii="Palatino Linotype" w:hAnsi="Palatino Linotype" w:cs="Tahoma"/>
          <w:b/>
        </w:rPr>
        <w:t xml:space="preserve">Interviene la concejala Blanca </w:t>
      </w:r>
      <w:proofErr w:type="spellStart"/>
      <w:r w:rsidRPr="00CF5CBC">
        <w:rPr>
          <w:rFonts w:ascii="Palatino Linotype" w:hAnsi="Palatino Linotype" w:cs="Tahoma"/>
          <w:b/>
        </w:rPr>
        <w:t>Paucar</w:t>
      </w:r>
      <w:proofErr w:type="spellEnd"/>
      <w:r w:rsidRPr="00CF5CBC">
        <w:rPr>
          <w:rFonts w:ascii="Palatino Linotype" w:hAnsi="Palatino Linotype" w:cs="Tahoma"/>
          <w:b/>
        </w:rPr>
        <w:t>;</w:t>
      </w:r>
      <w:r>
        <w:rPr>
          <w:rFonts w:ascii="Palatino Linotype" w:hAnsi="Palatino Linotype" w:cs="Tahoma"/>
        </w:rPr>
        <w:t xml:space="preserve"> menciona que el tema planteado se quedó como un tema verbal, se cambió algunos temas, había tiempos desfasados</w:t>
      </w:r>
      <w:r w:rsidR="002B783E">
        <w:rPr>
          <w:rFonts w:ascii="Palatino Linotype" w:hAnsi="Palatino Linotype" w:cs="Tahoma"/>
        </w:rPr>
        <w:t>, por eso se resolvió, en la sesión del Concejo Metropolitano se escuchó por parte de los conce</w:t>
      </w:r>
      <w:r w:rsidR="0002095D">
        <w:rPr>
          <w:rFonts w:ascii="Palatino Linotype" w:hAnsi="Palatino Linotype" w:cs="Tahoma"/>
        </w:rPr>
        <w:t xml:space="preserve">jales el deseo de </w:t>
      </w:r>
      <w:r w:rsidR="0002095D">
        <w:rPr>
          <w:rFonts w:ascii="Palatino Linotype" w:hAnsi="Palatino Linotype" w:cs="Tahoma"/>
        </w:rPr>
        <w:lastRenderedPageBreak/>
        <w:t xml:space="preserve">participar, en ese sentido va </w:t>
      </w:r>
      <w:r w:rsidR="00AF3474">
        <w:rPr>
          <w:rFonts w:ascii="Palatino Linotype" w:hAnsi="Palatino Linotype" w:cs="Tahoma"/>
        </w:rPr>
        <w:t>la resolución</w:t>
      </w:r>
      <w:r w:rsidR="0002095D">
        <w:rPr>
          <w:rFonts w:ascii="Palatino Linotype" w:hAnsi="Palatino Linotype" w:cs="Tahoma"/>
        </w:rPr>
        <w:t xml:space="preserve">, para que la convocatoria sea amplia y participativa. </w:t>
      </w:r>
    </w:p>
    <w:p w:rsidR="005C7FCA" w:rsidRDefault="0002095D" w:rsidP="0016560C">
      <w:pPr>
        <w:pStyle w:val="Textoindependiente"/>
        <w:spacing w:before="240" w:after="0" w:line="240" w:lineRule="auto"/>
        <w:jc w:val="both"/>
        <w:rPr>
          <w:rFonts w:ascii="Palatino Linotype" w:hAnsi="Palatino Linotype" w:cs="Tahoma"/>
          <w:b/>
        </w:rPr>
      </w:pPr>
      <w:r w:rsidRPr="005C7FCA">
        <w:rPr>
          <w:rFonts w:ascii="Palatino Linotype" w:hAnsi="Palatino Linotype" w:cs="Tahoma"/>
          <w:b/>
        </w:rPr>
        <w:t>Interviene Iván Tapia Secretario de Territorio Hábitat y Vivienda;</w:t>
      </w:r>
      <w:r>
        <w:rPr>
          <w:rFonts w:ascii="Palatino Linotype" w:hAnsi="Palatino Linotype" w:cs="Tahoma"/>
          <w:b/>
        </w:rPr>
        <w:t xml:space="preserve"> </w:t>
      </w:r>
      <w:r>
        <w:rPr>
          <w:rFonts w:ascii="Palatino Linotype" w:hAnsi="Palatino Linotype" w:cs="Tahoma"/>
        </w:rPr>
        <w:t xml:space="preserve">pregunta </w:t>
      </w:r>
      <w:r w:rsidRPr="0002095D">
        <w:rPr>
          <w:rFonts w:ascii="Palatino Linotype" w:hAnsi="Palatino Linotype" w:cs="Tahoma"/>
        </w:rPr>
        <w:t xml:space="preserve">si </w:t>
      </w:r>
      <w:r>
        <w:rPr>
          <w:rFonts w:ascii="Palatino Linotype" w:hAnsi="Palatino Linotype" w:cs="Tahoma"/>
        </w:rPr>
        <w:t>¿</w:t>
      </w:r>
      <w:r w:rsidRPr="0002095D">
        <w:rPr>
          <w:rFonts w:ascii="Palatino Linotype" w:hAnsi="Palatino Linotype" w:cs="Tahoma"/>
        </w:rPr>
        <w:t>en las próximas mesas se invitaría a todos los concejales</w:t>
      </w:r>
      <w:r>
        <w:rPr>
          <w:rFonts w:ascii="Palatino Linotype" w:hAnsi="Palatino Linotype" w:cs="Tahoma"/>
        </w:rPr>
        <w:t>?</w:t>
      </w:r>
    </w:p>
    <w:p w:rsidR="0002095D" w:rsidRPr="0002095D" w:rsidRDefault="0002095D" w:rsidP="0016560C">
      <w:pPr>
        <w:pStyle w:val="Textoindependiente"/>
        <w:spacing w:before="240" w:after="0" w:line="240" w:lineRule="auto"/>
        <w:jc w:val="both"/>
        <w:rPr>
          <w:rFonts w:ascii="Palatino Linotype" w:hAnsi="Palatino Linotype" w:cs="Tahoma"/>
        </w:rPr>
      </w:pPr>
      <w:r w:rsidRPr="00CF5CBC">
        <w:rPr>
          <w:rFonts w:ascii="Palatino Linotype" w:hAnsi="Palatino Linotype" w:cs="Tahoma"/>
          <w:b/>
        </w:rPr>
        <w:t xml:space="preserve">Interviene la concejala Blanca </w:t>
      </w:r>
      <w:proofErr w:type="spellStart"/>
      <w:r w:rsidRPr="00CF5CBC">
        <w:rPr>
          <w:rFonts w:ascii="Palatino Linotype" w:hAnsi="Palatino Linotype" w:cs="Tahoma"/>
          <w:b/>
        </w:rPr>
        <w:t>Paucar</w:t>
      </w:r>
      <w:proofErr w:type="spellEnd"/>
      <w:r w:rsidRPr="00CF5CBC">
        <w:rPr>
          <w:rFonts w:ascii="Palatino Linotype" w:hAnsi="Palatino Linotype" w:cs="Tahoma"/>
          <w:b/>
        </w:rPr>
        <w:t>;</w:t>
      </w:r>
      <w:r>
        <w:rPr>
          <w:rFonts w:ascii="Palatino Linotype" w:hAnsi="Palatino Linotype" w:cs="Tahoma"/>
          <w:b/>
        </w:rPr>
        <w:t xml:space="preserve"> </w:t>
      </w:r>
      <w:r w:rsidRPr="0002095D">
        <w:rPr>
          <w:rFonts w:ascii="Palatino Linotype" w:hAnsi="Palatino Linotype" w:cs="Tahoma"/>
        </w:rPr>
        <w:t>confirma que así sería la convocatoria y agradece el trabajo realizado.</w:t>
      </w:r>
    </w:p>
    <w:p w:rsidR="00874EDF" w:rsidRPr="00867BAA" w:rsidRDefault="00874EDF" w:rsidP="00272BE8">
      <w:pPr>
        <w:pStyle w:val="NormalWeb"/>
        <w:spacing w:before="240" w:beforeAutospacing="0" w:after="0" w:afterAutospacing="0"/>
        <w:jc w:val="both"/>
        <w:textAlignment w:val="baseline"/>
        <w:rPr>
          <w:rFonts w:ascii="Palatino Linotype" w:hAnsi="Palatino Linotype"/>
          <w:bCs/>
          <w:color w:val="000000"/>
          <w:sz w:val="22"/>
          <w:szCs w:val="22"/>
        </w:rPr>
      </w:pPr>
      <w:r>
        <w:rPr>
          <w:rFonts w:ascii="Palatino Linotype" w:hAnsi="Palatino Linotype"/>
          <w:color w:val="000000"/>
          <w:sz w:val="22"/>
          <w:szCs w:val="22"/>
        </w:rPr>
        <w:t xml:space="preserve">Siendo las </w:t>
      </w:r>
      <w:r w:rsidR="00AC2AFD">
        <w:rPr>
          <w:rFonts w:ascii="Palatino Linotype" w:hAnsi="Palatino Linotype"/>
          <w:color w:val="000000"/>
          <w:sz w:val="22"/>
          <w:szCs w:val="22"/>
        </w:rPr>
        <w:t>1</w:t>
      </w:r>
      <w:r w:rsidR="0016560C">
        <w:rPr>
          <w:rFonts w:ascii="Palatino Linotype" w:hAnsi="Palatino Linotype"/>
          <w:color w:val="000000"/>
          <w:sz w:val="22"/>
          <w:szCs w:val="22"/>
        </w:rPr>
        <w:t>5</w:t>
      </w:r>
      <w:r w:rsidRPr="00802ED1">
        <w:rPr>
          <w:rFonts w:ascii="Palatino Linotype" w:hAnsi="Palatino Linotype"/>
          <w:color w:val="000000"/>
          <w:sz w:val="22"/>
          <w:szCs w:val="22"/>
        </w:rPr>
        <w:t>h</w:t>
      </w:r>
      <w:r w:rsidR="0016560C">
        <w:rPr>
          <w:rFonts w:ascii="Palatino Linotype" w:hAnsi="Palatino Linotype"/>
          <w:color w:val="000000"/>
          <w:sz w:val="22"/>
          <w:szCs w:val="22"/>
        </w:rPr>
        <w:t>2</w:t>
      </w:r>
      <w:r w:rsidR="0002095D">
        <w:rPr>
          <w:rFonts w:ascii="Palatino Linotype" w:hAnsi="Palatino Linotype"/>
          <w:color w:val="000000"/>
          <w:sz w:val="22"/>
          <w:szCs w:val="22"/>
        </w:rPr>
        <w:t>0</w:t>
      </w:r>
      <w:r w:rsidRPr="00802ED1">
        <w:rPr>
          <w:rFonts w:ascii="Palatino Linotype" w:hAnsi="Palatino Linotype"/>
          <w:color w:val="000000"/>
          <w:sz w:val="22"/>
          <w:szCs w:val="22"/>
        </w:rPr>
        <w:t xml:space="preserve">, </w:t>
      </w:r>
      <w:r w:rsidRPr="00802ED1">
        <w:rPr>
          <w:rFonts w:ascii="Palatino Linotype" w:hAnsi="Palatino Linotype"/>
          <w:color w:val="000000"/>
          <w:sz w:val="22"/>
          <w:szCs w:val="22"/>
          <w:lang w:val="es-ES"/>
        </w:rPr>
        <w:t>habiendo</w:t>
      </w:r>
      <w:r w:rsidRPr="00867BAA">
        <w:rPr>
          <w:rFonts w:ascii="Palatino Linotype" w:hAnsi="Palatino Linotype"/>
          <w:color w:val="000000"/>
          <w:sz w:val="22"/>
          <w:szCs w:val="22"/>
          <w:lang w:val="es-ES"/>
        </w:rPr>
        <w:t xml:space="preserve"> agotado el 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1861F9"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02095D"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EA38DD" w:rsidRDefault="00874EDF" w:rsidP="00874EDF">
      <w:pPr>
        <w:spacing w:after="0" w:line="240" w:lineRule="auto"/>
        <w:jc w:val="both"/>
        <w:rPr>
          <w:rStyle w:val="Textoennegrita"/>
          <w:rFonts w:ascii="Palatino Linotype" w:hAnsi="Palatino Linotype"/>
          <w:b w:val="0"/>
        </w:rPr>
      </w:pPr>
      <w:r w:rsidRPr="00EA38DD">
        <w:rPr>
          <w:rStyle w:val="Textoennegrita"/>
          <w:rFonts w:ascii="Palatino Linotype" w:hAnsi="Palatino Linotype" w:cs="Tahoma"/>
          <w:b w:val="0"/>
        </w:rPr>
        <w:t>Para constancia de lo actuado, firman la presidenta de la Comisión de Vivienda y Hábitat y el Secretario General del Concejo Metropolitano de Quito.</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133DE9" w:rsidP="00874EDF">
      <w:pPr>
        <w:pStyle w:val="Sinespaciado"/>
        <w:jc w:val="both"/>
        <w:rPr>
          <w:rFonts w:ascii="Palatino Linotype" w:hAnsi="Palatino Linotype" w:cs="Tahoma"/>
        </w:rPr>
      </w:pPr>
      <w:r>
        <w:rPr>
          <w:rFonts w:ascii="Palatino Linotype" w:hAnsi="Palatino Linotype" w:cs="Tahoma"/>
        </w:rPr>
        <w:t xml:space="preserve">Lic. Blanca </w:t>
      </w:r>
      <w:proofErr w:type="spellStart"/>
      <w:r>
        <w:rPr>
          <w:rFonts w:ascii="Palatino Linotype" w:hAnsi="Palatino Linotype" w:cs="Tahoma"/>
        </w:rPr>
        <w:t>Pa</w:t>
      </w:r>
      <w:r w:rsidR="00EA38DD">
        <w:rPr>
          <w:rFonts w:ascii="Palatino Linotype" w:hAnsi="Palatino Linotype" w:cs="Tahoma"/>
        </w:rPr>
        <w:t>uc</w:t>
      </w:r>
      <w:r w:rsidR="00874EDF" w:rsidRPr="00867BAA">
        <w:rPr>
          <w:rFonts w:ascii="Palatino Linotype" w:hAnsi="Palatino Linotype" w:cs="Tahoma"/>
        </w:rPr>
        <w:t>ar</w:t>
      </w:r>
      <w:proofErr w:type="spellEnd"/>
      <w:r w:rsidR="00874EDF" w:rsidRPr="00867BAA">
        <w:rPr>
          <w:rFonts w:ascii="Palatino Linotype" w:hAnsi="Palatino Linotype" w:cs="Tahoma"/>
        </w:rPr>
        <w:t xml:space="preserve"> </w:t>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t xml:space="preserve">Abg. </w:t>
      </w:r>
      <w:r w:rsidR="00874EDF">
        <w:rPr>
          <w:rFonts w:ascii="Palatino Linotype" w:hAnsi="Palatino Linotype" w:cs="Tahoma"/>
        </w:rPr>
        <w:t xml:space="preserve">Pablo </w:t>
      </w:r>
      <w:r w:rsidR="00CF5DA8">
        <w:rPr>
          <w:rFonts w:ascii="Palatino Linotype" w:hAnsi="Palatino Linotype" w:cs="Tahoma"/>
        </w:rPr>
        <w:t>Santillán</w:t>
      </w:r>
      <w:r w:rsidR="00874EDF">
        <w:rPr>
          <w:rFonts w:ascii="Palatino Linotype" w:hAnsi="Palatino Linotype" w:cs="Tahoma"/>
        </w:rPr>
        <w:t xml:space="preserve"> </w:t>
      </w:r>
      <w:r w:rsidR="00874EDF" w:rsidRPr="00867BAA">
        <w:rPr>
          <w:rFonts w:ascii="Palatino Linotype" w:hAnsi="Palatino Linotype" w:cs="Tahoma"/>
        </w:rPr>
        <w:tab/>
      </w:r>
      <w:r w:rsidR="00874EDF">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874EDF" w:rsidP="00874EDF">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FD3426"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02095D"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02095D"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917" w:type="dxa"/>
            <w:shd w:val="clear" w:color="auto" w:fill="0070C0"/>
          </w:tcPr>
          <w:p w:rsidR="00874EDF" w:rsidRPr="00867BAA" w:rsidRDefault="0002095D"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0</w:t>
            </w:r>
          </w:p>
        </w:tc>
      </w:tr>
    </w:tbl>
    <w:p w:rsidR="00874EDF" w:rsidRPr="00867BAA" w:rsidRDefault="00874EDF" w:rsidP="00874EDF">
      <w:pPr>
        <w:spacing w:after="0" w:line="240" w:lineRule="auto"/>
        <w:rPr>
          <w:rFonts w:ascii="Palatino Linotype" w:hAnsi="Palatino Linotype" w:cs="Tahoma"/>
          <w:b/>
        </w:rPr>
      </w:pPr>
    </w:p>
    <w:p w:rsidR="00874EDF" w:rsidRPr="00867BAA" w:rsidRDefault="00874EDF" w:rsidP="00874EDF">
      <w:pPr>
        <w:spacing w:after="0" w:line="240" w:lineRule="auto"/>
        <w:rPr>
          <w:rFonts w:ascii="Palatino Linotype" w:hAnsi="Palatino Linotype"/>
        </w:rPr>
      </w:pPr>
    </w:p>
    <w:p w:rsidR="00874EDF" w:rsidRPr="00867BAA" w:rsidRDefault="00874EDF" w:rsidP="00874EDF">
      <w:pPr>
        <w:spacing w:after="0" w:line="240" w:lineRule="auto"/>
        <w:rPr>
          <w:rFonts w:ascii="Palatino Linotype" w:hAnsi="Palatino Linotype"/>
        </w:rPr>
      </w:pPr>
    </w:p>
    <w:p w:rsidR="00874EDF" w:rsidRDefault="00874EDF" w:rsidP="00874EDF"/>
    <w:p w:rsidR="00874EDF" w:rsidRDefault="00874EDF" w:rsidP="00874EDF"/>
    <w:p w:rsidR="00874EDF" w:rsidRDefault="00874EDF" w:rsidP="00874EDF"/>
    <w:p w:rsidR="003C3E2C" w:rsidRDefault="003C3E2C"/>
    <w:sectPr w:rsidR="003C3E2C" w:rsidSect="00FF1851">
      <w:headerReference w:type="default" r:id="rId6"/>
      <w:footerReference w:type="default" r:id="rId7"/>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F0" w:rsidRDefault="00F821F0">
      <w:pPr>
        <w:spacing w:after="0" w:line="240" w:lineRule="auto"/>
      </w:pPr>
      <w:r>
        <w:separator/>
      </w:r>
    </w:p>
  </w:endnote>
  <w:endnote w:type="continuationSeparator" w:id="0">
    <w:p w:rsidR="00F821F0" w:rsidRDefault="00F8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Content>
      <w:sdt>
        <w:sdtPr>
          <w:id w:val="860082579"/>
          <w:docPartObj>
            <w:docPartGallery w:val="Page Numbers (Top of Page)"/>
            <w:docPartUnique/>
          </w:docPartObj>
        </w:sdtPr>
        <w:sdtContent>
          <w:p w:rsidR="002D1BDC" w:rsidRDefault="002D1BDC" w:rsidP="00FF18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85EC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85ECF">
              <w:rPr>
                <w:b/>
                <w:bCs/>
                <w:noProof/>
              </w:rPr>
              <w:t>7</w:t>
            </w:r>
            <w:r>
              <w:rPr>
                <w:b/>
                <w:bCs/>
                <w:sz w:val="24"/>
                <w:szCs w:val="24"/>
              </w:rPr>
              <w:fldChar w:fldCharType="end"/>
            </w:r>
          </w:p>
        </w:sdtContent>
      </w:sdt>
    </w:sdtContent>
  </w:sdt>
  <w:p w:rsidR="002D1BDC" w:rsidRDefault="002D1B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F0" w:rsidRDefault="00F821F0">
      <w:pPr>
        <w:spacing w:after="0" w:line="240" w:lineRule="auto"/>
      </w:pPr>
      <w:r>
        <w:separator/>
      </w:r>
    </w:p>
  </w:footnote>
  <w:footnote w:type="continuationSeparator" w:id="0">
    <w:p w:rsidR="00F821F0" w:rsidRDefault="00F8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DC" w:rsidRDefault="002D1BDC">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02003"/>
    <w:rsid w:val="0000356E"/>
    <w:rsid w:val="00004D50"/>
    <w:rsid w:val="00005797"/>
    <w:rsid w:val="000113DA"/>
    <w:rsid w:val="000128FF"/>
    <w:rsid w:val="00016336"/>
    <w:rsid w:val="00017F90"/>
    <w:rsid w:val="0002095D"/>
    <w:rsid w:val="0002550E"/>
    <w:rsid w:val="00027630"/>
    <w:rsid w:val="00030095"/>
    <w:rsid w:val="00036752"/>
    <w:rsid w:val="00037699"/>
    <w:rsid w:val="000434EE"/>
    <w:rsid w:val="00057929"/>
    <w:rsid w:val="000666CD"/>
    <w:rsid w:val="00076388"/>
    <w:rsid w:val="00080E1E"/>
    <w:rsid w:val="00081B3D"/>
    <w:rsid w:val="00085657"/>
    <w:rsid w:val="00086F1C"/>
    <w:rsid w:val="00093D8B"/>
    <w:rsid w:val="00095A94"/>
    <w:rsid w:val="000A00FA"/>
    <w:rsid w:val="000A09DC"/>
    <w:rsid w:val="000A43A3"/>
    <w:rsid w:val="000A5B61"/>
    <w:rsid w:val="000B0653"/>
    <w:rsid w:val="000B4950"/>
    <w:rsid w:val="000C27D6"/>
    <w:rsid w:val="000E2066"/>
    <w:rsid w:val="000E2C5B"/>
    <w:rsid w:val="000F320A"/>
    <w:rsid w:val="000F49B2"/>
    <w:rsid w:val="001026D1"/>
    <w:rsid w:val="00103C2F"/>
    <w:rsid w:val="001144F6"/>
    <w:rsid w:val="001212DF"/>
    <w:rsid w:val="001232DB"/>
    <w:rsid w:val="00124A1E"/>
    <w:rsid w:val="00132D20"/>
    <w:rsid w:val="00133DE9"/>
    <w:rsid w:val="001431EA"/>
    <w:rsid w:val="00152CBA"/>
    <w:rsid w:val="00155F29"/>
    <w:rsid w:val="0016453A"/>
    <w:rsid w:val="0016560C"/>
    <w:rsid w:val="001665F0"/>
    <w:rsid w:val="001666BF"/>
    <w:rsid w:val="0017319B"/>
    <w:rsid w:val="00177391"/>
    <w:rsid w:val="001803C8"/>
    <w:rsid w:val="001816E4"/>
    <w:rsid w:val="00181704"/>
    <w:rsid w:val="001861F9"/>
    <w:rsid w:val="00187306"/>
    <w:rsid w:val="001903AD"/>
    <w:rsid w:val="0019078E"/>
    <w:rsid w:val="00190C9F"/>
    <w:rsid w:val="0019173D"/>
    <w:rsid w:val="001917BD"/>
    <w:rsid w:val="001A0427"/>
    <w:rsid w:val="001A5856"/>
    <w:rsid w:val="001B10F9"/>
    <w:rsid w:val="001B40DA"/>
    <w:rsid w:val="001B4945"/>
    <w:rsid w:val="001B5AC0"/>
    <w:rsid w:val="001B6A17"/>
    <w:rsid w:val="001C4BC8"/>
    <w:rsid w:val="001C776F"/>
    <w:rsid w:val="001D3840"/>
    <w:rsid w:val="001E3AA1"/>
    <w:rsid w:val="001E510B"/>
    <w:rsid w:val="001E5897"/>
    <w:rsid w:val="001E7CD1"/>
    <w:rsid w:val="001F2635"/>
    <w:rsid w:val="001F49D4"/>
    <w:rsid w:val="001F65A4"/>
    <w:rsid w:val="00215501"/>
    <w:rsid w:val="002209BC"/>
    <w:rsid w:val="00232222"/>
    <w:rsid w:val="00234A99"/>
    <w:rsid w:val="00235E67"/>
    <w:rsid w:val="00241EF1"/>
    <w:rsid w:val="00245363"/>
    <w:rsid w:val="00252F0F"/>
    <w:rsid w:val="00272005"/>
    <w:rsid w:val="00272BE8"/>
    <w:rsid w:val="00280E90"/>
    <w:rsid w:val="002924C9"/>
    <w:rsid w:val="00292830"/>
    <w:rsid w:val="002A5B41"/>
    <w:rsid w:val="002A5FC2"/>
    <w:rsid w:val="002A7238"/>
    <w:rsid w:val="002B09BE"/>
    <w:rsid w:val="002B0A17"/>
    <w:rsid w:val="002B0C72"/>
    <w:rsid w:val="002B3D2B"/>
    <w:rsid w:val="002B3DCB"/>
    <w:rsid w:val="002B402C"/>
    <w:rsid w:val="002B4BA3"/>
    <w:rsid w:val="002B5B69"/>
    <w:rsid w:val="002B783E"/>
    <w:rsid w:val="002C054C"/>
    <w:rsid w:val="002C2E55"/>
    <w:rsid w:val="002D1BC6"/>
    <w:rsid w:val="002D1BDC"/>
    <w:rsid w:val="002D1C6F"/>
    <w:rsid w:val="002D25CE"/>
    <w:rsid w:val="002D486E"/>
    <w:rsid w:val="002E3874"/>
    <w:rsid w:val="002F420D"/>
    <w:rsid w:val="002F4E7F"/>
    <w:rsid w:val="0033094E"/>
    <w:rsid w:val="0034165B"/>
    <w:rsid w:val="0034611A"/>
    <w:rsid w:val="0035619A"/>
    <w:rsid w:val="0035743B"/>
    <w:rsid w:val="00372D2A"/>
    <w:rsid w:val="00383ED3"/>
    <w:rsid w:val="00390648"/>
    <w:rsid w:val="00396C03"/>
    <w:rsid w:val="003A235A"/>
    <w:rsid w:val="003A708C"/>
    <w:rsid w:val="003B6C15"/>
    <w:rsid w:val="003C1C67"/>
    <w:rsid w:val="003C362E"/>
    <w:rsid w:val="003C3E2C"/>
    <w:rsid w:val="003D2B68"/>
    <w:rsid w:val="003D6BDD"/>
    <w:rsid w:val="003E1E2A"/>
    <w:rsid w:val="003E6331"/>
    <w:rsid w:val="003E68A0"/>
    <w:rsid w:val="003F7C4F"/>
    <w:rsid w:val="004005F7"/>
    <w:rsid w:val="004039FF"/>
    <w:rsid w:val="00410684"/>
    <w:rsid w:val="004122E6"/>
    <w:rsid w:val="00414F94"/>
    <w:rsid w:val="00417840"/>
    <w:rsid w:val="00421A8D"/>
    <w:rsid w:val="004256C7"/>
    <w:rsid w:val="004332E7"/>
    <w:rsid w:val="00436150"/>
    <w:rsid w:val="004542FC"/>
    <w:rsid w:val="004573C9"/>
    <w:rsid w:val="004630D1"/>
    <w:rsid w:val="004716CF"/>
    <w:rsid w:val="00472380"/>
    <w:rsid w:val="004841EA"/>
    <w:rsid w:val="004844F9"/>
    <w:rsid w:val="00494DB3"/>
    <w:rsid w:val="004A7AEA"/>
    <w:rsid w:val="004B1654"/>
    <w:rsid w:val="004B4B1D"/>
    <w:rsid w:val="004B53FA"/>
    <w:rsid w:val="004C25A7"/>
    <w:rsid w:val="004D5D59"/>
    <w:rsid w:val="004F1C66"/>
    <w:rsid w:val="004F2711"/>
    <w:rsid w:val="004F7751"/>
    <w:rsid w:val="0050268D"/>
    <w:rsid w:val="00512571"/>
    <w:rsid w:val="00513432"/>
    <w:rsid w:val="005164E6"/>
    <w:rsid w:val="00522E3F"/>
    <w:rsid w:val="00564D4B"/>
    <w:rsid w:val="00567FD3"/>
    <w:rsid w:val="0057204A"/>
    <w:rsid w:val="00577872"/>
    <w:rsid w:val="00581555"/>
    <w:rsid w:val="0058221D"/>
    <w:rsid w:val="005834A9"/>
    <w:rsid w:val="00586924"/>
    <w:rsid w:val="0059018F"/>
    <w:rsid w:val="00591770"/>
    <w:rsid w:val="00592B2B"/>
    <w:rsid w:val="00592E51"/>
    <w:rsid w:val="00593F4C"/>
    <w:rsid w:val="00594F68"/>
    <w:rsid w:val="00595A9A"/>
    <w:rsid w:val="005A3123"/>
    <w:rsid w:val="005A4F6F"/>
    <w:rsid w:val="005A77AA"/>
    <w:rsid w:val="005B0AD4"/>
    <w:rsid w:val="005B45B6"/>
    <w:rsid w:val="005C4708"/>
    <w:rsid w:val="005C7FCA"/>
    <w:rsid w:val="005D209E"/>
    <w:rsid w:val="005D2EF8"/>
    <w:rsid w:val="005D4E26"/>
    <w:rsid w:val="005D6816"/>
    <w:rsid w:val="005E6805"/>
    <w:rsid w:val="00603B7D"/>
    <w:rsid w:val="00616A6B"/>
    <w:rsid w:val="00622E59"/>
    <w:rsid w:val="00625EF0"/>
    <w:rsid w:val="00627A95"/>
    <w:rsid w:val="00630FD1"/>
    <w:rsid w:val="00645402"/>
    <w:rsid w:val="006504DC"/>
    <w:rsid w:val="006539EF"/>
    <w:rsid w:val="00661F4A"/>
    <w:rsid w:val="00675112"/>
    <w:rsid w:val="00680322"/>
    <w:rsid w:val="00681FC2"/>
    <w:rsid w:val="0069307D"/>
    <w:rsid w:val="0069326C"/>
    <w:rsid w:val="00693DB4"/>
    <w:rsid w:val="00696DC8"/>
    <w:rsid w:val="006A5F42"/>
    <w:rsid w:val="006A6E72"/>
    <w:rsid w:val="006B0D51"/>
    <w:rsid w:val="006B1EA3"/>
    <w:rsid w:val="006B546D"/>
    <w:rsid w:val="006C6D09"/>
    <w:rsid w:val="006D5F2B"/>
    <w:rsid w:val="006E1B06"/>
    <w:rsid w:val="006E3307"/>
    <w:rsid w:val="006F0D1D"/>
    <w:rsid w:val="006F7AF4"/>
    <w:rsid w:val="007022B5"/>
    <w:rsid w:val="00706C9F"/>
    <w:rsid w:val="00707FEC"/>
    <w:rsid w:val="00712513"/>
    <w:rsid w:val="00736B21"/>
    <w:rsid w:val="007372C8"/>
    <w:rsid w:val="00737B31"/>
    <w:rsid w:val="007421AB"/>
    <w:rsid w:val="007457C5"/>
    <w:rsid w:val="00756CF5"/>
    <w:rsid w:val="00757C21"/>
    <w:rsid w:val="00762293"/>
    <w:rsid w:val="0076299C"/>
    <w:rsid w:val="007736D6"/>
    <w:rsid w:val="0077609A"/>
    <w:rsid w:val="007819EC"/>
    <w:rsid w:val="00787751"/>
    <w:rsid w:val="00795C84"/>
    <w:rsid w:val="007A0C81"/>
    <w:rsid w:val="007A6E65"/>
    <w:rsid w:val="007B4E6C"/>
    <w:rsid w:val="007C64A5"/>
    <w:rsid w:val="007D00D9"/>
    <w:rsid w:val="007E0529"/>
    <w:rsid w:val="007F02CD"/>
    <w:rsid w:val="007F339D"/>
    <w:rsid w:val="00801D24"/>
    <w:rsid w:val="00806234"/>
    <w:rsid w:val="0081228E"/>
    <w:rsid w:val="00815925"/>
    <w:rsid w:val="0082268B"/>
    <w:rsid w:val="00837510"/>
    <w:rsid w:val="00837F85"/>
    <w:rsid w:val="00841DA7"/>
    <w:rsid w:val="00842499"/>
    <w:rsid w:val="00843922"/>
    <w:rsid w:val="00850C21"/>
    <w:rsid w:val="00853644"/>
    <w:rsid w:val="00854F37"/>
    <w:rsid w:val="008574F2"/>
    <w:rsid w:val="00860266"/>
    <w:rsid w:val="008625C0"/>
    <w:rsid w:val="00874601"/>
    <w:rsid w:val="00874EDF"/>
    <w:rsid w:val="00875D67"/>
    <w:rsid w:val="00882C49"/>
    <w:rsid w:val="00886F2C"/>
    <w:rsid w:val="008965C2"/>
    <w:rsid w:val="008A4DF3"/>
    <w:rsid w:val="008A5848"/>
    <w:rsid w:val="008A6B3E"/>
    <w:rsid w:val="008B1137"/>
    <w:rsid w:val="008B281C"/>
    <w:rsid w:val="008B2E01"/>
    <w:rsid w:val="008B4774"/>
    <w:rsid w:val="008B5507"/>
    <w:rsid w:val="008B5F92"/>
    <w:rsid w:val="008C10AC"/>
    <w:rsid w:val="008C1B33"/>
    <w:rsid w:val="008C6DA1"/>
    <w:rsid w:val="008D18FA"/>
    <w:rsid w:val="008D2F29"/>
    <w:rsid w:val="008D7B89"/>
    <w:rsid w:val="008E2502"/>
    <w:rsid w:val="008E3806"/>
    <w:rsid w:val="008E4ACA"/>
    <w:rsid w:val="008E7690"/>
    <w:rsid w:val="0091161E"/>
    <w:rsid w:val="00925874"/>
    <w:rsid w:val="009345F0"/>
    <w:rsid w:val="00934697"/>
    <w:rsid w:val="00940E1D"/>
    <w:rsid w:val="00960EB6"/>
    <w:rsid w:val="0096391E"/>
    <w:rsid w:val="00964D42"/>
    <w:rsid w:val="009706EC"/>
    <w:rsid w:val="00971E87"/>
    <w:rsid w:val="00976DC4"/>
    <w:rsid w:val="009828FD"/>
    <w:rsid w:val="00992ED0"/>
    <w:rsid w:val="009A6D33"/>
    <w:rsid w:val="009B3812"/>
    <w:rsid w:val="009B5052"/>
    <w:rsid w:val="009B52DC"/>
    <w:rsid w:val="009C6D99"/>
    <w:rsid w:val="009C7CFE"/>
    <w:rsid w:val="009D1987"/>
    <w:rsid w:val="009E3325"/>
    <w:rsid w:val="009E4679"/>
    <w:rsid w:val="009E624D"/>
    <w:rsid w:val="009E7029"/>
    <w:rsid w:val="009E70ED"/>
    <w:rsid w:val="009E742E"/>
    <w:rsid w:val="009F749E"/>
    <w:rsid w:val="00A021F1"/>
    <w:rsid w:val="00A023A3"/>
    <w:rsid w:val="00A06323"/>
    <w:rsid w:val="00A07DE2"/>
    <w:rsid w:val="00A226DD"/>
    <w:rsid w:val="00A26F47"/>
    <w:rsid w:val="00A31139"/>
    <w:rsid w:val="00A31659"/>
    <w:rsid w:val="00A32C78"/>
    <w:rsid w:val="00A3683C"/>
    <w:rsid w:val="00A478F8"/>
    <w:rsid w:val="00A56278"/>
    <w:rsid w:val="00A62433"/>
    <w:rsid w:val="00A712D8"/>
    <w:rsid w:val="00A7447C"/>
    <w:rsid w:val="00A753E4"/>
    <w:rsid w:val="00A84247"/>
    <w:rsid w:val="00A845B1"/>
    <w:rsid w:val="00AA0092"/>
    <w:rsid w:val="00AA3FA1"/>
    <w:rsid w:val="00AA55E7"/>
    <w:rsid w:val="00AA5C51"/>
    <w:rsid w:val="00AA6715"/>
    <w:rsid w:val="00AB0D35"/>
    <w:rsid w:val="00AB1004"/>
    <w:rsid w:val="00AB777B"/>
    <w:rsid w:val="00AB7CDA"/>
    <w:rsid w:val="00AC1D03"/>
    <w:rsid w:val="00AC2AFD"/>
    <w:rsid w:val="00AD4946"/>
    <w:rsid w:val="00AD7DDC"/>
    <w:rsid w:val="00AE1856"/>
    <w:rsid w:val="00AE2EB2"/>
    <w:rsid w:val="00AE59FD"/>
    <w:rsid w:val="00AF0C33"/>
    <w:rsid w:val="00AF27C5"/>
    <w:rsid w:val="00AF3474"/>
    <w:rsid w:val="00AF5AF8"/>
    <w:rsid w:val="00B00150"/>
    <w:rsid w:val="00B00F64"/>
    <w:rsid w:val="00B0717C"/>
    <w:rsid w:val="00B075AF"/>
    <w:rsid w:val="00B1648D"/>
    <w:rsid w:val="00B34C24"/>
    <w:rsid w:val="00B40E75"/>
    <w:rsid w:val="00B46609"/>
    <w:rsid w:val="00B52B2A"/>
    <w:rsid w:val="00B54482"/>
    <w:rsid w:val="00B5483E"/>
    <w:rsid w:val="00B67110"/>
    <w:rsid w:val="00B701C9"/>
    <w:rsid w:val="00B75A05"/>
    <w:rsid w:val="00B81E49"/>
    <w:rsid w:val="00B841AB"/>
    <w:rsid w:val="00B845CA"/>
    <w:rsid w:val="00B85145"/>
    <w:rsid w:val="00B85B7F"/>
    <w:rsid w:val="00B9637F"/>
    <w:rsid w:val="00B96AD2"/>
    <w:rsid w:val="00BA2C05"/>
    <w:rsid w:val="00BA6206"/>
    <w:rsid w:val="00BA7978"/>
    <w:rsid w:val="00BB0420"/>
    <w:rsid w:val="00BB6992"/>
    <w:rsid w:val="00BD6F44"/>
    <w:rsid w:val="00BE211A"/>
    <w:rsid w:val="00BE29D0"/>
    <w:rsid w:val="00BE40F4"/>
    <w:rsid w:val="00BF1E2D"/>
    <w:rsid w:val="00BF1E6A"/>
    <w:rsid w:val="00C03B49"/>
    <w:rsid w:val="00C04A44"/>
    <w:rsid w:val="00C06861"/>
    <w:rsid w:val="00C1029D"/>
    <w:rsid w:val="00C10384"/>
    <w:rsid w:val="00C12590"/>
    <w:rsid w:val="00C20B8D"/>
    <w:rsid w:val="00C21BF9"/>
    <w:rsid w:val="00C27339"/>
    <w:rsid w:val="00C27961"/>
    <w:rsid w:val="00C344B2"/>
    <w:rsid w:val="00C36678"/>
    <w:rsid w:val="00C37A63"/>
    <w:rsid w:val="00C37CAA"/>
    <w:rsid w:val="00C44BC0"/>
    <w:rsid w:val="00C44CD7"/>
    <w:rsid w:val="00C46974"/>
    <w:rsid w:val="00C6065D"/>
    <w:rsid w:val="00C71707"/>
    <w:rsid w:val="00C73227"/>
    <w:rsid w:val="00C73B2E"/>
    <w:rsid w:val="00C83EF0"/>
    <w:rsid w:val="00C84657"/>
    <w:rsid w:val="00C86276"/>
    <w:rsid w:val="00CA2EBA"/>
    <w:rsid w:val="00CB2CAB"/>
    <w:rsid w:val="00CB4751"/>
    <w:rsid w:val="00CC6438"/>
    <w:rsid w:val="00CD0BB2"/>
    <w:rsid w:val="00CD17C9"/>
    <w:rsid w:val="00CD1D79"/>
    <w:rsid w:val="00CD4C3C"/>
    <w:rsid w:val="00CD6832"/>
    <w:rsid w:val="00CE1464"/>
    <w:rsid w:val="00CE37E5"/>
    <w:rsid w:val="00CF1446"/>
    <w:rsid w:val="00CF5CBC"/>
    <w:rsid w:val="00CF5DA8"/>
    <w:rsid w:val="00D00351"/>
    <w:rsid w:val="00D028B3"/>
    <w:rsid w:val="00D1169F"/>
    <w:rsid w:val="00D21217"/>
    <w:rsid w:val="00D22E36"/>
    <w:rsid w:val="00D22FBF"/>
    <w:rsid w:val="00D40942"/>
    <w:rsid w:val="00D569EB"/>
    <w:rsid w:val="00D77703"/>
    <w:rsid w:val="00D82E8B"/>
    <w:rsid w:val="00D87614"/>
    <w:rsid w:val="00DA7A4E"/>
    <w:rsid w:val="00DB6425"/>
    <w:rsid w:val="00DC1ACE"/>
    <w:rsid w:val="00DC1CDA"/>
    <w:rsid w:val="00DC21E6"/>
    <w:rsid w:val="00DD495F"/>
    <w:rsid w:val="00DD6F3A"/>
    <w:rsid w:val="00DD7AD0"/>
    <w:rsid w:val="00DE2086"/>
    <w:rsid w:val="00DF66B9"/>
    <w:rsid w:val="00E130B9"/>
    <w:rsid w:val="00E1492C"/>
    <w:rsid w:val="00E15502"/>
    <w:rsid w:val="00E1748D"/>
    <w:rsid w:val="00E17D58"/>
    <w:rsid w:val="00E20A43"/>
    <w:rsid w:val="00E335D5"/>
    <w:rsid w:val="00E34338"/>
    <w:rsid w:val="00E37A60"/>
    <w:rsid w:val="00E423C9"/>
    <w:rsid w:val="00E60325"/>
    <w:rsid w:val="00E63D1E"/>
    <w:rsid w:val="00E703B5"/>
    <w:rsid w:val="00E80905"/>
    <w:rsid w:val="00E819B7"/>
    <w:rsid w:val="00E85ECF"/>
    <w:rsid w:val="00E86A49"/>
    <w:rsid w:val="00EA38DD"/>
    <w:rsid w:val="00EA40F2"/>
    <w:rsid w:val="00EA4383"/>
    <w:rsid w:val="00EB0BE8"/>
    <w:rsid w:val="00ED12E4"/>
    <w:rsid w:val="00ED3272"/>
    <w:rsid w:val="00EE25B7"/>
    <w:rsid w:val="00EF278F"/>
    <w:rsid w:val="00EF390B"/>
    <w:rsid w:val="00EF4184"/>
    <w:rsid w:val="00EF47B4"/>
    <w:rsid w:val="00EF5DF2"/>
    <w:rsid w:val="00EF6733"/>
    <w:rsid w:val="00F03B84"/>
    <w:rsid w:val="00F109D3"/>
    <w:rsid w:val="00F22FF7"/>
    <w:rsid w:val="00F40C41"/>
    <w:rsid w:val="00F40E4F"/>
    <w:rsid w:val="00F4433C"/>
    <w:rsid w:val="00F4681D"/>
    <w:rsid w:val="00F54774"/>
    <w:rsid w:val="00F57E68"/>
    <w:rsid w:val="00F62816"/>
    <w:rsid w:val="00F66317"/>
    <w:rsid w:val="00F73747"/>
    <w:rsid w:val="00F73AF0"/>
    <w:rsid w:val="00F74397"/>
    <w:rsid w:val="00F75D5D"/>
    <w:rsid w:val="00F76D99"/>
    <w:rsid w:val="00F821F0"/>
    <w:rsid w:val="00F86D0B"/>
    <w:rsid w:val="00F87C7F"/>
    <w:rsid w:val="00F910D9"/>
    <w:rsid w:val="00F912C0"/>
    <w:rsid w:val="00F9490E"/>
    <w:rsid w:val="00FA2126"/>
    <w:rsid w:val="00FA2F61"/>
    <w:rsid w:val="00FA772F"/>
    <w:rsid w:val="00FA7AB8"/>
    <w:rsid w:val="00FB6219"/>
    <w:rsid w:val="00FC5DDA"/>
    <w:rsid w:val="00FC713B"/>
    <w:rsid w:val="00FD04FE"/>
    <w:rsid w:val="00FD3426"/>
    <w:rsid w:val="00FD3A5C"/>
    <w:rsid w:val="00FE6007"/>
    <w:rsid w:val="00FE61AF"/>
    <w:rsid w:val="00FE77B3"/>
    <w:rsid w:val="00FF0689"/>
    <w:rsid w:val="00FF088B"/>
    <w:rsid w:val="00FF1851"/>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3BBA7"/>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6155</TotalTime>
  <Pages>7</Pages>
  <Words>2170</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378</cp:revision>
  <cp:lastPrinted>2022-02-21T17:24:00Z</cp:lastPrinted>
  <dcterms:created xsi:type="dcterms:W3CDTF">2022-01-03T02:37:00Z</dcterms:created>
  <dcterms:modified xsi:type="dcterms:W3CDTF">2022-05-10T14:33:00Z</dcterms:modified>
</cp:coreProperties>
</file>