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ACTA DE LA SESIÓN N</w:t>
      </w:r>
      <w:r w:rsidR="006E3307">
        <w:rPr>
          <w:rFonts w:ascii="Palatino Linotype" w:hAnsi="Palatino Linotype" w:cs="Tahoma"/>
          <w:b/>
        </w:rPr>
        <w:t>r</w:t>
      </w:r>
      <w:r w:rsidR="00693DB4">
        <w:rPr>
          <w:rFonts w:ascii="Palatino Linotype" w:hAnsi="Palatino Linotype" w:cs="Tahoma"/>
          <w:b/>
        </w:rPr>
        <w:t xml:space="preserve">o. </w:t>
      </w:r>
      <w:r w:rsidR="00693DB4" w:rsidRPr="00E17D58">
        <w:rPr>
          <w:rFonts w:ascii="Palatino Linotype" w:hAnsi="Palatino Linotype" w:cs="Tahoma"/>
          <w:b/>
        </w:rPr>
        <w:t>06</w:t>
      </w:r>
      <w:r w:rsidR="006D5F2B">
        <w:rPr>
          <w:rFonts w:ascii="Palatino Linotype" w:hAnsi="Palatino Linotype" w:cs="Tahoma"/>
          <w:b/>
        </w:rPr>
        <w:t>3</w:t>
      </w:r>
      <w:r w:rsidRPr="00867BAA">
        <w:rPr>
          <w:rFonts w:ascii="Palatino Linotype" w:hAnsi="Palatino Linotype" w:cs="Tahoma"/>
          <w:b/>
        </w:rPr>
        <w:t xml:space="preserve"> ORDINARIA</w:t>
      </w:r>
    </w:p>
    <w:p w:rsidR="00874EDF"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 LA COMISIÓN DE VIVIENDA Y HÁBITAT</w:t>
      </w:r>
    </w:p>
    <w:p w:rsidR="006D5F2B" w:rsidRPr="00867BAA" w:rsidRDefault="006D5F2B" w:rsidP="00874EDF">
      <w:pPr>
        <w:spacing w:after="0" w:line="240" w:lineRule="auto"/>
        <w:jc w:val="center"/>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p>
    <w:p w:rsidR="00874EDF" w:rsidRPr="00867BAA" w:rsidRDefault="002D25CE" w:rsidP="00874EDF">
      <w:pPr>
        <w:spacing w:after="0" w:line="240" w:lineRule="auto"/>
        <w:jc w:val="center"/>
        <w:rPr>
          <w:rFonts w:ascii="Palatino Linotype" w:hAnsi="Palatino Linotype" w:cs="Tahoma"/>
          <w:b/>
        </w:rPr>
      </w:pPr>
      <w:r>
        <w:rPr>
          <w:rFonts w:ascii="Palatino Linotype" w:hAnsi="Palatino Linotype" w:cs="Tahoma"/>
          <w:b/>
        </w:rPr>
        <w:t xml:space="preserve">MIÉRCOLES </w:t>
      </w:r>
      <w:r w:rsidR="00622E59">
        <w:rPr>
          <w:rFonts w:ascii="Palatino Linotype" w:hAnsi="Palatino Linotype" w:cs="Tahoma"/>
          <w:b/>
        </w:rPr>
        <w:t>16</w:t>
      </w:r>
      <w:r w:rsidR="00874EDF" w:rsidRPr="00867BAA">
        <w:rPr>
          <w:rFonts w:ascii="Palatino Linotype" w:hAnsi="Palatino Linotype" w:cs="Tahoma"/>
          <w:b/>
        </w:rPr>
        <w:t xml:space="preserve"> DE </w:t>
      </w:r>
      <w:r>
        <w:rPr>
          <w:rFonts w:ascii="Palatino Linotype" w:hAnsi="Palatino Linotype" w:cs="Tahoma"/>
          <w:b/>
        </w:rPr>
        <w:t>FEBR</w:t>
      </w:r>
      <w:r w:rsidR="00FF0689">
        <w:rPr>
          <w:rFonts w:ascii="Palatino Linotype" w:hAnsi="Palatino Linotype" w:cs="Tahoma"/>
          <w:b/>
        </w:rPr>
        <w:t>ERO DE 2022</w:t>
      </w:r>
    </w:p>
    <w:p w:rsidR="00874EDF" w:rsidRPr="00867BAA" w:rsidRDefault="00874EDF" w:rsidP="00874EDF">
      <w:pPr>
        <w:spacing w:after="0" w:line="240" w:lineRule="auto"/>
        <w:jc w:val="center"/>
        <w:rPr>
          <w:rFonts w:ascii="Palatino Linotype" w:hAnsi="Palatino Linotype" w:cs="Tahoma"/>
          <w:b/>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En el Distrito Metropol</w:t>
      </w:r>
      <w:r w:rsidR="00622E59">
        <w:rPr>
          <w:rFonts w:ascii="Palatino Linotype" w:hAnsi="Palatino Linotype" w:cs="Tahoma"/>
          <w:bCs/>
          <w:i w:val="0"/>
          <w:sz w:val="22"/>
          <w:szCs w:val="22"/>
        </w:rPr>
        <w:t>itano de Quito, siendo las 09</w:t>
      </w:r>
      <w:r w:rsidR="00FF0689">
        <w:rPr>
          <w:rFonts w:ascii="Palatino Linotype" w:hAnsi="Palatino Linotype" w:cs="Tahoma"/>
          <w:bCs/>
          <w:i w:val="0"/>
          <w:sz w:val="22"/>
          <w:szCs w:val="22"/>
        </w:rPr>
        <w:t>h</w:t>
      </w:r>
      <w:r w:rsidR="00622E59">
        <w:rPr>
          <w:rFonts w:ascii="Palatino Linotype" w:hAnsi="Palatino Linotype" w:cs="Tahoma"/>
          <w:bCs/>
          <w:i w:val="0"/>
          <w:sz w:val="22"/>
          <w:szCs w:val="22"/>
        </w:rPr>
        <w:t>06</w:t>
      </w:r>
      <w:r w:rsidRPr="00867BAA">
        <w:rPr>
          <w:rFonts w:ascii="Palatino Linotype" w:hAnsi="Palatino Linotype" w:cs="Tahoma"/>
          <w:bCs/>
          <w:i w:val="0"/>
          <w:sz w:val="22"/>
          <w:szCs w:val="22"/>
        </w:rPr>
        <w:t xml:space="preserve"> del miércoles </w:t>
      </w:r>
      <w:r w:rsidR="00622E59">
        <w:rPr>
          <w:rFonts w:ascii="Palatino Linotype" w:hAnsi="Palatino Linotype" w:cs="Tahoma"/>
          <w:bCs/>
          <w:i w:val="0"/>
          <w:sz w:val="22"/>
          <w:szCs w:val="22"/>
        </w:rPr>
        <w:t>16</w:t>
      </w:r>
      <w:r w:rsidRPr="00867BAA">
        <w:rPr>
          <w:rFonts w:ascii="Palatino Linotype" w:hAnsi="Palatino Linotype" w:cs="Tahoma"/>
          <w:bCs/>
          <w:i w:val="0"/>
          <w:sz w:val="22"/>
          <w:szCs w:val="22"/>
        </w:rPr>
        <w:t xml:space="preserve"> de </w:t>
      </w:r>
      <w:r w:rsidR="002D25CE">
        <w:rPr>
          <w:rFonts w:ascii="Palatino Linotype" w:hAnsi="Palatino Linotype" w:cs="Tahoma"/>
          <w:bCs/>
          <w:i w:val="0"/>
          <w:sz w:val="22"/>
          <w:szCs w:val="22"/>
        </w:rPr>
        <w:t>febr</w:t>
      </w:r>
      <w:r w:rsidR="00FF0689">
        <w:rPr>
          <w:rFonts w:ascii="Palatino Linotype" w:hAnsi="Palatino Linotype" w:cs="Tahoma"/>
          <w:bCs/>
          <w:i w:val="0"/>
          <w:sz w:val="22"/>
          <w:szCs w:val="22"/>
        </w:rPr>
        <w:t>ero</w:t>
      </w:r>
      <w:r w:rsidR="005B0AD4">
        <w:rPr>
          <w:rFonts w:ascii="Palatino Linotype" w:hAnsi="Palatino Linotype" w:cs="Tahoma"/>
          <w:bCs/>
          <w:i w:val="0"/>
          <w:sz w:val="22"/>
          <w:szCs w:val="22"/>
        </w:rPr>
        <w:t xml:space="preserve"> de 2022</w:t>
      </w:r>
      <w:r w:rsidRPr="00867BAA">
        <w:rPr>
          <w:rFonts w:ascii="Palatino Linotype" w:hAnsi="Palatino Linotype" w:cs="Tahoma"/>
          <w:bCs/>
          <w:i w:val="0"/>
          <w:sz w:val="22"/>
          <w:szCs w:val="22"/>
        </w:rPr>
        <w:t>, conforme la convocatoria No. 0</w:t>
      </w:r>
      <w:r w:rsidR="00622E59">
        <w:rPr>
          <w:rFonts w:ascii="Palatino Linotype" w:hAnsi="Palatino Linotype" w:cs="Tahoma"/>
          <w:bCs/>
          <w:i w:val="0"/>
          <w:sz w:val="22"/>
          <w:szCs w:val="22"/>
        </w:rPr>
        <w:t>63</w:t>
      </w:r>
      <w:r w:rsidRPr="00867BAA">
        <w:rPr>
          <w:rFonts w:ascii="Palatino Linotype" w:hAnsi="Palatino Linotype" w:cs="Tahoma"/>
          <w:bCs/>
          <w:i w:val="0"/>
          <w:sz w:val="22"/>
          <w:szCs w:val="22"/>
        </w:rPr>
        <w:t xml:space="preserve"> de </w:t>
      </w:r>
      <w:r w:rsidR="00622E59">
        <w:rPr>
          <w:rFonts w:ascii="Palatino Linotype" w:hAnsi="Palatino Linotype" w:cs="Tahoma"/>
          <w:bCs/>
          <w:i w:val="0"/>
          <w:sz w:val="22"/>
          <w:szCs w:val="22"/>
        </w:rPr>
        <w:t>14</w:t>
      </w:r>
      <w:r>
        <w:rPr>
          <w:rFonts w:ascii="Palatino Linotype" w:hAnsi="Palatino Linotype" w:cs="Tahoma"/>
          <w:bCs/>
          <w:i w:val="0"/>
          <w:sz w:val="22"/>
          <w:szCs w:val="22"/>
        </w:rPr>
        <w:t xml:space="preserve"> de </w:t>
      </w:r>
      <w:r w:rsidR="002D25CE">
        <w:rPr>
          <w:rFonts w:ascii="Palatino Linotype" w:hAnsi="Palatino Linotype" w:cs="Tahoma"/>
          <w:bCs/>
          <w:i w:val="0"/>
          <w:sz w:val="22"/>
          <w:szCs w:val="22"/>
        </w:rPr>
        <w:t>febr</w:t>
      </w:r>
      <w:r w:rsidR="00FF0689">
        <w:rPr>
          <w:rFonts w:ascii="Palatino Linotype" w:hAnsi="Palatino Linotype" w:cs="Tahoma"/>
          <w:bCs/>
          <w:i w:val="0"/>
          <w:sz w:val="22"/>
          <w:szCs w:val="22"/>
        </w:rPr>
        <w:t>ero</w:t>
      </w:r>
      <w:r w:rsidRPr="00867BAA">
        <w:rPr>
          <w:rFonts w:ascii="Palatino Linotype" w:hAnsi="Palatino Linotype" w:cs="Tahoma"/>
          <w:bCs/>
          <w:i w:val="0"/>
          <w:sz w:val="22"/>
          <w:szCs w:val="22"/>
        </w:rPr>
        <w:t xml:space="preserve"> de</w:t>
      </w:r>
      <w:r w:rsidR="00FE61AF">
        <w:rPr>
          <w:rFonts w:ascii="Palatino Linotype" w:hAnsi="Palatino Linotype" w:cs="Tahoma"/>
          <w:bCs/>
          <w:i w:val="0"/>
          <w:sz w:val="22"/>
          <w:szCs w:val="22"/>
        </w:rPr>
        <w:t>l</w:t>
      </w:r>
      <w:r w:rsidRPr="00867BAA">
        <w:rPr>
          <w:rFonts w:ascii="Palatino Linotype" w:hAnsi="Palatino Linotype" w:cs="Tahoma"/>
          <w:bCs/>
          <w:i w:val="0"/>
          <w:sz w:val="22"/>
          <w:szCs w:val="22"/>
        </w:rPr>
        <w:t xml:space="preserve"> 202</w:t>
      </w:r>
      <w:r w:rsidR="00FF0689">
        <w:rPr>
          <w:rFonts w:ascii="Palatino Linotype" w:hAnsi="Palatino Linotype" w:cs="Tahoma"/>
          <w:bCs/>
          <w:i w:val="0"/>
          <w:sz w:val="22"/>
          <w:szCs w:val="22"/>
        </w:rPr>
        <w:t>2</w:t>
      </w:r>
      <w:r w:rsidRPr="00867BAA">
        <w:rPr>
          <w:rFonts w:ascii="Palatino Linotype" w:hAnsi="Palatino Linotype" w:cs="Tahoma"/>
          <w:bCs/>
          <w:i w:val="0"/>
          <w:sz w:val="22"/>
          <w:szCs w:val="22"/>
        </w:rPr>
        <w:t>, s</w:t>
      </w:r>
      <w:r>
        <w:rPr>
          <w:rFonts w:ascii="Palatino Linotype" w:hAnsi="Palatino Linotype" w:cs="Tahoma"/>
          <w:bCs/>
          <w:i w:val="0"/>
          <w:sz w:val="22"/>
          <w:szCs w:val="22"/>
        </w:rPr>
        <w:t xml:space="preserve">e lleva a cabo de manera virtual, </w:t>
      </w:r>
      <w:r w:rsidRPr="00867BAA">
        <w:rPr>
          <w:rFonts w:ascii="Palatino Linotype" w:hAnsi="Palatino Linotype" w:cs="Tahoma"/>
          <w:bCs/>
          <w:i w:val="0"/>
          <w:sz w:val="22"/>
          <w:szCs w:val="22"/>
        </w:rPr>
        <w:t xml:space="preserve">por medio de la plataforma Teams, la sesión </w:t>
      </w:r>
      <w:r w:rsidR="002209BC">
        <w:rPr>
          <w:rFonts w:ascii="Palatino Linotype" w:hAnsi="Palatino Linotype" w:cs="Tahoma"/>
          <w:bCs/>
          <w:i w:val="0"/>
          <w:sz w:val="22"/>
          <w:szCs w:val="22"/>
        </w:rPr>
        <w:t>extra</w:t>
      </w:r>
      <w:r w:rsidRPr="00867BAA">
        <w:rPr>
          <w:rFonts w:ascii="Palatino Linotype" w:hAnsi="Palatino Linotype" w:cs="Tahoma"/>
          <w:bCs/>
          <w:i w:val="0"/>
          <w:sz w:val="22"/>
          <w:szCs w:val="22"/>
        </w:rPr>
        <w:t>ordinaria de la Comisión de Vivienda y Hábitat, presidida por la concejala Blanca Paucar.</w:t>
      </w:r>
    </w:p>
    <w:p w:rsidR="00874EDF" w:rsidRPr="00867BAA" w:rsidRDefault="00874EDF" w:rsidP="00874EDF">
      <w:pPr>
        <w:pStyle w:val="Subttulo"/>
        <w:rPr>
          <w:rFonts w:ascii="Palatino Linotype" w:hAnsi="Palatino Linotype" w:cs="Tahoma"/>
          <w:bCs/>
          <w:i w:val="0"/>
          <w:sz w:val="22"/>
          <w:szCs w:val="22"/>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Por disposición de la señora presidenta de la Comisión, se procede a constatar el quórum reglamentario, el mismo qu</w:t>
      </w:r>
      <w:r w:rsidR="002D25CE">
        <w:rPr>
          <w:rFonts w:ascii="Palatino Linotype" w:hAnsi="Palatino Linotype" w:cs="Tahoma"/>
          <w:bCs/>
          <w:i w:val="0"/>
          <w:sz w:val="22"/>
          <w:szCs w:val="22"/>
        </w:rPr>
        <w:t>e se encuentra conformado por las concejala</w:t>
      </w:r>
      <w:r w:rsidR="00FF0689">
        <w:rPr>
          <w:rFonts w:ascii="Palatino Linotype" w:hAnsi="Palatino Linotype" w:cs="Tahoma"/>
          <w:bCs/>
          <w:i w:val="0"/>
          <w:sz w:val="22"/>
          <w:szCs w:val="22"/>
        </w:rPr>
        <w:t>s: Soledad Benítez y</w:t>
      </w:r>
      <w:r>
        <w:rPr>
          <w:rFonts w:ascii="Palatino Linotype" w:hAnsi="Palatino Linotype" w:cs="Tahoma"/>
          <w:bCs/>
          <w:i w:val="0"/>
          <w:sz w:val="22"/>
          <w:szCs w:val="22"/>
        </w:rPr>
        <w:t xml:space="preserve"> </w:t>
      </w:r>
      <w:r w:rsidRPr="00867BAA">
        <w:rPr>
          <w:rFonts w:ascii="Palatino Linotype" w:hAnsi="Palatino Linotype" w:cs="Tahoma"/>
          <w:bCs/>
          <w:i w:val="0"/>
          <w:sz w:val="22"/>
          <w:szCs w:val="22"/>
        </w:rPr>
        <w:t>Blanca Paucar, de conformidad con el siguiente detalle:</w:t>
      </w:r>
    </w:p>
    <w:p w:rsidR="00874EDF" w:rsidRPr="00867BAA" w:rsidRDefault="00874EDF" w:rsidP="00874EDF">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74EDF" w:rsidRPr="00867BAA" w:rsidTr="00FF1851">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REGISTRO DE ASISTENCIA – INICIO SESIÓN</w:t>
            </w:r>
            <w:r w:rsidRPr="00867BAA">
              <w:rPr>
                <w:rFonts w:ascii="Palatino Linotype" w:hAnsi="Palatino Linotype" w:cs="Tahoma"/>
                <w:b/>
              </w:rPr>
              <w:t xml:space="preserve"> </w:t>
            </w:r>
          </w:p>
          <w:p w:rsidR="00874EDF" w:rsidRPr="00867BAA" w:rsidRDefault="00874EDF" w:rsidP="00FF1851">
            <w:pPr>
              <w:spacing w:after="0" w:line="240" w:lineRule="auto"/>
              <w:jc w:val="center"/>
              <w:rPr>
                <w:rFonts w:ascii="Palatino Linotype" w:hAnsi="Palatino Linotype" w:cs="Tahoma"/>
                <w:b/>
                <w:bCs/>
                <w:color w:val="FFFFFF"/>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AUSENTE</w:t>
            </w:r>
          </w:p>
        </w:tc>
      </w:tr>
      <w:tr w:rsidR="00874EDF" w:rsidRPr="00867BAA" w:rsidTr="00FF1851">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FF0689"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0</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FF0689"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FF0689"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2</w:t>
            </w:r>
          </w:p>
          <w:p w:rsidR="00874EDF" w:rsidRPr="00867BAA" w:rsidRDefault="00874EDF" w:rsidP="00FF1851">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FF0689"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1</w:t>
            </w:r>
          </w:p>
        </w:tc>
      </w:tr>
    </w:tbl>
    <w:p w:rsidR="00874EDF" w:rsidRPr="00867BAA" w:rsidRDefault="00874EDF" w:rsidP="00874EDF">
      <w:pPr>
        <w:pStyle w:val="Subttulo"/>
        <w:rPr>
          <w:rFonts w:ascii="Palatino Linotype" w:hAnsi="Palatino Linotype" w:cs="Tahoma"/>
          <w:bCs/>
          <w:i w:val="0"/>
          <w:sz w:val="22"/>
          <w:szCs w:val="22"/>
        </w:rPr>
      </w:pPr>
    </w:p>
    <w:p w:rsidR="009B3812" w:rsidRDefault="00874EDF" w:rsidP="00874EDF">
      <w:pPr>
        <w:pStyle w:val="Subttulo"/>
        <w:rPr>
          <w:rFonts w:ascii="Palatino Linotype" w:hAnsi="Palatino Linotype" w:cs="Tahoma"/>
          <w:i w:val="0"/>
          <w:color w:val="000000" w:themeColor="text1"/>
          <w:sz w:val="22"/>
          <w:szCs w:val="22"/>
        </w:rPr>
      </w:pPr>
      <w:r w:rsidRPr="00DD13B7">
        <w:rPr>
          <w:rFonts w:ascii="Palatino Linotype" w:hAnsi="Palatino Linotype" w:cs="Tahoma"/>
          <w:bCs/>
          <w:i w:val="0"/>
          <w:color w:val="000000" w:themeColor="text1"/>
          <w:sz w:val="22"/>
          <w:szCs w:val="22"/>
        </w:rPr>
        <w:t xml:space="preserve">Además, se registra la presencia de </w:t>
      </w:r>
      <w:r w:rsidRPr="00DD13B7">
        <w:rPr>
          <w:rFonts w:ascii="Palatino Linotype" w:hAnsi="Palatino Linotype" w:cs="Tahoma"/>
          <w:i w:val="0"/>
          <w:color w:val="000000" w:themeColor="text1"/>
          <w:sz w:val="22"/>
          <w:szCs w:val="22"/>
        </w:rPr>
        <w:t>los siguientes funcionarios:</w:t>
      </w:r>
      <w:r>
        <w:rPr>
          <w:rFonts w:ascii="Palatino Linotype" w:hAnsi="Palatino Linotype" w:cs="Tahoma"/>
          <w:i w:val="0"/>
          <w:color w:val="000000" w:themeColor="text1"/>
          <w:sz w:val="22"/>
          <w:szCs w:val="22"/>
        </w:rPr>
        <w:t xml:space="preserve"> </w:t>
      </w:r>
      <w:r w:rsidRPr="009B3812">
        <w:rPr>
          <w:rFonts w:ascii="Palatino Linotype" w:hAnsi="Palatino Linotype" w:cs="Tahoma"/>
          <w:i w:val="0"/>
          <w:color w:val="000000" w:themeColor="text1"/>
          <w:sz w:val="22"/>
          <w:szCs w:val="22"/>
        </w:rPr>
        <w:t xml:space="preserve">Ricardo Minda, Elizabeth Cevallos </w:t>
      </w:r>
      <w:r w:rsidR="00815925" w:rsidRPr="009B3812">
        <w:rPr>
          <w:rFonts w:ascii="Palatino Linotype" w:hAnsi="Palatino Linotype" w:cs="Tahoma"/>
          <w:i w:val="0"/>
          <w:color w:val="000000" w:themeColor="text1"/>
          <w:sz w:val="22"/>
          <w:szCs w:val="22"/>
        </w:rPr>
        <w:t>del despacho de la concejala</w:t>
      </w:r>
      <w:r w:rsidRPr="009B3812">
        <w:rPr>
          <w:rFonts w:ascii="Palatino Linotype" w:hAnsi="Palatino Linotype" w:cs="Tahoma"/>
          <w:i w:val="0"/>
          <w:color w:val="000000" w:themeColor="text1"/>
          <w:sz w:val="22"/>
          <w:szCs w:val="22"/>
        </w:rPr>
        <w:t xml:space="preserve"> Blanca Paucar; Sebastián Nader del despacho de la Concejala Soledad Benítez; Said Flores de la Secretaría Ge</w:t>
      </w:r>
      <w:r w:rsidR="00FF0689" w:rsidRPr="009B3812">
        <w:rPr>
          <w:rFonts w:ascii="Palatino Linotype" w:hAnsi="Palatino Linotype" w:cs="Tahoma"/>
          <w:i w:val="0"/>
          <w:color w:val="000000" w:themeColor="text1"/>
          <w:sz w:val="22"/>
          <w:szCs w:val="22"/>
        </w:rPr>
        <w:t xml:space="preserve">neral del Concejo Metropolitano; </w:t>
      </w:r>
      <w:r w:rsidR="00C46974" w:rsidRPr="009B3812">
        <w:rPr>
          <w:rFonts w:ascii="Palatino Linotype" w:hAnsi="Palatino Linotype" w:cs="Tahoma"/>
          <w:i w:val="0"/>
          <w:color w:val="000000" w:themeColor="text1"/>
          <w:sz w:val="22"/>
          <w:szCs w:val="22"/>
        </w:rPr>
        <w:t>Jaime Alfonso Pérez Clavijo, de la Empresa Pública Metropolitana de Hábitat y Vivienda</w:t>
      </w:r>
      <w:r w:rsidR="008574F2" w:rsidRPr="009B3812">
        <w:rPr>
          <w:rFonts w:ascii="Palatino Linotype" w:hAnsi="Palatino Linotype" w:cs="Tahoma"/>
          <w:i w:val="0"/>
          <w:color w:val="000000" w:themeColor="text1"/>
          <w:sz w:val="22"/>
          <w:szCs w:val="22"/>
        </w:rPr>
        <w:t xml:space="preserve">; </w:t>
      </w:r>
      <w:r w:rsidR="009B3812" w:rsidRPr="009B3812">
        <w:rPr>
          <w:rFonts w:ascii="Palatino Linotype" w:hAnsi="Palatino Linotype" w:cs="Tahoma"/>
          <w:i w:val="0"/>
          <w:color w:val="000000" w:themeColor="text1"/>
          <w:sz w:val="22"/>
          <w:szCs w:val="22"/>
        </w:rPr>
        <w:t xml:space="preserve">Daniela Dique y </w:t>
      </w:r>
      <w:r w:rsidR="00925874" w:rsidRPr="009B3812">
        <w:rPr>
          <w:rFonts w:ascii="Palatino Linotype" w:hAnsi="Palatino Linotype" w:cs="Tahoma"/>
          <w:i w:val="0"/>
          <w:color w:val="000000" w:themeColor="text1"/>
          <w:sz w:val="22"/>
          <w:szCs w:val="22"/>
        </w:rPr>
        <w:t xml:space="preserve">Lileth Hernández </w:t>
      </w:r>
      <w:r w:rsidR="00124A1E" w:rsidRPr="009B3812">
        <w:rPr>
          <w:rFonts w:ascii="Palatino Linotype" w:hAnsi="Palatino Linotype" w:cs="Tahoma"/>
          <w:i w:val="0"/>
          <w:color w:val="000000" w:themeColor="text1"/>
          <w:sz w:val="22"/>
          <w:szCs w:val="22"/>
        </w:rPr>
        <w:t>de la Secretaría General de Coordinación Territorial y Participaci</w:t>
      </w:r>
      <w:r w:rsidR="00D22FBF" w:rsidRPr="009B3812">
        <w:rPr>
          <w:rFonts w:ascii="Palatino Linotype" w:hAnsi="Palatino Linotype" w:cs="Tahoma"/>
          <w:i w:val="0"/>
          <w:color w:val="000000" w:themeColor="text1"/>
          <w:sz w:val="22"/>
          <w:szCs w:val="22"/>
        </w:rPr>
        <w:t>ón Ciudadana</w:t>
      </w:r>
      <w:r w:rsidR="009B3812" w:rsidRPr="009B3812">
        <w:rPr>
          <w:rFonts w:ascii="Palatino Linotype" w:hAnsi="Palatino Linotype" w:cs="Tahoma"/>
          <w:i w:val="0"/>
          <w:color w:val="000000" w:themeColor="text1"/>
          <w:sz w:val="22"/>
          <w:szCs w:val="22"/>
        </w:rPr>
        <w:t xml:space="preserve">; </w:t>
      </w:r>
      <w:r w:rsidR="004D5D59" w:rsidRPr="009B3812">
        <w:rPr>
          <w:rFonts w:ascii="Palatino Linotype" w:hAnsi="Palatino Linotype" w:cs="Tahoma"/>
          <w:i w:val="0"/>
          <w:color w:val="000000" w:themeColor="text1"/>
          <w:sz w:val="22"/>
          <w:szCs w:val="22"/>
        </w:rPr>
        <w:t xml:space="preserve">Geovanny Ortiz de la Dirección Metropolitana de Catastro; </w:t>
      </w:r>
      <w:r w:rsidR="009B3812" w:rsidRPr="009B3812">
        <w:rPr>
          <w:rFonts w:ascii="Palatino Linotype" w:hAnsi="Palatino Linotype" w:cs="Tahoma"/>
          <w:i w:val="0"/>
          <w:color w:val="000000" w:themeColor="text1"/>
          <w:sz w:val="22"/>
          <w:szCs w:val="22"/>
        </w:rPr>
        <w:t xml:space="preserve">María José Villalba </w:t>
      </w:r>
      <w:r w:rsidR="00AB1004" w:rsidRPr="009B3812">
        <w:rPr>
          <w:rFonts w:ascii="Palatino Linotype" w:hAnsi="Palatino Linotype" w:cs="Tahoma"/>
          <w:i w:val="0"/>
          <w:color w:val="000000" w:themeColor="text1"/>
          <w:sz w:val="22"/>
          <w:szCs w:val="22"/>
        </w:rPr>
        <w:t>de la Secretaría de Territorio Hábitat y Vivienda</w:t>
      </w:r>
      <w:r w:rsidR="00B40E75" w:rsidRPr="00E17D58">
        <w:rPr>
          <w:rFonts w:ascii="Palatino Linotype" w:hAnsi="Palatino Linotype" w:cs="Tahoma"/>
          <w:i w:val="0"/>
          <w:color w:val="000000" w:themeColor="text1"/>
          <w:sz w:val="22"/>
          <w:szCs w:val="22"/>
        </w:rPr>
        <w:t xml:space="preserve">;  </w:t>
      </w:r>
      <w:r w:rsidR="009B3812">
        <w:rPr>
          <w:rFonts w:ascii="Palatino Linotype" w:hAnsi="Palatino Linotype" w:cs="Tahoma"/>
          <w:i w:val="0"/>
          <w:color w:val="000000" w:themeColor="text1"/>
          <w:sz w:val="22"/>
          <w:szCs w:val="22"/>
        </w:rPr>
        <w:t xml:space="preserve">Norma Jiménez </w:t>
      </w:r>
      <w:r w:rsidR="00B40E75" w:rsidRPr="00E17D58">
        <w:rPr>
          <w:rFonts w:ascii="Palatino Linotype" w:hAnsi="Palatino Linotype" w:cs="Tahoma"/>
          <w:i w:val="0"/>
          <w:color w:val="000000" w:themeColor="text1"/>
          <w:sz w:val="22"/>
          <w:szCs w:val="22"/>
        </w:rPr>
        <w:t>de la Procura</w:t>
      </w:r>
      <w:r w:rsidR="009B3812">
        <w:rPr>
          <w:rFonts w:ascii="Palatino Linotype" w:hAnsi="Palatino Linotype" w:cs="Tahoma"/>
          <w:i w:val="0"/>
          <w:color w:val="000000" w:themeColor="text1"/>
          <w:sz w:val="22"/>
          <w:szCs w:val="22"/>
        </w:rPr>
        <w:t>duría Metropolitana.</w:t>
      </w:r>
    </w:p>
    <w:p w:rsidR="009B3812" w:rsidRPr="00867BAA" w:rsidRDefault="009B3812" w:rsidP="00874EDF">
      <w:pPr>
        <w:pStyle w:val="Subttulo"/>
        <w:rPr>
          <w:rFonts w:ascii="Palatino Linotype" w:hAnsi="Palatino Linotype" w:cs="Tahoma"/>
          <w:i w:val="0"/>
          <w:sz w:val="22"/>
          <w:szCs w:val="22"/>
        </w:rPr>
      </w:pPr>
    </w:p>
    <w:p w:rsidR="00AB1004" w:rsidRDefault="00874EDF" w:rsidP="00234A99">
      <w:pPr>
        <w:pStyle w:val="Textoindependiente"/>
        <w:spacing w:after="0" w:line="240" w:lineRule="auto"/>
        <w:jc w:val="both"/>
        <w:rPr>
          <w:rFonts w:ascii="Palatino Linotype" w:hAnsi="Palatino Linotype"/>
        </w:rPr>
      </w:pPr>
      <w:r w:rsidRPr="008B0BC2">
        <w:rPr>
          <w:rFonts w:ascii="Palatino Linotype" w:hAnsi="Palatino Linotype"/>
        </w:rPr>
        <w:t>El Abg. Pablo Solórzano delegado de la Secretaría General del Concejo Metropolitano de Quito a la Comisión</w:t>
      </w:r>
      <w:r w:rsidRPr="00867BAA">
        <w:rPr>
          <w:rFonts w:ascii="Palatino Linotype" w:hAnsi="Palatino Linotype"/>
        </w:rPr>
        <w:t xml:space="preserve"> de Vivienda y Hábitat, por disposición de la señora presidenta procede a dar lectura del orden del día:</w:t>
      </w:r>
    </w:p>
    <w:p w:rsidR="00A31139" w:rsidRDefault="00A31139" w:rsidP="00234A99">
      <w:pPr>
        <w:pStyle w:val="Textoindependiente"/>
        <w:spacing w:after="0" w:line="240" w:lineRule="auto"/>
        <w:jc w:val="both"/>
        <w:rPr>
          <w:rFonts w:ascii="Palatino Linotype" w:hAnsi="Palatino Linotype"/>
        </w:rPr>
      </w:pPr>
    </w:p>
    <w:p w:rsidR="00027630" w:rsidRPr="00027630" w:rsidRDefault="00027630" w:rsidP="00027630">
      <w:pPr>
        <w:spacing w:after="0" w:line="240" w:lineRule="auto"/>
        <w:rPr>
          <w:rFonts w:ascii="Palatino Linotype" w:hAnsi="Palatino Linotype" w:cs="Tahoma"/>
          <w:b/>
        </w:rPr>
      </w:pPr>
      <w:r w:rsidRPr="00027630">
        <w:rPr>
          <w:rFonts w:ascii="Palatino Linotype" w:hAnsi="Palatino Linotype" w:cs="Tahoma"/>
          <w:b/>
        </w:rPr>
        <w:t xml:space="preserve">1.- </w:t>
      </w:r>
      <w:r w:rsidRPr="00027630">
        <w:rPr>
          <w:rFonts w:ascii="Palatino Linotype" w:hAnsi="Palatino Linotype" w:cs="Tahoma"/>
        </w:rPr>
        <w:t>Aprobación de acta de la sesión No. 62, de 9 de febrero 2022.</w:t>
      </w:r>
      <w:r w:rsidRPr="00027630">
        <w:rPr>
          <w:rFonts w:ascii="Palatino Linotype" w:hAnsi="Palatino Linotype" w:cs="Tahoma"/>
          <w:b/>
        </w:rPr>
        <w:t xml:space="preserve">  </w:t>
      </w:r>
    </w:p>
    <w:p w:rsidR="00027630" w:rsidRPr="00027630" w:rsidRDefault="00027630" w:rsidP="00EE25B7">
      <w:pPr>
        <w:spacing w:before="240" w:after="0" w:line="240" w:lineRule="auto"/>
        <w:rPr>
          <w:rFonts w:ascii="Palatino Linotype" w:hAnsi="Palatino Linotype" w:cs="Tahoma"/>
          <w:b/>
        </w:rPr>
      </w:pPr>
      <w:r w:rsidRPr="00027630">
        <w:rPr>
          <w:rFonts w:ascii="Palatino Linotype" w:hAnsi="Palatino Linotype" w:cs="Tahoma"/>
          <w:b/>
        </w:rPr>
        <w:t xml:space="preserve">2.- </w:t>
      </w:r>
      <w:r w:rsidRPr="00027630">
        <w:rPr>
          <w:rFonts w:ascii="Palatino Linotype" w:hAnsi="Palatino Linotype" w:cs="Tahoma"/>
        </w:rPr>
        <w:t>Informe por parte de la Empresa Pública Metropolitana de Hábitat y Vivienda y la Dirección Metropolitana de Catastros, referente al cumplimiento de la</w:t>
      </w:r>
      <w:r w:rsidRPr="00027630">
        <w:rPr>
          <w:rFonts w:ascii="Palatino Linotype" w:hAnsi="Palatino Linotype" w:cs="Tahoma"/>
          <w:b/>
        </w:rPr>
        <w:t xml:space="preserve"> Disposición </w:t>
      </w:r>
      <w:r w:rsidRPr="00027630">
        <w:rPr>
          <w:rFonts w:ascii="Palatino Linotype" w:hAnsi="Palatino Linotype" w:cs="Tahoma"/>
        </w:rPr>
        <w:t>Transitoria Quinta, de la ordenanza 027-2021, sancionada el 14 de diciembre del 2021; y resolución al respecto.</w:t>
      </w:r>
      <w:r w:rsidRPr="00027630">
        <w:rPr>
          <w:rFonts w:ascii="Palatino Linotype" w:hAnsi="Palatino Linotype" w:cs="Tahoma"/>
          <w:b/>
        </w:rPr>
        <w:t xml:space="preserve">  </w:t>
      </w:r>
    </w:p>
    <w:p w:rsidR="00027630" w:rsidRDefault="00027630" w:rsidP="00EE25B7">
      <w:pPr>
        <w:spacing w:before="240" w:after="0" w:line="240" w:lineRule="auto"/>
        <w:rPr>
          <w:rFonts w:ascii="Palatino Linotype" w:hAnsi="Palatino Linotype" w:cs="Tahoma"/>
        </w:rPr>
      </w:pPr>
      <w:r w:rsidRPr="00027630">
        <w:rPr>
          <w:rFonts w:ascii="Palatino Linotype" w:hAnsi="Palatino Linotype" w:cs="Tahoma"/>
          <w:b/>
        </w:rPr>
        <w:t xml:space="preserve">3.- </w:t>
      </w:r>
      <w:r w:rsidRPr="00027630">
        <w:rPr>
          <w:rFonts w:ascii="Palatino Linotype" w:hAnsi="Palatino Linotype" w:cs="Tahoma"/>
        </w:rPr>
        <w:t xml:space="preserve">Informe por parte de la Empresa Pública Metropolitana de Hábitat y Vivienda, referente al cierre de los convenios 064 y 202 suscritos entre el Municipio del Distrito </w:t>
      </w:r>
      <w:r w:rsidRPr="00027630">
        <w:rPr>
          <w:rFonts w:ascii="Palatino Linotype" w:hAnsi="Palatino Linotype" w:cs="Tahoma"/>
        </w:rPr>
        <w:lastRenderedPageBreak/>
        <w:t>Metropolitano de Quito y el Ministerio de Desarrollo Urbano y Vivienda; y resolución al respecto</w:t>
      </w:r>
      <w:r>
        <w:rPr>
          <w:rFonts w:ascii="Palatino Linotype" w:hAnsi="Palatino Linotype" w:cs="Tahoma"/>
        </w:rPr>
        <w:t>.</w:t>
      </w:r>
    </w:p>
    <w:p w:rsidR="00EE25B7" w:rsidRDefault="00EE25B7" w:rsidP="00EE25B7">
      <w:pPr>
        <w:spacing w:before="240" w:after="0" w:line="240" w:lineRule="auto"/>
        <w:jc w:val="both"/>
        <w:rPr>
          <w:rFonts w:ascii="Palatino Linotype" w:hAnsi="Palatino Linotype"/>
        </w:rPr>
      </w:pPr>
      <w:r>
        <w:rPr>
          <w:rFonts w:ascii="Palatino Linotype" w:hAnsi="Palatino Linotype"/>
        </w:rPr>
        <w:t>Por disposición de la Sra. Presidenta se procede a tomar votación para aprobar el orden del día, registrándose los siguientes resultados:</w:t>
      </w:r>
    </w:p>
    <w:p w:rsidR="00EE25B7" w:rsidRDefault="00EE25B7" w:rsidP="00EE25B7">
      <w:pPr>
        <w:spacing w:before="240" w:after="0" w:line="240" w:lineRule="auto"/>
        <w:jc w:val="both"/>
        <w:rPr>
          <w:rFonts w:ascii="Palatino Linotype" w:hAnsi="Palatino Linotype"/>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EE25B7" w:rsidRPr="00867BAA" w:rsidTr="008A5848">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EE25B7" w:rsidRPr="00867BAA" w:rsidRDefault="00EE25B7" w:rsidP="008A5848">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EE25B7" w:rsidRPr="00867BAA" w:rsidTr="008A5848">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b/>
                <w:i w:val="0"/>
                <w:color w:val="FFFFFF"/>
                <w:sz w:val="22"/>
                <w:szCs w:val="22"/>
                <w:lang w:val="es-ES"/>
              </w:rPr>
            </w:pPr>
          </w:p>
          <w:p w:rsidR="00EE25B7" w:rsidRPr="00867BAA" w:rsidRDefault="00EE25B7" w:rsidP="008A5848">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E25B7" w:rsidRPr="00867BAA" w:rsidRDefault="00EE25B7" w:rsidP="008A5848">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b/>
                <w:i w:val="0"/>
                <w:color w:val="FFFFFF"/>
                <w:sz w:val="22"/>
                <w:szCs w:val="22"/>
                <w:lang w:val="es-ES"/>
              </w:rPr>
            </w:pPr>
          </w:p>
          <w:p w:rsidR="00EE25B7" w:rsidRPr="00867BAA" w:rsidRDefault="00EE25B7" w:rsidP="008A5848">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EE25B7" w:rsidRPr="00867BAA" w:rsidTr="008A5848">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EE25B7" w:rsidRPr="00867BAA" w:rsidRDefault="00EE25B7" w:rsidP="008A5848">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hideMark/>
          </w:tcPr>
          <w:p w:rsidR="00EE25B7" w:rsidRPr="00867BAA" w:rsidRDefault="00EE25B7" w:rsidP="008A5848">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r>
      <w:tr w:rsidR="00EE25B7" w:rsidRPr="00867BAA" w:rsidTr="008A5848">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EE25B7" w:rsidRPr="00867BAA" w:rsidRDefault="00EE25B7" w:rsidP="008A5848">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r>
      <w:tr w:rsidR="00EE25B7" w:rsidRPr="00867BAA" w:rsidTr="008A5848">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EE25B7" w:rsidRPr="00867BAA" w:rsidRDefault="00EE25B7" w:rsidP="008A5848">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EE25B7" w:rsidRPr="00867BAA" w:rsidRDefault="00EE25B7" w:rsidP="008A5848">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EE25B7" w:rsidRPr="00867BAA" w:rsidTr="008A5848">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EE25B7" w:rsidRPr="00867BAA" w:rsidRDefault="00EE25B7" w:rsidP="008A5848">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EE25B7" w:rsidRPr="00867BAA" w:rsidRDefault="00EE25B7" w:rsidP="008A5848">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EE25B7" w:rsidRPr="00027630" w:rsidRDefault="00EE25B7" w:rsidP="00027630">
      <w:pPr>
        <w:spacing w:after="0" w:line="240" w:lineRule="auto"/>
        <w:rPr>
          <w:rFonts w:ascii="Palatino Linotype" w:hAnsi="Palatino Linotype" w:cs="Tahoma"/>
        </w:rPr>
      </w:pPr>
    </w:p>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DESARROLLO DE LA SESIÓN</w:t>
      </w:r>
    </w:p>
    <w:p w:rsidR="00874EDF" w:rsidRPr="00867BAA" w:rsidRDefault="00874EDF" w:rsidP="00874EDF">
      <w:pPr>
        <w:spacing w:after="0" w:line="240" w:lineRule="auto"/>
        <w:jc w:val="both"/>
        <w:rPr>
          <w:rFonts w:ascii="Palatino Linotype" w:hAnsi="Palatino Linotype" w:cs="Tahoma"/>
        </w:rPr>
      </w:pPr>
    </w:p>
    <w:p w:rsidR="00874EDF" w:rsidRPr="00842499" w:rsidRDefault="00874EDF" w:rsidP="00874EDF">
      <w:pPr>
        <w:pStyle w:val="Textoindependiente"/>
        <w:spacing w:after="0" w:line="240" w:lineRule="auto"/>
        <w:jc w:val="both"/>
        <w:rPr>
          <w:rFonts w:ascii="Palatino Linotype" w:hAnsi="Palatino Linotype"/>
          <w:b/>
        </w:rPr>
      </w:pPr>
      <w:r w:rsidRPr="002D0D84">
        <w:rPr>
          <w:rStyle w:val="fontstyle01"/>
          <w:rFonts w:ascii="Palatino Linotype" w:hAnsi="Palatino Linotype"/>
          <w:sz w:val="22"/>
        </w:rPr>
        <w:t>Punto uno:</w:t>
      </w:r>
      <w:r w:rsidR="00E1492C">
        <w:rPr>
          <w:rStyle w:val="fontstyle01"/>
          <w:rFonts w:ascii="Palatino Linotype" w:hAnsi="Palatino Linotype"/>
          <w:sz w:val="22"/>
        </w:rPr>
        <w:t xml:space="preserve"> </w:t>
      </w:r>
      <w:r w:rsidR="00EE25B7" w:rsidRPr="00EE25B7">
        <w:rPr>
          <w:rFonts w:ascii="Palatino Linotype" w:hAnsi="Palatino Linotype" w:cs="Tahoma"/>
          <w:b/>
        </w:rPr>
        <w:t>Aprobación de acta de la sesión No. 62, de 9 de febrero 2022.</w:t>
      </w:r>
      <w:r w:rsidR="00EE25B7" w:rsidRPr="00027630">
        <w:rPr>
          <w:rFonts w:ascii="Palatino Linotype" w:hAnsi="Palatino Linotype" w:cs="Tahoma"/>
          <w:b/>
        </w:rPr>
        <w:t xml:space="preserve">  </w:t>
      </w:r>
    </w:p>
    <w:p w:rsidR="00874EDF" w:rsidRPr="00867BAA" w:rsidRDefault="00874EDF" w:rsidP="00874EDF">
      <w:pPr>
        <w:spacing w:after="0" w:line="240" w:lineRule="auto"/>
        <w:jc w:val="both"/>
        <w:rPr>
          <w:rStyle w:val="fontstyle01"/>
          <w:rFonts w:ascii="Palatino Linotype" w:hAnsi="Palatino Linotype"/>
        </w:rPr>
      </w:pPr>
      <w:r w:rsidRPr="00867BAA">
        <w:rPr>
          <w:rStyle w:val="fontstyle01"/>
          <w:rFonts w:ascii="Palatino Linotype" w:hAnsi="Palatino Linotype"/>
        </w:rPr>
        <w:t xml:space="preserve"> </w:t>
      </w:r>
    </w:p>
    <w:p w:rsidR="00874EDF" w:rsidRPr="009E4679" w:rsidRDefault="000E2066" w:rsidP="00874EDF">
      <w:pPr>
        <w:spacing w:after="0" w:line="240" w:lineRule="auto"/>
        <w:jc w:val="both"/>
        <w:rPr>
          <w:rStyle w:val="fontstyle01"/>
          <w:rFonts w:ascii="Palatino Linotype" w:hAnsi="Palatino Linotype"/>
          <w:b w:val="0"/>
          <w:sz w:val="22"/>
        </w:rPr>
      </w:pPr>
      <w:r>
        <w:rPr>
          <w:rStyle w:val="fontstyle01"/>
          <w:rFonts w:ascii="Palatino Linotype" w:hAnsi="Palatino Linotype"/>
          <w:b w:val="0"/>
          <w:sz w:val="22"/>
        </w:rPr>
        <w:t>El acta de la sesión No. 062</w:t>
      </w:r>
      <w:r w:rsidR="00874EDF" w:rsidRPr="009E4679">
        <w:rPr>
          <w:rStyle w:val="fontstyle01"/>
          <w:rFonts w:ascii="Palatino Linotype" w:hAnsi="Palatino Linotype"/>
          <w:b w:val="0"/>
          <w:sz w:val="22"/>
        </w:rPr>
        <w:t xml:space="preserve"> de </w:t>
      </w:r>
      <w:r w:rsidR="00842499">
        <w:rPr>
          <w:rStyle w:val="fontstyle01"/>
          <w:rFonts w:ascii="Palatino Linotype" w:hAnsi="Palatino Linotype"/>
          <w:b w:val="0"/>
          <w:sz w:val="22"/>
        </w:rPr>
        <w:t>9</w:t>
      </w:r>
      <w:r w:rsidR="009E4679" w:rsidRPr="009E4679">
        <w:rPr>
          <w:rStyle w:val="fontstyle01"/>
          <w:rFonts w:ascii="Palatino Linotype" w:hAnsi="Palatino Linotype"/>
          <w:b w:val="0"/>
          <w:sz w:val="22"/>
        </w:rPr>
        <w:t xml:space="preserve"> de </w:t>
      </w:r>
      <w:r>
        <w:rPr>
          <w:rStyle w:val="fontstyle01"/>
          <w:rFonts w:ascii="Palatino Linotype" w:hAnsi="Palatino Linotype"/>
          <w:b w:val="0"/>
          <w:sz w:val="22"/>
        </w:rPr>
        <w:t>febrero</w:t>
      </w:r>
      <w:r w:rsidR="009E4679" w:rsidRPr="009E4679">
        <w:rPr>
          <w:rStyle w:val="fontstyle01"/>
          <w:rFonts w:ascii="Palatino Linotype" w:hAnsi="Palatino Linotype"/>
          <w:b w:val="0"/>
          <w:sz w:val="22"/>
        </w:rPr>
        <w:t xml:space="preserve"> de</w:t>
      </w:r>
      <w:r>
        <w:rPr>
          <w:rStyle w:val="fontstyle01"/>
          <w:rFonts w:ascii="Palatino Linotype" w:hAnsi="Palatino Linotype"/>
          <w:b w:val="0"/>
          <w:sz w:val="22"/>
        </w:rPr>
        <w:t>l</w:t>
      </w:r>
      <w:r w:rsidR="009E4679" w:rsidRPr="009E4679">
        <w:rPr>
          <w:rStyle w:val="fontstyle01"/>
          <w:rFonts w:ascii="Palatino Linotype" w:hAnsi="Palatino Linotype"/>
          <w:b w:val="0"/>
          <w:sz w:val="22"/>
        </w:rPr>
        <w:t xml:space="preserve"> 2022 </w:t>
      </w:r>
      <w:r w:rsidR="00874EDF" w:rsidRPr="009E4679">
        <w:rPr>
          <w:rStyle w:val="fontstyle01"/>
          <w:rFonts w:ascii="Palatino Linotype" w:hAnsi="Palatino Linotype"/>
          <w:b w:val="0"/>
          <w:sz w:val="22"/>
        </w:rPr>
        <w:t>se aprueba por los miembros de la comisión sin observaciones y de conformidad con la siguiente votación:</w:t>
      </w:r>
    </w:p>
    <w:p w:rsidR="00874EDF" w:rsidRPr="00867BAA" w:rsidRDefault="00874EDF" w:rsidP="00874EDF">
      <w:pPr>
        <w:spacing w:after="0" w:line="240" w:lineRule="auto"/>
        <w:jc w:val="both"/>
        <w:rPr>
          <w:rStyle w:val="fontstyle01"/>
          <w:rFonts w:ascii="Palatino Linotype" w:hAnsi="Palatino Linotype"/>
          <w:b w:val="0"/>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874EDF" w:rsidRPr="00867BAA" w:rsidTr="00FF1851">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874EDF" w:rsidRPr="00867BAA" w:rsidRDefault="00874EDF"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 xml:space="preserve"> REGISTRO DE VOTACIÓN</w:t>
            </w:r>
          </w:p>
        </w:tc>
      </w:tr>
      <w:tr w:rsidR="00874EDF"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jc w:val="center"/>
              <w:rPr>
                <w:rFonts w:ascii="Palatino Linotype" w:hAnsi="Palatino Linotype"/>
                <w:b/>
                <w:i w:val="0"/>
                <w:color w:val="FFFFFF"/>
                <w:sz w:val="22"/>
                <w:szCs w:val="22"/>
                <w:lang w:val="es-ES"/>
              </w:rPr>
            </w:pPr>
          </w:p>
          <w:p w:rsidR="00874EDF" w:rsidRPr="00867BAA" w:rsidRDefault="00874EDF"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74EDF" w:rsidRPr="00867BAA" w:rsidRDefault="00874EDF"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jc w:val="center"/>
              <w:rPr>
                <w:rFonts w:ascii="Palatino Linotype" w:hAnsi="Palatino Linotype"/>
                <w:b/>
                <w:i w:val="0"/>
                <w:color w:val="FFFFFF"/>
                <w:sz w:val="22"/>
                <w:szCs w:val="22"/>
                <w:lang w:val="es-ES"/>
              </w:rPr>
            </w:pPr>
          </w:p>
          <w:p w:rsidR="00874EDF" w:rsidRPr="00867BAA" w:rsidRDefault="00874EDF"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874EDF"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874EDF" w:rsidRPr="00867BAA" w:rsidRDefault="00874EDF"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hideMark/>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r>
      <w:tr w:rsidR="00874EDF"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874EDF" w:rsidRPr="00867BAA" w:rsidRDefault="00874EDF"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r>
      <w:tr w:rsidR="00874EDF"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874EDF" w:rsidRPr="00867BAA" w:rsidRDefault="00874EDF"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874EDF" w:rsidRPr="00867BAA" w:rsidRDefault="00A84247"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4EDF" w:rsidRPr="00867BAA" w:rsidRDefault="00874EDF"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4EDF" w:rsidRPr="00867BAA" w:rsidRDefault="00A84247" w:rsidP="00FF1851">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874EDF"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874EDF"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A84247"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74EDF" w:rsidRPr="00867BAA" w:rsidRDefault="00874EDF"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874EDF" w:rsidRPr="00867BAA" w:rsidRDefault="00A84247"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874EDF" w:rsidRPr="00867BAA" w:rsidRDefault="00874EDF" w:rsidP="00874EDF">
      <w:pPr>
        <w:pStyle w:val="NormalWeb"/>
        <w:spacing w:before="0" w:beforeAutospacing="0" w:after="0" w:afterAutospacing="0"/>
        <w:jc w:val="both"/>
        <w:textAlignment w:val="baseline"/>
        <w:rPr>
          <w:rFonts w:ascii="Palatino Linotype" w:hAnsi="Palatino Linotype" w:cs="Tahoma"/>
          <w:sz w:val="22"/>
          <w:szCs w:val="22"/>
        </w:rPr>
      </w:pPr>
    </w:p>
    <w:p w:rsidR="00874EDF" w:rsidRPr="00EE25B7" w:rsidRDefault="00874EDF" w:rsidP="00874EDF">
      <w:pPr>
        <w:pStyle w:val="NormalWeb"/>
        <w:spacing w:before="0" w:beforeAutospacing="0" w:after="0" w:afterAutospacing="0"/>
        <w:jc w:val="both"/>
        <w:textAlignment w:val="baseline"/>
        <w:rPr>
          <w:rFonts w:ascii="Palatino Linotype" w:hAnsi="Palatino Linotype" w:cs="Tahoma"/>
          <w:sz w:val="22"/>
          <w:szCs w:val="22"/>
        </w:rPr>
      </w:pPr>
      <w:r w:rsidRPr="009E4679">
        <w:rPr>
          <w:rStyle w:val="fontstyle01"/>
          <w:rFonts w:ascii="Palatino Linotype" w:hAnsi="Palatino Linotype"/>
          <w:b w:val="0"/>
          <w:sz w:val="22"/>
          <w:szCs w:val="22"/>
        </w:rPr>
        <w:t>Con dos votos a favor queda aprobada sin observacio</w:t>
      </w:r>
      <w:r w:rsidR="00410684" w:rsidRPr="009E4679">
        <w:rPr>
          <w:rStyle w:val="fontstyle01"/>
          <w:rFonts w:ascii="Palatino Linotype" w:hAnsi="Palatino Linotype"/>
          <w:b w:val="0"/>
          <w:sz w:val="22"/>
          <w:szCs w:val="22"/>
        </w:rPr>
        <w:t xml:space="preserve">nes el acta </w:t>
      </w:r>
      <w:r w:rsidR="00EE25B7" w:rsidRPr="00EE25B7">
        <w:rPr>
          <w:rFonts w:ascii="Palatino Linotype" w:hAnsi="Palatino Linotype" w:cs="Tahoma"/>
        </w:rPr>
        <w:t>de la sesión No. 62, de 9 de febrero 2022</w:t>
      </w:r>
    </w:p>
    <w:p w:rsidR="00EE25B7" w:rsidRDefault="00874EDF" w:rsidP="00234A99">
      <w:pPr>
        <w:pStyle w:val="Textoindependiente"/>
        <w:spacing w:before="240" w:after="0" w:line="240" w:lineRule="auto"/>
        <w:jc w:val="both"/>
        <w:rPr>
          <w:rFonts w:ascii="Palatino Linotype" w:hAnsi="Palatino Linotype" w:cs="Tahoma"/>
          <w:b/>
        </w:rPr>
      </w:pPr>
      <w:r w:rsidRPr="00316C90">
        <w:rPr>
          <w:rFonts w:ascii="Palatino Linotype" w:hAnsi="Palatino Linotype" w:cs="Tahoma"/>
          <w:b/>
        </w:rPr>
        <w:t>Punto dos:</w:t>
      </w:r>
      <w:r w:rsidR="00234A99">
        <w:rPr>
          <w:rFonts w:ascii="Palatino Linotype" w:hAnsi="Palatino Linotype" w:cs="Tahoma"/>
          <w:b/>
        </w:rPr>
        <w:t xml:space="preserve"> </w:t>
      </w:r>
      <w:r w:rsidR="008B5F92" w:rsidRPr="008B5F92">
        <w:rPr>
          <w:rFonts w:ascii="Palatino Linotype" w:hAnsi="Palatino Linotype" w:cs="Tahoma"/>
          <w:b/>
        </w:rPr>
        <w:t>Informe por parte de la Empresa Pública Metropolitana de Hábitat y Vivienda y la Dirección Metropolitana de Catastros, referente al cumplimiento de la Disposición Transitoria Quinta, de la ordenanza 027-2021, sancionada el 14 de diciembre del 2021; y resolución al respecto.</w:t>
      </w:r>
    </w:p>
    <w:p w:rsidR="00680322" w:rsidRPr="00A31659" w:rsidRDefault="008B5F92" w:rsidP="00A31659">
      <w:pPr>
        <w:pStyle w:val="Textoindependiente"/>
        <w:spacing w:before="240" w:after="0" w:line="240" w:lineRule="auto"/>
        <w:jc w:val="both"/>
        <w:rPr>
          <w:rFonts w:ascii="Palatino Linotype" w:hAnsi="Palatino Linotype" w:cs="Tahoma"/>
        </w:rPr>
      </w:pPr>
      <w:r>
        <w:rPr>
          <w:rFonts w:ascii="Palatino Linotype" w:hAnsi="Palatino Linotype" w:cs="Tahoma"/>
          <w:b/>
        </w:rPr>
        <w:t xml:space="preserve">Interviene la concejala Blanca Paucar; </w:t>
      </w:r>
      <w:r w:rsidRPr="008B5F92">
        <w:rPr>
          <w:rFonts w:ascii="Palatino Linotype" w:hAnsi="Palatino Linotype" w:cs="Tahoma"/>
        </w:rPr>
        <w:t>manifiesta que el tema se ha trabajado acorde a lo solicitado</w:t>
      </w:r>
      <w:r>
        <w:rPr>
          <w:rFonts w:ascii="Palatino Linotype" w:hAnsi="Palatino Linotype" w:cs="Tahoma"/>
        </w:rPr>
        <w:t xml:space="preserve"> por</w:t>
      </w:r>
      <w:r w:rsidRPr="008B5F92">
        <w:rPr>
          <w:rFonts w:ascii="Palatino Linotype" w:hAnsi="Palatino Linotype" w:cs="Tahoma"/>
        </w:rPr>
        <w:t xml:space="preserve"> más de año y medio, </w:t>
      </w:r>
      <w:r>
        <w:rPr>
          <w:rFonts w:ascii="Palatino Linotype" w:hAnsi="Palatino Linotype" w:cs="Tahoma"/>
        </w:rPr>
        <w:t xml:space="preserve">para poder entregar la vivienda, se pudo implementar en el PUGS-PMDOT, se tiene reglamentación para </w:t>
      </w:r>
      <w:r w:rsidR="00886F2C">
        <w:rPr>
          <w:rFonts w:ascii="Palatino Linotype" w:hAnsi="Palatino Linotype" w:cs="Tahoma"/>
        </w:rPr>
        <w:t>avanzar</w:t>
      </w:r>
      <w:r>
        <w:rPr>
          <w:rFonts w:ascii="Palatino Linotype" w:hAnsi="Palatino Linotype" w:cs="Tahoma"/>
        </w:rPr>
        <w:t xml:space="preserve"> en la entrega de viviendas de relocalizaci</w:t>
      </w:r>
      <w:r w:rsidR="009F749E">
        <w:rPr>
          <w:rFonts w:ascii="Palatino Linotype" w:hAnsi="Palatino Linotype" w:cs="Tahoma"/>
        </w:rPr>
        <w:t>ón; lamenta la renuncia de la presidenta del directorio de H</w:t>
      </w:r>
      <w:r w:rsidR="007F339D">
        <w:rPr>
          <w:rFonts w:ascii="Palatino Linotype" w:hAnsi="Palatino Linotype" w:cs="Tahoma"/>
        </w:rPr>
        <w:t xml:space="preserve">ábitat y Vivienda, agrega </w:t>
      </w:r>
      <w:r w:rsidR="004039FF">
        <w:rPr>
          <w:rFonts w:ascii="Palatino Linotype" w:hAnsi="Palatino Linotype" w:cs="Tahoma"/>
        </w:rPr>
        <w:t>que,</w:t>
      </w:r>
      <w:r w:rsidR="007F339D">
        <w:rPr>
          <w:rFonts w:ascii="Palatino Linotype" w:hAnsi="Palatino Linotype" w:cs="Tahoma"/>
        </w:rPr>
        <w:t xml:space="preserve"> mediante Ordenanza Metropolitana, </w:t>
      </w:r>
      <w:r w:rsidR="004039FF">
        <w:rPr>
          <w:rFonts w:ascii="Palatino Linotype" w:hAnsi="Palatino Linotype" w:cs="Tahoma"/>
        </w:rPr>
        <w:t xml:space="preserve">027-2021, </w:t>
      </w:r>
      <w:r w:rsidR="00787751">
        <w:rPr>
          <w:rFonts w:ascii="Palatino Linotype" w:hAnsi="Palatino Linotype" w:cs="Tahoma"/>
        </w:rPr>
        <w:t>respecto a las normas para el</w:t>
      </w:r>
      <w:r w:rsidR="007F339D">
        <w:rPr>
          <w:rFonts w:ascii="Palatino Linotype" w:hAnsi="Palatino Linotype" w:cs="Tahoma"/>
        </w:rPr>
        <w:t xml:space="preserve"> pago de </w:t>
      </w:r>
      <w:r w:rsidR="00787751">
        <w:rPr>
          <w:rFonts w:ascii="Palatino Linotype" w:hAnsi="Palatino Linotype" w:cs="Tahoma"/>
        </w:rPr>
        <w:t>impuestos; en esta Ordenanza, en la disposici</w:t>
      </w:r>
      <w:r w:rsidR="00B0717C">
        <w:rPr>
          <w:rFonts w:ascii="Palatino Linotype" w:hAnsi="Palatino Linotype" w:cs="Tahoma"/>
        </w:rPr>
        <w:t xml:space="preserve">ón transitoria quinta, indica, da lectura textualmente: </w:t>
      </w:r>
      <w:r w:rsidR="00F910D9">
        <w:rPr>
          <w:rFonts w:ascii="Palatino Linotype" w:hAnsi="Palatino Linotype" w:cs="Tahoma"/>
        </w:rPr>
        <w:t>“</w:t>
      </w:r>
      <w:r w:rsidR="00787751">
        <w:rPr>
          <w:rFonts w:ascii="Palatino Linotype" w:hAnsi="Palatino Linotype" w:cs="Tahoma"/>
        </w:rPr>
        <w:t xml:space="preserve">sin perjuicio del proceso de revalorización y </w:t>
      </w:r>
      <w:r w:rsidR="00787751">
        <w:rPr>
          <w:rFonts w:ascii="Palatino Linotype" w:hAnsi="Palatino Linotype" w:cs="Tahoma"/>
        </w:rPr>
        <w:lastRenderedPageBreak/>
        <w:t>actualización catastral, producto del presente t</w:t>
      </w:r>
      <w:r w:rsidR="00081B3D">
        <w:rPr>
          <w:rFonts w:ascii="Palatino Linotype" w:hAnsi="Palatino Linotype" w:cs="Tahoma"/>
        </w:rPr>
        <w:t xml:space="preserve">ítulo, los valores de las transferencias de bienes </w:t>
      </w:r>
      <w:r w:rsidR="008C6DA1">
        <w:rPr>
          <w:rFonts w:ascii="Palatino Linotype" w:hAnsi="Palatino Linotype" w:cs="Tahoma"/>
        </w:rPr>
        <w:t>inmuebles</w:t>
      </w:r>
      <w:r w:rsidR="00081B3D">
        <w:rPr>
          <w:rFonts w:ascii="Palatino Linotype" w:hAnsi="Palatino Linotype" w:cs="Tahoma"/>
        </w:rPr>
        <w:t xml:space="preserve"> de dominio privado, de </w:t>
      </w:r>
      <w:r w:rsidR="00E130B9">
        <w:rPr>
          <w:rFonts w:ascii="Palatino Linotype" w:hAnsi="Palatino Linotype" w:cs="Tahoma"/>
        </w:rPr>
        <w:t>propiedad del Munici</w:t>
      </w:r>
      <w:r w:rsidR="00F910D9">
        <w:rPr>
          <w:rFonts w:ascii="Palatino Linotype" w:hAnsi="Palatino Linotype" w:cs="Tahoma"/>
        </w:rPr>
        <w:t xml:space="preserve">pio del Distrito Metropolitano de Quito, observarán los precios, acordados a las partes, en la siguiente forma: Literal B) Para los casos de proyectos de vivienda de interés social o destinados a relocalización, </w:t>
      </w:r>
      <w:r w:rsidR="00B00150">
        <w:rPr>
          <w:rFonts w:ascii="Palatino Linotype" w:hAnsi="Palatino Linotype" w:cs="Tahoma"/>
        </w:rPr>
        <w:t>Victoria</w:t>
      </w:r>
      <w:r w:rsidR="00F910D9">
        <w:rPr>
          <w:rFonts w:ascii="Palatino Linotype" w:hAnsi="Palatino Linotype" w:cs="Tahoma"/>
        </w:rPr>
        <w:t xml:space="preserve"> del SUR, Ciudad Bicentenario, La Mena, Bellavida</w:t>
      </w:r>
      <w:r w:rsidR="00BA2C05">
        <w:rPr>
          <w:rFonts w:ascii="Palatino Linotype" w:hAnsi="Palatino Linotype" w:cs="Tahoma"/>
        </w:rPr>
        <w:t xml:space="preserve"> de Carretas y Pueblo Blanco; cuyo promotor sea el Municipio del Distrito, en las cuales se produjeran actos conducentes  al traspaso de dominio, con una determinada valoración, a través de promesas de compraventa, sean reservas sin promesas de compraventa o cualquier otra valoración, tales como depósitos o transferencias bancarias realizados a favor de la municipalidad o de los </w:t>
      </w:r>
      <w:r w:rsidR="00B00150">
        <w:rPr>
          <w:rFonts w:ascii="Palatino Linotype" w:hAnsi="Palatino Linotype" w:cs="Tahoma"/>
        </w:rPr>
        <w:t>fideicomisos</w:t>
      </w:r>
      <w:r w:rsidR="00BA2C05">
        <w:rPr>
          <w:rFonts w:ascii="Palatino Linotype" w:hAnsi="Palatino Linotype" w:cs="Tahoma"/>
        </w:rPr>
        <w:t xml:space="preserve"> constituidos, para la ejecución de estos proyectos que justifiquen estas transferencias o actos conducentes; plazos, términos y condiciones, dispuestos por la Empresa Pública Metropolitana de Hábitat  Vivienda</w:t>
      </w:r>
      <w:r w:rsidR="00B00150">
        <w:rPr>
          <w:rFonts w:ascii="Palatino Linotype" w:hAnsi="Palatino Linotype" w:cs="Tahoma"/>
        </w:rPr>
        <w:t>, en ese  momento, o que hayan emitido informes motivados con la nómina de personas que deben ser relocalizadas, emitidas por autoridad competente con el traspaso o transferencia de bonos de incentivos de vivienda, entregados por el gobierno central o esta municipalidad, donde no se hayan perfeccionado la transferencia de dominio, se respetarán los valores convenidos entre las partes o establecidas, al tiempo de los informes de calificación de beneficiarios, dentro del plan de relocalización, hasta que se produzca la correspondiente transferencia de dominio, independientemente que se actualice la valoración, la información de estos casos será entregada por la Empresa Pública Metropolitana de Hábitat y Vivienda, a las instancias, correspondientes, para el cumplimiento de esta disposición de la Empresa Pública Metropolitana de Hábitat y Vivienda, proporcionará la Dirección Metropolitana de Catastros, toda la información que se requiera, para su incorporación, en el sistema catastral en un plazo de treinta días a partir de la sanción de la presente ordenanza</w:t>
      </w:r>
      <w:r w:rsidR="00F910D9">
        <w:rPr>
          <w:rFonts w:ascii="Palatino Linotype" w:hAnsi="Palatino Linotype" w:cs="Tahoma"/>
        </w:rPr>
        <w:t>”</w:t>
      </w:r>
      <w:r w:rsidR="00A31659">
        <w:rPr>
          <w:rFonts w:ascii="Palatino Linotype" w:hAnsi="Palatino Linotype" w:cs="Tahoma"/>
        </w:rPr>
        <w:t xml:space="preserve"> agrega  que, mediante m</w:t>
      </w:r>
      <w:r w:rsidR="00B0717C">
        <w:rPr>
          <w:rFonts w:ascii="Palatino Linotype" w:hAnsi="Palatino Linotype" w:cs="Tahoma"/>
        </w:rPr>
        <w:t>emorando Nro. EPMHV-DAJ-2022-0068-M, de 31 de enero de 2022, suscrito por el Dr. Milton Rodo</w:t>
      </w:r>
      <w:r w:rsidR="004542FC">
        <w:rPr>
          <w:rFonts w:ascii="Palatino Linotype" w:hAnsi="Palatino Linotype" w:cs="Tahoma"/>
        </w:rPr>
        <w:t xml:space="preserve">lfo Rojas Arias, Director de </w:t>
      </w:r>
      <w:r w:rsidR="00B0717C">
        <w:rPr>
          <w:rFonts w:ascii="Palatino Linotype" w:hAnsi="Palatino Linotype" w:cs="Tahoma"/>
        </w:rPr>
        <w:t xml:space="preserve">Asesoría Jurídica, emite su criterio indicando: “lo dispuesto en la disposición </w:t>
      </w:r>
      <w:r w:rsidR="004542FC">
        <w:rPr>
          <w:rFonts w:ascii="Palatino Linotype" w:hAnsi="Palatino Linotype" w:cs="Tahoma"/>
        </w:rPr>
        <w:t>transitoria</w:t>
      </w:r>
      <w:r w:rsidR="00B0717C">
        <w:rPr>
          <w:rFonts w:ascii="Palatino Linotype" w:hAnsi="Palatino Linotype" w:cs="Tahoma"/>
        </w:rPr>
        <w:t xml:space="preserve">, quinta, literal b, de la Ordenanza 027-2021, del 14 de diciembre del 2021, referente a los </w:t>
      </w:r>
      <w:r w:rsidR="004542FC">
        <w:rPr>
          <w:rFonts w:ascii="Palatino Linotype" w:hAnsi="Palatino Linotype" w:cs="Tahoma"/>
        </w:rPr>
        <w:t>llamados</w:t>
      </w:r>
      <w:r w:rsidR="00B0717C">
        <w:rPr>
          <w:rFonts w:ascii="Palatino Linotype" w:hAnsi="Palatino Linotype" w:cs="Tahoma"/>
        </w:rPr>
        <w:t xml:space="preserve"> “actos conducentes”, no podría ser aplicable, puesto que se estaría vulnerando el </w:t>
      </w:r>
      <w:r w:rsidR="004542FC">
        <w:rPr>
          <w:rFonts w:ascii="Palatino Linotype" w:hAnsi="Palatino Linotype" w:cs="Tahoma"/>
        </w:rPr>
        <w:t>principio</w:t>
      </w:r>
      <w:r w:rsidR="00B0717C">
        <w:rPr>
          <w:rFonts w:ascii="Palatino Linotype" w:hAnsi="Palatino Linotype" w:cs="Tahoma"/>
        </w:rPr>
        <w:t xml:space="preserve"> de </w:t>
      </w:r>
      <w:r w:rsidR="004542FC">
        <w:rPr>
          <w:rFonts w:ascii="Palatino Linotype" w:hAnsi="Palatino Linotype" w:cs="Tahoma"/>
        </w:rPr>
        <w:t>irretroactividad</w:t>
      </w:r>
      <w:r w:rsidR="00B0717C">
        <w:rPr>
          <w:rFonts w:ascii="Palatino Linotype" w:hAnsi="Palatino Linotype" w:cs="Tahoma"/>
        </w:rPr>
        <w:t xml:space="preserve"> de la ley, generando además inseguridad jurídica, que acarrearía como </w:t>
      </w:r>
      <w:r w:rsidR="004542FC">
        <w:rPr>
          <w:rFonts w:ascii="Palatino Linotype" w:hAnsi="Palatino Linotype" w:cs="Tahoma"/>
        </w:rPr>
        <w:t>consecuencia</w:t>
      </w:r>
      <w:r w:rsidR="00B0717C">
        <w:rPr>
          <w:rFonts w:ascii="Palatino Linotype" w:hAnsi="Palatino Linotype" w:cs="Tahoma"/>
        </w:rPr>
        <w:t xml:space="preserve"> un perjuicio económico  a la </w:t>
      </w:r>
      <w:r w:rsidR="004542FC">
        <w:rPr>
          <w:rFonts w:ascii="Palatino Linotype" w:hAnsi="Palatino Linotype" w:cs="Tahoma"/>
        </w:rPr>
        <w:t>Empresa</w:t>
      </w:r>
      <w:r w:rsidR="00B0717C">
        <w:rPr>
          <w:rFonts w:ascii="Palatino Linotype" w:hAnsi="Palatino Linotype" w:cs="Tahoma"/>
        </w:rPr>
        <w:t xml:space="preserve"> P</w:t>
      </w:r>
      <w:r w:rsidR="004542FC">
        <w:rPr>
          <w:rFonts w:ascii="Palatino Linotype" w:hAnsi="Palatino Linotype" w:cs="Tahoma"/>
        </w:rPr>
        <w:t>ública, de cuatro millones cuatrocientos ochenta y un mil ciento sesenta y ocho, dólares de los Estados Unidos de Norte Am</w:t>
      </w:r>
      <w:r w:rsidR="00EF6733">
        <w:rPr>
          <w:rFonts w:ascii="Palatino Linotype" w:hAnsi="Palatino Linotype" w:cs="Tahoma"/>
        </w:rPr>
        <w:t>érica</w:t>
      </w:r>
      <w:r w:rsidR="00B0717C">
        <w:rPr>
          <w:rFonts w:ascii="Palatino Linotype" w:hAnsi="Palatino Linotype" w:cs="Tahoma"/>
        </w:rPr>
        <w:t>”</w:t>
      </w:r>
      <w:r w:rsidR="00EF6733">
        <w:rPr>
          <w:rFonts w:ascii="Palatino Linotype" w:hAnsi="Palatino Linotype" w:cs="Tahoma"/>
        </w:rPr>
        <w:t xml:space="preserve">, resalta que es muy preocupante, </w:t>
      </w:r>
      <w:r w:rsidR="00EB0BE8">
        <w:rPr>
          <w:rFonts w:ascii="Palatino Linotype" w:hAnsi="Palatino Linotype" w:cs="Tahoma"/>
        </w:rPr>
        <w:t>espera que conteste procuraduría y especialmente Catastros, respecto a cuántas veces se han reunido con sus equipos, para poder cumplir lo establecido por el Concejo Metropolitano de</w:t>
      </w:r>
      <w:r w:rsidR="00680322">
        <w:rPr>
          <w:rFonts w:ascii="Palatino Linotype" w:hAnsi="Palatino Linotype" w:cs="Tahoma"/>
        </w:rPr>
        <w:t xml:space="preserve"> Quito. Finalmente pide que la Empresa Pública emita su criterio jurídico sobre las normas para el pago de impuestos. Es una preocupación y es importante tomar en consideración que ya existe un antecedente jurídico, de aplicación de estas disposiciones por parte de la Empresa, que datan desde diciembre de 2017, en la ordenanza 196 en la disposición transitoria segunda, en el quinto párrafo. Vigente para el bienio 2018 y 20219, en la ordenanza 008, vigente para el bienio 2020, 2021, a través de las cuales se respetaron los precios del momento en que se establecieron, la empresa recibió como bonos por parte del municipio</w:t>
      </w:r>
      <w:r w:rsidR="00B81E49">
        <w:rPr>
          <w:rFonts w:ascii="Palatino Linotype" w:hAnsi="Palatino Linotype" w:cs="Tahoma"/>
        </w:rPr>
        <w:t>. Finalmente pide al señor gerente que informe sobre el tema de los precios.</w:t>
      </w:r>
      <w:r w:rsidR="00680322">
        <w:rPr>
          <w:rFonts w:ascii="Palatino Linotype" w:hAnsi="Palatino Linotype" w:cs="Tahoma"/>
        </w:rPr>
        <w:t xml:space="preserve"> </w:t>
      </w:r>
    </w:p>
    <w:p w:rsidR="00EE25B7" w:rsidRDefault="00B81E49" w:rsidP="00234A99">
      <w:pPr>
        <w:pStyle w:val="Textoindependiente"/>
        <w:spacing w:before="240" w:after="0" w:line="240" w:lineRule="auto"/>
        <w:jc w:val="both"/>
        <w:rPr>
          <w:rFonts w:ascii="Palatino Linotype" w:hAnsi="Palatino Linotype"/>
        </w:rPr>
      </w:pPr>
      <w:r>
        <w:rPr>
          <w:rFonts w:ascii="Palatino Linotype" w:hAnsi="Palatino Linotype"/>
          <w:b/>
        </w:rPr>
        <w:lastRenderedPageBreak/>
        <w:t>Interviene el Ing. Jaime Pérez, Gerente de la Empresa Pública Metropolitana de Hábitat</w:t>
      </w:r>
      <w:r w:rsidR="00CE1464">
        <w:rPr>
          <w:rFonts w:ascii="Palatino Linotype" w:hAnsi="Palatino Linotype"/>
          <w:b/>
        </w:rPr>
        <w:t xml:space="preserve"> y Vivienda</w:t>
      </w:r>
      <w:r>
        <w:rPr>
          <w:rFonts w:ascii="Palatino Linotype" w:hAnsi="Palatino Linotype"/>
          <w:b/>
        </w:rPr>
        <w:t xml:space="preserve">; </w:t>
      </w:r>
      <w:r>
        <w:rPr>
          <w:rFonts w:ascii="Palatino Linotype" w:hAnsi="Palatino Linotype"/>
        </w:rPr>
        <w:t xml:space="preserve">menciona que, han convocado a mesas de trabajo con el afán de establecer, los preciso, porque la empresa tiene un valor de utilidad del 8 %, en las mesas de trabajo se puede bajar los costos </w:t>
      </w:r>
      <w:r w:rsidR="00181704">
        <w:rPr>
          <w:rFonts w:ascii="Palatino Linotype" w:hAnsi="Palatino Linotype"/>
        </w:rPr>
        <w:t xml:space="preserve">y que la empresa no tenga </w:t>
      </w:r>
      <w:r w:rsidR="00CE1464">
        <w:rPr>
          <w:rFonts w:ascii="Palatino Linotype" w:hAnsi="Palatino Linotype"/>
        </w:rPr>
        <w:t>utilidad,</w:t>
      </w:r>
      <w:r w:rsidR="00181704">
        <w:rPr>
          <w:rFonts w:ascii="Palatino Linotype" w:hAnsi="Palatino Linotype"/>
        </w:rPr>
        <w:t xml:space="preserve"> pero si resarcirse de los gastos de construcción.</w:t>
      </w:r>
    </w:p>
    <w:p w:rsidR="00CE1464" w:rsidRDefault="00CE1464" w:rsidP="00234A99">
      <w:pPr>
        <w:pStyle w:val="Textoindependiente"/>
        <w:spacing w:before="240" w:after="0" w:line="240" w:lineRule="auto"/>
        <w:jc w:val="both"/>
        <w:rPr>
          <w:rFonts w:ascii="Palatino Linotype" w:hAnsi="Palatino Linotype"/>
        </w:rPr>
      </w:pPr>
      <w:r>
        <w:rPr>
          <w:rFonts w:ascii="Palatino Linotype" w:hAnsi="Palatino Linotype"/>
          <w:b/>
        </w:rPr>
        <w:t xml:space="preserve">Interviene la concejala Soledad Benítez, </w:t>
      </w:r>
      <w:r w:rsidRPr="00CE1464">
        <w:rPr>
          <w:rFonts w:ascii="Palatino Linotype" w:hAnsi="Palatino Linotype"/>
        </w:rPr>
        <w:t>menciona que es necesario tener el pronunciamiento de Procuradur</w:t>
      </w:r>
      <w:r>
        <w:rPr>
          <w:rFonts w:ascii="Palatino Linotype" w:hAnsi="Palatino Linotype"/>
        </w:rPr>
        <w:t>ía.</w:t>
      </w:r>
    </w:p>
    <w:p w:rsidR="00CE1464" w:rsidRPr="00CE1464" w:rsidRDefault="00CE1464" w:rsidP="00234A99">
      <w:pPr>
        <w:pStyle w:val="Textoindependiente"/>
        <w:spacing w:before="240" w:after="0" w:line="240" w:lineRule="auto"/>
        <w:jc w:val="both"/>
        <w:rPr>
          <w:rFonts w:ascii="Palatino Linotype" w:hAnsi="Palatino Linotype"/>
        </w:rPr>
      </w:pPr>
      <w:r w:rsidRPr="00CE1464">
        <w:rPr>
          <w:rFonts w:ascii="Palatino Linotype" w:hAnsi="Palatino Linotype"/>
          <w:b/>
        </w:rPr>
        <w:t>Interviene Norma Jiménez de la Procuraduría;</w:t>
      </w:r>
      <w:r>
        <w:rPr>
          <w:rFonts w:ascii="Palatino Linotype" w:hAnsi="Palatino Linotype"/>
        </w:rPr>
        <w:t xml:space="preserve"> menciona que se ha pedido a procuraduría el pronunciamiento forma, no adelanta ningún criterio ya que está como remplazo.</w:t>
      </w:r>
    </w:p>
    <w:p w:rsidR="00CE1464" w:rsidRDefault="00CE1464" w:rsidP="00234A99">
      <w:pPr>
        <w:pStyle w:val="Textoindependiente"/>
        <w:spacing w:before="240" w:after="0" w:line="240" w:lineRule="auto"/>
        <w:jc w:val="both"/>
        <w:rPr>
          <w:rFonts w:ascii="Palatino Linotype" w:hAnsi="Palatino Linotype" w:cs="Tahoma"/>
        </w:rPr>
      </w:pPr>
      <w:r>
        <w:rPr>
          <w:rFonts w:ascii="Palatino Linotype" w:hAnsi="Palatino Linotype" w:cs="Tahoma"/>
          <w:b/>
        </w:rPr>
        <w:t xml:space="preserve">Interviene la concejala Blanca Paucar; </w:t>
      </w:r>
      <w:r w:rsidR="00057929" w:rsidRPr="00057929">
        <w:rPr>
          <w:rFonts w:ascii="Palatino Linotype" w:hAnsi="Palatino Linotype" w:cs="Tahoma"/>
        </w:rPr>
        <w:t>ante el incumplimiento</w:t>
      </w:r>
      <w:r w:rsidR="00057929">
        <w:rPr>
          <w:rFonts w:ascii="Palatino Linotype" w:hAnsi="Palatino Linotype" w:cs="Tahoma"/>
        </w:rPr>
        <w:t>,</w:t>
      </w:r>
      <w:r w:rsidR="00057929" w:rsidRPr="00057929">
        <w:rPr>
          <w:rFonts w:ascii="Palatino Linotype" w:hAnsi="Palatino Linotype" w:cs="Tahoma"/>
        </w:rPr>
        <w:t xml:space="preserve"> pregunta </w:t>
      </w:r>
      <w:r w:rsidR="00057929">
        <w:rPr>
          <w:rFonts w:ascii="Palatino Linotype" w:hAnsi="Palatino Linotype" w:cs="Tahoma"/>
        </w:rPr>
        <w:t xml:space="preserve">¿qué es lo que se debe hacer, </w:t>
      </w:r>
      <w:r w:rsidR="00057929" w:rsidRPr="00057929">
        <w:rPr>
          <w:rFonts w:ascii="Palatino Linotype" w:hAnsi="Palatino Linotype" w:cs="Tahoma"/>
        </w:rPr>
        <w:t xml:space="preserve">quién puede hacer que se ejecute lo que está establecido para los servidores </w:t>
      </w:r>
      <w:r w:rsidR="000E2066" w:rsidRPr="00057929">
        <w:rPr>
          <w:rFonts w:ascii="Palatino Linotype" w:hAnsi="Palatino Linotype" w:cs="Tahoma"/>
        </w:rPr>
        <w:t>públicos?</w:t>
      </w:r>
    </w:p>
    <w:p w:rsidR="00057929" w:rsidRPr="00057929" w:rsidRDefault="00057929" w:rsidP="00234A99">
      <w:pPr>
        <w:pStyle w:val="Textoindependiente"/>
        <w:spacing w:before="240" w:after="0" w:line="240" w:lineRule="auto"/>
        <w:jc w:val="both"/>
        <w:rPr>
          <w:rFonts w:ascii="Palatino Linotype" w:hAnsi="Palatino Linotype"/>
        </w:rPr>
      </w:pPr>
      <w:r>
        <w:rPr>
          <w:rFonts w:ascii="Palatino Linotype" w:hAnsi="Palatino Linotype"/>
          <w:b/>
        </w:rPr>
        <w:t xml:space="preserve">Interviene la concejala Soledad Benítez, </w:t>
      </w:r>
      <w:r>
        <w:rPr>
          <w:rFonts w:ascii="Palatino Linotype" w:hAnsi="Palatino Linotype"/>
        </w:rPr>
        <w:t xml:space="preserve">menciona que, según lo mencionando por el gerente, no hay el cumplimiento de la </w:t>
      </w:r>
      <w:r w:rsidR="00860266">
        <w:rPr>
          <w:rFonts w:ascii="Palatino Linotype" w:hAnsi="Palatino Linotype"/>
        </w:rPr>
        <w:t>transitoria</w:t>
      </w:r>
      <w:r>
        <w:rPr>
          <w:rFonts w:ascii="Palatino Linotype" w:hAnsi="Palatino Linotype"/>
        </w:rPr>
        <w:t>.</w:t>
      </w:r>
    </w:p>
    <w:p w:rsidR="00C27339" w:rsidRDefault="00CE1464" w:rsidP="00234A99">
      <w:pPr>
        <w:pStyle w:val="Textoindependiente"/>
        <w:spacing w:before="240" w:after="0" w:line="240" w:lineRule="auto"/>
        <w:jc w:val="both"/>
        <w:rPr>
          <w:rFonts w:ascii="Palatino Linotype" w:hAnsi="Palatino Linotype"/>
        </w:rPr>
      </w:pPr>
      <w:r w:rsidRPr="00CE1464">
        <w:rPr>
          <w:rFonts w:ascii="Palatino Linotype" w:hAnsi="Palatino Linotype"/>
          <w:b/>
        </w:rPr>
        <w:t>Interviene el Dr. Milton Rojas de la Empresa Pública Metropolitana de Hábitat y Vivienda;</w:t>
      </w:r>
      <w:r>
        <w:rPr>
          <w:rFonts w:ascii="Palatino Linotype" w:hAnsi="Palatino Linotype"/>
          <w:b/>
        </w:rPr>
        <w:t xml:space="preserve"> </w:t>
      </w:r>
      <w:r w:rsidR="00860266">
        <w:rPr>
          <w:rFonts w:ascii="Palatino Linotype" w:hAnsi="Palatino Linotype"/>
        </w:rPr>
        <w:t xml:space="preserve">presenta las acciones realizadas, como EPMHV, para dar cumplimiento a la disposición de la </w:t>
      </w:r>
      <w:r w:rsidR="001B6A17">
        <w:rPr>
          <w:rFonts w:ascii="Palatino Linotype" w:hAnsi="Palatino Linotype"/>
        </w:rPr>
        <w:t>Ordenanza</w:t>
      </w:r>
      <w:r w:rsidR="00860266">
        <w:rPr>
          <w:rFonts w:ascii="Palatino Linotype" w:hAnsi="Palatino Linotype"/>
        </w:rPr>
        <w:t xml:space="preserve">, están solicitando a tanto a la procuraduría </w:t>
      </w:r>
      <w:r w:rsidR="001B6A17">
        <w:rPr>
          <w:rFonts w:ascii="Palatino Linotype" w:hAnsi="Palatino Linotype"/>
        </w:rPr>
        <w:t>Metropolitana</w:t>
      </w:r>
      <w:r w:rsidR="00860266">
        <w:rPr>
          <w:rFonts w:ascii="Palatino Linotype" w:hAnsi="Palatino Linotype"/>
        </w:rPr>
        <w:t xml:space="preserve"> como a la Procuraduría General del Estado, sobre el alcance de la disposición transitoria V, 027.2021; la Procuraduría Metropolitana respondió con requerimiento de que se emita el criterio jurídico institucional, además de eso el criterio técnico y económico, en </w:t>
      </w:r>
      <w:r w:rsidR="001B6A17">
        <w:rPr>
          <w:rFonts w:ascii="Palatino Linotype" w:hAnsi="Palatino Linotype"/>
        </w:rPr>
        <w:t>tal</w:t>
      </w:r>
      <w:r w:rsidR="00860266">
        <w:rPr>
          <w:rFonts w:ascii="Palatino Linotype" w:hAnsi="Palatino Linotype"/>
        </w:rPr>
        <w:t xml:space="preserve"> virtud,  </w:t>
      </w:r>
      <w:r w:rsidR="001B6A17">
        <w:rPr>
          <w:rFonts w:ascii="Palatino Linotype" w:hAnsi="Palatino Linotype"/>
        </w:rPr>
        <w:t>se remitió a la procuraduría para el análisis correspondientes, hasta la fecha no hay respuesta, cuando se tenga la respuesta se aplicar</w:t>
      </w:r>
      <w:r w:rsidR="001D3840">
        <w:rPr>
          <w:rFonts w:ascii="Palatino Linotype" w:hAnsi="Palatino Linotype"/>
        </w:rPr>
        <w:t>á si es que cabe. Seguidamente expone la base legal sobre la cual se emite el infirme jurídico, tiene que ver con el Código Civil y con el Código Municipal, el C</w:t>
      </w:r>
      <w:r w:rsidR="00C20B8D">
        <w:rPr>
          <w:rFonts w:ascii="Palatino Linotype" w:hAnsi="Palatino Linotype"/>
        </w:rPr>
        <w:t xml:space="preserve">ódigo Civil, en su Art. 7, </w:t>
      </w:r>
      <w:r w:rsidR="001D3840">
        <w:rPr>
          <w:rFonts w:ascii="Palatino Linotype" w:hAnsi="Palatino Linotype"/>
        </w:rPr>
        <w:t>habla de la irretroactividad de la norma</w:t>
      </w:r>
      <w:r w:rsidR="00C20B8D">
        <w:rPr>
          <w:rFonts w:ascii="Palatino Linotype" w:hAnsi="Palatino Linotype"/>
        </w:rPr>
        <w:t>, es decir establece para lo venidero, toda vez que la</w:t>
      </w:r>
      <w:r w:rsidR="001803C8">
        <w:rPr>
          <w:rFonts w:ascii="Palatino Linotype" w:hAnsi="Palatino Linotype"/>
        </w:rPr>
        <w:t xml:space="preserve"> disposición transitoria V establece, que se</w:t>
      </w:r>
      <w:r w:rsidR="00C20B8D">
        <w:rPr>
          <w:rFonts w:ascii="Palatino Linotype" w:hAnsi="Palatino Linotype"/>
        </w:rPr>
        <w:t xml:space="preserve"> aplique documentos de hace 8 </w:t>
      </w:r>
      <w:r w:rsidR="001803C8">
        <w:rPr>
          <w:rFonts w:ascii="Palatino Linotype" w:hAnsi="Palatino Linotype"/>
        </w:rPr>
        <w:t xml:space="preserve">o 10 </w:t>
      </w:r>
      <w:r w:rsidR="00C20B8D">
        <w:rPr>
          <w:rFonts w:ascii="Palatino Linotype" w:hAnsi="Palatino Linotype"/>
        </w:rPr>
        <w:t xml:space="preserve">años atrás, </w:t>
      </w:r>
      <w:r w:rsidR="001803C8">
        <w:rPr>
          <w:rFonts w:ascii="Palatino Linotype" w:hAnsi="Palatino Linotype"/>
        </w:rPr>
        <w:t>se está pidiendo esa aclaración a la PM Y PGE; El Código Municipal establece cuál es el patrimonio de la empresa y estos deben ser resguardados. En las normas de control</w:t>
      </w:r>
      <w:r w:rsidR="00E63D1E">
        <w:rPr>
          <w:rFonts w:ascii="Palatino Linotype" w:hAnsi="Palatino Linotype"/>
        </w:rPr>
        <w:t xml:space="preserve"> interno establece que, las entidades públicas que vendan regularmente bienes o servicios, emitirán su reglamentación, que aseguren la recuperación de los costes realizados, mercaderías despachados o serv</w:t>
      </w:r>
      <w:r w:rsidR="00C27339">
        <w:rPr>
          <w:rFonts w:ascii="Palatino Linotype" w:hAnsi="Palatino Linotype"/>
        </w:rPr>
        <w:t>i</w:t>
      </w:r>
      <w:r w:rsidR="00E63D1E">
        <w:rPr>
          <w:rFonts w:ascii="Palatino Linotype" w:hAnsi="Palatino Linotype"/>
        </w:rPr>
        <w:t>c</w:t>
      </w:r>
      <w:r w:rsidR="00C27339">
        <w:rPr>
          <w:rFonts w:ascii="Palatino Linotype" w:hAnsi="Palatino Linotype"/>
        </w:rPr>
        <w:t>i</w:t>
      </w:r>
      <w:r w:rsidR="00E63D1E">
        <w:rPr>
          <w:rFonts w:ascii="Palatino Linotype" w:hAnsi="Palatino Linotype"/>
        </w:rPr>
        <w:t xml:space="preserve">os prestados, si no se cumple </w:t>
      </w:r>
      <w:r w:rsidR="00C27339">
        <w:rPr>
          <w:rFonts w:ascii="Palatino Linotype" w:hAnsi="Palatino Linotype"/>
        </w:rPr>
        <w:t>hay la posibilidad de ser sujetos de glosas.</w:t>
      </w:r>
    </w:p>
    <w:p w:rsidR="00EE25B7" w:rsidRPr="00C27339" w:rsidRDefault="00C27339" w:rsidP="00234A99">
      <w:pPr>
        <w:pStyle w:val="Textoindependiente"/>
        <w:spacing w:before="240" w:after="0" w:line="240" w:lineRule="auto"/>
        <w:jc w:val="both"/>
        <w:rPr>
          <w:rFonts w:ascii="Palatino Linotype" w:hAnsi="Palatino Linotype"/>
        </w:rPr>
      </w:pPr>
      <w:r w:rsidRPr="00C27339">
        <w:rPr>
          <w:rFonts w:ascii="Palatino Linotype" w:hAnsi="Palatino Linotype"/>
          <w:b/>
        </w:rPr>
        <w:t>Interviene la concejala</w:t>
      </w:r>
      <w:r>
        <w:rPr>
          <w:rFonts w:ascii="Palatino Linotype" w:hAnsi="Palatino Linotype"/>
          <w:b/>
        </w:rPr>
        <w:t xml:space="preserve"> Blanca Paucar; </w:t>
      </w:r>
      <w:r w:rsidRPr="00C27339">
        <w:rPr>
          <w:rFonts w:ascii="Palatino Linotype" w:hAnsi="Palatino Linotype"/>
        </w:rPr>
        <w:t>menciona</w:t>
      </w:r>
      <w:r>
        <w:rPr>
          <w:rFonts w:ascii="Palatino Linotype" w:hAnsi="Palatino Linotype"/>
        </w:rPr>
        <w:t xml:space="preserve"> que, la ordenanza fue aprobada, con base a informes de Procuraduría, agrega que no se está cumpliendo y desinstitucionalizando al Municipio. Pide condolerse de la gente y dar respuesta a la ciudadanía, en tal sentido mociona: </w:t>
      </w:r>
      <w:r w:rsidRPr="00C27339">
        <w:rPr>
          <w:rFonts w:ascii="Palatino Linotype" w:hAnsi="Palatino Linotype"/>
        </w:rPr>
        <w:t xml:space="preserve">Exigir a la Empresa Pública Metropolitana de Hábitat y Vivienda, dé cumplimiento a la disposición transitoria Quinta de la ordenanza 027-2021, sancionada el 14 de diciembre 2021. Solicitar que la Procuraduría Metropolitana del G.A.D. del D.M., de Quito, emita su criterio sobre las consecuencias </w:t>
      </w:r>
      <w:r w:rsidRPr="00C27339">
        <w:rPr>
          <w:rFonts w:ascii="Palatino Linotype" w:hAnsi="Palatino Linotype"/>
        </w:rPr>
        <w:lastRenderedPageBreak/>
        <w:t>del incumplimiento de los funcionarios según lo establece específicamente la disposición transitoria quinta de la ordenanza 027</w:t>
      </w:r>
      <w:r w:rsidR="006B1EA3">
        <w:rPr>
          <w:rFonts w:ascii="Palatino Linotype" w:hAnsi="Palatino Linotype"/>
        </w:rPr>
        <w:t>-</w:t>
      </w:r>
      <w:r w:rsidRPr="00C27339">
        <w:rPr>
          <w:rFonts w:ascii="Palatino Linotype" w:hAnsi="Palatino Linotype"/>
        </w:rPr>
        <w:t>2021 sancionada el 14 de diciembre del 2021.</w:t>
      </w:r>
    </w:p>
    <w:p w:rsidR="002B4BA3" w:rsidRDefault="009E624D" w:rsidP="00234A99">
      <w:pPr>
        <w:pStyle w:val="Textoindependiente"/>
        <w:spacing w:before="240" w:after="0" w:line="240" w:lineRule="auto"/>
        <w:jc w:val="both"/>
        <w:rPr>
          <w:rFonts w:ascii="Palatino Linotype" w:hAnsi="Palatino Linotype" w:cs="Tahoma"/>
        </w:rPr>
      </w:pPr>
      <w:r>
        <w:rPr>
          <w:rFonts w:ascii="Palatino Linotype" w:hAnsi="Palatino Linotype" w:cs="Tahoma"/>
        </w:rPr>
        <w:t xml:space="preserve">Una vez apoyada la moción, se procede a tomar votación de la moción planteada, registrándose </w:t>
      </w:r>
      <w:r w:rsidR="002B4BA3">
        <w:rPr>
          <w:rFonts w:ascii="Palatino Linotype" w:hAnsi="Palatino Linotype" w:cs="Tahoma"/>
        </w:rPr>
        <w:t>los siguientes resultados:</w:t>
      </w:r>
    </w:p>
    <w:p w:rsidR="002B4BA3" w:rsidRDefault="002B4BA3" w:rsidP="00234A99">
      <w:pPr>
        <w:pStyle w:val="Textoindependiente"/>
        <w:spacing w:before="240" w:after="0" w:line="240" w:lineRule="auto"/>
        <w:jc w:val="both"/>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2B4BA3" w:rsidRPr="00867BAA" w:rsidTr="00FF1851">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p>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b/>
                <w:i w:val="0"/>
                <w:color w:val="FFFFFF"/>
                <w:sz w:val="22"/>
                <w:szCs w:val="22"/>
                <w:lang w:val="es-ES"/>
              </w:rPr>
            </w:pPr>
          </w:p>
          <w:p w:rsidR="002B4BA3" w:rsidRPr="00867BAA" w:rsidRDefault="002B4BA3"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hideMark/>
          </w:tcPr>
          <w:p w:rsidR="002B4BA3" w:rsidRPr="00867BAA" w:rsidRDefault="002B4BA3"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B4BA3" w:rsidRPr="00867BAA" w:rsidRDefault="002B4BA3"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4BA3" w:rsidRPr="00867BAA" w:rsidRDefault="002B4BA3" w:rsidP="00FF1851">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2B4BA3"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4BA3" w:rsidRPr="00867BAA" w:rsidRDefault="002B4BA3"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4BA3" w:rsidRPr="00867BAA" w:rsidRDefault="002B4BA3"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27339" w:rsidRDefault="002B4BA3" w:rsidP="00C27339">
      <w:pPr>
        <w:pStyle w:val="Textoindependiente"/>
        <w:spacing w:before="240" w:after="0" w:line="240" w:lineRule="auto"/>
        <w:jc w:val="both"/>
        <w:rPr>
          <w:rFonts w:ascii="Palatino Linotype" w:hAnsi="Palatino Linotype" w:cs="Tahoma"/>
        </w:rPr>
      </w:pPr>
      <w:r>
        <w:rPr>
          <w:rFonts w:ascii="Palatino Linotype" w:hAnsi="Palatino Linotype" w:cs="Tahoma"/>
        </w:rPr>
        <w:t xml:space="preserve">Con dos votos a favor, la Comisión de Vivienda y Hábitat, resolvió: </w:t>
      </w:r>
      <w:r w:rsidR="00C27339" w:rsidRPr="00C27339">
        <w:rPr>
          <w:rFonts w:ascii="Palatino Linotype" w:hAnsi="Palatino Linotype" w:cs="Tahoma"/>
        </w:rPr>
        <w:t>Exigir a la Empresa Pública Metropolitana de Hábitat y Vivienda, dé cumplimiento a la disposición transitoria Quinta de la ordenanza 027-2021, sancionada el 14 de diciembre 2021. Solicitar que la Procuraduría Metropolitana del G.A.D. del D.M., de Quito, emita su criterio sobre las consecuencias del incumplimiento de los funcionarios según lo establece específicamente la disposición transitoria quinta de la ordenanza 0272021 sancionada el 14 de diciembre del 2021.</w:t>
      </w:r>
    </w:p>
    <w:p w:rsidR="00616A6B" w:rsidRDefault="00616A6B" w:rsidP="00C27339">
      <w:pPr>
        <w:pStyle w:val="Textoindependiente"/>
        <w:spacing w:before="240" w:after="0" w:line="240" w:lineRule="auto"/>
        <w:jc w:val="both"/>
        <w:rPr>
          <w:rFonts w:ascii="Palatino Linotype" w:hAnsi="Palatino Linotype" w:cs="Tahoma"/>
          <w:b/>
        </w:rPr>
      </w:pPr>
      <w:r>
        <w:rPr>
          <w:rFonts w:ascii="Palatino Linotype" w:hAnsi="Palatino Linotype" w:cs="Tahoma"/>
          <w:b/>
        </w:rPr>
        <w:t>T</w:t>
      </w:r>
      <w:r w:rsidRPr="00616A6B">
        <w:rPr>
          <w:rFonts w:ascii="Palatino Linotype" w:hAnsi="Palatino Linotype" w:cs="Tahoma"/>
          <w:b/>
        </w:rPr>
        <w:t>e</w:t>
      </w:r>
      <w:r>
        <w:rPr>
          <w:rFonts w:ascii="Palatino Linotype" w:hAnsi="Palatino Linotype" w:cs="Tahoma"/>
          <w:b/>
        </w:rPr>
        <w:t>r</w:t>
      </w:r>
      <w:r w:rsidRPr="00616A6B">
        <w:rPr>
          <w:rFonts w:ascii="Palatino Linotype" w:hAnsi="Palatino Linotype" w:cs="Tahoma"/>
          <w:b/>
        </w:rPr>
        <w:t>cer punto: Informe por parte de la Empresa Pública Metropolitana de Hábitat y Vivienda, referente al cierre de los convenios 064 y 202 suscritos entre el Municipio del Distrito Metropolitano de Quito y el Ministerio de Desarrollo Urbano y Vivienda; y resolución al respecto.</w:t>
      </w:r>
    </w:p>
    <w:p w:rsidR="00E86A49" w:rsidRDefault="00C1029D" w:rsidP="00C27339">
      <w:pPr>
        <w:pStyle w:val="Textoindependiente"/>
        <w:spacing w:before="240" w:after="0" w:line="240" w:lineRule="auto"/>
        <w:jc w:val="both"/>
        <w:rPr>
          <w:rFonts w:ascii="Palatino Linotype" w:hAnsi="Palatino Linotype" w:cs="Tahoma"/>
        </w:rPr>
      </w:pPr>
      <w:r>
        <w:rPr>
          <w:rFonts w:ascii="Palatino Linotype" w:hAnsi="Palatino Linotype" w:cs="Tahoma"/>
          <w:b/>
        </w:rPr>
        <w:t xml:space="preserve">Interviene la Ing. Marcia Herrera de la Empresa Pública Metropolitana de Hábitat y Vivienda; </w:t>
      </w:r>
      <w:r>
        <w:rPr>
          <w:rFonts w:ascii="Palatino Linotype" w:hAnsi="Palatino Linotype" w:cs="Tahoma"/>
        </w:rPr>
        <w:t>inicia exponiendo, los convenios suscritos con sus objetos específicos, el 064 suscrito el 9 de junio del 2011, entre el Municipio de</w:t>
      </w:r>
      <w:r w:rsidR="007A6E65">
        <w:rPr>
          <w:rFonts w:ascii="Palatino Linotype" w:hAnsi="Palatino Linotype" w:cs="Tahoma"/>
        </w:rPr>
        <w:t>l</w:t>
      </w:r>
      <w:r>
        <w:rPr>
          <w:rFonts w:ascii="Palatino Linotype" w:hAnsi="Palatino Linotype" w:cs="Tahoma"/>
        </w:rPr>
        <w:t xml:space="preserve"> D. M. de Quito, el MIDUVI y la Secretaría Nacional de Riesgos, </w:t>
      </w:r>
      <w:r w:rsidR="007A6E65">
        <w:rPr>
          <w:rFonts w:ascii="Palatino Linotype" w:hAnsi="Palatino Linotype" w:cs="Tahoma"/>
        </w:rPr>
        <w:t xml:space="preserve">este convenio, cuyo objeto fue la transferencia de fondos por parte del MIDUVI,  a favor del Municipio D.M. de Quito, por un valor total de tres millones cuatrocientos veinte y siete mil novecientos veinte, este es específico para 360  beneficiarios o familias calificadas para el plan de relocalización emergente; el segundo convenio es el 202, este fue suscrito el 8 agosto del 2012 , entre el Municipio del D. M. de Quito, el MIDUVI y la Secretaría Nacional de Riesgos, el objeto de este convenio específico, fue la transferencia de fondos, para la ejecución y desarrollo de los proyectos denominados reasentamiento, dentro de los cuales está Ciudad Bicentenario con 70 familias, Victoria del Sur con 382 familias, esto por un valor de cinco millones cuatrocientos veinte y cuatro mil; y, una segunda transferencia para Pueblo Blanco y Bella Vista de Carretas, 171 familias, conforme al listado enviado mediante oficio. </w:t>
      </w:r>
      <w:r w:rsidR="009E7029">
        <w:rPr>
          <w:rFonts w:ascii="Palatino Linotype" w:hAnsi="Palatino Linotype" w:cs="Tahoma"/>
        </w:rPr>
        <w:t xml:space="preserve">Con base en estos dos convenios la </w:t>
      </w:r>
      <w:r w:rsidR="006C6D09">
        <w:rPr>
          <w:rFonts w:ascii="Palatino Linotype" w:hAnsi="Palatino Linotype" w:cs="Tahoma"/>
        </w:rPr>
        <w:t>EPMH, ha</w:t>
      </w:r>
      <w:r w:rsidR="009E7029">
        <w:rPr>
          <w:rFonts w:ascii="Palatino Linotype" w:hAnsi="Palatino Linotype" w:cs="Tahoma"/>
        </w:rPr>
        <w:t xml:space="preserve"> mantenido reuniones con las autoridades para liquidar estos </w:t>
      </w:r>
      <w:r w:rsidR="006C6D09">
        <w:rPr>
          <w:rFonts w:ascii="Palatino Linotype" w:hAnsi="Palatino Linotype" w:cs="Tahoma"/>
        </w:rPr>
        <w:t>convenios</w:t>
      </w:r>
      <w:r w:rsidR="009E7029">
        <w:rPr>
          <w:rFonts w:ascii="Palatino Linotype" w:hAnsi="Palatino Linotype" w:cs="Tahoma"/>
        </w:rPr>
        <w:t>, conforme a l</w:t>
      </w:r>
      <w:r w:rsidR="006C6D09">
        <w:rPr>
          <w:rFonts w:ascii="Palatino Linotype" w:hAnsi="Palatino Linotype" w:cs="Tahoma"/>
        </w:rPr>
        <w:t xml:space="preserve">as disposiciones de los mismos. </w:t>
      </w:r>
      <w:r w:rsidR="00E86A49">
        <w:rPr>
          <w:rFonts w:ascii="Palatino Linotype" w:hAnsi="Palatino Linotype" w:cs="Tahoma"/>
        </w:rPr>
        <w:t xml:space="preserve">De acuerdo a los criterios del MIDUVI, en función que ya ha fenecido el plazo de estos convenios, el </w:t>
      </w:r>
      <w:r w:rsidR="00E86A49">
        <w:rPr>
          <w:rFonts w:ascii="Palatino Linotype" w:hAnsi="Palatino Linotype" w:cs="Tahoma"/>
        </w:rPr>
        <w:lastRenderedPageBreak/>
        <w:t>convenio 064, venció en el 2012 y el 202 en el 2013, por eso no se puede modificar. El convenio 064, era para a</w:t>
      </w:r>
      <w:r w:rsidR="00841DA7">
        <w:rPr>
          <w:rFonts w:ascii="Palatino Linotype" w:hAnsi="Palatino Linotype" w:cs="Tahoma"/>
        </w:rPr>
        <w:t xml:space="preserve"> </w:t>
      </w:r>
      <w:r w:rsidR="00E86A49">
        <w:rPr>
          <w:rFonts w:ascii="Palatino Linotype" w:hAnsi="Palatino Linotype" w:cs="Tahoma"/>
        </w:rPr>
        <w:t xml:space="preserve">360 bonos de un valor individual de 9200, fue para el proyecto específico La Mena; </w:t>
      </w:r>
      <w:r w:rsidR="00841DA7">
        <w:rPr>
          <w:rFonts w:ascii="Palatino Linotype" w:hAnsi="Palatino Linotype" w:cs="Tahoma"/>
        </w:rPr>
        <w:t>la construcci</w:t>
      </w:r>
      <w:r w:rsidR="006F0D1D">
        <w:rPr>
          <w:rFonts w:ascii="Palatino Linotype" w:hAnsi="Palatino Linotype" w:cs="Tahoma"/>
        </w:rPr>
        <w:t xml:space="preserve">ón total es de 408 viviendas. Respecto al convenio 202, suscrito el año 2012, con el plazo de un año, </w:t>
      </w:r>
      <w:r w:rsidR="00292830">
        <w:rPr>
          <w:rFonts w:ascii="Palatino Linotype" w:hAnsi="Palatino Linotype" w:cs="Tahoma"/>
        </w:rPr>
        <w:t>se construyó 700 viviendas. La EPMHV, como seguimiento ha realizado mesas de trabajo entre funcionarios de la Empresa y del MIDUVI; inspecciones de los proyectos entre funcionarios de la EPMHV y delegados dela oficina técnica del MIDUVI.</w:t>
      </w:r>
      <w:r w:rsidR="00C84657">
        <w:rPr>
          <w:rFonts w:ascii="Palatino Linotype" w:hAnsi="Palatino Linotype" w:cs="Tahoma"/>
        </w:rPr>
        <w:t xml:space="preserve"> Dentro del seguimiento, la Gerencia de la EPMHV, conformó el equipo para efectuar los actos conducentes al cierre; luego de las inspecciones el MIDUVI, emitirá un informe para conocer el mecanismo que se va a utilizar para la liquidación y cierre de estos convenios, ya que en los </w:t>
      </w:r>
      <w:r w:rsidR="000666CD">
        <w:rPr>
          <w:rFonts w:ascii="Palatino Linotype" w:hAnsi="Palatino Linotype" w:cs="Tahoma"/>
        </w:rPr>
        <w:t>convenios</w:t>
      </w:r>
      <w:r w:rsidR="00C84657">
        <w:rPr>
          <w:rFonts w:ascii="Palatino Linotype" w:hAnsi="Palatino Linotype" w:cs="Tahoma"/>
        </w:rPr>
        <w:t xml:space="preserve"> específicos no existen </w:t>
      </w:r>
      <w:r w:rsidR="000666CD">
        <w:rPr>
          <w:rFonts w:ascii="Palatino Linotype" w:hAnsi="Palatino Linotype" w:cs="Tahoma"/>
        </w:rPr>
        <w:t>los</w:t>
      </w:r>
      <w:r w:rsidR="00C84657">
        <w:rPr>
          <w:rFonts w:ascii="Palatino Linotype" w:hAnsi="Palatino Linotype" w:cs="Tahoma"/>
        </w:rPr>
        <w:t xml:space="preserve"> </w:t>
      </w:r>
      <w:r w:rsidR="000666CD">
        <w:rPr>
          <w:rFonts w:ascii="Palatino Linotype" w:hAnsi="Palatino Linotype" w:cs="Tahoma"/>
        </w:rPr>
        <w:t xml:space="preserve">pasos o mecanismo para hacerlo. Finalmente, menciona que las acciones realizadas </w:t>
      </w:r>
      <w:r w:rsidR="00A845B1">
        <w:rPr>
          <w:rFonts w:ascii="Palatino Linotype" w:hAnsi="Palatino Linotype" w:cs="Tahoma"/>
        </w:rPr>
        <w:t>para la liquidación del convenio 202 con sus recomendaciones.</w:t>
      </w:r>
    </w:p>
    <w:p w:rsidR="00706C9F" w:rsidRPr="00706C9F" w:rsidRDefault="00706C9F" w:rsidP="00C27339">
      <w:pPr>
        <w:pStyle w:val="Textoindependiente"/>
        <w:spacing w:before="240" w:after="0" w:line="240" w:lineRule="auto"/>
        <w:jc w:val="both"/>
        <w:rPr>
          <w:rFonts w:ascii="Palatino Linotype" w:hAnsi="Palatino Linotype" w:cs="Tahoma"/>
        </w:rPr>
      </w:pPr>
      <w:r>
        <w:rPr>
          <w:rFonts w:ascii="Palatino Linotype" w:hAnsi="Palatino Linotype" w:cs="Tahoma"/>
          <w:b/>
        </w:rPr>
        <w:t xml:space="preserve">Interviene Diego Erazo de la Secretará de Gestión de Riesgos; </w:t>
      </w:r>
      <w:r>
        <w:rPr>
          <w:rFonts w:ascii="Palatino Linotype" w:hAnsi="Palatino Linotype" w:cs="Tahoma"/>
        </w:rPr>
        <w:t>Saluda la petición realizada al MIDUVI, respecto a que la liquidación se haga sobre la fase constructiva solicitada al MIDUVI, eso corresponde justificar, queda a criterio del MIDUVI, que acepte o no, liquidar los convenios sobre la fase constructiva; sugiere contar con la procuraduría, ya que dentro de los convenios existe una cláusula de controversia, esta puede ser aclarada por el centro e mediación de la Procuraduría General del Estado.</w:t>
      </w:r>
      <w:r w:rsidR="0076299C">
        <w:rPr>
          <w:rFonts w:ascii="Palatino Linotype" w:hAnsi="Palatino Linotype" w:cs="Tahoma"/>
        </w:rPr>
        <w:t xml:space="preserve"> En diez años no se ha p</w:t>
      </w:r>
      <w:r w:rsidR="008A5848">
        <w:rPr>
          <w:rFonts w:ascii="Palatino Linotype" w:hAnsi="Palatino Linotype" w:cs="Tahoma"/>
        </w:rPr>
        <w:t>odido liquidar estos convenios.</w:t>
      </w:r>
    </w:p>
    <w:p w:rsidR="00706C9F" w:rsidRDefault="00706C9F" w:rsidP="00C27339">
      <w:pPr>
        <w:pStyle w:val="Textoindependiente"/>
        <w:spacing w:before="240" w:after="0" w:line="240" w:lineRule="auto"/>
        <w:jc w:val="both"/>
        <w:rPr>
          <w:rFonts w:ascii="Palatino Linotype" w:hAnsi="Palatino Linotype" w:cs="Tahoma"/>
        </w:rPr>
      </w:pPr>
      <w:r w:rsidRPr="00706C9F">
        <w:rPr>
          <w:rFonts w:ascii="Palatino Linotype" w:hAnsi="Palatino Linotype" w:cs="Tahoma"/>
          <w:b/>
        </w:rPr>
        <w:t>Interviene la concejala Blanca Paucar;</w:t>
      </w:r>
      <w:r>
        <w:rPr>
          <w:rFonts w:ascii="Palatino Linotype" w:hAnsi="Palatino Linotype" w:cs="Tahoma"/>
          <w:b/>
        </w:rPr>
        <w:t xml:space="preserve"> </w:t>
      </w:r>
      <w:r w:rsidR="008E3806">
        <w:rPr>
          <w:rFonts w:ascii="Palatino Linotype" w:hAnsi="Palatino Linotype" w:cs="Tahoma"/>
        </w:rPr>
        <w:t>menciona que se debería acoger las sugerencias, hay departamentos jurídicos para avanzar y las mesas de trabajo, que se haga constar por escrito</w:t>
      </w:r>
      <w:r w:rsidR="00D21217">
        <w:rPr>
          <w:rFonts w:ascii="Palatino Linotype" w:hAnsi="Palatino Linotype" w:cs="Tahoma"/>
        </w:rPr>
        <w:t xml:space="preserve"> con firmas de responsabilidad.</w:t>
      </w:r>
    </w:p>
    <w:p w:rsidR="00D21217" w:rsidRDefault="00D21217" w:rsidP="00C27339">
      <w:pPr>
        <w:pStyle w:val="Textoindependiente"/>
        <w:spacing w:before="240" w:after="0" w:line="240" w:lineRule="auto"/>
        <w:jc w:val="both"/>
        <w:rPr>
          <w:rFonts w:ascii="Palatino Linotype" w:hAnsi="Palatino Linotype" w:cs="Tahoma"/>
        </w:rPr>
      </w:pPr>
      <w:r>
        <w:rPr>
          <w:rFonts w:ascii="Palatino Linotype" w:hAnsi="Palatino Linotype" w:cs="Tahoma"/>
          <w:b/>
        </w:rPr>
        <w:t xml:space="preserve">Interviene Diego Erazo de la Secretará de Gestión de Riesgos; </w:t>
      </w:r>
      <w:r>
        <w:rPr>
          <w:rFonts w:ascii="Palatino Linotype" w:hAnsi="Palatino Linotype" w:cs="Tahoma"/>
        </w:rPr>
        <w:t>menciona que al lograr la liquidación por la fase constructiva, permitiría solucionar lo de las 24 familias de La Mena, radica en que ya teniendo la liquidación de los convenios, quedaría dentro de Municipio, en tal sentido se podría hacer un canje de bonos.</w:t>
      </w:r>
    </w:p>
    <w:p w:rsidR="00D21217" w:rsidRDefault="00D21217" w:rsidP="00C27339">
      <w:pPr>
        <w:pStyle w:val="Textoindependiente"/>
        <w:spacing w:before="240" w:after="0" w:line="240" w:lineRule="auto"/>
        <w:jc w:val="both"/>
        <w:rPr>
          <w:rFonts w:ascii="Palatino Linotype" w:hAnsi="Palatino Linotype" w:cs="Tahoma"/>
        </w:rPr>
      </w:pPr>
      <w:r w:rsidRPr="00D21217">
        <w:rPr>
          <w:rFonts w:ascii="Palatino Linotype" w:hAnsi="Palatino Linotype" w:cs="Tahoma"/>
          <w:b/>
        </w:rPr>
        <w:t>Interviene el Ing., Jaime Pérez, de la Empresa Pública Metropolitana de Hábitat y Vivienda</w:t>
      </w:r>
      <w:r>
        <w:rPr>
          <w:rFonts w:ascii="Palatino Linotype" w:hAnsi="Palatino Linotype" w:cs="Tahoma"/>
          <w:b/>
        </w:rPr>
        <w:t xml:space="preserve">; </w:t>
      </w:r>
      <w:r>
        <w:rPr>
          <w:rFonts w:ascii="Palatino Linotype" w:hAnsi="Palatino Linotype" w:cs="Tahoma"/>
        </w:rPr>
        <w:t xml:space="preserve">menciona que, en una visita al sector de La Comuna y La Gasca, el ministro mostró interés en solucionar estos temas, los acercamientos han ido en esa línea, lo que quieren es acoger de la mejor manera lo asumido por el ministro. </w:t>
      </w:r>
    </w:p>
    <w:p w:rsidR="007E0529" w:rsidRPr="00D21217" w:rsidRDefault="007E0529" w:rsidP="00C27339">
      <w:pPr>
        <w:pStyle w:val="Textoindependiente"/>
        <w:spacing w:before="240" w:after="0" w:line="240" w:lineRule="auto"/>
        <w:jc w:val="both"/>
        <w:rPr>
          <w:rFonts w:ascii="Palatino Linotype" w:hAnsi="Palatino Linotype" w:cs="Tahoma"/>
        </w:rPr>
      </w:pPr>
      <w:r w:rsidRPr="007E0529">
        <w:rPr>
          <w:rFonts w:ascii="Palatino Linotype" w:hAnsi="Palatino Linotype" w:cs="Tahoma"/>
          <w:b/>
        </w:rPr>
        <w:t>Interviene la Concejala Blanca Paucar;</w:t>
      </w:r>
      <w:r>
        <w:rPr>
          <w:rFonts w:ascii="Palatino Linotype" w:hAnsi="Palatino Linotype" w:cs="Tahoma"/>
        </w:rPr>
        <w:t xml:space="preserve"> mociona: </w:t>
      </w:r>
      <w:r w:rsidRPr="007E0529">
        <w:rPr>
          <w:rFonts w:ascii="Palatino Linotype" w:hAnsi="Palatino Linotype" w:cs="Tahoma"/>
        </w:rPr>
        <w:t>Que la Empresa Pública Metropolitana de Hábitat y Vivienda, presente a la comisión de Vivienda y Hábitat, de manera quincenal, un informe con documentos de respaldo y firmas de responsabilidad, sobre los avances en las gestiones del cierre de los convenios 064 y 202.</w:t>
      </w:r>
    </w:p>
    <w:p w:rsidR="00C36678" w:rsidRDefault="00C36678" w:rsidP="00C36678">
      <w:pPr>
        <w:pStyle w:val="Textoindependiente"/>
        <w:spacing w:before="240" w:after="0" w:line="240" w:lineRule="auto"/>
        <w:jc w:val="both"/>
        <w:rPr>
          <w:rFonts w:ascii="Palatino Linotype" w:hAnsi="Palatino Linotype" w:cs="Tahoma"/>
        </w:rPr>
      </w:pPr>
      <w:r>
        <w:rPr>
          <w:rFonts w:ascii="Palatino Linotype" w:hAnsi="Palatino Linotype" w:cs="Tahoma"/>
        </w:rPr>
        <w:t>Una vez apoyada la moción, se procede a tomar votación de la moción planteada, registrándose los siguientes resultados:</w:t>
      </w:r>
    </w:p>
    <w:p w:rsidR="00C36678" w:rsidRDefault="00C36678" w:rsidP="00C36678">
      <w:pPr>
        <w:pStyle w:val="Textoindependiente"/>
        <w:spacing w:before="240" w:after="0" w:line="240" w:lineRule="auto"/>
        <w:jc w:val="both"/>
        <w:rPr>
          <w:rFonts w:ascii="Palatino Linotype" w:hAnsi="Palatino Linotype" w:cs="Tahom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C36678" w:rsidRPr="00867BAA" w:rsidTr="00FF1851">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C36678" w:rsidRPr="00867BAA" w:rsidRDefault="00C36678"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C36678"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lastRenderedPageBreak/>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b/>
                <w:i w:val="0"/>
                <w:color w:val="FFFFFF"/>
                <w:sz w:val="22"/>
                <w:szCs w:val="22"/>
                <w:lang w:val="es-ES"/>
              </w:rPr>
            </w:pPr>
          </w:p>
          <w:p w:rsidR="00C36678" w:rsidRPr="00867BAA" w:rsidRDefault="00C36678"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36678" w:rsidRPr="00867BAA" w:rsidRDefault="00C36678"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b/>
                <w:i w:val="0"/>
                <w:color w:val="FFFFFF"/>
                <w:sz w:val="22"/>
                <w:szCs w:val="22"/>
                <w:lang w:val="es-ES"/>
              </w:rPr>
            </w:pPr>
          </w:p>
          <w:p w:rsidR="00C36678" w:rsidRPr="00867BAA" w:rsidRDefault="00C36678" w:rsidP="00FF1851">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C36678"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36678" w:rsidRPr="00867BAA" w:rsidRDefault="00C36678"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Blanca Paucar</w:t>
            </w:r>
          </w:p>
        </w:tc>
        <w:tc>
          <w:tcPr>
            <w:tcW w:w="1134" w:type="dxa"/>
            <w:tcBorders>
              <w:top w:val="single" w:sz="4" w:space="0" w:color="auto"/>
              <w:left w:val="single" w:sz="4" w:space="0" w:color="auto"/>
              <w:bottom w:val="single" w:sz="4" w:space="0" w:color="auto"/>
              <w:right w:val="single" w:sz="4" w:space="0" w:color="auto"/>
            </w:tcBorders>
            <w:hideMark/>
          </w:tcPr>
          <w:p w:rsidR="00C36678" w:rsidRPr="00867BAA" w:rsidRDefault="00C36678"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r>
      <w:tr w:rsidR="00C36678"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36678" w:rsidRPr="00867BAA" w:rsidRDefault="00C36678"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r>
      <w:tr w:rsidR="00C36678"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36678" w:rsidRPr="00867BAA" w:rsidRDefault="00C36678"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Eduardo del Pozo</w:t>
            </w:r>
          </w:p>
        </w:tc>
        <w:tc>
          <w:tcPr>
            <w:tcW w:w="1134"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6678" w:rsidRPr="00867BAA" w:rsidRDefault="00C36678" w:rsidP="00FF1851">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36678" w:rsidRPr="00867BAA" w:rsidTr="00FF1851">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36678" w:rsidRPr="00867BAA" w:rsidRDefault="00C36678" w:rsidP="00FF1851">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36678" w:rsidRPr="00867BAA" w:rsidRDefault="00C36678" w:rsidP="00FF1851">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36678" w:rsidRDefault="00C36678" w:rsidP="00C36678">
      <w:pPr>
        <w:jc w:val="both"/>
        <w:rPr>
          <w:rFonts w:ascii="Palatino Linotype" w:hAnsi="Palatino Linotype" w:cs="Tahoma"/>
        </w:rPr>
      </w:pPr>
    </w:p>
    <w:p w:rsidR="00037699" w:rsidRDefault="00C36678" w:rsidP="00A023A3">
      <w:pPr>
        <w:jc w:val="both"/>
        <w:rPr>
          <w:rFonts w:ascii="Palatino Linotype" w:hAnsi="Palatino Linotype"/>
        </w:rPr>
      </w:pPr>
      <w:r>
        <w:rPr>
          <w:rFonts w:ascii="Palatino Linotype" w:hAnsi="Palatino Linotype" w:cs="Tahoma"/>
        </w:rPr>
        <w:t xml:space="preserve">Con dos votos a favor, la Comisión de Vivienda y Hábitat, resolvió: </w:t>
      </w:r>
      <w:r w:rsidR="007E0529" w:rsidRPr="007E0529">
        <w:rPr>
          <w:rFonts w:ascii="Palatino Linotype" w:hAnsi="Palatino Linotype" w:cs="Tahoma"/>
        </w:rPr>
        <w:t>Que la Empresa Pública Metropolitana de Hábitat y Vivienda, presente a la comisión de Vivienda y Hábitat, de manera quincenal, un informe con do</w:t>
      </w:r>
      <w:r w:rsidR="00A023A3">
        <w:rPr>
          <w:rFonts w:ascii="Palatino Linotype" w:hAnsi="Palatino Linotype" w:cs="Tahoma"/>
        </w:rPr>
        <w:t xml:space="preserve">cumentos de respaldo y firmas </w:t>
      </w:r>
      <w:r w:rsidR="00A023A3" w:rsidRPr="007E0529">
        <w:rPr>
          <w:rFonts w:ascii="Palatino Linotype" w:hAnsi="Palatino Linotype" w:cs="Tahoma"/>
        </w:rPr>
        <w:t>de responsabilidad, sobre los av</w:t>
      </w:r>
      <w:bookmarkStart w:id="0" w:name="_GoBack"/>
      <w:bookmarkEnd w:id="0"/>
      <w:r w:rsidR="00A023A3" w:rsidRPr="007E0529">
        <w:rPr>
          <w:rFonts w:ascii="Palatino Linotype" w:hAnsi="Palatino Linotype" w:cs="Tahoma"/>
        </w:rPr>
        <w:t>ances en las gestiones del cierre de los convenios 064 y 202.</w:t>
      </w:r>
      <w:r w:rsidR="007E0529" w:rsidRPr="007E0529">
        <w:rPr>
          <w:rFonts w:ascii="Palatino Linotype" w:hAnsi="Palatino Linotype" w:cs="Tahoma"/>
        </w:rPr>
        <w:t xml:space="preserve"> </w:t>
      </w:r>
    </w:p>
    <w:p w:rsidR="00874EDF" w:rsidRPr="00867BAA" w:rsidRDefault="00874EDF" w:rsidP="00874EDF">
      <w:pPr>
        <w:pStyle w:val="NormalWeb"/>
        <w:spacing w:before="0" w:beforeAutospacing="0" w:after="0" w:afterAutospacing="0"/>
        <w:jc w:val="both"/>
        <w:textAlignment w:val="baseline"/>
        <w:rPr>
          <w:rFonts w:ascii="Palatino Linotype" w:hAnsi="Palatino Linotype"/>
          <w:bCs/>
          <w:color w:val="000000"/>
          <w:sz w:val="22"/>
          <w:szCs w:val="22"/>
        </w:rPr>
      </w:pPr>
      <w:r>
        <w:rPr>
          <w:rFonts w:ascii="Palatino Linotype" w:hAnsi="Palatino Linotype"/>
          <w:color w:val="000000"/>
          <w:sz w:val="22"/>
          <w:szCs w:val="22"/>
        </w:rPr>
        <w:t xml:space="preserve">Siendo las </w:t>
      </w:r>
      <w:r w:rsidR="00037699">
        <w:rPr>
          <w:rFonts w:ascii="Palatino Linotype" w:hAnsi="Palatino Linotype"/>
          <w:color w:val="000000"/>
          <w:sz w:val="22"/>
          <w:szCs w:val="22"/>
        </w:rPr>
        <w:t>10</w:t>
      </w:r>
      <w:r w:rsidRPr="00802ED1">
        <w:rPr>
          <w:rFonts w:ascii="Palatino Linotype" w:hAnsi="Palatino Linotype"/>
          <w:color w:val="000000"/>
          <w:sz w:val="22"/>
          <w:szCs w:val="22"/>
        </w:rPr>
        <w:t>h</w:t>
      </w:r>
      <w:r w:rsidR="00A023A3">
        <w:rPr>
          <w:rFonts w:ascii="Palatino Linotype" w:hAnsi="Palatino Linotype"/>
          <w:color w:val="000000"/>
          <w:sz w:val="22"/>
          <w:szCs w:val="22"/>
        </w:rPr>
        <w:t>24</w:t>
      </w:r>
      <w:r w:rsidRPr="00802ED1">
        <w:rPr>
          <w:rFonts w:ascii="Palatino Linotype" w:hAnsi="Palatino Linotype"/>
          <w:color w:val="000000"/>
          <w:sz w:val="22"/>
          <w:szCs w:val="22"/>
        </w:rPr>
        <w:t xml:space="preserve">, </w:t>
      </w:r>
      <w:r w:rsidRPr="00802ED1">
        <w:rPr>
          <w:rFonts w:ascii="Palatino Linotype" w:hAnsi="Palatino Linotype"/>
          <w:color w:val="000000"/>
          <w:sz w:val="22"/>
          <w:szCs w:val="22"/>
          <w:lang w:val="es-ES"/>
        </w:rPr>
        <w:t>habiendo</w:t>
      </w:r>
      <w:r w:rsidRPr="00867BAA">
        <w:rPr>
          <w:rFonts w:ascii="Palatino Linotype" w:hAnsi="Palatino Linotype"/>
          <w:color w:val="000000"/>
          <w:sz w:val="22"/>
          <w:szCs w:val="22"/>
          <w:lang w:val="es-ES"/>
        </w:rPr>
        <w:t xml:space="preserve"> agotado el orden del día, la presidenta de la Comisión declara clausurada la sesión. </w:t>
      </w:r>
    </w:p>
    <w:p w:rsidR="00874EDF" w:rsidRPr="00867BAA" w:rsidRDefault="00874EDF" w:rsidP="00874EDF">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FINALIZACIÓN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Paucar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1861F9"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Eduardo del Pozo</w:t>
            </w:r>
          </w:p>
        </w:tc>
        <w:tc>
          <w:tcPr>
            <w:tcW w:w="1962" w:type="dxa"/>
            <w:shd w:val="clear" w:color="auto" w:fill="auto"/>
          </w:tcPr>
          <w:p w:rsidR="00874EDF" w:rsidRPr="00867BAA" w:rsidRDefault="00FD04FE"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FD04FE"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jc w:val="both"/>
        <w:rPr>
          <w:rStyle w:val="Textoennegrita"/>
          <w:rFonts w:ascii="Palatino Linotype" w:hAnsi="Palatino Linotype" w:cs="Tahoma"/>
          <w:b w:val="0"/>
        </w:rPr>
      </w:pPr>
    </w:p>
    <w:p w:rsidR="00874EDF" w:rsidRPr="00867BAA" w:rsidRDefault="00874EDF" w:rsidP="00874EDF">
      <w:pPr>
        <w:spacing w:after="0" w:line="240" w:lineRule="auto"/>
        <w:jc w:val="both"/>
        <w:rPr>
          <w:rStyle w:val="Textoennegrita"/>
          <w:rFonts w:ascii="Palatino Linotype" w:hAnsi="Palatino Linotype"/>
          <w:b w:val="0"/>
        </w:rPr>
      </w:pPr>
      <w:r w:rsidRPr="00867BAA">
        <w:rPr>
          <w:rStyle w:val="Textoennegrita"/>
          <w:rFonts w:ascii="Palatino Linotype" w:hAnsi="Palatino Linotype" w:cs="Tahoma"/>
        </w:rPr>
        <w:t>Para constancia de lo actuado, firman la presidenta de la Comisión de Vivienda y Hábitat y el Secretario General del</w:t>
      </w:r>
      <w:r>
        <w:rPr>
          <w:rStyle w:val="Textoennegrita"/>
          <w:rFonts w:ascii="Palatino Linotype" w:hAnsi="Palatino Linotype" w:cs="Tahoma"/>
        </w:rPr>
        <w:t xml:space="preserve"> Concejo Metropolitano de Quito</w:t>
      </w:r>
      <w:r w:rsidRPr="00867BAA">
        <w:rPr>
          <w:rStyle w:val="Textoennegrita"/>
          <w:rFonts w:ascii="Palatino Linotype" w:hAnsi="Palatino Linotype" w:cs="Tahoma"/>
        </w:rPr>
        <w:t>.</w:t>
      </w: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Default="00874EDF" w:rsidP="00874EDF">
      <w:pPr>
        <w:spacing w:after="0" w:line="240" w:lineRule="auto"/>
        <w:jc w:val="both"/>
        <w:rPr>
          <w:rFonts w:ascii="Palatino Linotype" w:hAnsi="Palatino Linotype"/>
          <w:color w:val="000000"/>
        </w:rPr>
      </w:pPr>
    </w:p>
    <w:p w:rsidR="00E20A43" w:rsidRPr="00867BAA" w:rsidRDefault="00E20A43"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133DE9" w:rsidP="00874EDF">
      <w:pPr>
        <w:pStyle w:val="Sinespaciado"/>
        <w:jc w:val="both"/>
        <w:rPr>
          <w:rFonts w:ascii="Palatino Linotype" w:hAnsi="Palatino Linotype" w:cs="Tahoma"/>
        </w:rPr>
      </w:pPr>
      <w:r>
        <w:rPr>
          <w:rFonts w:ascii="Palatino Linotype" w:hAnsi="Palatino Linotype" w:cs="Tahoma"/>
        </w:rPr>
        <w:t>Lic. Blanca Pa</w:t>
      </w:r>
      <w:r w:rsidR="00874EDF" w:rsidRPr="00867BAA">
        <w:rPr>
          <w:rFonts w:ascii="Palatino Linotype" w:hAnsi="Palatino Linotype" w:cs="Tahoma"/>
        </w:rPr>
        <w:t xml:space="preserve">ar </w:t>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t xml:space="preserve">Abg. </w:t>
      </w:r>
      <w:r w:rsidR="00874EDF">
        <w:rPr>
          <w:rFonts w:ascii="Palatino Linotype" w:hAnsi="Palatino Linotype" w:cs="Tahoma"/>
        </w:rPr>
        <w:t xml:space="preserve">Pablo </w:t>
      </w:r>
      <w:r w:rsidR="00CF5DA8">
        <w:rPr>
          <w:rFonts w:ascii="Palatino Linotype" w:hAnsi="Palatino Linotype" w:cs="Tahoma"/>
        </w:rPr>
        <w:t>Santillán</w:t>
      </w:r>
      <w:r w:rsidR="00874EDF">
        <w:rPr>
          <w:rFonts w:ascii="Palatino Linotype" w:hAnsi="Palatino Linotype" w:cs="Tahoma"/>
        </w:rPr>
        <w:t xml:space="preserve"> </w:t>
      </w:r>
      <w:r w:rsidR="00874EDF" w:rsidRPr="00867BAA">
        <w:rPr>
          <w:rFonts w:ascii="Palatino Linotype" w:hAnsi="Palatino Linotype" w:cs="Tahoma"/>
        </w:rPr>
        <w:tab/>
      </w:r>
      <w:r w:rsidR="00874EDF">
        <w:rPr>
          <w:rFonts w:ascii="Palatino Linotype" w:hAnsi="Palatino Linotype" w:cs="Tahoma"/>
        </w:rPr>
        <w:t>Paredes</w:t>
      </w:r>
    </w:p>
    <w:p w:rsidR="00874EDF" w:rsidRPr="00867BAA" w:rsidRDefault="00874EDF" w:rsidP="00874EDF">
      <w:pPr>
        <w:spacing w:after="0" w:line="240" w:lineRule="auto"/>
        <w:rPr>
          <w:rFonts w:ascii="Palatino Linotype" w:hAnsi="Palatino Linotype" w:cs="Tahoma"/>
          <w:b/>
        </w:rPr>
      </w:pPr>
      <w:r w:rsidRPr="00867BAA">
        <w:rPr>
          <w:rFonts w:ascii="Palatino Linotype" w:hAnsi="Palatino Linotype" w:cs="Tahoma"/>
          <w:b/>
        </w:rPr>
        <w:t xml:space="preserve">PRESIDENTA DE LA COMISIÓN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 xml:space="preserve">SECRETARIO GENERAL DEL </w:t>
      </w:r>
    </w:p>
    <w:p w:rsidR="00874EDF" w:rsidRPr="00867BAA" w:rsidRDefault="00874EDF" w:rsidP="00874EDF">
      <w:pPr>
        <w:pStyle w:val="Sinespaciado"/>
        <w:jc w:val="both"/>
        <w:rPr>
          <w:rFonts w:ascii="Palatino Linotype" w:hAnsi="Palatino Linotype" w:cs="Tahoma"/>
          <w:b/>
        </w:rPr>
      </w:pPr>
      <w:r w:rsidRPr="00867BAA">
        <w:rPr>
          <w:rFonts w:ascii="Palatino Linotype" w:hAnsi="Palatino Linotype" w:cs="Tahoma"/>
          <w:b/>
        </w:rPr>
        <w:t xml:space="preserve">VIVIENDA Y HÁBITAT </w:t>
      </w:r>
      <w:r w:rsidRPr="00867BAA">
        <w:rPr>
          <w:rFonts w:ascii="Palatino Linotype" w:hAnsi="Palatino Linotype" w:cs="Tahoma"/>
          <w:b/>
        </w:rPr>
        <w:tab/>
      </w:r>
      <w:r w:rsidRPr="00867BAA">
        <w:rPr>
          <w:rFonts w:ascii="Palatino Linotype" w:hAnsi="Palatino Linotype" w:cs="Tahoma"/>
          <w:b/>
        </w:rPr>
        <w:tab/>
        <w:t xml:space="preserve">                      </w:t>
      </w:r>
      <w:r w:rsidRPr="00867BAA">
        <w:rPr>
          <w:rFonts w:ascii="Palatino Linotype" w:hAnsi="Palatino Linotype" w:cs="Tahoma"/>
          <w:b/>
        </w:rPr>
        <w:tab/>
        <w:t>CONCEJO METROPOLITANO</w:t>
      </w:r>
    </w:p>
    <w:p w:rsidR="00874EDF" w:rsidRPr="00867BAA" w:rsidRDefault="00874EDF" w:rsidP="00874EDF">
      <w:pPr>
        <w:pStyle w:val="Sinespaciado"/>
        <w:jc w:val="both"/>
        <w:rPr>
          <w:rFonts w:ascii="Palatino Linotype" w:hAnsi="Palatino Linotype" w:cs="Tahoma"/>
          <w:b/>
        </w:rPr>
      </w:pPr>
      <w:r>
        <w:rPr>
          <w:rFonts w:ascii="Palatino Linotype" w:hAnsi="Palatino Linotype" w:cs="Tahoma"/>
          <w:b/>
        </w:rPr>
        <w:t xml:space="preserve">PATRIMONIO </w:t>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r>
      <w:r>
        <w:rPr>
          <w:rFonts w:ascii="Palatino Linotype" w:hAnsi="Palatino Linotype" w:cs="Tahoma"/>
          <w:b/>
        </w:rPr>
        <w:tab/>
        <w:t>DE QUITO</w:t>
      </w:r>
    </w:p>
    <w:p w:rsidR="00874EDF" w:rsidRPr="00867BAA" w:rsidRDefault="00874EDF" w:rsidP="00874EDF">
      <w:pPr>
        <w:pStyle w:val="Sinespaciado"/>
        <w:ind w:left="4248" w:firstLine="708"/>
        <w:jc w:val="both"/>
        <w:rPr>
          <w:rFonts w:ascii="Palatino Linotype" w:hAnsi="Palatino Linotype" w:cs="Tahoma"/>
          <w:b/>
        </w:rPr>
      </w:pPr>
    </w:p>
    <w:p w:rsidR="00874EDF" w:rsidRPr="00867BAA" w:rsidRDefault="00874EDF" w:rsidP="00874EDF">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1212DF">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RESUMEN DE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Paucar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Eduardo del Pozo</w:t>
            </w:r>
          </w:p>
        </w:tc>
        <w:tc>
          <w:tcPr>
            <w:tcW w:w="1962" w:type="dxa"/>
            <w:shd w:val="clear" w:color="auto" w:fill="auto"/>
          </w:tcPr>
          <w:p w:rsidR="00874EDF" w:rsidRPr="00867BAA" w:rsidRDefault="00FD04FE"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FD04FE"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FD04FE"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rPr>
          <w:rFonts w:ascii="Palatino Linotype" w:hAnsi="Palatino Linotype" w:cs="Tahoma"/>
          <w:b/>
        </w:rPr>
      </w:pPr>
    </w:p>
    <w:p w:rsidR="00874EDF" w:rsidRPr="00867BAA" w:rsidRDefault="00874EDF" w:rsidP="00874EDF">
      <w:pPr>
        <w:spacing w:after="0" w:line="240" w:lineRule="auto"/>
        <w:rPr>
          <w:rFonts w:ascii="Palatino Linotype" w:hAnsi="Palatino Linotype"/>
        </w:rPr>
      </w:pPr>
    </w:p>
    <w:p w:rsidR="00874EDF" w:rsidRPr="00867BAA" w:rsidRDefault="00874EDF" w:rsidP="00874EDF">
      <w:pPr>
        <w:spacing w:after="0" w:line="240" w:lineRule="auto"/>
        <w:rPr>
          <w:rFonts w:ascii="Palatino Linotype" w:hAnsi="Palatino Linotype"/>
        </w:rPr>
      </w:pPr>
    </w:p>
    <w:p w:rsidR="00874EDF" w:rsidRDefault="00874EDF" w:rsidP="00874EDF"/>
    <w:p w:rsidR="00874EDF" w:rsidRDefault="00874EDF" w:rsidP="00874EDF"/>
    <w:p w:rsidR="00874EDF" w:rsidRDefault="00874EDF" w:rsidP="00874EDF"/>
    <w:p w:rsidR="003C3E2C" w:rsidRDefault="003C3E2C"/>
    <w:sectPr w:rsidR="003C3E2C" w:rsidSect="00FF1851">
      <w:headerReference w:type="default" r:id="rId6"/>
      <w:footerReference w:type="default" r:id="rId7"/>
      <w:pgSz w:w="11906" w:h="16838" w:code="9"/>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0B" w:rsidRDefault="00F86D0B">
      <w:pPr>
        <w:spacing w:after="0" w:line="240" w:lineRule="auto"/>
      </w:pPr>
      <w:r>
        <w:separator/>
      </w:r>
    </w:p>
  </w:endnote>
  <w:endnote w:type="continuationSeparator" w:id="0">
    <w:p w:rsidR="00F86D0B" w:rsidRDefault="00F8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rsidR="008A5848" w:rsidRDefault="008A5848" w:rsidP="00FF18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748D">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1748D">
              <w:rPr>
                <w:b/>
                <w:bCs/>
                <w:noProof/>
              </w:rPr>
              <w:t>8</w:t>
            </w:r>
            <w:r>
              <w:rPr>
                <w:b/>
                <w:bCs/>
                <w:sz w:val="24"/>
                <w:szCs w:val="24"/>
              </w:rPr>
              <w:fldChar w:fldCharType="end"/>
            </w:r>
          </w:p>
        </w:sdtContent>
      </w:sdt>
    </w:sdtContent>
  </w:sdt>
  <w:p w:rsidR="008A5848" w:rsidRDefault="008A58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0B" w:rsidRDefault="00F86D0B">
      <w:pPr>
        <w:spacing w:after="0" w:line="240" w:lineRule="auto"/>
      </w:pPr>
      <w:r>
        <w:separator/>
      </w:r>
    </w:p>
  </w:footnote>
  <w:footnote w:type="continuationSeparator" w:id="0">
    <w:p w:rsidR="00F86D0B" w:rsidRDefault="00F8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48" w:rsidRDefault="00F86D0B">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9.55pt;margin-top:-125.4pt;width:594pt;height:852.65pt;z-index:-251658752;mso-wrap-edited:f;mso-width-percent:0;mso-position-horizontal-relative:margin;mso-position-vertical-relative:margin;mso-width-percent:0" o:allowincell="f">
          <v:imagedata r:id="rId1" o:title="hoja membretada-concejo-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8"/>
    <w:rsid w:val="00002003"/>
    <w:rsid w:val="0000356E"/>
    <w:rsid w:val="00005797"/>
    <w:rsid w:val="000113DA"/>
    <w:rsid w:val="00016336"/>
    <w:rsid w:val="00017F90"/>
    <w:rsid w:val="00027630"/>
    <w:rsid w:val="00030095"/>
    <w:rsid w:val="00037699"/>
    <w:rsid w:val="000434EE"/>
    <w:rsid w:val="00057929"/>
    <w:rsid w:val="000666CD"/>
    <w:rsid w:val="00081B3D"/>
    <w:rsid w:val="00086F1C"/>
    <w:rsid w:val="00095A94"/>
    <w:rsid w:val="000A00FA"/>
    <w:rsid w:val="000A09DC"/>
    <w:rsid w:val="000A43A3"/>
    <w:rsid w:val="000B0653"/>
    <w:rsid w:val="000B4950"/>
    <w:rsid w:val="000C27D6"/>
    <w:rsid w:val="000E2066"/>
    <w:rsid w:val="000E2C5B"/>
    <w:rsid w:val="000F49B2"/>
    <w:rsid w:val="00103C2F"/>
    <w:rsid w:val="001144F6"/>
    <w:rsid w:val="001212DF"/>
    <w:rsid w:val="001232DB"/>
    <w:rsid w:val="00124A1E"/>
    <w:rsid w:val="00133DE9"/>
    <w:rsid w:val="001431EA"/>
    <w:rsid w:val="00155F29"/>
    <w:rsid w:val="001665F0"/>
    <w:rsid w:val="001666BF"/>
    <w:rsid w:val="0017319B"/>
    <w:rsid w:val="001803C8"/>
    <w:rsid w:val="001816E4"/>
    <w:rsid w:val="00181704"/>
    <w:rsid w:val="001861F9"/>
    <w:rsid w:val="00187306"/>
    <w:rsid w:val="001903AD"/>
    <w:rsid w:val="0019078E"/>
    <w:rsid w:val="00190C9F"/>
    <w:rsid w:val="0019173D"/>
    <w:rsid w:val="001917BD"/>
    <w:rsid w:val="001A0427"/>
    <w:rsid w:val="001B6A17"/>
    <w:rsid w:val="001C4BC8"/>
    <w:rsid w:val="001D3840"/>
    <w:rsid w:val="001E3AA1"/>
    <w:rsid w:val="001E7CD1"/>
    <w:rsid w:val="001F2635"/>
    <w:rsid w:val="001F49D4"/>
    <w:rsid w:val="001F65A4"/>
    <w:rsid w:val="00215501"/>
    <w:rsid w:val="002209BC"/>
    <w:rsid w:val="00232222"/>
    <w:rsid w:val="00234A99"/>
    <w:rsid w:val="00235E67"/>
    <w:rsid w:val="00241EF1"/>
    <w:rsid w:val="00245363"/>
    <w:rsid w:val="00280E90"/>
    <w:rsid w:val="002924C9"/>
    <w:rsid w:val="00292830"/>
    <w:rsid w:val="002A5B41"/>
    <w:rsid w:val="002A5FC2"/>
    <w:rsid w:val="002A7238"/>
    <w:rsid w:val="002B3DCB"/>
    <w:rsid w:val="002B402C"/>
    <w:rsid w:val="002B4BA3"/>
    <w:rsid w:val="002C054C"/>
    <w:rsid w:val="002C2E55"/>
    <w:rsid w:val="002D1BC6"/>
    <w:rsid w:val="002D1C6F"/>
    <w:rsid w:val="002D25CE"/>
    <w:rsid w:val="002D486E"/>
    <w:rsid w:val="002E3874"/>
    <w:rsid w:val="002F420D"/>
    <w:rsid w:val="002F4E7F"/>
    <w:rsid w:val="0034611A"/>
    <w:rsid w:val="0035619A"/>
    <w:rsid w:val="0035743B"/>
    <w:rsid w:val="00390648"/>
    <w:rsid w:val="00396C03"/>
    <w:rsid w:val="003B6C15"/>
    <w:rsid w:val="003C1C67"/>
    <w:rsid w:val="003C362E"/>
    <w:rsid w:val="003C3E2C"/>
    <w:rsid w:val="003D2B68"/>
    <w:rsid w:val="003D6BDD"/>
    <w:rsid w:val="003E1E2A"/>
    <w:rsid w:val="003E68A0"/>
    <w:rsid w:val="003F7C4F"/>
    <w:rsid w:val="004039FF"/>
    <w:rsid w:val="00410684"/>
    <w:rsid w:val="00414F94"/>
    <w:rsid w:val="00421A8D"/>
    <w:rsid w:val="004332E7"/>
    <w:rsid w:val="00436150"/>
    <w:rsid w:val="004542FC"/>
    <w:rsid w:val="004630D1"/>
    <w:rsid w:val="00472380"/>
    <w:rsid w:val="004841EA"/>
    <w:rsid w:val="00494DB3"/>
    <w:rsid w:val="004A7AEA"/>
    <w:rsid w:val="004B53FA"/>
    <w:rsid w:val="004D5D59"/>
    <w:rsid w:val="004F7751"/>
    <w:rsid w:val="0050268D"/>
    <w:rsid w:val="00513432"/>
    <w:rsid w:val="00522E3F"/>
    <w:rsid w:val="00581555"/>
    <w:rsid w:val="0058221D"/>
    <w:rsid w:val="005834A9"/>
    <w:rsid w:val="00586924"/>
    <w:rsid w:val="00591770"/>
    <w:rsid w:val="00592B2B"/>
    <w:rsid w:val="00592E51"/>
    <w:rsid w:val="00594F68"/>
    <w:rsid w:val="005A4F6F"/>
    <w:rsid w:val="005A77AA"/>
    <w:rsid w:val="005B0AD4"/>
    <w:rsid w:val="005C4708"/>
    <w:rsid w:val="005D2EF8"/>
    <w:rsid w:val="005D4E26"/>
    <w:rsid w:val="005E6805"/>
    <w:rsid w:val="00603B7D"/>
    <w:rsid w:val="00616A6B"/>
    <w:rsid w:val="00622E59"/>
    <w:rsid w:val="00627A95"/>
    <w:rsid w:val="00630FD1"/>
    <w:rsid w:val="00645402"/>
    <w:rsid w:val="00675112"/>
    <w:rsid w:val="00680322"/>
    <w:rsid w:val="00681FC2"/>
    <w:rsid w:val="0069326C"/>
    <w:rsid w:val="00693DB4"/>
    <w:rsid w:val="00696DC8"/>
    <w:rsid w:val="006A5F42"/>
    <w:rsid w:val="006B0D51"/>
    <w:rsid w:val="006B1EA3"/>
    <w:rsid w:val="006B546D"/>
    <w:rsid w:val="006C6D09"/>
    <w:rsid w:val="006D5F2B"/>
    <w:rsid w:val="006E1B06"/>
    <w:rsid w:val="006E3307"/>
    <w:rsid w:val="006F0D1D"/>
    <w:rsid w:val="006F7AF4"/>
    <w:rsid w:val="00706C9F"/>
    <w:rsid w:val="007421AB"/>
    <w:rsid w:val="00757C21"/>
    <w:rsid w:val="0076299C"/>
    <w:rsid w:val="007736D6"/>
    <w:rsid w:val="0077609A"/>
    <w:rsid w:val="007819EC"/>
    <w:rsid w:val="00787751"/>
    <w:rsid w:val="007A6E65"/>
    <w:rsid w:val="007C64A5"/>
    <w:rsid w:val="007D00D9"/>
    <w:rsid w:val="007E0529"/>
    <w:rsid w:val="007F02CD"/>
    <w:rsid w:val="007F339D"/>
    <w:rsid w:val="00801D24"/>
    <w:rsid w:val="00815925"/>
    <w:rsid w:val="0082268B"/>
    <w:rsid w:val="00841DA7"/>
    <w:rsid w:val="00842499"/>
    <w:rsid w:val="00843922"/>
    <w:rsid w:val="00850C21"/>
    <w:rsid w:val="00854F37"/>
    <w:rsid w:val="008574F2"/>
    <w:rsid w:val="00860266"/>
    <w:rsid w:val="008625C0"/>
    <w:rsid w:val="00874601"/>
    <w:rsid w:val="00874EDF"/>
    <w:rsid w:val="00886F2C"/>
    <w:rsid w:val="008965C2"/>
    <w:rsid w:val="008A4DF3"/>
    <w:rsid w:val="008A5848"/>
    <w:rsid w:val="008A6B3E"/>
    <w:rsid w:val="008B2E01"/>
    <w:rsid w:val="008B4774"/>
    <w:rsid w:val="008B5507"/>
    <w:rsid w:val="008B5F92"/>
    <w:rsid w:val="008C10AC"/>
    <w:rsid w:val="008C1B33"/>
    <w:rsid w:val="008C6DA1"/>
    <w:rsid w:val="008D18FA"/>
    <w:rsid w:val="008D7B89"/>
    <w:rsid w:val="008E3806"/>
    <w:rsid w:val="008E4ACA"/>
    <w:rsid w:val="008E7690"/>
    <w:rsid w:val="00925874"/>
    <w:rsid w:val="00934697"/>
    <w:rsid w:val="00940E1D"/>
    <w:rsid w:val="00964D42"/>
    <w:rsid w:val="00971E87"/>
    <w:rsid w:val="009828FD"/>
    <w:rsid w:val="00992ED0"/>
    <w:rsid w:val="009B3812"/>
    <w:rsid w:val="009B5052"/>
    <w:rsid w:val="009B52DC"/>
    <w:rsid w:val="009C7CFE"/>
    <w:rsid w:val="009E3325"/>
    <w:rsid w:val="009E4679"/>
    <w:rsid w:val="009E624D"/>
    <w:rsid w:val="009E7029"/>
    <w:rsid w:val="009E742E"/>
    <w:rsid w:val="009F749E"/>
    <w:rsid w:val="00A021F1"/>
    <w:rsid w:val="00A023A3"/>
    <w:rsid w:val="00A06323"/>
    <w:rsid w:val="00A07DE2"/>
    <w:rsid w:val="00A226DD"/>
    <w:rsid w:val="00A26F47"/>
    <w:rsid w:val="00A31139"/>
    <w:rsid w:val="00A31659"/>
    <w:rsid w:val="00A478F8"/>
    <w:rsid w:val="00A56278"/>
    <w:rsid w:val="00A62433"/>
    <w:rsid w:val="00A712D8"/>
    <w:rsid w:val="00A84247"/>
    <w:rsid w:val="00A845B1"/>
    <w:rsid w:val="00AA3FA1"/>
    <w:rsid w:val="00AA6715"/>
    <w:rsid w:val="00AB0D35"/>
    <w:rsid w:val="00AB1004"/>
    <w:rsid w:val="00AB777B"/>
    <w:rsid w:val="00AC1D03"/>
    <w:rsid w:val="00AD4946"/>
    <w:rsid w:val="00AD7DDC"/>
    <w:rsid w:val="00AE1856"/>
    <w:rsid w:val="00AE59FD"/>
    <w:rsid w:val="00AF0C33"/>
    <w:rsid w:val="00AF27C5"/>
    <w:rsid w:val="00AF5AF8"/>
    <w:rsid w:val="00B00150"/>
    <w:rsid w:val="00B0717C"/>
    <w:rsid w:val="00B34C24"/>
    <w:rsid w:val="00B40E75"/>
    <w:rsid w:val="00B46609"/>
    <w:rsid w:val="00B52B2A"/>
    <w:rsid w:val="00B54482"/>
    <w:rsid w:val="00B67110"/>
    <w:rsid w:val="00B81E49"/>
    <w:rsid w:val="00B845CA"/>
    <w:rsid w:val="00B85145"/>
    <w:rsid w:val="00B85B7F"/>
    <w:rsid w:val="00BA2C05"/>
    <w:rsid w:val="00BB0420"/>
    <w:rsid w:val="00BB6992"/>
    <w:rsid w:val="00BE211A"/>
    <w:rsid w:val="00BE29D0"/>
    <w:rsid w:val="00BF1E2D"/>
    <w:rsid w:val="00BF1E6A"/>
    <w:rsid w:val="00C04A44"/>
    <w:rsid w:val="00C1029D"/>
    <w:rsid w:val="00C10384"/>
    <w:rsid w:val="00C20B8D"/>
    <w:rsid w:val="00C21BF9"/>
    <w:rsid w:val="00C27339"/>
    <w:rsid w:val="00C36678"/>
    <w:rsid w:val="00C37A63"/>
    <w:rsid w:val="00C46974"/>
    <w:rsid w:val="00C71707"/>
    <w:rsid w:val="00C83EF0"/>
    <w:rsid w:val="00C84657"/>
    <w:rsid w:val="00CB2CAB"/>
    <w:rsid w:val="00CD0BB2"/>
    <w:rsid w:val="00CD17C9"/>
    <w:rsid w:val="00CD1D79"/>
    <w:rsid w:val="00CD4C3C"/>
    <w:rsid w:val="00CD6832"/>
    <w:rsid w:val="00CE1464"/>
    <w:rsid w:val="00CF1446"/>
    <w:rsid w:val="00CF5DA8"/>
    <w:rsid w:val="00D028B3"/>
    <w:rsid w:val="00D1169F"/>
    <w:rsid w:val="00D21217"/>
    <w:rsid w:val="00D22E36"/>
    <w:rsid w:val="00D22FBF"/>
    <w:rsid w:val="00D40942"/>
    <w:rsid w:val="00D569EB"/>
    <w:rsid w:val="00D77703"/>
    <w:rsid w:val="00D87614"/>
    <w:rsid w:val="00DB6425"/>
    <w:rsid w:val="00DC1ACE"/>
    <w:rsid w:val="00DC1CDA"/>
    <w:rsid w:val="00DC21E6"/>
    <w:rsid w:val="00DD495F"/>
    <w:rsid w:val="00DD6F3A"/>
    <w:rsid w:val="00DD7AD0"/>
    <w:rsid w:val="00DE2086"/>
    <w:rsid w:val="00E130B9"/>
    <w:rsid w:val="00E1492C"/>
    <w:rsid w:val="00E15502"/>
    <w:rsid w:val="00E1748D"/>
    <w:rsid w:val="00E17D58"/>
    <w:rsid w:val="00E20A43"/>
    <w:rsid w:val="00E335D5"/>
    <w:rsid w:val="00E34338"/>
    <w:rsid w:val="00E37A60"/>
    <w:rsid w:val="00E423C9"/>
    <w:rsid w:val="00E63D1E"/>
    <w:rsid w:val="00E703B5"/>
    <w:rsid w:val="00E86A49"/>
    <w:rsid w:val="00EA4383"/>
    <w:rsid w:val="00EB0BE8"/>
    <w:rsid w:val="00ED12E4"/>
    <w:rsid w:val="00ED3272"/>
    <w:rsid w:val="00EE25B7"/>
    <w:rsid w:val="00EF4184"/>
    <w:rsid w:val="00EF47B4"/>
    <w:rsid w:val="00EF5DF2"/>
    <w:rsid w:val="00EF6733"/>
    <w:rsid w:val="00F03B84"/>
    <w:rsid w:val="00F109D3"/>
    <w:rsid w:val="00F40E4F"/>
    <w:rsid w:val="00F4433C"/>
    <w:rsid w:val="00F4681D"/>
    <w:rsid w:val="00F54774"/>
    <w:rsid w:val="00F62816"/>
    <w:rsid w:val="00F66317"/>
    <w:rsid w:val="00F74397"/>
    <w:rsid w:val="00F75D5D"/>
    <w:rsid w:val="00F76D99"/>
    <w:rsid w:val="00F86D0B"/>
    <w:rsid w:val="00F910D9"/>
    <w:rsid w:val="00F912C0"/>
    <w:rsid w:val="00FA2126"/>
    <w:rsid w:val="00FA2F61"/>
    <w:rsid w:val="00FA7AB8"/>
    <w:rsid w:val="00FC5DDA"/>
    <w:rsid w:val="00FC713B"/>
    <w:rsid w:val="00FD04FE"/>
    <w:rsid w:val="00FE6007"/>
    <w:rsid w:val="00FE61AF"/>
    <w:rsid w:val="00FE77B3"/>
    <w:rsid w:val="00FF0689"/>
    <w:rsid w:val="00FF1851"/>
    <w:rsid w:val="00FF6C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F4BFE5"/>
  <w15:chartTrackingRefBased/>
  <w15:docId w15:val="{7980B077-40C9-4D05-9AC1-4E7E3F5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74EDF"/>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74EDF"/>
    <w:rPr>
      <w:rFonts w:ascii="Times New Roman" w:eastAsia="Times New Roman" w:hAnsi="Times New Roman" w:cs="Times New Roman"/>
      <w:i/>
      <w:iCs/>
      <w:sz w:val="24"/>
      <w:szCs w:val="24"/>
      <w:lang w:val="es-MX" w:eastAsia="es-ES"/>
    </w:rPr>
  </w:style>
  <w:style w:type="character" w:styleId="Textoennegrita">
    <w:name w:val="Strong"/>
    <w:basedOn w:val="Fuentedeprrafopredeter"/>
    <w:uiPriority w:val="22"/>
    <w:qFormat/>
    <w:rsid w:val="00874EDF"/>
    <w:rPr>
      <w:b/>
      <w:bCs/>
    </w:rPr>
  </w:style>
  <w:style w:type="paragraph" w:styleId="Piedepgina">
    <w:name w:val="footer"/>
    <w:basedOn w:val="Normal"/>
    <w:link w:val="PiedepginaCar"/>
    <w:uiPriority w:val="99"/>
    <w:unhideWhenUsed/>
    <w:rsid w:val="008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EDF"/>
  </w:style>
  <w:style w:type="paragraph" w:styleId="NormalWeb">
    <w:name w:val="Normal (Web)"/>
    <w:basedOn w:val="Normal"/>
    <w:uiPriority w:val="99"/>
    <w:unhideWhenUsed/>
    <w:rsid w:val="00874ED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874EDF"/>
    <w:pPr>
      <w:spacing w:after="0" w:line="240" w:lineRule="auto"/>
    </w:pPr>
  </w:style>
  <w:style w:type="paragraph" w:styleId="Textoindependiente">
    <w:name w:val="Body Text"/>
    <w:basedOn w:val="Normal"/>
    <w:link w:val="TextoindependienteCar"/>
    <w:uiPriority w:val="99"/>
    <w:unhideWhenUsed/>
    <w:rsid w:val="00874EDF"/>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74EDF"/>
    <w:rPr>
      <w:rFonts w:ascii="Calibri" w:eastAsia="MS Mincho" w:hAnsi="Calibri" w:cs="Times New Roman"/>
    </w:rPr>
  </w:style>
  <w:style w:type="character" w:customStyle="1" w:styleId="fontstyle01">
    <w:name w:val="fontstyle01"/>
    <w:basedOn w:val="Fuentedeprrafopredeter"/>
    <w:rsid w:val="00874EDF"/>
    <w:rPr>
      <w:rFonts w:ascii="Times-Bold" w:hAnsi="Times-Bold" w:hint="default"/>
      <w:b/>
      <w:bCs/>
      <w:i w:val="0"/>
      <w:iCs w:val="0"/>
      <w:color w:val="000000"/>
      <w:sz w:val="20"/>
      <w:szCs w:val="20"/>
    </w:rPr>
  </w:style>
  <w:style w:type="paragraph" w:styleId="Encabezado">
    <w:name w:val="header"/>
    <w:basedOn w:val="Normal"/>
    <w:link w:val="EncabezadoCar"/>
    <w:uiPriority w:val="99"/>
    <w:unhideWhenUsed/>
    <w:rsid w:val="00874E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3360</TotalTime>
  <Pages>8</Pages>
  <Words>2731</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284</cp:revision>
  <cp:lastPrinted>2022-02-21T17:24:00Z</cp:lastPrinted>
  <dcterms:created xsi:type="dcterms:W3CDTF">2022-01-03T02:37:00Z</dcterms:created>
  <dcterms:modified xsi:type="dcterms:W3CDTF">2022-03-09T14:30:00Z</dcterms:modified>
</cp:coreProperties>
</file>