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CF" w:rsidRPr="004C52CF" w:rsidRDefault="004C52CF" w:rsidP="00916E97">
      <w:pPr>
        <w:pStyle w:val="Default"/>
        <w:jc w:val="both"/>
        <w:rPr>
          <w:rFonts w:ascii="Calibri" w:eastAsia="Calibri" w:hAnsi="Calibri"/>
          <w:sz w:val="22"/>
          <w:szCs w:val="22"/>
          <w:lang w:val="es-ES_tradnl"/>
        </w:rPr>
      </w:pPr>
      <w:r w:rsidRPr="004C52CF">
        <w:rPr>
          <w:rFonts w:ascii="Calibri" w:eastAsia="Calibri" w:hAnsi="Calibri"/>
          <w:sz w:val="22"/>
          <w:szCs w:val="22"/>
        </w:rPr>
        <w:t xml:space="preserve">Revisión texto propuesto proyecto de </w:t>
      </w:r>
      <w:r w:rsidR="00916E97">
        <w:rPr>
          <w:rFonts w:ascii="Calibri" w:eastAsia="Calibri" w:hAnsi="Calibri"/>
          <w:sz w:val="22"/>
          <w:szCs w:val="22"/>
        </w:rPr>
        <w:t>o</w:t>
      </w:r>
      <w:r w:rsidR="00916E97">
        <w:rPr>
          <w:sz w:val="22"/>
          <w:szCs w:val="22"/>
        </w:rPr>
        <w:t>rdenanza reformatoria al libro IV.8, referente a “SEGURIDAD, CONVIVENCIA CIUDADANA Y GESTIÓN DE RIESGOS, DEL PROCESO DE VALORACIÓN Y FINANCIAMIENTO PARA LA RELOCALIZACIÓN DE FAMILIAS DAMNIFICADAS Y EN ALTO RIESGO NO MITIGABLE”</w:t>
      </w:r>
      <w:r w:rsidRPr="004C52CF">
        <w:rPr>
          <w:rFonts w:ascii="Calibri" w:eastAsia="Calibri" w:hAnsi="Calibri"/>
          <w:sz w:val="22"/>
          <w:szCs w:val="22"/>
        </w:rPr>
        <w:t>:</w:t>
      </w:r>
    </w:p>
    <w:p w:rsidR="004C52CF" w:rsidRPr="004C52CF" w:rsidRDefault="004C52CF" w:rsidP="004C52CF">
      <w:pPr>
        <w:spacing w:after="160" w:line="259" w:lineRule="auto"/>
        <w:rPr>
          <w:rFonts w:ascii="Calibri" w:eastAsia="Calibri" w:hAnsi="Calibri"/>
          <w:sz w:val="22"/>
          <w:szCs w:val="22"/>
          <w:lang w:val="es-EC" w:eastAsia="en-US"/>
        </w:rPr>
      </w:pPr>
    </w:p>
    <w:tbl>
      <w:tblPr>
        <w:tblStyle w:val="Tablaconcuadrcula1"/>
        <w:tblW w:w="0" w:type="auto"/>
        <w:tblLook w:val="04A0" w:firstRow="1" w:lastRow="0" w:firstColumn="1" w:lastColumn="0" w:noHBand="0" w:noVBand="1"/>
      </w:tblPr>
      <w:tblGrid>
        <w:gridCol w:w="2803"/>
        <w:gridCol w:w="2831"/>
        <w:gridCol w:w="2860"/>
      </w:tblGrid>
      <w:tr w:rsidR="004C52CF" w:rsidRPr="00A453D8" w:rsidTr="00A453D8">
        <w:tc>
          <w:tcPr>
            <w:tcW w:w="2803" w:type="dxa"/>
          </w:tcPr>
          <w:p w:rsidR="004C52CF" w:rsidRPr="00A453D8" w:rsidRDefault="004C52CF" w:rsidP="00916E97">
            <w:pPr>
              <w:jc w:val="center"/>
              <w:rPr>
                <w:rFonts w:asciiTheme="majorHAnsi" w:eastAsia="Calibri" w:hAnsiTheme="majorHAnsi"/>
                <w:sz w:val="22"/>
                <w:szCs w:val="22"/>
                <w:lang w:val="es-EC" w:eastAsia="en-US"/>
              </w:rPr>
            </w:pPr>
            <w:r w:rsidRPr="00A453D8">
              <w:rPr>
                <w:rFonts w:asciiTheme="majorHAnsi" w:eastAsia="Calibri" w:hAnsiTheme="majorHAnsi"/>
                <w:sz w:val="22"/>
                <w:szCs w:val="22"/>
                <w:lang w:val="es-EC" w:eastAsia="en-US"/>
              </w:rPr>
              <w:t>TEXTO ACTUAL</w:t>
            </w:r>
          </w:p>
        </w:tc>
        <w:tc>
          <w:tcPr>
            <w:tcW w:w="2831" w:type="dxa"/>
          </w:tcPr>
          <w:p w:rsidR="004C52CF" w:rsidRPr="00A453D8" w:rsidRDefault="004C52CF" w:rsidP="00916E97">
            <w:pPr>
              <w:jc w:val="center"/>
              <w:rPr>
                <w:rFonts w:asciiTheme="majorHAnsi" w:eastAsia="Calibri" w:hAnsiTheme="majorHAnsi"/>
                <w:sz w:val="22"/>
                <w:szCs w:val="22"/>
                <w:lang w:val="es-EC" w:eastAsia="en-US"/>
              </w:rPr>
            </w:pPr>
            <w:r w:rsidRPr="00A453D8">
              <w:rPr>
                <w:rFonts w:asciiTheme="majorHAnsi" w:eastAsia="Calibri" w:hAnsiTheme="majorHAnsi"/>
                <w:sz w:val="22"/>
                <w:szCs w:val="22"/>
                <w:lang w:val="es-EC" w:eastAsia="en-US"/>
              </w:rPr>
              <w:t>TEXTO PROPUESTO</w:t>
            </w:r>
          </w:p>
        </w:tc>
        <w:tc>
          <w:tcPr>
            <w:tcW w:w="2860" w:type="dxa"/>
          </w:tcPr>
          <w:p w:rsidR="004C52CF" w:rsidRPr="00A453D8" w:rsidRDefault="004C52CF" w:rsidP="00916E97">
            <w:pPr>
              <w:jc w:val="center"/>
              <w:rPr>
                <w:rFonts w:asciiTheme="majorHAnsi" w:eastAsia="Calibri" w:hAnsiTheme="majorHAnsi"/>
                <w:sz w:val="22"/>
                <w:szCs w:val="22"/>
                <w:lang w:val="es-EC" w:eastAsia="en-US"/>
              </w:rPr>
            </w:pPr>
            <w:r w:rsidRPr="00A453D8">
              <w:rPr>
                <w:rFonts w:asciiTheme="majorHAnsi" w:eastAsia="Calibri" w:hAnsiTheme="majorHAnsi"/>
                <w:sz w:val="22"/>
                <w:szCs w:val="22"/>
                <w:lang w:val="es-EC" w:eastAsia="en-US"/>
              </w:rPr>
              <w:t>OBSERVACIONES</w:t>
            </w:r>
          </w:p>
        </w:tc>
      </w:tr>
      <w:tr w:rsidR="00C521D7" w:rsidRPr="00A453D8" w:rsidTr="00A453D8">
        <w:tc>
          <w:tcPr>
            <w:tcW w:w="2803" w:type="dxa"/>
          </w:tcPr>
          <w:p w:rsidR="00C521D7" w:rsidRPr="00A453D8" w:rsidRDefault="00C521D7" w:rsidP="00A453D8">
            <w:pPr>
              <w:jc w:val="both"/>
              <w:rPr>
                <w:rFonts w:asciiTheme="majorHAnsi" w:eastAsia="Calibri" w:hAnsiTheme="majorHAnsi"/>
                <w:sz w:val="22"/>
                <w:szCs w:val="22"/>
                <w:lang w:eastAsia="en-US"/>
              </w:rPr>
            </w:pPr>
            <w:r w:rsidRPr="00A453D8">
              <w:rPr>
                <w:rFonts w:asciiTheme="majorHAnsi" w:hAnsiTheme="majorHAnsi" w:cstheme="minorHAnsi"/>
                <w:b/>
                <w:bCs/>
                <w:sz w:val="22"/>
                <w:szCs w:val="22"/>
              </w:rPr>
              <w:t xml:space="preserve">Artículo (…). - </w:t>
            </w:r>
            <w:r w:rsidRPr="00A453D8">
              <w:rPr>
                <w:rFonts w:asciiTheme="majorHAnsi" w:hAnsiTheme="majorHAnsi" w:cstheme="minorHAnsi"/>
                <w:b/>
                <w:sz w:val="22"/>
                <w:szCs w:val="22"/>
              </w:rPr>
              <w:t>Objeto. -</w:t>
            </w:r>
            <w:r w:rsidRPr="00A453D8">
              <w:rPr>
                <w:rFonts w:asciiTheme="majorHAnsi" w:hAnsiTheme="majorHAnsi" w:cstheme="minorHAnsi"/>
                <w:sz w:val="22"/>
                <w:szCs w:val="22"/>
              </w:rPr>
              <w:t xml:space="preserve"> El presente título tiene por objeto establecer el </w:t>
            </w:r>
            <w:r w:rsidRPr="00A453D8">
              <w:rPr>
                <w:rFonts w:asciiTheme="majorHAnsi" w:hAnsiTheme="majorHAnsi" w:cstheme="minorHAnsi"/>
                <w:b/>
                <w:sz w:val="22"/>
                <w:szCs w:val="22"/>
              </w:rPr>
              <w:t>proceso de evaluación y calificación de zonas de riesgo no mitigable e identificar a las familias beneficiarias asentadas en estas zonas</w:t>
            </w:r>
            <w:r w:rsidRPr="00A453D8">
              <w:rPr>
                <w:rFonts w:asciiTheme="majorHAnsi" w:hAnsiTheme="majorHAnsi" w:cstheme="minorHAnsi"/>
                <w:sz w:val="22"/>
                <w:szCs w:val="22"/>
              </w:rPr>
              <w:t xml:space="preserve">, ante movimientos en masa, amenazas </w:t>
            </w:r>
            <w:proofErr w:type="spellStart"/>
            <w:r w:rsidRPr="00A453D8">
              <w:rPr>
                <w:rFonts w:asciiTheme="majorHAnsi" w:hAnsiTheme="majorHAnsi" w:cstheme="minorHAnsi"/>
                <w:sz w:val="22"/>
                <w:szCs w:val="22"/>
              </w:rPr>
              <w:t>hidrometeorológicas</w:t>
            </w:r>
            <w:proofErr w:type="spellEnd"/>
            <w:r w:rsidRPr="00A453D8">
              <w:rPr>
                <w:rFonts w:asciiTheme="majorHAnsi" w:hAnsiTheme="majorHAnsi" w:cstheme="minorHAnsi"/>
                <w:sz w:val="22"/>
                <w:szCs w:val="22"/>
              </w:rPr>
              <w:t xml:space="preserve"> y subsidencia del terreno, estableciendo la coordinación con los entes municipales competentes para el proceso de reubicación de las familias beneficiarias afectadas.</w:t>
            </w:r>
          </w:p>
        </w:tc>
        <w:tc>
          <w:tcPr>
            <w:tcW w:w="2831" w:type="dxa"/>
          </w:tcPr>
          <w:p w:rsidR="00C521D7" w:rsidRPr="00A453D8" w:rsidRDefault="00C521D7" w:rsidP="00A453D8">
            <w:pPr>
              <w:autoSpaceDE w:val="0"/>
              <w:autoSpaceDN w:val="0"/>
              <w:adjustRightInd w:val="0"/>
              <w:jc w:val="both"/>
              <w:rPr>
                <w:rFonts w:asciiTheme="majorHAnsi" w:eastAsia="Calibri" w:hAnsiTheme="majorHAnsi"/>
                <w:sz w:val="22"/>
                <w:szCs w:val="22"/>
                <w:lang w:val="es-EC" w:eastAsia="en-US"/>
              </w:rPr>
            </w:pPr>
          </w:p>
        </w:tc>
        <w:tc>
          <w:tcPr>
            <w:tcW w:w="2860" w:type="dxa"/>
          </w:tcPr>
          <w:p w:rsidR="00C521D7" w:rsidRPr="00A453D8" w:rsidRDefault="00C521D7" w:rsidP="008D0B26">
            <w:pPr>
              <w:jc w:val="both"/>
              <w:rPr>
                <w:rFonts w:asciiTheme="majorHAnsi" w:eastAsia="Calibri" w:hAnsiTheme="majorHAnsi"/>
                <w:sz w:val="22"/>
                <w:szCs w:val="22"/>
                <w:lang w:val="es-EC" w:eastAsia="en-US"/>
              </w:rPr>
            </w:pPr>
            <w:r w:rsidRPr="00A453D8">
              <w:rPr>
                <w:rFonts w:asciiTheme="majorHAnsi" w:eastAsia="Calibri" w:hAnsiTheme="majorHAnsi"/>
                <w:sz w:val="22"/>
                <w:szCs w:val="22"/>
                <w:lang w:val="es-EC" w:eastAsia="en-US"/>
              </w:rPr>
              <w:t>A pesar de no ser la entidad de competencia y experticia en el desarrollo de Planes de Re</w:t>
            </w:r>
            <w:r w:rsidR="008D0B26" w:rsidRPr="00A453D8">
              <w:rPr>
                <w:rFonts w:asciiTheme="majorHAnsi" w:eastAsia="Calibri" w:hAnsiTheme="majorHAnsi"/>
                <w:sz w:val="22"/>
                <w:szCs w:val="22"/>
                <w:lang w:val="es-EC" w:eastAsia="en-US"/>
              </w:rPr>
              <w:t>ubicación, s</w:t>
            </w:r>
            <w:r w:rsidRPr="00A453D8">
              <w:rPr>
                <w:rFonts w:asciiTheme="majorHAnsi" w:eastAsia="Calibri" w:hAnsiTheme="majorHAnsi"/>
                <w:sz w:val="22"/>
                <w:szCs w:val="22"/>
                <w:lang w:val="es-EC" w:eastAsia="en-US"/>
              </w:rPr>
              <w:t>e sugiere incluir o ampliar el proceso de evaluación de las zonas de riesgo no mitigable</w:t>
            </w:r>
            <w:r w:rsidR="008D0B26" w:rsidRPr="00A453D8">
              <w:rPr>
                <w:rFonts w:asciiTheme="majorHAnsi" w:eastAsia="Calibri" w:hAnsiTheme="majorHAnsi"/>
                <w:sz w:val="22"/>
                <w:szCs w:val="22"/>
                <w:lang w:val="es-EC" w:eastAsia="en-US"/>
              </w:rPr>
              <w:t xml:space="preserve"> c</w:t>
            </w:r>
            <w:r w:rsidRPr="00A453D8">
              <w:rPr>
                <w:rFonts w:asciiTheme="majorHAnsi" w:eastAsia="Calibri" w:hAnsiTheme="majorHAnsi"/>
                <w:sz w:val="22"/>
                <w:szCs w:val="22"/>
                <w:lang w:val="es-EC" w:eastAsia="en-US"/>
              </w:rPr>
              <w:t xml:space="preserve">onsiderando una evaluación de amenazas (naturales, sociales, tecnológicas, </w:t>
            </w:r>
            <w:proofErr w:type="spellStart"/>
            <w:r w:rsidRPr="00A453D8">
              <w:rPr>
                <w:rFonts w:asciiTheme="majorHAnsi" w:eastAsia="Calibri" w:hAnsiTheme="majorHAnsi"/>
                <w:sz w:val="22"/>
                <w:szCs w:val="22"/>
                <w:lang w:val="es-EC" w:eastAsia="en-US"/>
              </w:rPr>
              <w:t>etc</w:t>
            </w:r>
            <w:proofErr w:type="spellEnd"/>
            <w:r w:rsidRPr="00A453D8">
              <w:rPr>
                <w:rFonts w:asciiTheme="majorHAnsi" w:eastAsia="Calibri" w:hAnsiTheme="majorHAnsi"/>
                <w:sz w:val="22"/>
                <w:szCs w:val="22"/>
                <w:lang w:val="es-EC" w:eastAsia="en-US"/>
              </w:rPr>
              <w:t xml:space="preserve">), y vulnerabilidades (físicas, sociales, ecológicas, </w:t>
            </w:r>
            <w:proofErr w:type="spellStart"/>
            <w:r w:rsidRPr="00A453D8">
              <w:rPr>
                <w:rFonts w:asciiTheme="majorHAnsi" w:eastAsia="Calibri" w:hAnsiTheme="majorHAnsi"/>
                <w:sz w:val="22"/>
                <w:szCs w:val="22"/>
                <w:lang w:val="es-EC" w:eastAsia="en-US"/>
              </w:rPr>
              <w:t>etc</w:t>
            </w:r>
            <w:proofErr w:type="spellEnd"/>
            <w:r w:rsidRPr="00A453D8">
              <w:rPr>
                <w:rFonts w:asciiTheme="majorHAnsi" w:eastAsia="Calibri" w:hAnsiTheme="majorHAnsi"/>
                <w:sz w:val="22"/>
                <w:szCs w:val="22"/>
                <w:lang w:val="es-EC" w:eastAsia="en-US"/>
              </w:rPr>
              <w:t>) de la zona.</w:t>
            </w:r>
          </w:p>
        </w:tc>
      </w:tr>
      <w:tr w:rsidR="00C521D7" w:rsidRPr="00A453D8" w:rsidTr="00A453D8">
        <w:tc>
          <w:tcPr>
            <w:tcW w:w="2803" w:type="dxa"/>
          </w:tcPr>
          <w:p w:rsidR="00C521D7" w:rsidRPr="00A453D8" w:rsidRDefault="00C521D7"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bCs/>
                <w:sz w:val="22"/>
                <w:szCs w:val="22"/>
              </w:rPr>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 xml:space="preserve">Acción ambiental. - </w:t>
            </w:r>
            <w:r w:rsidRPr="00A453D8">
              <w:rPr>
                <w:rFonts w:asciiTheme="majorHAnsi" w:hAnsiTheme="majorHAnsi" w:cstheme="minorHAnsi"/>
                <w:sz w:val="22"/>
                <w:szCs w:val="22"/>
              </w:rPr>
              <w:t>La Administración Zonal correspondiente planificará un proyecto de uso y apropiación del espacio como: reforestación, recuperación ambiental, dotación de espacios de ocio y recreación, entre otros proyectos, con el fin de impedir la ocupación de estos espacios y promover actividades que no promuevan procesos de riesgos.</w:t>
            </w:r>
          </w:p>
          <w:p w:rsidR="00C521D7" w:rsidRPr="00A453D8" w:rsidRDefault="00C521D7" w:rsidP="00A453D8">
            <w:pPr>
              <w:jc w:val="both"/>
              <w:rPr>
                <w:rFonts w:asciiTheme="majorHAnsi" w:eastAsia="Calibri" w:hAnsiTheme="majorHAnsi"/>
                <w:sz w:val="22"/>
                <w:szCs w:val="22"/>
                <w:lang w:eastAsia="en-US"/>
              </w:rPr>
            </w:pPr>
          </w:p>
        </w:tc>
        <w:tc>
          <w:tcPr>
            <w:tcW w:w="2831" w:type="dxa"/>
          </w:tcPr>
          <w:p w:rsidR="00C521D7" w:rsidRPr="00A453D8" w:rsidRDefault="00C521D7" w:rsidP="00A453D8">
            <w:pPr>
              <w:autoSpaceDE w:val="0"/>
              <w:autoSpaceDN w:val="0"/>
              <w:adjustRightInd w:val="0"/>
              <w:jc w:val="both"/>
              <w:rPr>
                <w:rFonts w:asciiTheme="majorHAnsi" w:eastAsia="Calibri" w:hAnsiTheme="majorHAnsi"/>
                <w:sz w:val="22"/>
                <w:szCs w:val="22"/>
                <w:lang w:eastAsia="en-US"/>
              </w:rPr>
            </w:pPr>
            <w:r w:rsidRPr="00A453D8">
              <w:rPr>
                <w:rFonts w:asciiTheme="majorHAnsi" w:hAnsiTheme="majorHAnsi" w:cstheme="minorHAnsi"/>
                <w:b/>
                <w:bCs/>
                <w:sz w:val="22"/>
                <w:szCs w:val="22"/>
              </w:rPr>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 xml:space="preserve">Acción ambiental. - </w:t>
            </w:r>
            <w:r w:rsidRPr="00A453D8">
              <w:rPr>
                <w:rFonts w:asciiTheme="majorHAnsi" w:hAnsiTheme="majorHAnsi" w:cstheme="minorHAnsi"/>
                <w:sz w:val="22"/>
                <w:szCs w:val="22"/>
              </w:rPr>
              <w:t xml:space="preserve">La Administración Zonal correspondiente </w:t>
            </w:r>
            <w:r w:rsidR="00231707" w:rsidRPr="00A453D8">
              <w:rPr>
                <w:rFonts w:asciiTheme="majorHAnsi" w:hAnsiTheme="majorHAnsi" w:cstheme="minorHAnsi"/>
                <w:sz w:val="22"/>
                <w:szCs w:val="22"/>
              </w:rPr>
              <w:t xml:space="preserve">en conjunto con la </w:t>
            </w:r>
            <w:r w:rsidR="00231707" w:rsidRPr="00A453D8">
              <w:rPr>
                <w:rFonts w:asciiTheme="majorHAnsi" w:hAnsiTheme="majorHAnsi" w:cstheme="minorHAnsi"/>
                <w:sz w:val="22"/>
                <w:szCs w:val="22"/>
                <w:highlight w:val="yellow"/>
              </w:rPr>
              <w:t>Secretaría de Ambiente y la Empresa Pública Metropolitana de Movilidad y Obras Públicas</w:t>
            </w:r>
            <w:r w:rsidR="00231707" w:rsidRPr="00A453D8">
              <w:rPr>
                <w:rFonts w:asciiTheme="majorHAnsi" w:hAnsiTheme="majorHAnsi" w:cstheme="minorHAnsi"/>
                <w:sz w:val="22"/>
                <w:szCs w:val="22"/>
              </w:rPr>
              <w:t xml:space="preserve">, </w:t>
            </w:r>
            <w:r w:rsidRPr="00A453D8">
              <w:rPr>
                <w:rFonts w:asciiTheme="majorHAnsi" w:hAnsiTheme="majorHAnsi" w:cstheme="minorHAnsi"/>
                <w:sz w:val="22"/>
                <w:szCs w:val="22"/>
              </w:rPr>
              <w:t xml:space="preserve">planificará un proyecto de uso y apropiación del espacio como: reforestación, recuperación ambiental, dotación de espacios de ocio y recreación, entre otros proyectos, con el fin de impedir la ocupación de estos espacios y promover actividades que no promuevan procesos de riesgos. </w:t>
            </w:r>
          </w:p>
        </w:tc>
        <w:tc>
          <w:tcPr>
            <w:tcW w:w="2860" w:type="dxa"/>
          </w:tcPr>
          <w:p w:rsidR="00C521D7" w:rsidRPr="00A453D8" w:rsidRDefault="00B76E97" w:rsidP="0095524B">
            <w:pPr>
              <w:jc w:val="both"/>
              <w:rPr>
                <w:rFonts w:asciiTheme="majorHAnsi" w:eastAsia="Calibri" w:hAnsiTheme="majorHAnsi"/>
                <w:sz w:val="22"/>
                <w:szCs w:val="22"/>
                <w:lang w:val="es-EC" w:eastAsia="en-US"/>
              </w:rPr>
            </w:pPr>
            <w:r w:rsidRPr="00A453D8">
              <w:rPr>
                <w:rFonts w:asciiTheme="majorHAnsi" w:eastAsia="Calibri" w:hAnsiTheme="majorHAnsi"/>
                <w:sz w:val="22"/>
                <w:szCs w:val="22"/>
                <w:lang w:val="es-EC" w:eastAsia="en-US"/>
              </w:rPr>
              <w:t>Se incluye</w:t>
            </w:r>
            <w:r w:rsidR="0095524B" w:rsidRPr="00A453D8">
              <w:rPr>
                <w:rFonts w:asciiTheme="majorHAnsi" w:eastAsia="Calibri" w:hAnsiTheme="majorHAnsi"/>
                <w:sz w:val="22"/>
                <w:szCs w:val="22"/>
                <w:lang w:val="es-EC" w:eastAsia="en-US"/>
              </w:rPr>
              <w:t xml:space="preserve"> a la S</w:t>
            </w:r>
            <w:r w:rsidRPr="00A453D8">
              <w:rPr>
                <w:rFonts w:asciiTheme="majorHAnsi" w:eastAsia="Calibri" w:hAnsiTheme="majorHAnsi"/>
                <w:sz w:val="22"/>
                <w:szCs w:val="22"/>
                <w:lang w:val="es-EC" w:eastAsia="en-US"/>
              </w:rPr>
              <w:t>ecretaría de Ambiente</w:t>
            </w:r>
            <w:r w:rsidRPr="00A453D8">
              <w:rPr>
                <w:rFonts w:asciiTheme="majorHAnsi" w:eastAsia="Calibri" w:hAnsiTheme="majorHAnsi"/>
                <w:sz w:val="22"/>
                <w:szCs w:val="22"/>
                <w:lang w:val="es-EC" w:eastAsia="en-US"/>
              </w:rPr>
              <w:t xml:space="preserve"> y a la EPMMOP</w:t>
            </w:r>
          </w:p>
        </w:tc>
      </w:tr>
      <w:tr w:rsidR="005C1848" w:rsidRPr="00A453D8" w:rsidTr="00A453D8">
        <w:tc>
          <w:tcPr>
            <w:tcW w:w="2803" w:type="dxa"/>
          </w:tcPr>
          <w:p w:rsidR="005C1848" w:rsidRPr="00A453D8" w:rsidRDefault="005C1848" w:rsidP="00A453D8">
            <w:pPr>
              <w:autoSpaceDE w:val="0"/>
              <w:autoSpaceDN w:val="0"/>
              <w:adjustRightInd w:val="0"/>
              <w:jc w:val="both"/>
              <w:rPr>
                <w:rFonts w:asciiTheme="majorHAnsi" w:hAnsiTheme="majorHAnsi" w:cs="Arial"/>
                <w:sz w:val="22"/>
                <w:szCs w:val="22"/>
              </w:rPr>
            </w:pPr>
            <w:r w:rsidRPr="00A453D8">
              <w:rPr>
                <w:rFonts w:asciiTheme="majorHAnsi" w:hAnsiTheme="majorHAnsi" w:cs="Arial"/>
                <w:b/>
                <w:bCs/>
                <w:sz w:val="22"/>
                <w:szCs w:val="22"/>
              </w:rPr>
              <w:t>Artículo (…). -</w:t>
            </w:r>
            <w:r w:rsidRPr="00A453D8">
              <w:rPr>
                <w:rFonts w:asciiTheme="majorHAnsi" w:hAnsiTheme="majorHAnsi" w:cs="Arial"/>
                <w:sz w:val="22"/>
                <w:szCs w:val="22"/>
              </w:rPr>
              <w:t xml:space="preserve"> </w:t>
            </w:r>
            <w:r w:rsidRPr="00A453D8">
              <w:rPr>
                <w:rFonts w:asciiTheme="majorHAnsi" w:hAnsiTheme="majorHAnsi" w:cs="Arial"/>
                <w:b/>
                <w:sz w:val="22"/>
                <w:szCs w:val="22"/>
              </w:rPr>
              <w:t>Recuperación de las zonas afectadas o de Riesgo no Mitigable.–</w:t>
            </w:r>
            <w:r w:rsidRPr="00A453D8">
              <w:rPr>
                <w:rFonts w:asciiTheme="majorHAnsi" w:hAnsiTheme="majorHAnsi" w:cs="Arial"/>
                <w:sz w:val="22"/>
                <w:szCs w:val="22"/>
              </w:rPr>
              <w:t xml:space="preserve"> Una </w:t>
            </w:r>
            <w:r w:rsidRPr="00A453D8">
              <w:rPr>
                <w:rFonts w:asciiTheme="majorHAnsi" w:hAnsiTheme="majorHAnsi" w:cs="Arial"/>
                <w:sz w:val="22"/>
                <w:szCs w:val="22"/>
              </w:rPr>
              <w:lastRenderedPageBreak/>
              <w:t>vez transferidos a favor del Municipio del Distrito Metropolitano de Quito, los predios calificados en Riesgo no Mitigable, respecto del Plan de Reubicación, de conformidad con el presente Título, la Administración Zonal correspondiente, planificará y ejecutará, previo el cambio de uso de suelo, el derrocamiento de las edificaciones, la limpieza de los predios y el acondicionamiento ambiental del sitio recuperado, ejerciendo a futuro junto con la entidad responsable del control municipal el correspondiente control del uso y ocupación del suelo.</w:t>
            </w:r>
          </w:p>
          <w:p w:rsidR="005C1848" w:rsidRPr="00A453D8" w:rsidRDefault="005C1848" w:rsidP="00A453D8">
            <w:pPr>
              <w:jc w:val="both"/>
              <w:rPr>
                <w:rFonts w:asciiTheme="majorHAnsi" w:eastAsia="Calibri" w:hAnsiTheme="majorHAnsi"/>
                <w:sz w:val="22"/>
                <w:szCs w:val="22"/>
                <w:lang w:val="es-EC" w:eastAsia="en-US"/>
              </w:rPr>
            </w:pPr>
          </w:p>
        </w:tc>
        <w:tc>
          <w:tcPr>
            <w:tcW w:w="2831" w:type="dxa"/>
          </w:tcPr>
          <w:p w:rsidR="000B61AA" w:rsidRPr="00A453D8" w:rsidRDefault="000B61AA" w:rsidP="00A453D8">
            <w:pPr>
              <w:autoSpaceDE w:val="0"/>
              <w:autoSpaceDN w:val="0"/>
              <w:adjustRightInd w:val="0"/>
              <w:jc w:val="both"/>
              <w:rPr>
                <w:rFonts w:asciiTheme="majorHAnsi" w:hAnsiTheme="majorHAnsi" w:cs="Arial"/>
                <w:sz w:val="22"/>
                <w:szCs w:val="22"/>
              </w:rPr>
            </w:pPr>
            <w:r w:rsidRPr="00A453D8">
              <w:rPr>
                <w:rFonts w:asciiTheme="majorHAnsi" w:hAnsiTheme="majorHAnsi" w:cs="Arial"/>
                <w:b/>
                <w:bCs/>
                <w:sz w:val="22"/>
                <w:szCs w:val="22"/>
              </w:rPr>
              <w:lastRenderedPageBreak/>
              <w:t>Artículo (…). -</w:t>
            </w:r>
            <w:r w:rsidRPr="00A453D8">
              <w:rPr>
                <w:rFonts w:asciiTheme="majorHAnsi" w:hAnsiTheme="majorHAnsi" w:cs="Arial"/>
                <w:sz w:val="22"/>
                <w:szCs w:val="22"/>
              </w:rPr>
              <w:t xml:space="preserve"> </w:t>
            </w:r>
            <w:r w:rsidRPr="00A453D8">
              <w:rPr>
                <w:rFonts w:asciiTheme="majorHAnsi" w:hAnsiTheme="majorHAnsi" w:cs="Arial"/>
                <w:b/>
                <w:sz w:val="22"/>
                <w:szCs w:val="22"/>
              </w:rPr>
              <w:t>Recuperación de las zonas afectadas o de Riesgo no Mitigable.–</w:t>
            </w:r>
            <w:r w:rsidRPr="00A453D8">
              <w:rPr>
                <w:rFonts w:asciiTheme="majorHAnsi" w:hAnsiTheme="majorHAnsi" w:cs="Arial"/>
                <w:sz w:val="22"/>
                <w:szCs w:val="22"/>
              </w:rPr>
              <w:t xml:space="preserve"> Una vez </w:t>
            </w:r>
            <w:r w:rsidRPr="00A453D8">
              <w:rPr>
                <w:rFonts w:asciiTheme="majorHAnsi" w:hAnsiTheme="majorHAnsi" w:cs="Arial"/>
                <w:sz w:val="22"/>
                <w:szCs w:val="22"/>
              </w:rPr>
              <w:lastRenderedPageBreak/>
              <w:t xml:space="preserve">transferidos a favor del Municipio del Distrito Metropolitano de Quito, los predios calificados en Riesgo no Mitigable, respecto del Plan de Reubicación, de conformidad con el presente Título, la Administración Zonal correspondiente, planificará y ejecutará, previo el cambio de uso de suelo, el derrocamiento de las edificaciones, la limpieza de los predios </w:t>
            </w:r>
            <w:r w:rsidRPr="00A453D8">
              <w:rPr>
                <w:rFonts w:asciiTheme="majorHAnsi" w:hAnsiTheme="majorHAnsi" w:cs="Arial"/>
                <w:sz w:val="22"/>
                <w:szCs w:val="22"/>
                <w:highlight w:val="yellow"/>
              </w:rPr>
              <w:t xml:space="preserve">y </w:t>
            </w:r>
            <w:r w:rsidRPr="00A453D8">
              <w:rPr>
                <w:rFonts w:asciiTheme="majorHAnsi" w:hAnsiTheme="majorHAnsi" w:cs="Arial"/>
                <w:sz w:val="22"/>
                <w:szCs w:val="22"/>
                <w:highlight w:val="yellow"/>
              </w:rPr>
              <w:t>en coordinación con la Secretaría de Ambiente</w:t>
            </w:r>
            <w:r w:rsidRPr="00A453D8">
              <w:rPr>
                <w:rFonts w:asciiTheme="majorHAnsi" w:hAnsiTheme="majorHAnsi" w:cs="Arial"/>
                <w:sz w:val="22"/>
                <w:szCs w:val="22"/>
              </w:rPr>
              <w:t xml:space="preserve"> </w:t>
            </w:r>
            <w:r w:rsidRPr="00A453D8">
              <w:rPr>
                <w:rFonts w:asciiTheme="majorHAnsi" w:hAnsiTheme="majorHAnsi" w:cs="Arial"/>
                <w:sz w:val="22"/>
                <w:szCs w:val="22"/>
              </w:rPr>
              <w:t>el acondicionamiento ambiental del sitio recuperado, ejerciendo a futuro junto con la entidad responsable del control municipal el correspondiente control del uso y ocupación del suelo.</w:t>
            </w:r>
          </w:p>
          <w:p w:rsidR="005C1848" w:rsidRPr="00A453D8" w:rsidRDefault="005C1848" w:rsidP="00A453D8">
            <w:pPr>
              <w:jc w:val="both"/>
              <w:rPr>
                <w:rFonts w:asciiTheme="majorHAnsi" w:eastAsia="Calibri" w:hAnsiTheme="majorHAnsi"/>
                <w:sz w:val="22"/>
                <w:szCs w:val="22"/>
                <w:lang w:eastAsia="en-US"/>
              </w:rPr>
            </w:pPr>
          </w:p>
        </w:tc>
        <w:tc>
          <w:tcPr>
            <w:tcW w:w="2860" w:type="dxa"/>
          </w:tcPr>
          <w:p w:rsidR="005C1848" w:rsidRPr="00A453D8" w:rsidRDefault="005C1848" w:rsidP="00B76E97">
            <w:pPr>
              <w:jc w:val="both"/>
              <w:rPr>
                <w:rFonts w:asciiTheme="majorHAnsi" w:eastAsia="Calibri" w:hAnsiTheme="majorHAnsi"/>
                <w:sz w:val="22"/>
                <w:szCs w:val="22"/>
                <w:lang w:val="es-EC" w:eastAsia="en-US"/>
              </w:rPr>
            </w:pPr>
            <w:r w:rsidRPr="00A453D8">
              <w:rPr>
                <w:rFonts w:asciiTheme="majorHAnsi" w:eastAsia="Calibri" w:hAnsiTheme="majorHAnsi"/>
                <w:sz w:val="22"/>
                <w:szCs w:val="22"/>
                <w:lang w:val="es-EC" w:eastAsia="en-US"/>
              </w:rPr>
              <w:lastRenderedPageBreak/>
              <w:t xml:space="preserve">Se </w:t>
            </w:r>
            <w:r w:rsidR="00B76E97" w:rsidRPr="00A453D8">
              <w:rPr>
                <w:rFonts w:asciiTheme="majorHAnsi" w:eastAsia="Calibri" w:hAnsiTheme="majorHAnsi"/>
                <w:sz w:val="22"/>
                <w:szCs w:val="22"/>
                <w:lang w:val="es-EC" w:eastAsia="en-US"/>
              </w:rPr>
              <w:t>incluye</w:t>
            </w:r>
            <w:r w:rsidRPr="00A453D8">
              <w:rPr>
                <w:rFonts w:asciiTheme="majorHAnsi" w:eastAsia="Calibri" w:hAnsiTheme="majorHAnsi"/>
                <w:sz w:val="22"/>
                <w:szCs w:val="22"/>
                <w:lang w:val="es-EC" w:eastAsia="en-US"/>
              </w:rPr>
              <w:t xml:space="preserve"> a la secretaría de Ambiente</w:t>
            </w:r>
          </w:p>
        </w:tc>
      </w:tr>
      <w:tr w:rsidR="00D578CB" w:rsidRPr="00A453D8" w:rsidTr="00A453D8">
        <w:tc>
          <w:tcPr>
            <w:tcW w:w="2803" w:type="dxa"/>
          </w:tcPr>
          <w:p w:rsidR="00D578CB" w:rsidRPr="00A453D8" w:rsidRDefault="00D578CB" w:rsidP="00A453D8">
            <w:pPr>
              <w:jc w:val="both"/>
              <w:rPr>
                <w:rFonts w:asciiTheme="majorHAnsi" w:eastAsia="Calibri" w:hAnsiTheme="majorHAnsi" w:cstheme="minorHAnsi"/>
                <w:sz w:val="22"/>
                <w:szCs w:val="22"/>
                <w:lang w:val="es-EC" w:eastAsia="en-US"/>
              </w:rPr>
            </w:pPr>
            <w:r w:rsidRPr="00A453D8">
              <w:rPr>
                <w:rFonts w:asciiTheme="majorHAnsi" w:hAnsiTheme="majorHAnsi" w:cstheme="minorHAnsi"/>
                <w:b/>
                <w:bCs/>
                <w:sz w:val="22"/>
                <w:szCs w:val="22"/>
              </w:rPr>
              <w:lastRenderedPageBreak/>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 xml:space="preserve">Ámbito de Aplicación. </w:t>
            </w:r>
            <w:r w:rsidRPr="00A453D8">
              <w:rPr>
                <w:rFonts w:asciiTheme="majorHAnsi" w:hAnsiTheme="majorHAnsi" w:cstheme="minorHAnsi"/>
                <w:sz w:val="22"/>
                <w:szCs w:val="22"/>
              </w:rPr>
              <w:t xml:space="preserve">– El presente instrumento será de obligatoria aplicación en el territorio del Distrito Metropolitano de Quito a efectos de la reubicación de las familias beneficiarias identificadas en zonas de riesgo no mitigable, ante movimientos en masa, amenazas </w:t>
            </w:r>
            <w:proofErr w:type="spellStart"/>
            <w:r w:rsidRPr="00A453D8">
              <w:rPr>
                <w:rFonts w:asciiTheme="majorHAnsi" w:hAnsiTheme="majorHAnsi" w:cstheme="minorHAnsi"/>
                <w:sz w:val="22"/>
                <w:szCs w:val="22"/>
              </w:rPr>
              <w:t>hidrometeorológicas</w:t>
            </w:r>
            <w:proofErr w:type="spellEnd"/>
            <w:r w:rsidRPr="00A453D8">
              <w:rPr>
                <w:rFonts w:asciiTheme="majorHAnsi" w:hAnsiTheme="majorHAnsi" w:cstheme="minorHAnsi"/>
                <w:sz w:val="22"/>
                <w:szCs w:val="22"/>
              </w:rPr>
              <w:t xml:space="preserve"> y subsidencia de terreno, a través de los programas habitacionales de Interés Social y en Zonas Especiales de Interés Social (ZEIS), conforme la normativa metropolitana vigente</w:t>
            </w:r>
          </w:p>
        </w:tc>
        <w:tc>
          <w:tcPr>
            <w:tcW w:w="2831" w:type="dxa"/>
          </w:tcPr>
          <w:p w:rsidR="00D578CB" w:rsidRPr="00A453D8" w:rsidRDefault="00D578CB" w:rsidP="00D578CB">
            <w:pPr>
              <w:rPr>
                <w:rFonts w:asciiTheme="majorHAnsi" w:eastAsia="Calibri" w:hAnsiTheme="majorHAnsi" w:cstheme="minorHAnsi"/>
                <w:sz w:val="22"/>
                <w:szCs w:val="22"/>
                <w:lang w:val="es-EC" w:eastAsia="en-US"/>
              </w:rPr>
            </w:pPr>
          </w:p>
        </w:tc>
        <w:tc>
          <w:tcPr>
            <w:tcW w:w="2860" w:type="dxa"/>
          </w:tcPr>
          <w:p w:rsidR="00D578CB" w:rsidRPr="00A453D8" w:rsidRDefault="00D578CB" w:rsidP="00D578CB">
            <w:pPr>
              <w:jc w:val="both"/>
              <w:rPr>
                <w:rFonts w:asciiTheme="majorHAnsi" w:eastAsia="Calibri" w:hAnsiTheme="majorHAnsi" w:cstheme="minorHAnsi"/>
                <w:sz w:val="22"/>
                <w:szCs w:val="22"/>
                <w:lang w:val="es-EC" w:eastAsia="en-US"/>
              </w:rPr>
            </w:pPr>
            <w:r w:rsidRPr="00A453D8">
              <w:rPr>
                <w:rFonts w:asciiTheme="majorHAnsi" w:eastAsia="Calibri" w:hAnsiTheme="majorHAnsi" w:cstheme="minorHAnsi"/>
                <w:sz w:val="22"/>
                <w:szCs w:val="22"/>
                <w:lang w:val="es-EC" w:eastAsia="en-US"/>
              </w:rPr>
              <w:t xml:space="preserve">Asegurarse que en territorio rural del DMQ también están identificadas las ZEIS, y no solamente en la ciudad de Quito. </w:t>
            </w:r>
          </w:p>
        </w:tc>
      </w:tr>
      <w:tr w:rsidR="00D578CB" w:rsidRPr="00A453D8" w:rsidTr="00A453D8">
        <w:tc>
          <w:tcPr>
            <w:tcW w:w="2803" w:type="dxa"/>
          </w:tcPr>
          <w:p w:rsidR="00D578CB" w:rsidRPr="00A453D8" w:rsidRDefault="00D578CB" w:rsidP="00A453D8">
            <w:pPr>
              <w:jc w:val="both"/>
              <w:rPr>
                <w:rFonts w:asciiTheme="majorHAnsi" w:hAnsiTheme="majorHAnsi" w:cstheme="minorHAnsi"/>
                <w:sz w:val="22"/>
                <w:szCs w:val="22"/>
              </w:rPr>
            </w:pPr>
            <w:r w:rsidRPr="00A453D8">
              <w:rPr>
                <w:rFonts w:asciiTheme="majorHAnsi" w:hAnsiTheme="majorHAnsi" w:cstheme="minorHAnsi"/>
                <w:b/>
                <w:sz w:val="22"/>
                <w:szCs w:val="22"/>
              </w:rPr>
              <w:t>Amenaza</w:t>
            </w:r>
            <w:r w:rsidRPr="00A453D8">
              <w:rPr>
                <w:rFonts w:asciiTheme="majorHAnsi" w:hAnsiTheme="majorHAnsi" w:cstheme="minorHAnsi"/>
                <w:sz w:val="22"/>
                <w:szCs w:val="22"/>
              </w:rPr>
              <w:t xml:space="preserve">: Proceso, fenómeno o actividad humana que puede ocasionar muertes, lesiones u </w:t>
            </w:r>
            <w:r w:rsidRPr="00A453D8">
              <w:rPr>
                <w:rFonts w:asciiTheme="majorHAnsi" w:hAnsiTheme="majorHAnsi" w:cstheme="minorHAnsi"/>
                <w:sz w:val="22"/>
                <w:szCs w:val="22"/>
              </w:rPr>
              <w:lastRenderedPageBreak/>
              <w:t>otros efectos en la salud, daños a los bienes, disrupciones sociales y económicas o daños ambientales (ONU, 2016, pág. 19).</w:t>
            </w:r>
          </w:p>
          <w:p w:rsidR="00D578CB" w:rsidRPr="00A453D8" w:rsidRDefault="00D578CB" w:rsidP="00A453D8">
            <w:pPr>
              <w:jc w:val="both"/>
              <w:rPr>
                <w:rFonts w:asciiTheme="majorHAnsi" w:eastAsia="Calibri" w:hAnsiTheme="majorHAnsi" w:cstheme="minorHAnsi"/>
                <w:sz w:val="22"/>
                <w:szCs w:val="22"/>
                <w:lang w:eastAsia="en-US"/>
              </w:rPr>
            </w:pPr>
          </w:p>
        </w:tc>
        <w:tc>
          <w:tcPr>
            <w:tcW w:w="2831" w:type="dxa"/>
          </w:tcPr>
          <w:p w:rsidR="00D578CB" w:rsidRPr="00A453D8" w:rsidRDefault="0036617A" w:rsidP="00D578CB">
            <w:pPr>
              <w:jc w:val="both"/>
              <w:rPr>
                <w:rFonts w:asciiTheme="majorHAnsi" w:eastAsia="Calibri" w:hAnsiTheme="majorHAnsi" w:cstheme="minorHAnsi"/>
                <w:sz w:val="22"/>
                <w:szCs w:val="22"/>
                <w:lang w:val="es-EC" w:eastAsia="en-US"/>
              </w:rPr>
            </w:pPr>
            <w:r w:rsidRPr="00A453D8">
              <w:rPr>
                <w:rFonts w:asciiTheme="majorHAnsi" w:eastAsia="Calibri" w:hAnsiTheme="majorHAnsi" w:cstheme="minorHAnsi"/>
                <w:sz w:val="22"/>
                <w:szCs w:val="22"/>
                <w:lang w:val="es-EC" w:eastAsia="en-US"/>
              </w:rPr>
              <w:lastRenderedPageBreak/>
              <w:t>Am</w:t>
            </w:r>
            <w:r w:rsidR="00D578CB" w:rsidRPr="00A453D8">
              <w:rPr>
                <w:rFonts w:asciiTheme="majorHAnsi" w:eastAsia="Calibri" w:hAnsiTheme="majorHAnsi" w:cstheme="minorHAnsi"/>
                <w:sz w:val="22"/>
                <w:szCs w:val="22"/>
                <w:lang w:val="es-EC" w:eastAsia="en-US"/>
              </w:rPr>
              <w:t xml:space="preserve">enaza: Proceso, </w:t>
            </w:r>
            <w:r w:rsidR="00D578CB" w:rsidRPr="00A453D8">
              <w:rPr>
                <w:rFonts w:asciiTheme="majorHAnsi" w:eastAsia="Calibri" w:hAnsiTheme="majorHAnsi" w:cstheme="minorHAnsi"/>
                <w:sz w:val="22"/>
                <w:szCs w:val="22"/>
                <w:highlight w:val="yellow"/>
                <w:lang w:val="es-EC" w:eastAsia="en-US"/>
              </w:rPr>
              <w:t>fenómeno natural</w:t>
            </w:r>
            <w:r w:rsidR="00D578CB" w:rsidRPr="00A453D8">
              <w:rPr>
                <w:rFonts w:asciiTheme="majorHAnsi" w:eastAsia="Calibri" w:hAnsiTheme="majorHAnsi" w:cstheme="minorHAnsi"/>
                <w:sz w:val="22"/>
                <w:szCs w:val="22"/>
                <w:lang w:val="es-EC" w:eastAsia="en-US"/>
              </w:rPr>
              <w:t xml:space="preserve"> o actividad humana…</w:t>
            </w:r>
          </w:p>
        </w:tc>
        <w:tc>
          <w:tcPr>
            <w:tcW w:w="2860" w:type="dxa"/>
          </w:tcPr>
          <w:p w:rsidR="00D578CB" w:rsidRPr="00A453D8" w:rsidRDefault="00D578CB" w:rsidP="00D578CB">
            <w:pPr>
              <w:rPr>
                <w:rFonts w:asciiTheme="majorHAnsi" w:eastAsia="Calibri" w:hAnsiTheme="majorHAnsi"/>
                <w:sz w:val="22"/>
                <w:szCs w:val="22"/>
                <w:lang w:val="es-EC" w:eastAsia="en-US"/>
              </w:rPr>
            </w:pPr>
          </w:p>
        </w:tc>
      </w:tr>
      <w:tr w:rsidR="00D578CB" w:rsidRPr="00A453D8" w:rsidTr="00A453D8">
        <w:tc>
          <w:tcPr>
            <w:tcW w:w="2803" w:type="dxa"/>
          </w:tcPr>
          <w:p w:rsidR="00D578CB" w:rsidRPr="00A453D8" w:rsidRDefault="00D578CB" w:rsidP="00A453D8">
            <w:pPr>
              <w:jc w:val="both"/>
              <w:rPr>
                <w:rFonts w:asciiTheme="majorHAnsi" w:hAnsiTheme="majorHAnsi" w:cstheme="minorHAnsi"/>
                <w:sz w:val="22"/>
                <w:szCs w:val="22"/>
              </w:rPr>
            </w:pPr>
            <w:r w:rsidRPr="00A453D8">
              <w:rPr>
                <w:rFonts w:asciiTheme="majorHAnsi" w:hAnsiTheme="majorHAnsi" w:cstheme="minorHAnsi"/>
                <w:b/>
                <w:sz w:val="22"/>
                <w:szCs w:val="22"/>
              </w:rPr>
              <w:lastRenderedPageBreak/>
              <w:t>Análisis de riesgo</w:t>
            </w:r>
            <w:r w:rsidRPr="00A453D8">
              <w:rPr>
                <w:rFonts w:asciiTheme="majorHAnsi" w:hAnsiTheme="majorHAnsi" w:cstheme="minorHAnsi"/>
                <w:sz w:val="22"/>
                <w:szCs w:val="22"/>
              </w:rPr>
              <w:t>: Proceso de comprender la naturaleza del riesgo para determinar su nivel a través de la identificación de riesgo, es la base para la evaluación de riesgos y las decisiones sobre las medidas de reducción del riesgo y preparación para la respuesta. Incluye la estimación del riesgo.</w:t>
            </w:r>
          </w:p>
          <w:p w:rsidR="00D578CB" w:rsidRPr="00A453D8" w:rsidRDefault="00D578CB" w:rsidP="00A453D8">
            <w:pPr>
              <w:jc w:val="both"/>
              <w:rPr>
                <w:rFonts w:asciiTheme="majorHAnsi" w:eastAsia="Calibri" w:hAnsiTheme="majorHAnsi" w:cstheme="minorHAnsi"/>
                <w:sz w:val="22"/>
                <w:szCs w:val="22"/>
                <w:lang w:val="es-EC" w:eastAsia="en-US"/>
              </w:rPr>
            </w:pPr>
          </w:p>
        </w:tc>
        <w:tc>
          <w:tcPr>
            <w:tcW w:w="2831" w:type="dxa"/>
          </w:tcPr>
          <w:p w:rsidR="00D578CB" w:rsidRPr="00A453D8" w:rsidRDefault="00D578CB" w:rsidP="00D578CB">
            <w:pPr>
              <w:jc w:val="both"/>
              <w:rPr>
                <w:rFonts w:asciiTheme="majorHAnsi" w:eastAsia="Calibri" w:hAnsiTheme="majorHAnsi" w:cstheme="minorHAnsi"/>
                <w:sz w:val="22"/>
                <w:szCs w:val="22"/>
                <w:lang w:val="es-EC" w:eastAsia="en-US"/>
              </w:rPr>
            </w:pPr>
          </w:p>
        </w:tc>
        <w:tc>
          <w:tcPr>
            <w:tcW w:w="2860" w:type="dxa"/>
          </w:tcPr>
          <w:p w:rsidR="00926F32" w:rsidRPr="00A453D8" w:rsidRDefault="00926F32" w:rsidP="0095524B">
            <w:pPr>
              <w:jc w:val="both"/>
              <w:rPr>
                <w:rFonts w:asciiTheme="majorHAnsi" w:eastAsia="Calibri" w:hAnsiTheme="majorHAnsi" w:cstheme="minorHAnsi"/>
                <w:sz w:val="22"/>
                <w:szCs w:val="22"/>
                <w:lang w:val="es-EC" w:eastAsia="en-US"/>
              </w:rPr>
            </w:pPr>
            <w:r w:rsidRPr="00A453D8">
              <w:rPr>
                <w:rFonts w:asciiTheme="majorHAnsi" w:eastAsia="Calibri" w:hAnsiTheme="majorHAnsi" w:cstheme="minorHAnsi"/>
                <w:sz w:val="22"/>
                <w:szCs w:val="22"/>
                <w:lang w:val="es-EC" w:eastAsia="en-US"/>
              </w:rPr>
              <w:t>Mejorar redacción, n</w:t>
            </w:r>
            <w:r w:rsidR="00D578CB" w:rsidRPr="00A453D8">
              <w:rPr>
                <w:rFonts w:asciiTheme="majorHAnsi" w:eastAsia="Calibri" w:hAnsiTheme="majorHAnsi" w:cstheme="minorHAnsi"/>
                <w:sz w:val="22"/>
                <w:szCs w:val="22"/>
                <w:lang w:val="es-EC" w:eastAsia="en-US"/>
              </w:rPr>
              <w:t>o se entiende</w:t>
            </w:r>
            <w:r w:rsidRPr="00A453D8">
              <w:rPr>
                <w:rFonts w:asciiTheme="majorHAnsi" w:eastAsia="Calibri" w:hAnsiTheme="majorHAnsi" w:cstheme="minorHAnsi"/>
                <w:sz w:val="22"/>
                <w:szCs w:val="22"/>
                <w:lang w:val="es-EC" w:eastAsia="en-US"/>
              </w:rPr>
              <w:t>.</w:t>
            </w:r>
            <w:r w:rsidR="00D578CB" w:rsidRPr="00A453D8">
              <w:rPr>
                <w:rFonts w:asciiTheme="majorHAnsi" w:eastAsia="Calibri" w:hAnsiTheme="majorHAnsi" w:cstheme="minorHAnsi"/>
                <w:sz w:val="22"/>
                <w:szCs w:val="22"/>
                <w:lang w:val="es-EC" w:eastAsia="en-US"/>
              </w:rPr>
              <w:t xml:space="preserve"> Se sugiere describir primero el </w:t>
            </w:r>
            <w:r w:rsidRPr="00A453D8">
              <w:rPr>
                <w:rFonts w:asciiTheme="majorHAnsi" w:eastAsia="Calibri" w:hAnsiTheme="majorHAnsi" w:cstheme="minorHAnsi"/>
                <w:sz w:val="22"/>
                <w:szCs w:val="22"/>
                <w:lang w:val="es-EC" w:eastAsia="en-US"/>
              </w:rPr>
              <w:t xml:space="preserve">proceso de identificación y los criterios de evaluación. </w:t>
            </w:r>
          </w:p>
          <w:p w:rsidR="00D578CB" w:rsidRPr="00A453D8" w:rsidRDefault="00AC2E66" w:rsidP="0095524B">
            <w:pPr>
              <w:jc w:val="both"/>
              <w:rPr>
                <w:rFonts w:asciiTheme="majorHAnsi" w:eastAsia="Calibri" w:hAnsiTheme="majorHAnsi" w:cstheme="minorHAnsi"/>
                <w:sz w:val="22"/>
                <w:szCs w:val="22"/>
                <w:lang w:val="es-EC" w:eastAsia="en-US"/>
              </w:rPr>
            </w:pPr>
            <w:r w:rsidRPr="00A453D8">
              <w:rPr>
                <w:rFonts w:asciiTheme="majorHAnsi" w:eastAsia="Calibri" w:hAnsiTheme="majorHAnsi" w:cstheme="minorHAnsi"/>
                <w:sz w:val="22"/>
                <w:szCs w:val="22"/>
                <w:lang w:val="es-EC" w:eastAsia="en-US"/>
              </w:rPr>
              <w:t xml:space="preserve">Señalar la </w:t>
            </w:r>
            <w:r w:rsidR="00D578CB" w:rsidRPr="00A453D8">
              <w:rPr>
                <w:rFonts w:asciiTheme="majorHAnsi" w:eastAsia="Calibri" w:hAnsiTheme="majorHAnsi" w:cstheme="minorHAnsi"/>
                <w:sz w:val="22"/>
                <w:szCs w:val="22"/>
                <w:lang w:val="es-EC" w:eastAsia="en-US"/>
              </w:rPr>
              <w:t xml:space="preserve"> diferencia entre estimación del riesgo</w:t>
            </w:r>
            <w:r w:rsidR="007C0689" w:rsidRPr="00A453D8">
              <w:rPr>
                <w:rFonts w:asciiTheme="majorHAnsi" w:eastAsia="Calibri" w:hAnsiTheme="majorHAnsi" w:cstheme="minorHAnsi"/>
                <w:sz w:val="22"/>
                <w:szCs w:val="22"/>
                <w:lang w:val="es-EC" w:eastAsia="en-US"/>
              </w:rPr>
              <w:t xml:space="preserve"> y la identificación del riesgo, así como la incidencia de las decisiones sobre las medidas de reducción del riesgo.</w:t>
            </w:r>
          </w:p>
        </w:tc>
      </w:tr>
      <w:tr w:rsidR="00D578CB" w:rsidRPr="00A453D8" w:rsidTr="00A453D8">
        <w:tc>
          <w:tcPr>
            <w:tcW w:w="2803" w:type="dxa"/>
          </w:tcPr>
          <w:p w:rsidR="00D578CB" w:rsidRPr="00A453D8" w:rsidRDefault="00D578CB"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bCs/>
                <w:sz w:val="22"/>
                <w:szCs w:val="22"/>
              </w:rPr>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Calificación del Riesgo. -</w:t>
            </w:r>
            <w:r w:rsidRPr="00A453D8">
              <w:rPr>
                <w:rFonts w:asciiTheme="majorHAnsi" w:hAnsiTheme="majorHAnsi" w:cstheme="minorHAnsi"/>
                <w:sz w:val="22"/>
                <w:szCs w:val="22"/>
              </w:rPr>
              <w:t xml:space="preserve"> La Secretaría General de Seguridad y Gobernabilidad, a través de la Dirección Metropolitana de Gestión de Riesgos, definirá zonas de Riesgo en el Distrito Metropolitano de Quito con énfasis en aquellas con características de posible riesgo no mitigable. Con esta información las Administraciones Zonales, elaborarán los informes técnicos de calificación de riesgo no mitigable en los predios, así como realizará la identificación de familias beneficiarias. </w:t>
            </w:r>
          </w:p>
          <w:p w:rsidR="00D578CB" w:rsidRPr="00A453D8" w:rsidRDefault="00D578CB" w:rsidP="00A453D8">
            <w:pPr>
              <w:jc w:val="both"/>
              <w:rPr>
                <w:rFonts w:asciiTheme="majorHAnsi" w:eastAsia="Calibri" w:hAnsiTheme="majorHAnsi" w:cstheme="minorHAnsi"/>
                <w:sz w:val="22"/>
                <w:szCs w:val="22"/>
                <w:lang w:val="es-EC" w:eastAsia="en-US"/>
              </w:rPr>
            </w:pPr>
          </w:p>
        </w:tc>
        <w:tc>
          <w:tcPr>
            <w:tcW w:w="2831" w:type="dxa"/>
          </w:tcPr>
          <w:p w:rsidR="00D578CB" w:rsidRPr="00A453D8" w:rsidRDefault="00D578CB" w:rsidP="00D578CB">
            <w:pPr>
              <w:jc w:val="both"/>
              <w:rPr>
                <w:rFonts w:asciiTheme="majorHAnsi" w:eastAsia="Calibri" w:hAnsiTheme="majorHAnsi" w:cstheme="minorHAnsi"/>
                <w:sz w:val="22"/>
                <w:szCs w:val="22"/>
                <w:lang w:val="es-EC" w:eastAsia="en-US"/>
              </w:rPr>
            </w:pPr>
          </w:p>
        </w:tc>
        <w:tc>
          <w:tcPr>
            <w:tcW w:w="2860" w:type="dxa"/>
          </w:tcPr>
          <w:p w:rsidR="00D578CB" w:rsidRPr="00A453D8" w:rsidRDefault="00E064FC" w:rsidP="0095524B">
            <w:pPr>
              <w:jc w:val="both"/>
              <w:rPr>
                <w:rFonts w:asciiTheme="majorHAnsi" w:eastAsia="Calibri" w:hAnsiTheme="majorHAnsi" w:cstheme="minorHAnsi"/>
                <w:sz w:val="22"/>
                <w:szCs w:val="22"/>
                <w:lang w:val="es-EC" w:eastAsia="en-US"/>
              </w:rPr>
            </w:pPr>
            <w:r w:rsidRPr="00A453D8">
              <w:rPr>
                <w:rFonts w:asciiTheme="majorHAnsi" w:hAnsiTheme="majorHAnsi" w:cstheme="minorHAnsi"/>
                <w:sz w:val="22"/>
                <w:szCs w:val="22"/>
              </w:rPr>
              <w:t>La SGSG deberá</w:t>
            </w:r>
            <w:r w:rsidR="00D578CB" w:rsidRPr="00A453D8">
              <w:rPr>
                <w:rFonts w:asciiTheme="majorHAnsi" w:hAnsiTheme="majorHAnsi" w:cstheme="minorHAnsi"/>
                <w:sz w:val="22"/>
                <w:szCs w:val="22"/>
              </w:rPr>
              <w:t xml:space="preserve"> asegurar que los técnicos de las Zonales que van a elaborar los informes y a trabajar con las familias, estén adecuadamente capacitados para esas tareas.</w:t>
            </w:r>
          </w:p>
        </w:tc>
      </w:tr>
      <w:tr w:rsidR="00D578CB" w:rsidRPr="00A453D8" w:rsidTr="00A453D8">
        <w:tc>
          <w:tcPr>
            <w:tcW w:w="2803" w:type="dxa"/>
          </w:tcPr>
          <w:p w:rsidR="00D578CB" w:rsidRPr="00A453D8" w:rsidRDefault="00D578CB"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bCs/>
                <w:sz w:val="22"/>
                <w:szCs w:val="22"/>
              </w:rPr>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Notificación de familias. –</w:t>
            </w:r>
            <w:r w:rsidRPr="00A453D8">
              <w:rPr>
                <w:rFonts w:asciiTheme="majorHAnsi" w:hAnsiTheme="majorHAnsi" w:cstheme="minorHAnsi"/>
                <w:sz w:val="22"/>
                <w:szCs w:val="22"/>
              </w:rPr>
              <w:t xml:space="preserve"> Posterior a la calificación del riesgo, la Administración Zonal respectiva, procederá a notificar a los habitantes de estos predios sobre la situación de riesgo no mitigable existente, para que </w:t>
            </w:r>
            <w:r w:rsidRPr="00A453D8">
              <w:rPr>
                <w:rFonts w:asciiTheme="majorHAnsi" w:hAnsiTheme="majorHAnsi" w:cstheme="minorHAnsi"/>
                <w:sz w:val="22"/>
                <w:szCs w:val="22"/>
              </w:rPr>
              <w:lastRenderedPageBreak/>
              <w:t>las familias en el término de cinco días soliciten su incorporación voluntaria al Plan de Reubicación mediante la suscripción del documento habilitante. La incorporación al Plan de Reubicación de las familias beneficiarias, se dará únicamente si cumplen los requisitos establecidos para considerarse como tal.</w:t>
            </w:r>
          </w:p>
          <w:p w:rsidR="00D578CB" w:rsidRPr="00A453D8" w:rsidRDefault="00D578CB" w:rsidP="00A453D8">
            <w:pPr>
              <w:jc w:val="both"/>
              <w:rPr>
                <w:rFonts w:asciiTheme="majorHAnsi" w:eastAsia="Calibri" w:hAnsiTheme="majorHAnsi" w:cstheme="minorHAnsi"/>
                <w:sz w:val="22"/>
                <w:szCs w:val="22"/>
                <w:lang w:val="es-EC" w:eastAsia="en-US"/>
              </w:rPr>
            </w:pPr>
          </w:p>
        </w:tc>
        <w:tc>
          <w:tcPr>
            <w:tcW w:w="2831" w:type="dxa"/>
          </w:tcPr>
          <w:p w:rsidR="00D578CB" w:rsidRPr="00A453D8" w:rsidRDefault="00D578CB" w:rsidP="00D578CB">
            <w:pPr>
              <w:jc w:val="both"/>
              <w:rPr>
                <w:rFonts w:asciiTheme="majorHAnsi" w:eastAsia="Calibri" w:hAnsiTheme="majorHAnsi" w:cstheme="minorHAnsi"/>
                <w:sz w:val="22"/>
                <w:szCs w:val="22"/>
                <w:lang w:val="es-EC" w:eastAsia="en-US"/>
              </w:rPr>
            </w:pPr>
          </w:p>
        </w:tc>
        <w:tc>
          <w:tcPr>
            <w:tcW w:w="2860" w:type="dxa"/>
          </w:tcPr>
          <w:p w:rsidR="00D578CB" w:rsidRPr="00A453D8" w:rsidRDefault="00D578CB" w:rsidP="0095524B">
            <w:pPr>
              <w:jc w:val="both"/>
              <w:rPr>
                <w:rFonts w:asciiTheme="majorHAnsi" w:eastAsia="Calibri" w:hAnsiTheme="majorHAnsi" w:cstheme="minorHAnsi"/>
                <w:sz w:val="22"/>
                <w:szCs w:val="22"/>
                <w:lang w:val="es-EC" w:eastAsia="en-US"/>
              </w:rPr>
            </w:pPr>
            <w:r w:rsidRPr="00A453D8">
              <w:rPr>
                <w:rFonts w:asciiTheme="majorHAnsi" w:hAnsiTheme="majorHAnsi" w:cstheme="minorHAnsi"/>
                <w:sz w:val="22"/>
                <w:szCs w:val="22"/>
              </w:rPr>
              <w:t>¿Qué pasa si la Zonal notifica y resulta que hay familias que no califican?</w:t>
            </w:r>
          </w:p>
        </w:tc>
      </w:tr>
      <w:tr w:rsidR="00D578CB" w:rsidRPr="00A453D8" w:rsidTr="00A453D8">
        <w:tc>
          <w:tcPr>
            <w:tcW w:w="2803" w:type="dxa"/>
          </w:tcPr>
          <w:p w:rsidR="00D578CB" w:rsidRPr="00A453D8" w:rsidRDefault="00D578CB" w:rsidP="00A453D8">
            <w:pPr>
              <w:jc w:val="both"/>
              <w:rPr>
                <w:rFonts w:asciiTheme="majorHAnsi" w:hAnsiTheme="majorHAnsi" w:cstheme="minorHAnsi"/>
                <w:b/>
                <w:sz w:val="22"/>
                <w:szCs w:val="22"/>
              </w:rPr>
            </w:pPr>
            <w:r w:rsidRPr="00A453D8">
              <w:rPr>
                <w:rFonts w:asciiTheme="majorHAnsi" w:hAnsiTheme="majorHAnsi" w:cstheme="minorHAnsi"/>
                <w:b/>
                <w:bCs/>
                <w:sz w:val="22"/>
                <w:szCs w:val="22"/>
              </w:rPr>
              <w:lastRenderedPageBreak/>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Requisitos que deben cumplir las familias para ser calificadas en el Plan de Reubicación</w:t>
            </w:r>
          </w:p>
          <w:p w:rsidR="00D578CB" w:rsidRPr="00A453D8" w:rsidRDefault="00D578CB" w:rsidP="00A453D8">
            <w:pPr>
              <w:jc w:val="both"/>
              <w:rPr>
                <w:rFonts w:asciiTheme="majorHAnsi" w:hAnsiTheme="majorHAnsi" w:cstheme="minorHAnsi"/>
                <w:b/>
                <w:sz w:val="22"/>
                <w:szCs w:val="22"/>
              </w:rPr>
            </w:pPr>
          </w:p>
          <w:p w:rsidR="00D578CB" w:rsidRPr="00A453D8" w:rsidRDefault="00D578CB"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sz w:val="22"/>
                <w:szCs w:val="22"/>
              </w:rPr>
              <w:t>…</w:t>
            </w:r>
            <w:r w:rsidRPr="00A453D8">
              <w:rPr>
                <w:rFonts w:asciiTheme="majorHAnsi" w:hAnsiTheme="majorHAnsi" w:cstheme="minorHAnsi"/>
                <w:sz w:val="22"/>
                <w:szCs w:val="22"/>
              </w:rPr>
              <w:t xml:space="preserve"> Que la situación legal respecto del predio declarado en riesgo no mitigable de la familia beneficiaria sea: propietario o posesionario o familias ampliadas, por más de cuatro años del predio o inmueble afectado y previamente calificado como de Riesgo no Mitigable.</w:t>
            </w:r>
          </w:p>
          <w:p w:rsidR="00D578CB" w:rsidRPr="00A453D8" w:rsidRDefault="00D578CB" w:rsidP="00A453D8">
            <w:pPr>
              <w:jc w:val="both"/>
              <w:rPr>
                <w:rFonts w:asciiTheme="majorHAnsi" w:eastAsia="Calibri" w:hAnsiTheme="majorHAnsi" w:cstheme="minorHAnsi"/>
                <w:sz w:val="22"/>
                <w:szCs w:val="22"/>
                <w:lang w:eastAsia="en-US"/>
              </w:rPr>
            </w:pPr>
          </w:p>
        </w:tc>
        <w:tc>
          <w:tcPr>
            <w:tcW w:w="2831" w:type="dxa"/>
          </w:tcPr>
          <w:p w:rsidR="00D578CB" w:rsidRPr="00A453D8" w:rsidRDefault="00D578CB" w:rsidP="00D578CB">
            <w:pPr>
              <w:jc w:val="both"/>
              <w:rPr>
                <w:rFonts w:asciiTheme="majorHAnsi" w:eastAsia="Calibri" w:hAnsiTheme="majorHAnsi" w:cstheme="minorHAnsi"/>
                <w:sz w:val="22"/>
                <w:szCs w:val="22"/>
                <w:lang w:val="es-EC" w:eastAsia="en-US"/>
              </w:rPr>
            </w:pPr>
          </w:p>
        </w:tc>
        <w:tc>
          <w:tcPr>
            <w:tcW w:w="2860" w:type="dxa"/>
          </w:tcPr>
          <w:p w:rsidR="00E06168" w:rsidRPr="00A453D8" w:rsidRDefault="00D578CB" w:rsidP="0095524B">
            <w:pPr>
              <w:jc w:val="both"/>
              <w:rPr>
                <w:rFonts w:asciiTheme="majorHAnsi" w:hAnsiTheme="majorHAnsi" w:cstheme="minorHAnsi"/>
                <w:sz w:val="22"/>
                <w:szCs w:val="22"/>
              </w:rPr>
            </w:pPr>
            <w:r w:rsidRPr="00A453D8">
              <w:rPr>
                <w:rFonts w:asciiTheme="majorHAnsi" w:hAnsiTheme="majorHAnsi" w:cstheme="minorHAnsi"/>
                <w:sz w:val="22"/>
                <w:szCs w:val="22"/>
              </w:rPr>
              <w:t xml:space="preserve">Puede darse </w:t>
            </w:r>
            <w:bookmarkStart w:id="0" w:name="_GoBack"/>
            <w:bookmarkEnd w:id="0"/>
            <w:r w:rsidRPr="00A453D8">
              <w:rPr>
                <w:rFonts w:asciiTheme="majorHAnsi" w:hAnsiTheme="majorHAnsi" w:cstheme="minorHAnsi"/>
                <w:sz w:val="22"/>
                <w:szCs w:val="22"/>
              </w:rPr>
              <w:t xml:space="preserve">que la calificación de </w:t>
            </w:r>
            <w:r w:rsidR="00E06168" w:rsidRPr="00A453D8">
              <w:rPr>
                <w:rFonts w:asciiTheme="majorHAnsi" w:hAnsiTheme="majorHAnsi" w:cstheme="minorHAnsi"/>
                <w:sz w:val="22"/>
                <w:szCs w:val="22"/>
              </w:rPr>
              <w:t>riesgo no mitigable</w:t>
            </w:r>
            <w:r w:rsidRPr="00A453D8">
              <w:rPr>
                <w:rFonts w:asciiTheme="majorHAnsi" w:hAnsiTheme="majorHAnsi" w:cstheme="minorHAnsi"/>
                <w:sz w:val="22"/>
                <w:szCs w:val="22"/>
              </w:rPr>
              <w:t xml:space="preserve"> se haya realizado después de que las fa</w:t>
            </w:r>
            <w:r w:rsidR="00E06168" w:rsidRPr="00A453D8">
              <w:rPr>
                <w:rFonts w:asciiTheme="majorHAnsi" w:hAnsiTheme="majorHAnsi" w:cstheme="minorHAnsi"/>
                <w:sz w:val="22"/>
                <w:szCs w:val="22"/>
              </w:rPr>
              <w:t>milias de ubicaron en el sector</w:t>
            </w:r>
            <w:proofErr w:type="gramStart"/>
            <w:r w:rsidR="00E06168" w:rsidRPr="00A453D8">
              <w:rPr>
                <w:rFonts w:asciiTheme="majorHAnsi" w:hAnsiTheme="majorHAnsi" w:cstheme="minorHAnsi"/>
                <w:sz w:val="22"/>
                <w:szCs w:val="22"/>
              </w:rPr>
              <w:t>?</w:t>
            </w:r>
            <w:proofErr w:type="gramEnd"/>
          </w:p>
          <w:p w:rsidR="00D578CB" w:rsidRPr="00A453D8" w:rsidRDefault="00E06168" w:rsidP="0095524B">
            <w:pPr>
              <w:jc w:val="both"/>
              <w:rPr>
                <w:rFonts w:asciiTheme="majorHAnsi" w:eastAsia="Calibri" w:hAnsiTheme="majorHAnsi" w:cstheme="minorHAnsi"/>
                <w:sz w:val="22"/>
                <w:szCs w:val="22"/>
                <w:lang w:val="es-EC" w:eastAsia="en-US"/>
              </w:rPr>
            </w:pPr>
            <w:r w:rsidRPr="00A453D8">
              <w:rPr>
                <w:rFonts w:asciiTheme="majorHAnsi" w:hAnsiTheme="majorHAnsi" w:cstheme="minorHAnsi"/>
                <w:sz w:val="22"/>
                <w:szCs w:val="22"/>
              </w:rPr>
              <w:t>¿C</w:t>
            </w:r>
            <w:r w:rsidR="00D578CB" w:rsidRPr="00A453D8">
              <w:rPr>
                <w:rFonts w:asciiTheme="majorHAnsi" w:hAnsiTheme="majorHAnsi" w:cstheme="minorHAnsi"/>
                <w:sz w:val="22"/>
                <w:szCs w:val="22"/>
              </w:rPr>
              <w:t xml:space="preserve">ómo </w:t>
            </w:r>
            <w:r w:rsidRPr="00A453D8">
              <w:rPr>
                <w:rFonts w:asciiTheme="majorHAnsi" w:hAnsiTheme="majorHAnsi" w:cstheme="minorHAnsi"/>
                <w:sz w:val="22"/>
                <w:szCs w:val="22"/>
              </w:rPr>
              <w:t xml:space="preserve">se </w:t>
            </w:r>
            <w:r w:rsidR="00D578CB" w:rsidRPr="00A453D8">
              <w:rPr>
                <w:rFonts w:asciiTheme="majorHAnsi" w:hAnsiTheme="majorHAnsi" w:cstheme="minorHAnsi"/>
                <w:sz w:val="22"/>
                <w:szCs w:val="22"/>
              </w:rPr>
              <w:t>proceder</w:t>
            </w:r>
            <w:r w:rsidRPr="00A453D8">
              <w:rPr>
                <w:rFonts w:asciiTheme="majorHAnsi" w:hAnsiTheme="majorHAnsi" w:cstheme="minorHAnsi"/>
                <w:sz w:val="22"/>
                <w:szCs w:val="22"/>
              </w:rPr>
              <w:t>ía en esos casos</w:t>
            </w:r>
            <w:r w:rsidR="00D578CB" w:rsidRPr="00A453D8">
              <w:rPr>
                <w:rFonts w:asciiTheme="majorHAnsi" w:hAnsiTheme="majorHAnsi" w:cstheme="minorHAnsi"/>
                <w:sz w:val="22"/>
                <w:szCs w:val="22"/>
              </w:rPr>
              <w:t>?</w:t>
            </w:r>
          </w:p>
        </w:tc>
      </w:tr>
      <w:tr w:rsidR="00D578CB" w:rsidRPr="00A453D8" w:rsidTr="00A453D8">
        <w:tc>
          <w:tcPr>
            <w:tcW w:w="2803" w:type="dxa"/>
          </w:tcPr>
          <w:p w:rsidR="00D578CB" w:rsidRPr="00A453D8" w:rsidRDefault="00D578CB"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bCs/>
                <w:sz w:val="22"/>
                <w:szCs w:val="22"/>
              </w:rPr>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 xml:space="preserve">Familias damnificadas por Movimientos en masa, amenazas </w:t>
            </w:r>
            <w:proofErr w:type="spellStart"/>
            <w:r w:rsidRPr="00A453D8">
              <w:rPr>
                <w:rFonts w:asciiTheme="majorHAnsi" w:hAnsiTheme="majorHAnsi" w:cstheme="minorHAnsi"/>
                <w:b/>
                <w:sz w:val="22"/>
                <w:szCs w:val="22"/>
              </w:rPr>
              <w:t>hidrometeorológicas</w:t>
            </w:r>
            <w:proofErr w:type="spellEnd"/>
            <w:r w:rsidRPr="00A453D8">
              <w:rPr>
                <w:rFonts w:asciiTheme="majorHAnsi" w:hAnsiTheme="majorHAnsi" w:cstheme="minorHAnsi"/>
                <w:b/>
                <w:sz w:val="22"/>
                <w:szCs w:val="22"/>
              </w:rPr>
              <w:t xml:space="preserve"> y la subsidencia de terreno. – </w:t>
            </w:r>
            <w:r w:rsidRPr="00A453D8">
              <w:rPr>
                <w:rFonts w:asciiTheme="majorHAnsi" w:hAnsiTheme="majorHAnsi" w:cstheme="minorHAnsi"/>
                <w:sz w:val="22"/>
                <w:szCs w:val="22"/>
              </w:rPr>
              <w:t xml:space="preserve">Posterior a la situación de emergencia, la Administración Zonal correspondiente determinará la no habitabilidad del inmueble. Este informe técnico describirá el nivel de daños de la infraestructura existente y determinará la no habitabilidad del predio. El informe deberá ser </w:t>
            </w:r>
            <w:r w:rsidRPr="00A453D8">
              <w:rPr>
                <w:rFonts w:asciiTheme="majorHAnsi" w:hAnsiTheme="majorHAnsi" w:cstheme="minorHAnsi"/>
                <w:sz w:val="22"/>
                <w:szCs w:val="22"/>
              </w:rPr>
              <w:lastRenderedPageBreak/>
              <w:t>entregado en un plazo máximo de 15 días, en función del nivel de la emergencia.</w:t>
            </w:r>
          </w:p>
          <w:p w:rsidR="00D578CB" w:rsidRPr="00A453D8" w:rsidRDefault="00D578CB" w:rsidP="00A453D8">
            <w:pPr>
              <w:jc w:val="both"/>
              <w:rPr>
                <w:rFonts w:asciiTheme="majorHAnsi" w:eastAsia="Calibri" w:hAnsiTheme="majorHAnsi" w:cstheme="minorHAnsi"/>
                <w:sz w:val="22"/>
                <w:szCs w:val="22"/>
                <w:lang w:val="es-EC" w:eastAsia="en-US"/>
              </w:rPr>
            </w:pPr>
          </w:p>
        </w:tc>
        <w:tc>
          <w:tcPr>
            <w:tcW w:w="2831" w:type="dxa"/>
          </w:tcPr>
          <w:p w:rsidR="00D578CB" w:rsidRPr="00A453D8" w:rsidRDefault="00D578CB" w:rsidP="00D578CB">
            <w:pPr>
              <w:rPr>
                <w:rFonts w:asciiTheme="majorHAnsi" w:eastAsia="Calibri" w:hAnsiTheme="majorHAnsi" w:cstheme="minorHAnsi"/>
                <w:sz w:val="22"/>
                <w:szCs w:val="22"/>
                <w:lang w:val="es-EC" w:eastAsia="en-US"/>
              </w:rPr>
            </w:pPr>
          </w:p>
        </w:tc>
        <w:tc>
          <w:tcPr>
            <w:tcW w:w="2860" w:type="dxa"/>
          </w:tcPr>
          <w:p w:rsidR="00D578CB" w:rsidRPr="00A453D8" w:rsidRDefault="00E06168" w:rsidP="00E06168">
            <w:pPr>
              <w:jc w:val="both"/>
              <w:rPr>
                <w:rFonts w:asciiTheme="majorHAnsi" w:eastAsia="Calibri" w:hAnsiTheme="majorHAnsi" w:cstheme="minorHAnsi"/>
                <w:sz w:val="22"/>
                <w:szCs w:val="22"/>
                <w:lang w:val="es-EC" w:eastAsia="en-US"/>
              </w:rPr>
            </w:pPr>
            <w:r w:rsidRPr="00A453D8">
              <w:rPr>
                <w:rFonts w:asciiTheme="majorHAnsi" w:hAnsiTheme="majorHAnsi" w:cstheme="minorHAnsi"/>
                <w:sz w:val="22"/>
                <w:szCs w:val="22"/>
                <w:lang w:val="es-EC"/>
              </w:rPr>
              <w:t xml:space="preserve">Se sugiere se desarrolle </w:t>
            </w:r>
            <w:r w:rsidR="00D578CB" w:rsidRPr="00A453D8">
              <w:rPr>
                <w:rFonts w:asciiTheme="majorHAnsi" w:hAnsiTheme="majorHAnsi" w:cstheme="minorHAnsi"/>
                <w:sz w:val="22"/>
                <w:szCs w:val="22"/>
              </w:rPr>
              <w:t>un procedimiento o protocolo que facilite la elaboración d</w:t>
            </w:r>
            <w:r w:rsidRPr="00A453D8">
              <w:rPr>
                <w:rFonts w:asciiTheme="majorHAnsi" w:hAnsiTheme="majorHAnsi" w:cstheme="minorHAnsi"/>
                <w:sz w:val="22"/>
                <w:szCs w:val="22"/>
              </w:rPr>
              <w:t xml:space="preserve">el informe técnico de la </w:t>
            </w:r>
            <w:proofErr w:type="spellStart"/>
            <w:r w:rsidRPr="00A453D8">
              <w:rPr>
                <w:rFonts w:asciiTheme="majorHAnsi" w:hAnsiTheme="majorHAnsi" w:cstheme="minorHAnsi"/>
                <w:sz w:val="22"/>
                <w:szCs w:val="22"/>
              </w:rPr>
              <w:t>AZonal</w:t>
            </w:r>
            <w:proofErr w:type="spellEnd"/>
            <w:r w:rsidRPr="00A453D8">
              <w:rPr>
                <w:rFonts w:asciiTheme="majorHAnsi" w:hAnsiTheme="majorHAnsi" w:cstheme="minorHAnsi"/>
                <w:sz w:val="22"/>
                <w:szCs w:val="22"/>
              </w:rPr>
              <w:t>, si no lo hubiere.</w:t>
            </w:r>
          </w:p>
        </w:tc>
      </w:tr>
      <w:tr w:rsidR="00D578CB" w:rsidRPr="00A453D8" w:rsidTr="00A453D8">
        <w:tc>
          <w:tcPr>
            <w:tcW w:w="2803" w:type="dxa"/>
          </w:tcPr>
          <w:p w:rsidR="00D578CB" w:rsidRPr="00A453D8" w:rsidRDefault="00D578CB"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bCs/>
                <w:sz w:val="22"/>
                <w:szCs w:val="22"/>
              </w:rPr>
              <w:lastRenderedPageBreak/>
              <w:t>Artículo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 xml:space="preserve">Ayuda Humanitaria por Emergencia. – </w:t>
            </w:r>
            <w:r w:rsidRPr="00A453D8">
              <w:rPr>
                <w:rFonts w:asciiTheme="majorHAnsi" w:hAnsiTheme="majorHAnsi" w:cstheme="minorHAnsi"/>
                <w:sz w:val="22"/>
                <w:szCs w:val="22"/>
              </w:rPr>
              <w:t xml:space="preserve">En los casos que las familias que hayan tenido una situación de emergencia originada por movimientos en masa, amenazas </w:t>
            </w:r>
            <w:proofErr w:type="spellStart"/>
            <w:r w:rsidRPr="00A453D8">
              <w:rPr>
                <w:rFonts w:asciiTheme="majorHAnsi" w:hAnsiTheme="majorHAnsi" w:cstheme="minorHAnsi"/>
                <w:sz w:val="22"/>
                <w:szCs w:val="22"/>
              </w:rPr>
              <w:t>hidrometeorológicas</w:t>
            </w:r>
            <w:proofErr w:type="spellEnd"/>
            <w:r w:rsidRPr="00A453D8">
              <w:rPr>
                <w:rFonts w:asciiTheme="majorHAnsi" w:hAnsiTheme="majorHAnsi" w:cstheme="minorHAnsi"/>
                <w:sz w:val="22"/>
                <w:szCs w:val="22"/>
              </w:rPr>
              <w:t xml:space="preserve"> y la subsidencia de terreno recibirán tres meses de ayuda humanitaria, la gestión de recursos y entrega de esta ayuda humanitaria estará a cargo de la Secretaría General de Seguridad y Gobernabilidad; los beneficiarios de esta ayuda humanitaria, recibirán estos recursos independientemente si son beneficiarios o no del Plan de Reubicación.</w:t>
            </w:r>
          </w:p>
          <w:p w:rsidR="00D578CB" w:rsidRPr="00A453D8" w:rsidRDefault="00D578CB" w:rsidP="00A453D8">
            <w:pPr>
              <w:jc w:val="both"/>
              <w:rPr>
                <w:rFonts w:asciiTheme="majorHAnsi" w:eastAsia="Calibri" w:hAnsiTheme="majorHAnsi" w:cstheme="minorHAnsi"/>
                <w:sz w:val="22"/>
                <w:szCs w:val="22"/>
                <w:lang w:eastAsia="en-US"/>
              </w:rPr>
            </w:pPr>
          </w:p>
        </w:tc>
        <w:tc>
          <w:tcPr>
            <w:tcW w:w="2831" w:type="dxa"/>
          </w:tcPr>
          <w:p w:rsidR="00D578CB" w:rsidRPr="00A453D8" w:rsidRDefault="00D578CB" w:rsidP="00D578CB">
            <w:pPr>
              <w:jc w:val="both"/>
              <w:rPr>
                <w:rFonts w:asciiTheme="majorHAnsi" w:eastAsia="Calibri" w:hAnsiTheme="majorHAnsi" w:cstheme="minorHAnsi"/>
                <w:sz w:val="22"/>
                <w:szCs w:val="22"/>
                <w:lang w:eastAsia="en-US"/>
              </w:rPr>
            </w:pPr>
            <w:r w:rsidRPr="00A453D8">
              <w:rPr>
                <w:rFonts w:asciiTheme="majorHAnsi" w:hAnsiTheme="majorHAnsi" w:cstheme="minorHAnsi"/>
                <w:sz w:val="22"/>
                <w:szCs w:val="22"/>
              </w:rPr>
              <w:t xml:space="preserve">… una situación de emergencia originada por movimientos en masa, </w:t>
            </w:r>
            <w:r w:rsidRPr="00A453D8">
              <w:rPr>
                <w:rFonts w:asciiTheme="majorHAnsi" w:hAnsiTheme="majorHAnsi" w:cstheme="minorHAnsi"/>
                <w:sz w:val="22"/>
                <w:szCs w:val="22"/>
                <w:highlight w:val="yellow"/>
              </w:rPr>
              <w:t xml:space="preserve">eventos  </w:t>
            </w:r>
            <w:proofErr w:type="spellStart"/>
            <w:r w:rsidRPr="00A453D8">
              <w:rPr>
                <w:rFonts w:asciiTheme="majorHAnsi" w:hAnsiTheme="majorHAnsi" w:cstheme="minorHAnsi"/>
                <w:sz w:val="22"/>
                <w:szCs w:val="22"/>
                <w:highlight w:val="yellow"/>
              </w:rPr>
              <w:t>hidrometeorológicos</w:t>
            </w:r>
            <w:proofErr w:type="spellEnd"/>
            <w:r w:rsidRPr="00A453D8">
              <w:rPr>
                <w:rFonts w:asciiTheme="majorHAnsi" w:hAnsiTheme="majorHAnsi" w:cstheme="minorHAnsi"/>
                <w:sz w:val="22"/>
                <w:szCs w:val="22"/>
              </w:rPr>
              <w:t xml:space="preserve"> y la subsidencia de terreno …</w:t>
            </w:r>
          </w:p>
        </w:tc>
        <w:tc>
          <w:tcPr>
            <w:tcW w:w="2860" w:type="dxa"/>
          </w:tcPr>
          <w:p w:rsidR="00D578CB" w:rsidRPr="00A453D8" w:rsidRDefault="00355CC0" w:rsidP="00E06168">
            <w:pPr>
              <w:jc w:val="both"/>
              <w:rPr>
                <w:rFonts w:asciiTheme="majorHAnsi" w:eastAsia="Calibri" w:hAnsiTheme="majorHAnsi" w:cstheme="minorHAnsi"/>
                <w:sz w:val="22"/>
                <w:szCs w:val="22"/>
                <w:lang w:val="es-EC" w:eastAsia="en-US"/>
              </w:rPr>
            </w:pPr>
            <w:r w:rsidRPr="00A453D8">
              <w:rPr>
                <w:rFonts w:asciiTheme="majorHAnsi" w:hAnsiTheme="majorHAnsi" w:cstheme="minorHAnsi"/>
                <w:sz w:val="22"/>
                <w:szCs w:val="22"/>
              </w:rPr>
              <w:t>En emergencia ya no aplicaría</w:t>
            </w:r>
            <w:r w:rsidR="00D578CB" w:rsidRPr="00A453D8">
              <w:rPr>
                <w:rFonts w:asciiTheme="majorHAnsi" w:hAnsiTheme="majorHAnsi" w:cstheme="minorHAnsi"/>
                <w:sz w:val="22"/>
                <w:szCs w:val="22"/>
              </w:rPr>
              <w:t xml:space="preserve"> el concepto de amenaza </w:t>
            </w:r>
            <w:r w:rsidR="00E06168" w:rsidRPr="00A453D8">
              <w:rPr>
                <w:rFonts w:asciiTheme="majorHAnsi" w:hAnsiTheme="majorHAnsi" w:cstheme="minorHAnsi"/>
                <w:sz w:val="22"/>
                <w:szCs w:val="22"/>
              </w:rPr>
              <w:t>del</w:t>
            </w:r>
            <w:r w:rsidR="00D578CB" w:rsidRPr="00A453D8">
              <w:rPr>
                <w:rFonts w:asciiTheme="majorHAnsi" w:hAnsiTheme="majorHAnsi" w:cstheme="minorHAnsi"/>
                <w:sz w:val="22"/>
                <w:szCs w:val="22"/>
              </w:rPr>
              <w:t xml:space="preserve"> evento.</w:t>
            </w:r>
          </w:p>
        </w:tc>
      </w:tr>
      <w:tr w:rsidR="00D578CB" w:rsidRPr="00A453D8" w:rsidTr="00A453D8">
        <w:tc>
          <w:tcPr>
            <w:tcW w:w="2803" w:type="dxa"/>
          </w:tcPr>
          <w:p w:rsidR="00D578CB" w:rsidRPr="00A453D8" w:rsidRDefault="00D578CB"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bCs/>
                <w:sz w:val="22"/>
                <w:szCs w:val="22"/>
              </w:rPr>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Familia Ampliada.-</w:t>
            </w:r>
            <w:r w:rsidRPr="00A453D8">
              <w:rPr>
                <w:rFonts w:asciiTheme="majorHAnsi" w:hAnsiTheme="majorHAnsi" w:cstheme="minorHAnsi"/>
                <w:sz w:val="22"/>
                <w:szCs w:val="22"/>
              </w:rPr>
              <w:t xml:space="preserve"> En el presente título se entiende por familia ampliada, cuando la Administración Zonal correspondiente, identifique que dentro de un mismo bien inmueble o predio afectado como de riesgo no mitigable, conviven tres generaciones de la familia beneficiaria al Plan de Reubicación, los descendientes que constituyen la segunda y tercera generación podrán ser calificados, para acceder al Plan de Reubicación y alternativas de vivienda que definirá la Empresa Pública Metropolitana de Hábitat y </w:t>
            </w:r>
            <w:r w:rsidRPr="00A453D8">
              <w:rPr>
                <w:rFonts w:asciiTheme="majorHAnsi" w:hAnsiTheme="majorHAnsi" w:cstheme="minorHAnsi"/>
                <w:sz w:val="22"/>
                <w:szCs w:val="22"/>
              </w:rPr>
              <w:lastRenderedPageBreak/>
              <w:t xml:space="preserve">Vivienda o quien ejerza las funciones, con el fin de evitar hacinamiento en los proyectos de vivienda. En estos casos, las nuevas familias identificadas deberán cumplir con lo establecido en los requerimientos y compromisos del </w:t>
            </w:r>
            <w:r w:rsidRPr="00A453D8">
              <w:rPr>
                <w:rFonts w:asciiTheme="majorHAnsi" w:hAnsiTheme="majorHAnsi" w:cstheme="minorHAnsi"/>
                <w:bCs/>
                <w:sz w:val="22"/>
                <w:szCs w:val="22"/>
              </w:rPr>
              <w:t>presente cuerpo normativo.</w:t>
            </w:r>
          </w:p>
          <w:p w:rsidR="00D578CB" w:rsidRPr="00A453D8" w:rsidRDefault="00D578CB" w:rsidP="00A453D8">
            <w:pPr>
              <w:autoSpaceDE w:val="0"/>
              <w:autoSpaceDN w:val="0"/>
              <w:adjustRightInd w:val="0"/>
              <w:jc w:val="both"/>
              <w:rPr>
                <w:rFonts w:asciiTheme="majorHAnsi" w:hAnsiTheme="majorHAnsi" w:cstheme="minorHAnsi"/>
                <w:sz w:val="22"/>
                <w:szCs w:val="22"/>
              </w:rPr>
            </w:pPr>
          </w:p>
          <w:p w:rsidR="00D578CB" w:rsidRPr="00A453D8" w:rsidRDefault="00D578CB" w:rsidP="00A453D8">
            <w:pPr>
              <w:autoSpaceDE w:val="0"/>
              <w:autoSpaceDN w:val="0"/>
              <w:adjustRightInd w:val="0"/>
              <w:jc w:val="both"/>
              <w:rPr>
                <w:rFonts w:asciiTheme="majorHAnsi" w:hAnsiTheme="majorHAnsi" w:cstheme="minorHAnsi"/>
                <w:sz w:val="22"/>
                <w:szCs w:val="22"/>
              </w:rPr>
            </w:pPr>
            <w:r w:rsidRPr="00A453D8">
              <w:rPr>
                <w:rFonts w:asciiTheme="majorHAnsi" w:hAnsiTheme="majorHAnsi" w:cstheme="minorHAnsi"/>
                <w:b/>
                <w:bCs/>
                <w:sz w:val="22"/>
                <w:szCs w:val="22"/>
              </w:rPr>
              <w:t>Artículo (…). -</w:t>
            </w:r>
            <w:r w:rsidRPr="00A453D8">
              <w:rPr>
                <w:rFonts w:asciiTheme="majorHAnsi" w:hAnsiTheme="majorHAnsi" w:cstheme="minorHAnsi"/>
                <w:sz w:val="22"/>
                <w:szCs w:val="22"/>
              </w:rPr>
              <w:t xml:space="preserve"> </w:t>
            </w:r>
            <w:r w:rsidRPr="00A453D8">
              <w:rPr>
                <w:rFonts w:asciiTheme="majorHAnsi" w:hAnsiTheme="majorHAnsi" w:cstheme="minorHAnsi"/>
                <w:b/>
                <w:sz w:val="22"/>
                <w:szCs w:val="22"/>
              </w:rPr>
              <w:t xml:space="preserve">Atención preferente. - </w:t>
            </w:r>
            <w:r w:rsidRPr="00A453D8">
              <w:rPr>
                <w:rFonts w:asciiTheme="majorHAnsi" w:hAnsiTheme="majorHAnsi" w:cstheme="minorHAnsi"/>
                <w:sz w:val="22"/>
                <w:szCs w:val="22"/>
              </w:rPr>
              <w:t xml:space="preserve">Para el ingreso al Plan de Reubicación de familias en riesgo no mitigable, de manera preferente se considerará a las familias integradas por personas en situación de vulnerabilidad como, mujeres embarazadas, o jefas hogar, personas con discapacidad, adultos mayores, que adolezcan enfermedades catastróficas, quienes acreditarán su condición con el respectivo documento   emitido por autoridad competente. Los beneficiarios del plan serán determinados conjuntamente por la Empresa Pública Metropolitana de Hábitat y Vivienda o quien ejerza sus funciones y la Secretaria de Inclusión Social. </w:t>
            </w:r>
          </w:p>
          <w:p w:rsidR="00D578CB" w:rsidRPr="00A453D8" w:rsidRDefault="00D578CB" w:rsidP="00A453D8">
            <w:pPr>
              <w:jc w:val="both"/>
              <w:rPr>
                <w:rFonts w:asciiTheme="majorHAnsi" w:eastAsia="Calibri" w:hAnsiTheme="majorHAnsi" w:cstheme="minorHAnsi"/>
                <w:sz w:val="22"/>
                <w:szCs w:val="22"/>
                <w:lang w:val="es-EC" w:eastAsia="en-US"/>
              </w:rPr>
            </w:pPr>
          </w:p>
        </w:tc>
        <w:tc>
          <w:tcPr>
            <w:tcW w:w="2831" w:type="dxa"/>
          </w:tcPr>
          <w:p w:rsidR="00D578CB" w:rsidRPr="00A453D8" w:rsidRDefault="00D578CB" w:rsidP="00D578CB">
            <w:pPr>
              <w:rPr>
                <w:rFonts w:asciiTheme="majorHAnsi" w:eastAsia="Calibri" w:hAnsiTheme="majorHAnsi" w:cstheme="minorHAnsi"/>
                <w:sz w:val="22"/>
                <w:szCs w:val="22"/>
                <w:lang w:val="es-EC" w:eastAsia="en-US"/>
              </w:rPr>
            </w:pPr>
          </w:p>
        </w:tc>
        <w:tc>
          <w:tcPr>
            <w:tcW w:w="2860" w:type="dxa"/>
          </w:tcPr>
          <w:p w:rsidR="00D578CB" w:rsidRPr="00A453D8" w:rsidRDefault="00D578CB" w:rsidP="00D578CB">
            <w:pPr>
              <w:rPr>
                <w:rFonts w:asciiTheme="majorHAnsi" w:eastAsia="Calibri" w:hAnsiTheme="majorHAnsi" w:cstheme="minorHAnsi"/>
                <w:sz w:val="22"/>
                <w:szCs w:val="22"/>
                <w:lang w:val="es-EC" w:eastAsia="en-US"/>
              </w:rPr>
            </w:pPr>
            <w:r w:rsidRPr="00A453D8">
              <w:rPr>
                <w:rFonts w:asciiTheme="majorHAnsi" w:hAnsiTheme="majorHAnsi" w:cstheme="minorHAnsi"/>
                <w:sz w:val="22"/>
                <w:szCs w:val="22"/>
              </w:rPr>
              <w:t>Los dos Artículos deberían estar dentro del artículo de Definiciones</w:t>
            </w:r>
          </w:p>
        </w:tc>
      </w:tr>
    </w:tbl>
    <w:p w:rsidR="004C52CF" w:rsidRPr="004C52CF" w:rsidRDefault="004C52CF" w:rsidP="004C52CF">
      <w:pPr>
        <w:spacing w:after="160" w:line="259" w:lineRule="auto"/>
        <w:rPr>
          <w:rFonts w:ascii="Calibri" w:eastAsia="Calibri" w:hAnsi="Calibri"/>
          <w:sz w:val="22"/>
          <w:szCs w:val="22"/>
          <w:lang w:val="es-EC" w:eastAsia="en-US"/>
        </w:rPr>
      </w:pPr>
    </w:p>
    <w:p w:rsidR="004C52CF" w:rsidRPr="004C52CF" w:rsidRDefault="004C52CF" w:rsidP="004C52CF">
      <w:pPr>
        <w:spacing w:after="160" w:line="259" w:lineRule="auto"/>
        <w:rPr>
          <w:rFonts w:ascii="Calibri" w:eastAsia="Calibri" w:hAnsi="Calibri"/>
          <w:sz w:val="22"/>
          <w:szCs w:val="22"/>
          <w:lang w:val="es-EC" w:eastAsia="en-US"/>
        </w:rPr>
      </w:pPr>
    </w:p>
    <w:p w:rsidR="0031312D" w:rsidRPr="004C52CF" w:rsidRDefault="0031312D" w:rsidP="00177520">
      <w:pPr>
        <w:rPr>
          <w:lang w:val="es-EC"/>
        </w:rPr>
      </w:pPr>
    </w:p>
    <w:sectPr w:rsidR="0031312D" w:rsidRPr="004C52CF" w:rsidSect="00A1086D">
      <w:headerReference w:type="default" r:id="rId7"/>
      <w:pgSz w:w="11906" w:h="16838"/>
      <w:pgMar w:top="2269" w:right="1701" w:bottom="1417" w:left="1701" w:header="708" w:footer="1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D7" w:rsidRDefault="008117D7" w:rsidP="00351C88">
      <w:r>
        <w:separator/>
      </w:r>
    </w:p>
  </w:endnote>
  <w:endnote w:type="continuationSeparator" w:id="0">
    <w:p w:rsidR="008117D7" w:rsidRDefault="008117D7" w:rsidP="0035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D7" w:rsidRDefault="008117D7" w:rsidP="00351C88">
      <w:r>
        <w:separator/>
      </w:r>
    </w:p>
  </w:footnote>
  <w:footnote w:type="continuationSeparator" w:id="0">
    <w:p w:rsidR="008117D7" w:rsidRDefault="008117D7" w:rsidP="0035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88" w:rsidRDefault="001F59D9">
    <w:pPr>
      <w:pStyle w:val="Encabezado"/>
    </w:pPr>
    <w:r>
      <w:rPr>
        <w:noProof/>
        <w:lang w:val="es-EC" w:eastAsia="es-EC"/>
      </w:rPr>
      <w:drawing>
        <wp:anchor distT="0" distB="0" distL="114300" distR="114300" simplePos="0" relativeHeight="251657728" behindDoc="1" locked="0" layoutInCell="1" allowOverlap="1">
          <wp:simplePos x="0" y="0"/>
          <wp:positionH relativeFrom="column">
            <wp:posOffset>-1079500</wp:posOffset>
          </wp:positionH>
          <wp:positionV relativeFrom="paragraph">
            <wp:posOffset>-442595</wp:posOffset>
          </wp:positionV>
          <wp:extent cx="7555230" cy="10675620"/>
          <wp:effectExtent l="0" t="0" r="7620" b="0"/>
          <wp:wrapNone/>
          <wp:docPr id="1" name="Imagen 1" descr="HOJA MEMBRETADA - OCT - 2021 H-04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 OCT - 2021 H-04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675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5156A"/>
    <w:multiLevelType w:val="multilevel"/>
    <w:tmpl w:val="90CE979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88"/>
    <w:rsid w:val="00000193"/>
    <w:rsid w:val="00035CA9"/>
    <w:rsid w:val="000B61AA"/>
    <w:rsid w:val="00177520"/>
    <w:rsid w:val="001A6904"/>
    <w:rsid w:val="001F59D9"/>
    <w:rsid w:val="00221055"/>
    <w:rsid w:val="00231707"/>
    <w:rsid w:val="002E56FA"/>
    <w:rsid w:val="0031312D"/>
    <w:rsid w:val="00351C88"/>
    <w:rsid w:val="00355CC0"/>
    <w:rsid w:val="0036617A"/>
    <w:rsid w:val="00381F30"/>
    <w:rsid w:val="004A5274"/>
    <w:rsid w:val="004C52CF"/>
    <w:rsid w:val="0051107E"/>
    <w:rsid w:val="0053735B"/>
    <w:rsid w:val="0057270F"/>
    <w:rsid w:val="005C1848"/>
    <w:rsid w:val="005F27A4"/>
    <w:rsid w:val="00616048"/>
    <w:rsid w:val="006B557D"/>
    <w:rsid w:val="00703A21"/>
    <w:rsid w:val="007C0689"/>
    <w:rsid w:val="008117D7"/>
    <w:rsid w:val="008D0B26"/>
    <w:rsid w:val="00916E97"/>
    <w:rsid w:val="00926F32"/>
    <w:rsid w:val="00955167"/>
    <w:rsid w:val="0095524B"/>
    <w:rsid w:val="00A1086D"/>
    <w:rsid w:val="00A453D8"/>
    <w:rsid w:val="00AC2E66"/>
    <w:rsid w:val="00AC3053"/>
    <w:rsid w:val="00B0194C"/>
    <w:rsid w:val="00B76E97"/>
    <w:rsid w:val="00C140BF"/>
    <w:rsid w:val="00C521D7"/>
    <w:rsid w:val="00CA5986"/>
    <w:rsid w:val="00CC6095"/>
    <w:rsid w:val="00CD7AFE"/>
    <w:rsid w:val="00D578CB"/>
    <w:rsid w:val="00E06168"/>
    <w:rsid w:val="00E064FC"/>
    <w:rsid w:val="00E8676B"/>
    <w:rsid w:val="00EA4876"/>
    <w:rsid w:val="00F6591F"/>
    <w:rsid w:val="00FF2E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45FDA0-3CD5-43BF-A6EA-61F36F37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9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C88"/>
    <w:pPr>
      <w:tabs>
        <w:tab w:val="center" w:pos="4252"/>
        <w:tab w:val="right" w:pos="8504"/>
      </w:tabs>
    </w:pPr>
  </w:style>
  <w:style w:type="character" w:customStyle="1" w:styleId="EncabezadoCar">
    <w:name w:val="Encabezado Car"/>
    <w:basedOn w:val="Fuentedeprrafopredeter"/>
    <w:link w:val="Encabezado"/>
    <w:uiPriority w:val="99"/>
    <w:rsid w:val="00351C88"/>
  </w:style>
  <w:style w:type="paragraph" w:styleId="Piedepgina">
    <w:name w:val="footer"/>
    <w:basedOn w:val="Normal"/>
    <w:link w:val="PiedepginaCar"/>
    <w:uiPriority w:val="99"/>
    <w:unhideWhenUsed/>
    <w:rsid w:val="00351C88"/>
    <w:pPr>
      <w:tabs>
        <w:tab w:val="center" w:pos="4252"/>
        <w:tab w:val="right" w:pos="8504"/>
      </w:tabs>
    </w:pPr>
  </w:style>
  <w:style w:type="character" w:customStyle="1" w:styleId="PiedepginaCar">
    <w:name w:val="Pie de página Car"/>
    <w:basedOn w:val="Fuentedeprrafopredeter"/>
    <w:link w:val="Piedepgina"/>
    <w:uiPriority w:val="99"/>
    <w:rsid w:val="00351C88"/>
  </w:style>
  <w:style w:type="paragraph" w:styleId="Prrafodelista">
    <w:name w:val="List Paragraph"/>
    <w:basedOn w:val="Normal"/>
    <w:uiPriority w:val="34"/>
    <w:qFormat/>
    <w:rsid w:val="001F59D9"/>
    <w:pPr>
      <w:ind w:left="720"/>
      <w:contextualSpacing/>
    </w:pPr>
  </w:style>
  <w:style w:type="paragraph" w:styleId="Textoindependiente2">
    <w:name w:val="Body Text 2"/>
    <w:basedOn w:val="Normal"/>
    <w:link w:val="Textoindependiente2Car"/>
    <w:semiHidden/>
    <w:rsid w:val="001F59D9"/>
    <w:pPr>
      <w:jc w:val="both"/>
    </w:pPr>
    <w:rPr>
      <w:rFonts w:ascii="Arial" w:hAnsi="Arial"/>
    </w:rPr>
  </w:style>
  <w:style w:type="character" w:customStyle="1" w:styleId="Textoindependiente2Car">
    <w:name w:val="Texto independiente 2 Car"/>
    <w:basedOn w:val="Fuentedeprrafopredeter"/>
    <w:link w:val="Textoindependiente2"/>
    <w:semiHidden/>
    <w:rsid w:val="001F59D9"/>
    <w:rPr>
      <w:rFonts w:ascii="Arial" w:eastAsia="Times New Roman" w:hAnsi="Arial" w:cs="Times New Roman"/>
      <w:sz w:val="24"/>
      <w:szCs w:val="24"/>
      <w:lang w:val="es-ES" w:eastAsia="es-ES"/>
    </w:rPr>
  </w:style>
  <w:style w:type="paragraph" w:styleId="Textoindependiente">
    <w:name w:val="Body Text"/>
    <w:basedOn w:val="Normal"/>
    <w:link w:val="TextoindependienteCar"/>
    <w:uiPriority w:val="99"/>
    <w:unhideWhenUsed/>
    <w:rsid w:val="001F59D9"/>
    <w:pPr>
      <w:spacing w:after="120"/>
    </w:pPr>
  </w:style>
  <w:style w:type="character" w:customStyle="1" w:styleId="TextoindependienteCar">
    <w:name w:val="Texto independiente Car"/>
    <w:basedOn w:val="Fuentedeprrafopredeter"/>
    <w:link w:val="Textoindependiente"/>
    <w:uiPriority w:val="99"/>
    <w:rsid w:val="001F59D9"/>
    <w:rPr>
      <w:rFonts w:ascii="Times New Roman" w:eastAsia="Times New Roman" w:hAnsi="Times New Roman" w:cs="Times New Roman"/>
      <w:sz w:val="24"/>
      <w:szCs w:val="24"/>
      <w:lang w:val="es-ES" w:eastAsia="es-ES"/>
    </w:rPr>
  </w:style>
  <w:style w:type="paragraph" w:styleId="Textodebloque">
    <w:name w:val="Block Text"/>
    <w:basedOn w:val="Normal"/>
    <w:uiPriority w:val="99"/>
    <w:unhideWhenUsed/>
    <w:rsid w:val="001F59D9"/>
    <w:pPr>
      <w:ind w:left="360" w:right="673"/>
      <w:jc w:val="both"/>
    </w:pPr>
    <w:rPr>
      <w:rFonts w:ascii="Bookman Old Style" w:hAnsi="Bookman Old Style"/>
      <w:sz w:val="22"/>
      <w:szCs w:val="20"/>
    </w:rPr>
  </w:style>
  <w:style w:type="paragraph" w:styleId="Textodeglobo">
    <w:name w:val="Balloon Text"/>
    <w:basedOn w:val="Normal"/>
    <w:link w:val="TextodegloboCar"/>
    <w:uiPriority w:val="99"/>
    <w:semiHidden/>
    <w:unhideWhenUsed/>
    <w:rsid w:val="001F59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9D9"/>
    <w:rPr>
      <w:rFonts w:ascii="Segoe UI" w:eastAsia="Times New Roman" w:hAnsi="Segoe UI" w:cs="Segoe UI"/>
      <w:sz w:val="18"/>
      <w:szCs w:val="18"/>
      <w:lang w:val="es-ES" w:eastAsia="es-ES"/>
    </w:rPr>
  </w:style>
  <w:style w:type="table" w:customStyle="1" w:styleId="Tablaconcuadrcula1">
    <w:name w:val="Tabla con cuadrícula1"/>
    <w:basedOn w:val="Tablanormal"/>
    <w:next w:val="Tablaconcuadrcula"/>
    <w:uiPriority w:val="39"/>
    <w:rsid w:val="004C5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4C5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E9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1525">
      <w:bodyDiv w:val="1"/>
      <w:marLeft w:val="0"/>
      <w:marRight w:val="0"/>
      <w:marTop w:val="0"/>
      <w:marBottom w:val="0"/>
      <w:divBdr>
        <w:top w:val="none" w:sz="0" w:space="0" w:color="auto"/>
        <w:left w:val="none" w:sz="0" w:space="0" w:color="auto"/>
        <w:bottom w:val="none" w:sz="0" w:space="0" w:color="auto"/>
        <w:right w:val="none" w:sz="0" w:space="0" w:color="auto"/>
      </w:divBdr>
      <w:divsChild>
        <w:div w:id="1083913909">
          <w:marLeft w:val="0"/>
          <w:marRight w:val="0"/>
          <w:marTop w:val="0"/>
          <w:marBottom w:val="0"/>
          <w:divBdr>
            <w:top w:val="none" w:sz="0" w:space="0" w:color="auto"/>
            <w:left w:val="none" w:sz="0" w:space="0" w:color="auto"/>
            <w:bottom w:val="none" w:sz="0" w:space="0" w:color="auto"/>
            <w:right w:val="none" w:sz="0" w:space="0" w:color="auto"/>
          </w:divBdr>
        </w:div>
        <w:div w:id="1482194666">
          <w:marLeft w:val="0"/>
          <w:marRight w:val="0"/>
          <w:marTop w:val="0"/>
          <w:marBottom w:val="0"/>
          <w:divBdr>
            <w:top w:val="none" w:sz="0" w:space="0" w:color="auto"/>
            <w:left w:val="none" w:sz="0" w:space="0" w:color="auto"/>
            <w:bottom w:val="none" w:sz="0" w:space="0" w:color="auto"/>
            <w:right w:val="none" w:sz="0" w:space="0" w:color="auto"/>
          </w:divBdr>
        </w:div>
        <w:div w:id="38425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1455</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Enrique Acosta Lopez</dc:creator>
  <cp:keywords/>
  <dc:description/>
  <cp:lastModifiedBy>Daniel Enrique Lara</cp:lastModifiedBy>
  <cp:revision>34</cp:revision>
  <cp:lastPrinted>2021-10-22T12:50:00Z</cp:lastPrinted>
  <dcterms:created xsi:type="dcterms:W3CDTF">2022-01-03T14:11:00Z</dcterms:created>
  <dcterms:modified xsi:type="dcterms:W3CDTF">2022-01-04T22:38:00Z</dcterms:modified>
</cp:coreProperties>
</file>