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9D214" w14:textId="77777777" w:rsidR="00F74BFC" w:rsidRPr="00F74BFC" w:rsidRDefault="00F74BFC" w:rsidP="00F74BFC">
      <w:pPr>
        <w:spacing w:line="276" w:lineRule="auto"/>
        <w:jc w:val="center"/>
        <w:rPr>
          <w:rFonts w:ascii="Bookman Old Style" w:hAnsi="Bookman Old Style"/>
          <w:sz w:val="24"/>
          <w:szCs w:val="24"/>
          <w:lang w:val="es-EC"/>
        </w:rPr>
      </w:pPr>
      <w:r w:rsidRPr="00F74BFC">
        <w:rPr>
          <w:rFonts w:ascii="Bookman Old Style" w:hAnsi="Bookman Old Style"/>
          <w:b/>
          <w:bCs/>
          <w:sz w:val="24"/>
          <w:szCs w:val="24"/>
          <w:lang w:val="es-EC"/>
        </w:rPr>
        <w:t>ORDENANZA No. XXXX</w:t>
      </w:r>
    </w:p>
    <w:p w14:paraId="39E1A19D" w14:textId="77777777" w:rsidR="00F74BFC" w:rsidRDefault="00F74BFC" w:rsidP="00F74BFC">
      <w:pPr>
        <w:spacing w:line="276" w:lineRule="auto"/>
        <w:jc w:val="center"/>
        <w:rPr>
          <w:rFonts w:ascii="Bookman Old Style" w:hAnsi="Bookman Old Style"/>
          <w:b/>
          <w:bCs/>
          <w:sz w:val="24"/>
          <w:szCs w:val="24"/>
          <w:lang w:val="es-EC"/>
        </w:rPr>
      </w:pPr>
    </w:p>
    <w:p w14:paraId="2ADD286D" w14:textId="370AF18E" w:rsidR="00F74BFC" w:rsidRDefault="00F74BFC" w:rsidP="00F74BFC">
      <w:pPr>
        <w:spacing w:line="276" w:lineRule="auto"/>
        <w:jc w:val="center"/>
        <w:rPr>
          <w:rFonts w:ascii="Bookman Old Style" w:hAnsi="Bookman Old Style"/>
          <w:b/>
          <w:bCs/>
          <w:sz w:val="24"/>
          <w:szCs w:val="24"/>
          <w:lang w:val="es-EC"/>
        </w:rPr>
      </w:pPr>
      <w:r w:rsidRPr="00F74BFC">
        <w:rPr>
          <w:rFonts w:ascii="Bookman Old Style" w:hAnsi="Bookman Old Style"/>
          <w:b/>
          <w:bCs/>
          <w:sz w:val="24"/>
          <w:szCs w:val="24"/>
          <w:lang w:val="es-EC"/>
        </w:rPr>
        <w:t>CONSIDERANDO</w:t>
      </w:r>
    </w:p>
    <w:p w14:paraId="59692618" w14:textId="77777777" w:rsidR="00152F02" w:rsidRDefault="00152F02" w:rsidP="00F74BFC">
      <w:pPr>
        <w:spacing w:line="276" w:lineRule="auto"/>
        <w:jc w:val="center"/>
        <w:rPr>
          <w:rFonts w:ascii="Bookman Old Style" w:hAnsi="Bookman Old Style"/>
          <w:b/>
          <w:bCs/>
          <w:sz w:val="24"/>
          <w:szCs w:val="24"/>
          <w:lang w:val="es-EC"/>
        </w:rPr>
      </w:pPr>
    </w:p>
    <w:p w14:paraId="31E73CAA" w14:textId="77777777" w:rsidR="00152F02" w:rsidRDefault="00152F02" w:rsidP="00F74BFC">
      <w:pPr>
        <w:spacing w:line="276" w:lineRule="auto"/>
        <w:jc w:val="center"/>
        <w:rPr>
          <w:rFonts w:ascii="Bookman Old Style" w:hAnsi="Bookman Old Style"/>
          <w:b/>
          <w:bCs/>
          <w:sz w:val="24"/>
          <w:szCs w:val="24"/>
          <w:lang w:val="es-EC"/>
        </w:rPr>
      </w:pPr>
    </w:p>
    <w:p w14:paraId="0164AB4D" w14:textId="1C230C02" w:rsidR="00F74BFC" w:rsidRPr="00F74BFC" w:rsidRDefault="00F74BFC" w:rsidP="004E174F">
      <w:pPr>
        <w:spacing w:line="276" w:lineRule="auto"/>
        <w:jc w:val="both"/>
        <w:rPr>
          <w:rFonts w:ascii="Bookman Old Style" w:hAnsi="Bookman Old Style"/>
          <w:sz w:val="24"/>
          <w:szCs w:val="24"/>
          <w:lang w:val="es-EC"/>
        </w:rPr>
      </w:pPr>
      <w:r w:rsidRPr="00F74BFC">
        <w:rPr>
          <w:rFonts w:ascii="Bookman Old Style" w:hAnsi="Bookman Old Style"/>
          <w:sz w:val="24"/>
          <w:szCs w:val="24"/>
          <w:lang w:val="es-EC"/>
        </w:rPr>
        <w:t>Que,</w:t>
      </w:r>
      <w:r w:rsidR="00D531A1">
        <w:rPr>
          <w:rFonts w:ascii="Bookman Old Style" w:hAnsi="Bookman Old Style"/>
          <w:sz w:val="24"/>
          <w:szCs w:val="24"/>
          <w:lang w:val="es-EC"/>
        </w:rPr>
        <w:t xml:space="preserve"> </w:t>
      </w:r>
      <w:r w:rsidRPr="00F74BFC">
        <w:rPr>
          <w:rFonts w:ascii="Bookman Old Style" w:hAnsi="Bookman Old Style"/>
          <w:sz w:val="24"/>
          <w:szCs w:val="24"/>
          <w:lang w:val="es-EC"/>
        </w:rPr>
        <w:t xml:space="preserve">el artículo 30 de la Constitución de la República dispone que </w:t>
      </w:r>
      <w:r w:rsidRPr="00F74BFC">
        <w:rPr>
          <w:rFonts w:ascii="Bookman Old Style" w:hAnsi="Bookman Old Style"/>
          <w:i/>
          <w:iCs/>
          <w:sz w:val="24"/>
          <w:szCs w:val="24"/>
        </w:rPr>
        <w:t xml:space="preserve">las personas tienen derecho a un hábitat seguro y saludable, y a una vivienda adecuada y digna, con independencia de </w:t>
      </w:r>
      <w:r w:rsidR="00152F02">
        <w:rPr>
          <w:rFonts w:ascii="Bookman Old Style" w:hAnsi="Bookman Old Style"/>
          <w:i/>
          <w:iCs/>
          <w:sz w:val="24"/>
          <w:szCs w:val="24"/>
        </w:rPr>
        <w:t>su situación social y económica;</w:t>
      </w:r>
    </w:p>
    <w:p w14:paraId="7D71B496" w14:textId="77777777" w:rsidR="00F74BFC" w:rsidRDefault="00F74BFC" w:rsidP="00F74BFC">
      <w:pPr>
        <w:spacing w:line="276" w:lineRule="auto"/>
        <w:jc w:val="both"/>
        <w:rPr>
          <w:rFonts w:ascii="Bookman Old Style" w:hAnsi="Bookman Old Style"/>
          <w:sz w:val="24"/>
          <w:szCs w:val="24"/>
        </w:rPr>
      </w:pPr>
    </w:p>
    <w:p w14:paraId="0E0C6A50" w14:textId="4B1966F0" w:rsidR="00F74BFC" w:rsidRDefault="00F74BFC" w:rsidP="00F74BFC">
      <w:pPr>
        <w:spacing w:line="276" w:lineRule="auto"/>
        <w:jc w:val="both"/>
        <w:rPr>
          <w:rFonts w:ascii="Bookman Old Style" w:hAnsi="Bookman Old Style"/>
          <w:i/>
          <w:iCs/>
          <w:sz w:val="24"/>
          <w:szCs w:val="24"/>
        </w:rPr>
      </w:pPr>
      <w:r w:rsidRPr="00F74BFC">
        <w:rPr>
          <w:rFonts w:ascii="Bookman Old Style" w:hAnsi="Bookman Old Style"/>
          <w:sz w:val="24"/>
          <w:szCs w:val="24"/>
        </w:rPr>
        <w:t>Que, el número 5 del artículo 375 de la Carta Magna establece que el Estado, en todos sus niveles de gobierno, garantizará el derecho al hábitat y a la vivienda para lo cual</w:t>
      </w:r>
      <w:r w:rsidRPr="00F74BFC">
        <w:rPr>
          <w:rFonts w:ascii="Bookman Old Style" w:hAnsi="Bookman Old Style"/>
          <w:i/>
          <w:iCs/>
          <w:sz w:val="24"/>
          <w:szCs w:val="24"/>
        </w:rPr>
        <w:t xml:space="preserve"> desarrollará planes y programas de financiamiento para vivienda de interés social, a través de la banca pública y de las instituciones de finanzas populares, con énfasis para las personas de escasos recursos económic</w:t>
      </w:r>
      <w:r w:rsidR="00152F02">
        <w:rPr>
          <w:rFonts w:ascii="Bookman Old Style" w:hAnsi="Bookman Old Style"/>
          <w:i/>
          <w:iCs/>
          <w:sz w:val="24"/>
          <w:szCs w:val="24"/>
        </w:rPr>
        <w:t>os y las mujeres jefas de hogar;</w:t>
      </w:r>
    </w:p>
    <w:p w14:paraId="14933984" w14:textId="77777777" w:rsidR="00152F02" w:rsidRDefault="00152F02" w:rsidP="00F74BFC">
      <w:pPr>
        <w:spacing w:line="276" w:lineRule="auto"/>
        <w:jc w:val="both"/>
        <w:rPr>
          <w:rFonts w:ascii="Bookman Old Style" w:hAnsi="Bookman Old Style"/>
          <w:i/>
          <w:iCs/>
          <w:sz w:val="24"/>
          <w:szCs w:val="24"/>
        </w:rPr>
      </w:pPr>
    </w:p>
    <w:p w14:paraId="2638A7A2" w14:textId="51084731" w:rsidR="00152F02" w:rsidRPr="00BD1E07" w:rsidRDefault="00152F02" w:rsidP="00152F02">
      <w:pPr>
        <w:jc w:val="both"/>
        <w:rPr>
          <w:rFonts w:ascii="Bookman Old Style" w:hAnsi="Bookman Old Style"/>
          <w:sz w:val="24"/>
          <w:szCs w:val="24"/>
          <w:lang w:val="es-EC"/>
        </w:rPr>
      </w:pPr>
      <w:r w:rsidRPr="00BD1E07">
        <w:rPr>
          <w:rFonts w:ascii="Bookman Old Style" w:hAnsi="Bookman Old Style"/>
          <w:sz w:val="24"/>
          <w:szCs w:val="24"/>
          <w:lang w:val="es-EC"/>
        </w:rPr>
        <w:t>Que,</w:t>
      </w:r>
      <w:r w:rsidRPr="00BD1E07">
        <w:rPr>
          <w:rFonts w:ascii="Bookman Old Style" w:hAnsi="Bookman Old Style"/>
          <w:sz w:val="24"/>
          <w:szCs w:val="24"/>
          <w:lang w:val="es-EC"/>
        </w:rPr>
        <w:tab/>
        <w:t>el artículo 226</w:t>
      </w:r>
      <w:r w:rsidR="00927409" w:rsidRPr="00BD1E07">
        <w:rPr>
          <w:rFonts w:ascii="Bookman Old Style" w:hAnsi="Bookman Old Style"/>
          <w:sz w:val="24"/>
          <w:szCs w:val="24"/>
          <w:lang w:val="es-EC"/>
        </w:rPr>
        <w:t xml:space="preserve"> de la Constitución </w:t>
      </w:r>
      <w:proofErr w:type="spellStart"/>
      <w:r w:rsidR="00927409" w:rsidRPr="00BD1E07">
        <w:rPr>
          <w:rFonts w:ascii="Bookman Old Style" w:hAnsi="Bookman Old Style"/>
          <w:sz w:val="24"/>
          <w:szCs w:val="24"/>
          <w:lang w:val="es-EC"/>
        </w:rPr>
        <w:t>ibídem</w:t>
      </w:r>
      <w:proofErr w:type="spellEnd"/>
      <w:r w:rsidRPr="00BD1E07">
        <w:rPr>
          <w:rFonts w:ascii="Bookman Old Style" w:hAnsi="Bookman Old Style"/>
          <w:sz w:val="24"/>
          <w:szCs w:val="24"/>
          <w:lang w:val="es-EC"/>
        </w:rPr>
        <w:t xml:space="preserve"> dispone: “</w:t>
      </w:r>
      <w:r w:rsidRPr="00BD1E07">
        <w:rPr>
          <w:rFonts w:ascii="Bookman Old Style" w:hAnsi="Bookman Old Style"/>
          <w:i/>
          <w:iCs/>
          <w:sz w:val="24"/>
          <w:szCs w:val="24"/>
          <w:lang w:val="es-EC"/>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BD1E07">
        <w:rPr>
          <w:rFonts w:ascii="Bookman Old Style" w:hAnsi="Bookman Old Style"/>
          <w:sz w:val="24"/>
          <w:szCs w:val="24"/>
          <w:lang w:val="es-EC"/>
        </w:rPr>
        <w:t xml:space="preserve">”;  </w:t>
      </w:r>
    </w:p>
    <w:p w14:paraId="6F124435" w14:textId="77777777" w:rsidR="00152F02" w:rsidRPr="00BD1E07" w:rsidRDefault="00152F02" w:rsidP="00152F02">
      <w:pPr>
        <w:spacing w:line="276" w:lineRule="auto"/>
        <w:jc w:val="both"/>
        <w:rPr>
          <w:rFonts w:ascii="Bookman Old Style" w:hAnsi="Bookman Old Style"/>
          <w:sz w:val="24"/>
          <w:szCs w:val="24"/>
          <w:lang w:val="es-EC"/>
        </w:rPr>
      </w:pPr>
    </w:p>
    <w:p w14:paraId="7614F2A2" w14:textId="28FD22B0" w:rsidR="00F74BFC" w:rsidRPr="00BD1E07" w:rsidRDefault="00152F02" w:rsidP="00F74BFC">
      <w:pPr>
        <w:spacing w:line="276" w:lineRule="auto"/>
        <w:jc w:val="both"/>
        <w:rPr>
          <w:rFonts w:ascii="Bookman Old Style" w:hAnsi="Bookman Old Style"/>
          <w:iCs/>
          <w:sz w:val="24"/>
          <w:szCs w:val="24"/>
        </w:rPr>
      </w:pPr>
      <w:r w:rsidRPr="00BD1E07">
        <w:rPr>
          <w:rFonts w:ascii="Bookman Old Style" w:hAnsi="Bookman Old Style"/>
          <w:iCs/>
          <w:sz w:val="24"/>
          <w:szCs w:val="24"/>
        </w:rPr>
        <w:t>Que,</w:t>
      </w:r>
      <w:r w:rsidRPr="00BD1E07">
        <w:rPr>
          <w:rFonts w:ascii="Bookman Old Style" w:hAnsi="Bookman Old Style"/>
          <w:iCs/>
          <w:sz w:val="24"/>
          <w:szCs w:val="24"/>
        </w:rPr>
        <w:tab/>
        <w:t>el artículo 227 de</w:t>
      </w:r>
      <w:r w:rsidR="00D75CE2" w:rsidRPr="00BD1E07">
        <w:rPr>
          <w:rFonts w:ascii="Bookman Old Style" w:hAnsi="Bookman Old Style"/>
          <w:iCs/>
          <w:sz w:val="24"/>
          <w:szCs w:val="24"/>
        </w:rPr>
        <w:t xml:space="preserve"> la Carta Fundamental</w:t>
      </w:r>
      <w:r w:rsidRPr="00BD1E07">
        <w:rPr>
          <w:rFonts w:ascii="Bookman Old Style" w:hAnsi="Bookman Old Style"/>
          <w:iCs/>
          <w:sz w:val="24"/>
          <w:szCs w:val="24"/>
        </w:rPr>
        <w:t xml:space="preserve"> establece que la administración pública constituye un servicio a la colectividad que se rige por los principios de eficacia, eficiencia, calidad, jerarquía, desconcentración, descentralización, coordinación, participación, planificación, transparencia y evaluación;</w:t>
      </w:r>
    </w:p>
    <w:p w14:paraId="52456498" w14:textId="77777777" w:rsidR="00D75CE2" w:rsidRPr="00BD1E07" w:rsidRDefault="00D75CE2" w:rsidP="00F74BFC">
      <w:pPr>
        <w:spacing w:line="276" w:lineRule="auto"/>
        <w:jc w:val="both"/>
        <w:rPr>
          <w:rFonts w:ascii="Bookman Old Style" w:hAnsi="Bookman Old Style"/>
          <w:iCs/>
          <w:sz w:val="24"/>
          <w:szCs w:val="24"/>
        </w:rPr>
      </w:pPr>
    </w:p>
    <w:p w14:paraId="4B30F9A1" w14:textId="7B27BD90" w:rsidR="00D75CE2" w:rsidRDefault="00D75CE2" w:rsidP="00F74BFC">
      <w:pPr>
        <w:spacing w:line="276" w:lineRule="auto"/>
        <w:jc w:val="both"/>
        <w:rPr>
          <w:rFonts w:ascii="Bookman Old Style" w:hAnsi="Bookman Old Style"/>
          <w:iCs/>
          <w:sz w:val="24"/>
          <w:szCs w:val="24"/>
        </w:rPr>
      </w:pPr>
      <w:r w:rsidRPr="00BD1E07">
        <w:rPr>
          <w:rFonts w:ascii="Bookman Old Style" w:hAnsi="Bookman Old Style"/>
          <w:iCs/>
          <w:sz w:val="24"/>
          <w:szCs w:val="24"/>
        </w:rPr>
        <w:t>Que, Código Orgánico</w:t>
      </w:r>
      <w:r w:rsidRPr="00D75CE2">
        <w:rPr>
          <w:rFonts w:ascii="Bookman Old Style" w:hAnsi="Bookman Old Style"/>
          <w:iCs/>
          <w:sz w:val="24"/>
          <w:szCs w:val="24"/>
        </w:rPr>
        <w:t xml:space="preserve"> de Organización Territorial Autonomía y Descentralización </w:t>
      </w:r>
      <w:r>
        <w:rPr>
          <w:rFonts w:ascii="Bookman Old Style" w:hAnsi="Bookman Old Style"/>
          <w:iCs/>
          <w:sz w:val="24"/>
          <w:szCs w:val="24"/>
        </w:rPr>
        <w:t xml:space="preserve">– COOTAD- </w:t>
      </w:r>
      <w:r w:rsidR="0088432E">
        <w:rPr>
          <w:rFonts w:ascii="Bookman Old Style" w:hAnsi="Bookman Old Style"/>
          <w:iCs/>
          <w:sz w:val="24"/>
          <w:szCs w:val="24"/>
        </w:rPr>
        <w:t>en la letra f) d</w:t>
      </w:r>
      <w:r>
        <w:rPr>
          <w:rFonts w:ascii="Bookman Old Style" w:hAnsi="Bookman Old Style"/>
          <w:iCs/>
          <w:sz w:val="24"/>
          <w:szCs w:val="24"/>
        </w:rPr>
        <w:t xml:space="preserve">el artículo 4 contempla como </w:t>
      </w:r>
      <w:r w:rsidRPr="00D75CE2">
        <w:rPr>
          <w:rFonts w:ascii="Bookman Old Style" w:hAnsi="Bookman Old Style"/>
          <w:iCs/>
          <w:sz w:val="24"/>
          <w:szCs w:val="24"/>
        </w:rPr>
        <w:t>uno de los fines de los gobiern</w:t>
      </w:r>
      <w:r>
        <w:rPr>
          <w:rFonts w:ascii="Bookman Old Style" w:hAnsi="Bookman Old Style"/>
          <w:iCs/>
          <w:sz w:val="24"/>
          <w:szCs w:val="24"/>
        </w:rPr>
        <w:t>os autónomos descentralizados</w:t>
      </w:r>
      <w:r w:rsidRPr="00D75CE2">
        <w:rPr>
          <w:rFonts w:ascii="Bookman Old Style" w:hAnsi="Bookman Old Style"/>
          <w:iCs/>
          <w:sz w:val="24"/>
          <w:szCs w:val="24"/>
        </w:rPr>
        <w:t xml:space="preserve"> “</w:t>
      </w:r>
      <w:r w:rsidRPr="00BD1E07">
        <w:rPr>
          <w:rFonts w:ascii="Bookman Old Style" w:hAnsi="Bookman Old Style"/>
          <w:i/>
          <w:sz w:val="24"/>
          <w:szCs w:val="24"/>
        </w:rPr>
        <w:t>la obtención de un hábitat seguro y saludable para los ciudadanos y la garantía de su derecho a la vivienda en el ámbito de sus respectivas competencias</w:t>
      </w:r>
      <w:r>
        <w:rPr>
          <w:rFonts w:ascii="Bookman Old Style" w:hAnsi="Bookman Old Style"/>
          <w:iCs/>
          <w:sz w:val="24"/>
          <w:szCs w:val="24"/>
        </w:rPr>
        <w:t>";</w:t>
      </w:r>
    </w:p>
    <w:p w14:paraId="1E35EB39" w14:textId="77777777" w:rsidR="0088432E" w:rsidRDefault="0088432E" w:rsidP="00F74BFC">
      <w:pPr>
        <w:spacing w:line="276" w:lineRule="auto"/>
        <w:jc w:val="both"/>
        <w:rPr>
          <w:rFonts w:ascii="Bookman Old Style" w:hAnsi="Bookman Old Style"/>
          <w:iCs/>
          <w:sz w:val="24"/>
          <w:szCs w:val="24"/>
        </w:rPr>
      </w:pPr>
    </w:p>
    <w:p w14:paraId="158D9F22" w14:textId="575FA9E6" w:rsidR="0088432E" w:rsidRDefault="0088432E" w:rsidP="00F74BFC">
      <w:pPr>
        <w:spacing w:line="276" w:lineRule="auto"/>
        <w:jc w:val="both"/>
        <w:rPr>
          <w:rFonts w:ascii="Bookman Old Style" w:hAnsi="Bookman Old Style"/>
          <w:iCs/>
          <w:sz w:val="24"/>
          <w:szCs w:val="24"/>
        </w:rPr>
      </w:pPr>
      <w:r w:rsidRPr="00BD1E07">
        <w:rPr>
          <w:rFonts w:ascii="Bookman Old Style" w:hAnsi="Bookman Old Style"/>
          <w:iCs/>
          <w:sz w:val="24"/>
          <w:szCs w:val="24"/>
        </w:rPr>
        <w:t>Que, conforme lo disponen los artículos 84, letra</w:t>
      </w:r>
      <w:r>
        <w:rPr>
          <w:rFonts w:ascii="Bookman Old Style" w:hAnsi="Bookman Old Style"/>
          <w:iCs/>
          <w:sz w:val="24"/>
          <w:szCs w:val="24"/>
        </w:rPr>
        <w:t xml:space="preserve"> i) y 147 del </w:t>
      </w:r>
      <w:r w:rsidRPr="0088432E">
        <w:rPr>
          <w:rFonts w:ascii="Bookman Old Style" w:hAnsi="Bookman Old Style"/>
          <w:iCs/>
          <w:sz w:val="24"/>
          <w:szCs w:val="24"/>
        </w:rPr>
        <w:t>Código Orgánico de Organización Territorial, Autonomía y Descentralización</w:t>
      </w:r>
      <w:r>
        <w:rPr>
          <w:rFonts w:ascii="Bookman Old Style" w:hAnsi="Bookman Old Style"/>
          <w:iCs/>
          <w:sz w:val="24"/>
          <w:szCs w:val="24"/>
        </w:rPr>
        <w:t>,</w:t>
      </w:r>
      <w:r w:rsidRPr="0088432E">
        <w:rPr>
          <w:rFonts w:ascii="Bookman Old Style" w:hAnsi="Bookman Old Style"/>
          <w:iCs/>
          <w:sz w:val="24"/>
          <w:szCs w:val="24"/>
        </w:rPr>
        <w:t xml:space="preserve"> es función y deber del gobierno del distrito autónomo metropolitano, </w:t>
      </w:r>
      <w:r w:rsidR="003479BF">
        <w:rPr>
          <w:rFonts w:ascii="Bookman Old Style" w:hAnsi="Bookman Old Style"/>
          <w:iCs/>
          <w:sz w:val="24"/>
          <w:szCs w:val="24"/>
        </w:rPr>
        <w:t>entre otras,</w:t>
      </w:r>
      <w:r w:rsidR="003479BF" w:rsidRPr="0088432E">
        <w:rPr>
          <w:rFonts w:ascii="Bookman Old Style" w:hAnsi="Bookman Old Style"/>
          <w:iCs/>
          <w:sz w:val="24"/>
          <w:szCs w:val="24"/>
        </w:rPr>
        <w:t xml:space="preserve"> “</w:t>
      </w:r>
      <w:r w:rsidR="003479BF" w:rsidRPr="003479BF">
        <w:rPr>
          <w:rFonts w:ascii="Bookman Old Style" w:hAnsi="Bookman Old Style"/>
          <w:i/>
          <w:iCs/>
          <w:sz w:val="24"/>
          <w:szCs w:val="24"/>
        </w:rPr>
        <w:t>implementar</w:t>
      </w:r>
      <w:r w:rsidRPr="003479BF">
        <w:rPr>
          <w:rFonts w:ascii="Bookman Old Style" w:hAnsi="Bookman Old Style"/>
          <w:i/>
          <w:iCs/>
          <w:sz w:val="24"/>
          <w:szCs w:val="24"/>
        </w:rPr>
        <w:t xml:space="preserve"> el derecho al hábitat y a la vivienda y desarrollar planes y programas de vivienda de interés social en el territorio metropolitano</w:t>
      </w:r>
      <w:r w:rsidRPr="0088432E">
        <w:rPr>
          <w:rFonts w:ascii="Bookman Old Style" w:hAnsi="Bookman Old Style"/>
          <w:iCs/>
          <w:sz w:val="24"/>
          <w:szCs w:val="24"/>
        </w:rPr>
        <w:t xml:space="preserve">”, y </w:t>
      </w:r>
      <w:r w:rsidR="003479BF">
        <w:rPr>
          <w:rFonts w:ascii="Bookman Old Style" w:hAnsi="Bookman Old Style"/>
          <w:iCs/>
          <w:sz w:val="24"/>
          <w:szCs w:val="24"/>
        </w:rPr>
        <w:t xml:space="preserve">el garantizar el </w:t>
      </w:r>
      <w:r w:rsidRPr="0088432E">
        <w:rPr>
          <w:rFonts w:ascii="Bookman Old Style" w:hAnsi="Bookman Old Style"/>
          <w:iCs/>
          <w:sz w:val="24"/>
          <w:szCs w:val="24"/>
        </w:rPr>
        <w:t>“</w:t>
      </w:r>
      <w:r w:rsidRPr="003479BF">
        <w:rPr>
          <w:rFonts w:ascii="Bookman Old Style" w:hAnsi="Bookman Old Style"/>
          <w:i/>
          <w:iCs/>
          <w:sz w:val="24"/>
          <w:szCs w:val="24"/>
        </w:rPr>
        <w:t xml:space="preserve">derecho a un hábitat seguro y saludable </w:t>
      </w:r>
      <w:r w:rsidRPr="003479BF">
        <w:rPr>
          <w:rFonts w:ascii="Bookman Old Style" w:hAnsi="Bookman Old Style"/>
          <w:i/>
          <w:iCs/>
          <w:sz w:val="24"/>
          <w:szCs w:val="24"/>
        </w:rPr>
        <w:lastRenderedPageBreak/>
        <w:t>y una vivienda adecuada y digna, con independencia de la situación social y económica de las familias y las personas</w:t>
      </w:r>
      <w:r>
        <w:rPr>
          <w:rFonts w:ascii="Bookman Old Style" w:hAnsi="Bookman Old Style"/>
          <w:iCs/>
          <w:sz w:val="24"/>
          <w:szCs w:val="24"/>
        </w:rPr>
        <w:t>”;</w:t>
      </w:r>
    </w:p>
    <w:p w14:paraId="02236408" w14:textId="77777777" w:rsidR="003479BF" w:rsidRDefault="003479BF" w:rsidP="00F74BFC">
      <w:pPr>
        <w:spacing w:line="276" w:lineRule="auto"/>
        <w:jc w:val="both"/>
        <w:rPr>
          <w:rFonts w:ascii="Bookman Old Style" w:hAnsi="Bookman Old Style"/>
          <w:iCs/>
          <w:sz w:val="24"/>
          <w:szCs w:val="24"/>
        </w:rPr>
      </w:pPr>
    </w:p>
    <w:p w14:paraId="0D574187" w14:textId="0D0F54B5" w:rsidR="00F74BFC" w:rsidRDefault="00F74BFC" w:rsidP="00F74BFC">
      <w:pPr>
        <w:spacing w:line="276" w:lineRule="auto"/>
        <w:jc w:val="both"/>
        <w:rPr>
          <w:rFonts w:ascii="Bookman Old Style" w:hAnsi="Bookman Old Style"/>
          <w:i/>
          <w:iCs/>
          <w:sz w:val="24"/>
          <w:szCs w:val="24"/>
        </w:rPr>
      </w:pPr>
      <w:r w:rsidRPr="00F74BFC">
        <w:rPr>
          <w:rFonts w:ascii="Bookman Old Style" w:hAnsi="Bookman Old Style"/>
          <w:sz w:val="24"/>
          <w:szCs w:val="24"/>
        </w:rPr>
        <w:t>Que,</w:t>
      </w:r>
      <w:r w:rsidRPr="00F74BFC">
        <w:rPr>
          <w:rFonts w:ascii="Bookman Old Style" w:hAnsi="Bookman Old Style"/>
          <w:i/>
          <w:iCs/>
          <w:sz w:val="24"/>
          <w:szCs w:val="24"/>
        </w:rPr>
        <w:t xml:space="preserve"> </w:t>
      </w:r>
      <w:r w:rsidRPr="00F74BFC">
        <w:rPr>
          <w:rFonts w:ascii="Bookman Old Style" w:hAnsi="Bookman Old Style"/>
          <w:sz w:val="24"/>
          <w:szCs w:val="24"/>
        </w:rPr>
        <w:t xml:space="preserve">el artículo 496 del Código Orgánico de Organización Territorial, Autonomía y Descentralización-COOTAD dispone que </w:t>
      </w:r>
      <w:r w:rsidR="006F4E7E">
        <w:rPr>
          <w:rFonts w:ascii="Bookman Old Style" w:hAnsi="Bookman Old Style"/>
          <w:sz w:val="24"/>
          <w:szCs w:val="24"/>
        </w:rPr>
        <w:t>“</w:t>
      </w:r>
      <w:r w:rsidRPr="00F74BFC">
        <w:rPr>
          <w:rFonts w:ascii="Bookman Old Style" w:hAnsi="Bookman Old Style"/>
          <w:i/>
          <w:iCs/>
          <w:sz w:val="24"/>
          <w:szCs w:val="24"/>
        </w:rPr>
        <w:t>las municipalidades y distritos metropolitanos realizarán, en forma obligatoria, actualizaciones generales de catastros y de la valoración de la propiedad urbana y rural cada bienio. A este efecto, la dirección financiera o quien haga sus veces notificará por la prensa a los propietarios, haciéndoles conocer la realización del avalúo. Concluido este proceso, notificará por la prensa a la ciudadanía, para que los interesados puedan acercarse a la entidad o acceder por medios digitales al conocimiento de la nueva valoración; procedimiento que deberán implementar y reglamentar las municipalidades (...)</w:t>
      </w:r>
      <w:r w:rsidR="00152F02">
        <w:rPr>
          <w:rFonts w:ascii="Bookman Old Style" w:hAnsi="Bookman Old Style"/>
          <w:i/>
          <w:iCs/>
          <w:sz w:val="24"/>
          <w:szCs w:val="24"/>
        </w:rPr>
        <w:t>;</w:t>
      </w:r>
    </w:p>
    <w:p w14:paraId="7CD72096" w14:textId="77777777" w:rsidR="0058761C" w:rsidRDefault="0058761C" w:rsidP="00F74BFC">
      <w:pPr>
        <w:spacing w:line="276" w:lineRule="auto"/>
        <w:jc w:val="both"/>
        <w:rPr>
          <w:rFonts w:ascii="Bookman Old Style" w:hAnsi="Bookman Old Style"/>
          <w:i/>
          <w:iCs/>
          <w:sz w:val="24"/>
          <w:szCs w:val="24"/>
        </w:rPr>
      </w:pPr>
    </w:p>
    <w:p w14:paraId="3F4D1382" w14:textId="669942C3" w:rsidR="00F74BFC" w:rsidRPr="00F74BFC" w:rsidRDefault="00F74BFC" w:rsidP="00F74BFC">
      <w:pPr>
        <w:spacing w:line="276" w:lineRule="auto"/>
        <w:jc w:val="both"/>
        <w:rPr>
          <w:rFonts w:ascii="Bookman Old Style" w:hAnsi="Bookman Old Style"/>
          <w:sz w:val="24"/>
          <w:szCs w:val="24"/>
          <w:lang w:val="es-EC"/>
        </w:rPr>
      </w:pPr>
      <w:r w:rsidRPr="00F74BFC">
        <w:rPr>
          <w:rFonts w:ascii="Bookman Old Style" w:hAnsi="Bookman Old Style"/>
          <w:sz w:val="24"/>
          <w:szCs w:val="24"/>
        </w:rPr>
        <w:t xml:space="preserve">Que, mediante Ordenanza 307 de 19 de marzo de </w:t>
      </w:r>
      <w:r w:rsidRPr="006F4E7E">
        <w:rPr>
          <w:rFonts w:ascii="Bookman Old Style" w:hAnsi="Bookman Old Style"/>
          <w:sz w:val="24"/>
          <w:szCs w:val="24"/>
        </w:rPr>
        <w:t xml:space="preserve">2010 (hoy </w:t>
      </w:r>
      <w:r w:rsidR="008036A5" w:rsidRPr="006F4E7E">
        <w:rPr>
          <w:rFonts w:ascii="Bookman Old Style" w:hAnsi="Bookman Old Style"/>
          <w:sz w:val="24"/>
          <w:szCs w:val="24"/>
        </w:rPr>
        <w:t>Capítulo X “De la Empresa Pública Metropolitana de Hábitat y Vivienda” del Código Municipal</w:t>
      </w:r>
      <w:r w:rsidRPr="006F4E7E">
        <w:rPr>
          <w:rFonts w:ascii="Bookman Old Style" w:hAnsi="Bookman Old Style"/>
          <w:sz w:val="24"/>
          <w:szCs w:val="24"/>
        </w:rPr>
        <w:t>) se creó la Empresa Pública Metr</w:t>
      </w:r>
      <w:r w:rsidR="00152F02" w:rsidRPr="006F4E7E">
        <w:rPr>
          <w:rFonts w:ascii="Bookman Old Style" w:hAnsi="Bookman Old Style"/>
          <w:sz w:val="24"/>
          <w:szCs w:val="24"/>
        </w:rPr>
        <w:t>opolitana de Hábitat y Vivienda;</w:t>
      </w:r>
      <w:r w:rsidR="008036A5" w:rsidRPr="006F4E7E">
        <w:t xml:space="preserve"> </w:t>
      </w:r>
      <w:r w:rsidR="008036A5" w:rsidRPr="006F4E7E">
        <w:rPr>
          <w:rFonts w:ascii="Bookman Old Style" w:hAnsi="Bookman Old Style"/>
          <w:sz w:val="24"/>
          <w:szCs w:val="24"/>
        </w:rPr>
        <w:t>encargada de ejecutar las políticas dictadas por el Municipio del Distrito Metropolitano de Quito en materia de habilitación y oferta del suelo; urbanización y promoción de vivienda destinadas a familias o personas que necesitan su primera vivienda, familias con ingresos bajos y medios, población vulnerable o en situación de riesgo; renovación urbana; mejoramiento habitacional; vivienda nueva para propietarios de suelo en el ámbito urbano y rural, colaborando en la reducción del déficit de vivienda;</w:t>
      </w:r>
    </w:p>
    <w:p w14:paraId="0470D2A0" w14:textId="77777777" w:rsidR="00F74BFC" w:rsidRDefault="00F74BFC" w:rsidP="00F74BFC">
      <w:pPr>
        <w:spacing w:line="276" w:lineRule="auto"/>
        <w:jc w:val="both"/>
        <w:rPr>
          <w:rFonts w:ascii="Bookman Old Style" w:hAnsi="Bookman Old Style"/>
          <w:sz w:val="24"/>
          <w:szCs w:val="24"/>
        </w:rPr>
      </w:pPr>
    </w:p>
    <w:p w14:paraId="0AF22F1B" w14:textId="7E449CDA" w:rsidR="00F74BFC" w:rsidRPr="00F74BFC" w:rsidRDefault="008036A5" w:rsidP="00F74BFC">
      <w:pPr>
        <w:spacing w:line="276" w:lineRule="auto"/>
        <w:jc w:val="both"/>
        <w:rPr>
          <w:rFonts w:ascii="Bookman Old Style" w:hAnsi="Bookman Old Style"/>
          <w:sz w:val="24"/>
          <w:szCs w:val="24"/>
          <w:lang w:val="es-EC"/>
        </w:rPr>
      </w:pPr>
      <w:r w:rsidRPr="006F4E7E">
        <w:rPr>
          <w:rFonts w:ascii="Bookman Old Style" w:hAnsi="Bookman Old Style"/>
          <w:sz w:val="24"/>
          <w:szCs w:val="24"/>
        </w:rPr>
        <w:t xml:space="preserve">Que, a fin de cumplir con su objeto, la Empresa Púbica Metropolitana de Hábitat y Vivienda se encuentra ejecutando varios proyectos de vivienda de interés social; entre ellos, el Proyecto Urbano Arquitectónico “Victoria del Sur” para lo cual </w:t>
      </w:r>
      <w:r w:rsidR="00F74BFC" w:rsidRPr="006F4E7E">
        <w:rPr>
          <w:rFonts w:ascii="Bookman Old Style" w:hAnsi="Bookman Old Style"/>
          <w:sz w:val="24"/>
          <w:szCs w:val="24"/>
        </w:rPr>
        <w:t xml:space="preserve">se expidió la Ordenanza </w:t>
      </w:r>
      <w:r w:rsidR="00944D37" w:rsidRPr="006F4E7E">
        <w:rPr>
          <w:rFonts w:ascii="Bookman Old Style" w:hAnsi="Bookman Old Style"/>
          <w:sz w:val="24"/>
          <w:szCs w:val="24"/>
        </w:rPr>
        <w:t xml:space="preserve">No. </w:t>
      </w:r>
      <w:r w:rsidR="00F74BFC" w:rsidRPr="006F4E7E">
        <w:rPr>
          <w:rFonts w:ascii="Bookman Old Style" w:hAnsi="Bookman Old Style"/>
          <w:sz w:val="24"/>
          <w:szCs w:val="24"/>
        </w:rPr>
        <w:t xml:space="preserve">377 que aprueba el </w:t>
      </w:r>
      <w:r w:rsidRPr="006F4E7E">
        <w:rPr>
          <w:rFonts w:ascii="Bookman Old Style" w:hAnsi="Bookman Old Style"/>
          <w:sz w:val="24"/>
          <w:szCs w:val="24"/>
        </w:rPr>
        <w:t xml:space="preserve">citado </w:t>
      </w:r>
      <w:r w:rsidR="00F74BFC" w:rsidRPr="006F4E7E">
        <w:rPr>
          <w:rFonts w:ascii="Bookman Old Style" w:hAnsi="Bookman Old Style"/>
          <w:sz w:val="24"/>
          <w:szCs w:val="24"/>
        </w:rPr>
        <w:t>proyecto</w:t>
      </w:r>
      <w:r w:rsidR="00152F02" w:rsidRPr="006F4E7E">
        <w:rPr>
          <w:rFonts w:ascii="Bookman Old Style" w:hAnsi="Bookman Old Style"/>
          <w:sz w:val="24"/>
          <w:szCs w:val="24"/>
        </w:rPr>
        <w:t>;</w:t>
      </w:r>
    </w:p>
    <w:p w14:paraId="29E2FC54" w14:textId="77777777" w:rsidR="006F4E7E" w:rsidRDefault="006F4E7E" w:rsidP="00F74BFC">
      <w:pPr>
        <w:spacing w:line="276" w:lineRule="auto"/>
        <w:jc w:val="both"/>
        <w:rPr>
          <w:rFonts w:ascii="Bookman Old Style" w:hAnsi="Bookman Old Style"/>
          <w:sz w:val="24"/>
          <w:szCs w:val="24"/>
        </w:rPr>
      </w:pPr>
    </w:p>
    <w:p w14:paraId="4F5B5A65" w14:textId="3D01857F" w:rsidR="00B52A8E" w:rsidRDefault="00B52A8E" w:rsidP="00F74BFC">
      <w:pPr>
        <w:spacing w:line="276" w:lineRule="auto"/>
        <w:jc w:val="both"/>
        <w:rPr>
          <w:rFonts w:ascii="Bookman Old Style" w:hAnsi="Bookman Old Style"/>
          <w:sz w:val="24"/>
          <w:szCs w:val="24"/>
        </w:rPr>
      </w:pPr>
      <w:r w:rsidRPr="008504C7">
        <w:rPr>
          <w:rFonts w:ascii="Bookman Old Style" w:hAnsi="Bookman Old Style"/>
          <w:sz w:val="24"/>
          <w:szCs w:val="24"/>
        </w:rPr>
        <w:t>Que, mediante ordenanza No. 008-2019, sancionada el 23 de diciembre de 2019, el Concejo Metropolitano de Quito expide la “</w:t>
      </w:r>
      <w:r w:rsidR="008547AF" w:rsidRPr="008504C7">
        <w:rPr>
          <w:rFonts w:ascii="Bookman Old Style" w:hAnsi="Bookman Old Style"/>
          <w:sz w:val="24"/>
          <w:szCs w:val="24"/>
        </w:rPr>
        <w:t xml:space="preserve">ORDENANZA METROPOLITANA MODIFICATORIA  DEL CAPÍTULO 1 ´VALORACIÓN INMOBILIARIA´ </w:t>
      </w:r>
      <w:r w:rsidR="008504C7">
        <w:rPr>
          <w:rFonts w:ascii="Bookman Old Style" w:hAnsi="Bookman Old Style"/>
          <w:sz w:val="24"/>
          <w:szCs w:val="24"/>
        </w:rPr>
        <w:t xml:space="preserve">que en su disposición General Sexta, letra b) dispone </w:t>
      </w:r>
      <w:r w:rsidR="008504C7" w:rsidRPr="008504C7">
        <w:rPr>
          <w:rFonts w:ascii="Bookman Old Style" w:hAnsi="Bookman Old Style"/>
          <w:sz w:val="24"/>
          <w:szCs w:val="24"/>
        </w:rPr>
        <w:t>el “</w:t>
      </w:r>
      <w:r w:rsidR="008504C7" w:rsidRPr="008504C7">
        <w:rPr>
          <w:rFonts w:ascii="Bookman Old Style" w:hAnsi="Bookman Old Style"/>
          <w:i/>
          <w:iCs/>
          <w:sz w:val="24"/>
          <w:szCs w:val="24"/>
        </w:rPr>
        <w:t>Para los casos de proyectos de viviendas de interés social cuyo promotor sea el Municipio del Distrito Metropolitano de Quito, en los cuales se produjeron actos conducentes al traspaso de dominio, con una determinada valoración, a través de promesas de</w:t>
      </w:r>
      <w:r w:rsidR="008504C7" w:rsidRPr="008504C7">
        <w:rPr>
          <w:rFonts w:ascii="Bookman Old Style" w:hAnsi="Bookman Old Style"/>
          <w:i/>
          <w:iCs/>
          <w:sz w:val="24"/>
          <w:szCs w:val="24"/>
        </w:rPr>
        <w:t xml:space="preserve"> </w:t>
      </w:r>
      <w:r w:rsidR="008504C7" w:rsidRPr="008504C7">
        <w:rPr>
          <w:rFonts w:ascii="Bookman Old Style" w:hAnsi="Bookman Old Style"/>
          <w:i/>
          <w:iCs/>
          <w:sz w:val="24"/>
          <w:szCs w:val="24"/>
        </w:rPr>
        <w:t xml:space="preserve">compraventa, reservas sin promesa de compraventa o cualquier otra documentación, tales como depósitos o transferencias bancarias realizadas a favor de la </w:t>
      </w:r>
      <w:r w:rsidR="008504C7" w:rsidRPr="008504C7">
        <w:rPr>
          <w:rFonts w:ascii="Bookman Old Style" w:hAnsi="Bookman Old Style"/>
          <w:i/>
          <w:iCs/>
          <w:sz w:val="24"/>
          <w:szCs w:val="24"/>
        </w:rPr>
        <w:lastRenderedPageBreak/>
        <w:t>municipalidad o de los fideicomisos constituidos para la ejecución de este proyecto, que justifiquen dichas transferencias o actos conducentes, plazos o términos y condiciones dispuestos por la Empresa Pública Metropolitana de Hábitat y Vivienda en ese momento, donde se haya perfeccionado la transferencia de dominio, se respetarán los valores convenidos, hasta que se produzca la correspondiente transferencia de dominio, independientemente que se actualice la valoración. La información de estos casos será entregada por la Empresa Pública Metropolitana de Hábitat y Vivienda a las instancias municipales correspondientes.</w:t>
      </w:r>
      <w:r w:rsidR="008504C7" w:rsidRPr="008504C7">
        <w:rPr>
          <w:rFonts w:ascii="Bookman Old Style" w:hAnsi="Bookman Old Style"/>
          <w:sz w:val="24"/>
          <w:szCs w:val="24"/>
        </w:rPr>
        <w:t>”</w:t>
      </w:r>
    </w:p>
    <w:p w14:paraId="7E6B270F" w14:textId="6FC6670D" w:rsidR="008504C7" w:rsidRDefault="008504C7" w:rsidP="00F74BFC">
      <w:pPr>
        <w:spacing w:line="276" w:lineRule="auto"/>
        <w:jc w:val="both"/>
        <w:rPr>
          <w:rFonts w:ascii="Bookman Old Style" w:hAnsi="Bookman Old Style"/>
          <w:sz w:val="24"/>
          <w:szCs w:val="24"/>
        </w:rPr>
      </w:pPr>
    </w:p>
    <w:p w14:paraId="296C60A0" w14:textId="53BE7875" w:rsidR="008504C7" w:rsidRDefault="008504C7" w:rsidP="00F74BFC">
      <w:pPr>
        <w:spacing w:line="276" w:lineRule="auto"/>
        <w:jc w:val="both"/>
        <w:rPr>
          <w:rFonts w:ascii="Bookman Old Style" w:hAnsi="Bookman Old Style"/>
          <w:sz w:val="24"/>
          <w:szCs w:val="24"/>
        </w:rPr>
      </w:pPr>
      <w:r>
        <w:rPr>
          <w:rFonts w:ascii="Bookman Old Style" w:hAnsi="Bookman Old Style"/>
          <w:sz w:val="24"/>
          <w:szCs w:val="24"/>
        </w:rPr>
        <w:t xml:space="preserve">Que, es necesario establecer condiciones específicas y excepcionales en aplicación y garantía del derecho a la vivienda para familias en situaciones de vulnerabilidad, a fin de garantizar viviendas dignas, adecuadas y a precios asequibles. </w:t>
      </w:r>
    </w:p>
    <w:p w14:paraId="7EA7B066" w14:textId="77777777" w:rsidR="00B52A8E" w:rsidRDefault="00B52A8E" w:rsidP="00F74BFC">
      <w:pPr>
        <w:spacing w:line="276" w:lineRule="auto"/>
        <w:jc w:val="both"/>
        <w:rPr>
          <w:rFonts w:ascii="Bookman Old Style" w:hAnsi="Bookman Old Style"/>
          <w:sz w:val="24"/>
          <w:szCs w:val="24"/>
        </w:rPr>
      </w:pPr>
    </w:p>
    <w:p w14:paraId="0805E03A" w14:textId="148252C4" w:rsidR="00F74BFC" w:rsidRDefault="00F74BFC" w:rsidP="00F74BFC">
      <w:pPr>
        <w:spacing w:line="276" w:lineRule="auto"/>
        <w:jc w:val="both"/>
        <w:rPr>
          <w:rFonts w:ascii="Bookman Old Style" w:hAnsi="Bookman Old Style"/>
          <w:sz w:val="24"/>
          <w:szCs w:val="24"/>
        </w:rPr>
      </w:pPr>
      <w:r w:rsidRPr="00F74BFC">
        <w:rPr>
          <w:rFonts w:ascii="Bookman Old Style" w:hAnsi="Bookman Old Style"/>
          <w:sz w:val="24"/>
          <w:szCs w:val="24"/>
        </w:rPr>
        <w:t xml:space="preserve">En ejercicio de las atribuciones </w:t>
      </w:r>
      <w:r w:rsidR="004E174F">
        <w:rPr>
          <w:rFonts w:ascii="Bookman Old Style" w:hAnsi="Bookman Old Style"/>
          <w:sz w:val="24"/>
          <w:szCs w:val="24"/>
        </w:rPr>
        <w:t xml:space="preserve">legales </w:t>
      </w:r>
      <w:r w:rsidRPr="00F74BFC">
        <w:rPr>
          <w:rFonts w:ascii="Bookman Old Style" w:hAnsi="Bookman Old Style"/>
          <w:sz w:val="24"/>
          <w:szCs w:val="24"/>
        </w:rPr>
        <w:t>contenidas en el artículo 240 de la Constitución de la República del Ecuador; artículo 7 y literal a) del artículo 87 del Código Orgánico de Organización Territorial, Autonomía y Descentralización COOTAD, en concordancia con el artículo 8 de la Ley Orgánica de Régimen para el Distrito Metropolitano de Quito, el</w:t>
      </w:r>
      <w:r w:rsidR="008E3347">
        <w:rPr>
          <w:rFonts w:ascii="Bookman Old Style" w:hAnsi="Bookman Old Style"/>
          <w:sz w:val="24"/>
          <w:szCs w:val="24"/>
        </w:rPr>
        <w:t xml:space="preserve"> Concejo Metropolitano de Quito.</w:t>
      </w:r>
      <w:r w:rsidRPr="00F74BFC">
        <w:rPr>
          <w:rFonts w:ascii="Bookman Old Style" w:hAnsi="Bookman Old Style"/>
          <w:sz w:val="24"/>
          <w:szCs w:val="24"/>
        </w:rPr>
        <w:t xml:space="preserve"> </w:t>
      </w:r>
    </w:p>
    <w:p w14:paraId="04A9CE44" w14:textId="77777777" w:rsidR="004E174F" w:rsidRDefault="004E174F" w:rsidP="00F74BFC">
      <w:pPr>
        <w:spacing w:line="276" w:lineRule="auto"/>
        <w:jc w:val="both"/>
        <w:rPr>
          <w:rFonts w:ascii="Bookman Old Style" w:hAnsi="Bookman Old Style"/>
          <w:sz w:val="24"/>
          <w:szCs w:val="24"/>
        </w:rPr>
      </w:pPr>
    </w:p>
    <w:p w14:paraId="015ACB7E" w14:textId="77777777" w:rsidR="004E174F" w:rsidRDefault="004E174F" w:rsidP="00F74BFC">
      <w:pPr>
        <w:spacing w:line="276" w:lineRule="auto"/>
        <w:jc w:val="both"/>
        <w:rPr>
          <w:rFonts w:ascii="Bookman Old Style" w:hAnsi="Bookman Old Style"/>
          <w:sz w:val="24"/>
          <w:szCs w:val="24"/>
        </w:rPr>
      </w:pPr>
    </w:p>
    <w:p w14:paraId="6477B423" w14:textId="31204215" w:rsidR="00F74BFC" w:rsidRPr="00F74BFC" w:rsidRDefault="00F74BFC" w:rsidP="00F74BFC">
      <w:pPr>
        <w:spacing w:line="276" w:lineRule="auto"/>
        <w:jc w:val="center"/>
        <w:rPr>
          <w:rFonts w:ascii="Bookman Old Style" w:hAnsi="Bookman Old Style"/>
          <w:sz w:val="24"/>
          <w:szCs w:val="24"/>
          <w:lang w:val="es-EC"/>
        </w:rPr>
      </w:pPr>
      <w:r w:rsidRPr="00F74BFC">
        <w:rPr>
          <w:rFonts w:ascii="Bookman Old Style" w:hAnsi="Bookman Old Style"/>
          <w:b/>
          <w:bCs/>
          <w:sz w:val="24"/>
          <w:szCs w:val="24"/>
        </w:rPr>
        <w:t>EXPIDE</w:t>
      </w:r>
    </w:p>
    <w:p w14:paraId="7ADF1034" w14:textId="77777777" w:rsidR="00F74BFC" w:rsidRDefault="00F74BFC" w:rsidP="00F74BFC">
      <w:pPr>
        <w:spacing w:line="276" w:lineRule="auto"/>
        <w:jc w:val="center"/>
        <w:rPr>
          <w:rFonts w:ascii="Bookman Old Style" w:hAnsi="Bookman Old Style"/>
          <w:b/>
          <w:bCs/>
          <w:sz w:val="24"/>
          <w:szCs w:val="24"/>
        </w:rPr>
      </w:pPr>
    </w:p>
    <w:p w14:paraId="5F467CDA" w14:textId="609EADC1" w:rsidR="00F74BFC" w:rsidRPr="00F74BFC" w:rsidRDefault="00F74BFC" w:rsidP="00F74BFC">
      <w:pPr>
        <w:spacing w:line="276" w:lineRule="auto"/>
        <w:jc w:val="center"/>
        <w:rPr>
          <w:rFonts w:ascii="Bookman Old Style" w:hAnsi="Bookman Old Style"/>
          <w:sz w:val="24"/>
          <w:szCs w:val="24"/>
          <w:lang w:val="es-EC"/>
        </w:rPr>
      </w:pPr>
      <w:r w:rsidRPr="00F74BFC">
        <w:rPr>
          <w:rFonts w:ascii="Bookman Old Style" w:hAnsi="Bookman Old Style"/>
          <w:b/>
          <w:bCs/>
          <w:sz w:val="24"/>
          <w:szCs w:val="24"/>
        </w:rPr>
        <w:t xml:space="preserve">LA ORDENANZA </w:t>
      </w:r>
      <w:r w:rsidR="008504C7">
        <w:rPr>
          <w:rFonts w:ascii="Bookman Old Style" w:hAnsi="Bookman Old Style"/>
          <w:b/>
          <w:bCs/>
          <w:sz w:val="24"/>
          <w:szCs w:val="24"/>
        </w:rPr>
        <w:t>PARA LA FIJACIÓN DEL PRECIO DE LAS VIVIENDAS DE RELOCALIZACIÓN EN EL PROYECTO VICTORIA DE SUR</w:t>
      </w:r>
      <w:r w:rsidRPr="00F74BFC">
        <w:rPr>
          <w:rFonts w:ascii="Bookman Old Style" w:hAnsi="Bookman Old Style"/>
          <w:b/>
          <w:bCs/>
          <w:sz w:val="24"/>
          <w:szCs w:val="24"/>
        </w:rPr>
        <w:t xml:space="preserve"> </w:t>
      </w:r>
      <w:r w:rsidR="00D722F6">
        <w:rPr>
          <w:rFonts w:ascii="Bookman Old Style" w:hAnsi="Bookman Old Style"/>
          <w:b/>
          <w:bCs/>
          <w:sz w:val="24"/>
          <w:szCs w:val="24"/>
        </w:rPr>
        <w:t xml:space="preserve">DEL </w:t>
      </w:r>
      <w:r w:rsidR="0046205B" w:rsidRPr="00D722F6">
        <w:rPr>
          <w:rFonts w:ascii="Bookman Old Style" w:hAnsi="Bookman Old Style"/>
          <w:b/>
          <w:bCs/>
          <w:sz w:val="24"/>
          <w:szCs w:val="24"/>
        </w:rPr>
        <w:t>MUNICIPIO DEL DISTRITO METROPOLITANO DE QUITO</w:t>
      </w:r>
    </w:p>
    <w:p w14:paraId="792D48D7" w14:textId="77777777" w:rsidR="00F74BFC" w:rsidRDefault="00F74BFC" w:rsidP="00F74BFC">
      <w:pPr>
        <w:spacing w:line="276" w:lineRule="auto"/>
        <w:jc w:val="both"/>
        <w:rPr>
          <w:rFonts w:ascii="Bookman Old Style" w:hAnsi="Bookman Old Style"/>
          <w:b/>
          <w:bCs/>
          <w:sz w:val="24"/>
          <w:szCs w:val="24"/>
          <w:lang w:val="es-EC"/>
        </w:rPr>
      </w:pPr>
    </w:p>
    <w:p w14:paraId="2E30A4BE" w14:textId="23BFDAF9" w:rsidR="00F74BFC" w:rsidRDefault="00F74BFC" w:rsidP="00F74BFC">
      <w:pPr>
        <w:spacing w:line="276" w:lineRule="auto"/>
        <w:jc w:val="both"/>
        <w:rPr>
          <w:rFonts w:ascii="Bookman Old Style" w:hAnsi="Bookman Old Style"/>
          <w:b/>
          <w:bCs/>
          <w:sz w:val="24"/>
          <w:szCs w:val="24"/>
          <w:lang w:val="es-EC"/>
        </w:rPr>
      </w:pPr>
    </w:p>
    <w:p w14:paraId="1D7D7305" w14:textId="77777777" w:rsidR="00F74BFC" w:rsidRPr="00F74BFC" w:rsidRDefault="00F74BFC" w:rsidP="00F74BFC">
      <w:pPr>
        <w:spacing w:line="276" w:lineRule="auto"/>
        <w:jc w:val="both"/>
        <w:rPr>
          <w:rFonts w:ascii="Bookman Old Style" w:hAnsi="Bookman Old Style"/>
          <w:sz w:val="24"/>
          <w:szCs w:val="24"/>
          <w:lang w:val="es-EC"/>
        </w:rPr>
      </w:pPr>
    </w:p>
    <w:p w14:paraId="1B2CD5EE" w14:textId="49B708A0" w:rsidR="00F74BFC" w:rsidRPr="00F74BFC" w:rsidRDefault="006F4E7E" w:rsidP="00F74BFC">
      <w:pPr>
        <w:spacing w:line="276" w:lineRule="auto"/>
        <w:jc w:val="both"/>
        <w:rPr>
          <w:rFonts w:ascii="Bookman Old Style" w:hAnsi="Bookman Old Style"/>
          <w:sz w:val="24"/>
          <w:szCs w:val="24"/>
          <w:lang w:val="es-EC"/>
        </w:rPr>
      </w:pPr>
      <w:r w:rsidRPr="006F4E7E">
        <w:rPr>
          <w:rFonts w:ascii="Bookman Old Style" w:hAnsi="Bookman Old Style"/>
          <w:b/>
          <w:bCs/>
          <w:sz w:val="24"/>
          <w:szCs w:val="24"/>
          <w:lang w:val="es-EC"/>
        </w:rPr>
        <w:t>Artículo 1.-</w:t>
      </w:r>
      <w:r>
        <w:rPr>
          <w:rFonts w:ascii="Bookman Old Style" w:hAnsi="Bookman Old Style"/>
          <w:sz w:val="24"/>
          <w:szCs w:val="24"/>
          <w:lang w:val="es-EC"/>
        </w:rPr>
        <w:t xml:space="preserve"> </w:t>
      </w:r>
      <w:r w:rsidR="00F74BFC" w:rsidRPr="00F74BFC">
        <w:rPr>
          <w:rFonts w:ascii="Bookman Old Style" w:hAnsi="Bookman Old Style"/>
          <w:sz w:val="24"/>
          <w:szCs w:val="24"/>
          <w:lang w:val="es-EC"/>
        </w:rPr>
        <w:t>En el caso del Proyecto Victoria del Sur, únicamente en los casos de relocalización</w:t>
      </w:r>
      <w:r>
        <w:rPr>
          <w:rFonts w:ascii="Bookman Old Style" w:hAnsi="Bookman Old Style"/>
          <w:sz w:val="24"/>
          <w:szCs w:val="24"/>
          <w:lang w:val="es-EC"/>
        </w:rPr>
        <w:t xml:space="preserve"> sobre las Manzanas 11, 12, 13 14 y 15</w:t>
      </w:r>
      <w:r w:rsidR="00F74BFC" w:rsidRPr="00F74BFC">
        <w:rPr>
          <w:rFonts w:ascii="Bookman Old Style" w:hAnsi="Bookman Old Style"/>
          <w:sz w:val="24"/>
          <w:szCs w:val="24"/>
          <w:lang w:val="es-EC"/>
        </w:rPr>
        <w:t>, cuyo promotor inmobiliario es el Municipio del Distrito Metropolitano de Quito a través de la Empresa Pública Metropolitana de Hábitat y Vivienda (EPMHV) se establece, en función del criterio de excepcionalidad</w:t>
      </w:r>
      <w:r>
        <w:rPr>
          <w:rFonts w:ascii="Bookman Old Style" w:hAnsi="Bookman Old Style"/>
          <w:sz w:val="24"/>
          <w:szCs w:val="24"/>
          <w:lang w:val="es-EC"/>
        </w:rPr>
        <w:t xml:space="preserve"> correspondiente a las manzanas en referencia</w:t>
      </w:r>
      <w:r w:rsidR="00F74BFC" w:rsidRPr="00F74BFC">
        <w:rPr>
          <w:rFonts w:ascii="Bookman Old Style" w:hAnsi="Bookman Old Style"/>
          <w:sz w:val="24"/>
          <w:szCs w:val="24"/>
          <w:lang w:val="es-EC"/>
        </w:rPr>
        <w:t>, que el precio por vivienda para el beneficiario final  en los casos contemplados en esta disposición, se fija en el valor de USD.21.500, independientemente de la actualización del avaluó catastral</w:t>
      </w:r>
      <w:r>
        <w:rPr>
          <w:rFonts w:ascii="Bookman Old Style" w:hAnsi="Bookman Old Style"/>
          <w:sz w:val="24"/>
          <w:szCs w:val="24"/>
          <w:lang w:val="es-EC"/>
        </w:rPr>
        <w:t xml:space="preserve"> o el</w:t>
      </w:r>
      <w:r w:rsidR="00F74BFC" w:rsidRPr="00F74BFC">
        <w:rPr>
          <w:rFonts w:ascii="Bookman Old Style" w:hAnsi="Bookman Old Style"/>
          <w:sz w:val="24"/>
          <w:szCs w:val="24"/>
          <w:lang w:val="es-EC"/>
        </w:rPr>
        <w:t xml:space="preserve"> costo efectivo de dichas viviendas, que será de aplicación obligatoria incluso en los casos en donde no se hayan efectuado actos conducentes al traspaso de dominio.</w:t>
      </w:r>
    </w:p>
    <w:p w14:paraId="03671EE9" w14:textId="77777777" w:rsidR="00F74BFC" w:rsidRDefault="00F74BFC" w:rsidP="00F74BFC">
      <w:pPr>
        <w:spacing w:line="276" w:lineRule="auto"/>
        <w:jc w:val="both"/>
        <w:rPr>
          <w:rFonts w:ascii="Bookman Old Style" w:hAnsi="Bookman Old Style"/>
          <w:sz w:val="24"/>
          <w:szCs w:val="24"/>
          <w:lang w:val="es-EC"/>
        </w:rPr>
      </w:pPr>
    </w:p>
    <w:p w14:paraId="2217DB30" w14:textId="38511A7B" w:rsidR="00F74BFC" w:rsidRDefault="006F4E7E" w:rsidP="00F74BFC">
      <w:pPr>
        <w:spacing w:line="276" w:lineRule="auto"/>
        <w:jc w:val="both"/>
        <w:rPr>
          <w:rFonts w:ascii="Bookman Old Style" w:hAnsi="Bookman Old Style"/>
          <w:sz w:val="24"/>
          <w:szCs w:val="24"/>
          <w:lang w:val="es-EC"/>
        </w:rPr>
      </w:pPr>
      <w:r w:rsidRPr="006F4E7E">
        <w:rPr>
          <w:rFonts w:ascii="Bookman Old Style" w:hAnsi="Bookman Old Style"/>
          <w:b/>
          <w:bCs/>
          <w:sz w:val="24"/>
          <w:szCs w:val="24"/>
          <w:lang w:val="es-EC"/>
        </w:rPr>
        <w:lastRenderedPageBreak/>
        <w:t>Artículo 2.-</w:t>
      </w:r>
      <w:r>
        <w:rPr>
          <w:rFonts w:ascii="Bookman Old Style" w:hAnsi="Bookman Old Style"/>
          <w:sz w:val="24"/>
          <w:szCs w:val="24"/>
          <w:lang w:val="es-EC"/>
        </w:rPr>
        <w:t xml:space="preserve"> </w:t>
      </w:r>
      <w:r w:rsidR="00F74BFC" w:rsidRPr="00F74BFC">
        <w:rPr>
          <w:rFonts w:ascii="Bookman Old Style" w:hAnsi="Bookman Old Style"/>
          <w:sz w:val="24"/>
          <w:szCs w:val="24"/>
          <w:lang w:val="es-EC"/>
        </w:rPr>
        <w:t xml:space="preserve">Será competencia exclusiva de la Secretaría de Seguridad y Gobernabilidad del Distrito Metropolitano de Quito, la definición de las familias que son consideradas y calificadas para la entrega de este beneficio y que por lo tanto corresponde a los casos de relocalización. </w:t>
      </w:r>
    </w:p>
    <w:p w14:paraId="6330651F" w14:textId="77777777" w:rsidR="007C4CB4" w:rsidRPr="00F74BFC" w:rsidRDefault="007C4CB4" w:rsidP="00F74BFC">
      <w:pPr>
        <w:spacing w:line="276" w:lineRule="auto"/>
        <w:jc w:val="both"/>
        <w:rPr>
          <w:rFonts w:ascii="Bookman Old Style" w:hAnsi="Bookman Old Style"/>
          <w:sz w:val="24"/>
          <w:szCs w:val="24"/>
          <w:lang w:val="es-EC"/>
        </w:rPr>
      </w:pPr>
    </w:p>
    <w:p w14:paraId="08407E1B" w14:textId="30E8412B" w:rsidR="00F74BFC" w:rsidRDefault="00F74BFC" w:rsidP="00F74BFC">
      <w:pPr>
        <w:spacing w:line="276" w:lineRule="auto"/>
        <w:jc w:val="both"/>
        <w:rPr>
          <w:rFonts w:ascii="Bookman Old Style" w:hAnsi="Bookman Old Style"/>
          <w:sz w:val="24"/>
          <w:szCs w:val="24"/>
          <w:lang w:val="es-EC"/>
        </w:rPr>
      </w:pPr>
      <w:r w:rsidRPr="00F74BFC">
        <w:rPr>
          <w:rFonts w:ascii="Bookman Old Style" w:hAnsi="Bookman Old Style"/>
          <w:sz w:val="24"/>
          <w:szCs w:val="24"/>
          <w:lang w:val="es-EC"/>
        </w:rPr>
        <w:t xml:space="preserve">La EPMHV expedirá el o los reglamentos internos o cualquier otra disposición necesarios a fin de dar cumplimiento con la descrita disposición, </w:t>
      </w:r>
      <w:proofErr w:type="gramStart"/>
      <w:r w:rsidR="006F4E7E" w:rsidRPr="00F74BFC">
        <w:rPr>
          <w:rFonts w:ascii="Bookman Old Style" w:hAnsi="Bookman Old Style"/>
          <w:sz w:val="24"/>
          <w:szCs w:val="24"/>
          <w:lang w:val="es-EC"/>
        </w:rPr>
        <w:t>incluyendo</w:t>
      </w:r>
      <w:proofErr w:type="gramEnd"/>
      <w:r w:rsidRPr="00F74BFC">
        <w:rPr>
          <w:rFonts w:ascii="Bookman Old Style" w:hAnsi="Bookman Old Style"/>
          <w:sz w:val="24"/>
          <w:szCs w:val="24"/>
          <w:lang w:val="es-EC"/>
        </w:rPr>
        <w:t xml:space="preserve"> pero no limitado a la estructuración financiera, contable y jurídica para garantizar las viabilidad integral del Proyecto Victoria del Sur, que será financiado con recursos propios de la EPMHV dentro del marco de sus competencias. </w:t>
      </w:r>
    </w:p>
    <w:p w14:paraId="186F33F5" w14:textId="7D28FE5D" w:rsidR="006F4E7E" w:rsidRDefault="006F4E7E" w:rsidP="00F74BFC">
      <w:pPr>
        <w:spacing w:line="276" w:lineRule="auto"/>
        <w:jc w:val="both"/>
        <w:rPr>
          <w:rFonts w:ascii="Bookman Old Style" w:hAnsi="Bookman Old Style"/>
          <w:sz w:val="24"/>
          <w:szCs w:val="24"/>
          <w:lang w:val="es-EC"/>
        </w:rPr>
      </w:pPr>
    </w:p>
    <w:p w14:paraId="484EAD9F" w14:textId="3E2BF729" w:rsidR="006F4E7E" w:rsidRPr="00F74BFC" w:rsidRDefault="006F4E7E" w:rsidP="006F4E7E">
      <w:pPr>
        <w:spacing w:line="276" w:lineRule="auto"/>
        <w:jc w:val="center"/>
        <w:rPr>
          <w:rFonts w:ascii="Bookman Old Style" w:hAnsi="Bookman Old Style"/>
          <w:b/>
          <w:bCs/>
          <w:sz w:val="24"/>
          <w:szCs w:val="24"/>
        </w:rPr>
      </w:pPr>
      <w:r w:rsidRPr="00F74BFC">
        <w:rPr>
          <w:rFonts w:ascii="Bookman Old Style" w:hAnsi="Bookman Old Style"/>
          <w:b/>
          <w:bCs/>
          <w:sz w:val="24"/>
          <w:szCs w:val="24"/>
        </w:rPr>
        <w:t xml:space="preserve">DISPOSICIÓN </w:t>
      </w:r>
      <w:r>
        <w:rPr>
          <w:rFonts w:ascii="Bookman Old Style" w:hAnsi="Bookman Old Style"/>
          <w:b/>
          <w:bCs/>
          <w:sz w:val="24"/>
          <w:szCs w:val="24"/>
        </w:rPr>
        <w:t>GENERAL</w:t>
      </w:r>
    </w:p>
    <w:p w14:paraId="28B3371D" w14:textId="77777777" w:rsidR="006F4E7E" w:rsidRPr="00F74BFC" w:rsidRDefault="006F4E7E" w:rsidP="00F74BFC">
      <w:pPr>
        <w:spacing w:line="276" w:lineRule="auto"/>
        <w:jc w:val="both"/>
        <w:rPr>
          <w:rFonts w:ascii="Bookman Old Style" w:hAnsi="Bookman Old Style"/>
          <w:sz w:val="24"/>
          <w:szCs w:val="24"/>
          <w:lang w:val="es-EC"/>
        </w:rPr>
      </w:pPr>
    </w:p>
    <w:p w14:paraId="3A6D3C44" w14:textId="77777777" w:rsidR="00F74BFC" w:rsidRDefault="00F74BFC" w:rsidP="00F74BFC">
      <w:pPr>
        <w:spacing w:line="276" w:lineRule="auto"/>
        <w:jc w:val="both"/>
        <w:rPr>
          <w:rFonts w:ascii="Bookman Old Style" w:hAnsi="Bookman Old Style"/>
          <w:sz w:val="24"/>
          <w:szCs w:val="24"/>
          <w:lang w:val="es-EC"/>
        </w:rPr>
      </w:pPr>
    </w:p>
    <w:p w14:paraId="2D329818" w14:textId="5B81960B" w:rsidR="00F74BFC" w:rsidRPr="00F74BFC" w:rsidRDefault="006F4E7E" w:rsidP="00F74BFC">
      <w:pPr>
        <w:spacing w:line="276" w:lineRule="auto"/>
        <w:jc w:val="both"/>
        <w:rPr>
          <w:rFonts w:ascii="Bookman Old Style" w:hAnsi="Bookman Old Style"/>
          <w:sz w:val="24"/>
          <w:szCs w:val="24"/>
          <w:lang w:val="es-EC"/>
        </w:rPr>
      </w:pPr>
      <w:proofErr w:type="gramStart"/>
      <w:r w:rsidRPr="006F4E7E">
        <w:rPr>
          <w:rFonts w:ascii="Bookman Old Style" w:hAnsi="Bookman Old Style"/>
          <w:b/>
          <w:bCs/>
          <w:sz w:val="24"/>
          <w:szCs w:val="24"/>
          <w:lang w:val="es-EC"/>
        </w:rPr>
        <w:t>PRIMERA.-</w:t>
      </w:r>
      <w:proofErr w:type="gramEnd"/>
      <w:r>
        <w:rPr>
          <w:rFonts w:ascii="Bookman Old Style" w:hAnsi="Bookman Old Style"/>
          <w:sz w:val="24"/>
          <w:szCs w:val="24"/>
          <w:lang w:val="es-EC"/>
        </w:rPr>
        <w:t xml:space="preserve"> </w:t>
      </w:r>
      <w:r w:rsidR="00F74BFC" w:rsidRPr="00F74BFC">
        <w:rPr>
          <w:rFonts w:ascii="Bookman Old Style" w:hAnsi="Bookman Old Style"/>
          <w:sz w:val="24"/>
          <w:szCs w:val="24"/>
          <w:lang w:val="es-EC"/>
        </w:rPr>
        <w:t>La Empresa Pública Metropolitana de Hábitat y Vivienda informará a las instancias municipales correspondientes acerca de estos casos en el evento de ser requerido</w:t>
      </w:r>
      <w:r>
        <w:rPr>
          <w:rFonts w:ascii="Bookman Old Style" w:hAnsi="Bookman Old Style"/>
          <w:sz w:val="24"/>
          <w:szCs w:val="24"/>
          <w:lang w:val="es-EC"/>
        </w:rPr>
        <w:t xml:space="preserve"> o en período de seis meses contados desde la sanción de esta Ordenanza. </w:t>
      </w:r>
    </w:p>
    <w:p w14:paraId="16F1812C" w14:textId="0BADBEDE" w:rsidR="00D455B0" w:rsidRDefault="00D455B0" w:rsidP="00F74BFC">
      <w:pPr>
        <w:spacing w:line="276" w:lineRule="auto"/>
        <w:jc w:val="both"/>
        <w:rPr>
          <w:rFonts w:ascii="Bookman Old Style" w:hAnsi="Bookman Old Style"/>
          <w:sz w:val="24"/>
          <w:szCs w:val="24"/>
        </w:rPr>
      </w:pPr>
    </w:p>
    <w:p w14:paraId="24CC700B" w14:textId="77777777" w:rsidR="00F74BFC" w:rsidRPr="00F74BFC" w:rsidRDefault="00F74BFC" w:rsidP="00F74BFC">
      <w:pPr>
        <w:spacing w:line="276" w:lineRule="auto"/>
        <w:jc w:val="both"/>
        <w:rPr>
          <w:rFonts w:ascii="Bookman Old Style" w:hAnsi="Bookman Old Style"/>
          <w:b/>
          <w:bCs/>
          <w:sz w:val="24"/>
          <w:szCs w:val="24"/>
        </w:rPr>
      </w:pPr>
      <w:r w:rsidRPr="00F74BFC">
        <w:rPr>
          <w:rFonts w:ascii="Bookman Old Style" w:hAnsi="Bookman Old Style"/>
          <w:b/>
          <w:bCs/>
          <w:sz w:val="24"/>
          <w:szCs w:val="24"/>
        </w:rPr>
        <w:t>DISPOSICIÓN FINAL</w:t>
      </w:r>
    </w:p>
    <w:p w14:paraId="26B1E90D" w14:textId="77777777" w:rsidR="00F74BFC" w:rsidRPr="00F74BFC" w:rsidRDefault="00F74BFC" w:rsidP="00F74BFC">
      <w:pPr>
        <w:spacing w:line="276" w:lineRule="auto"/>
        <w:jc w:val="both"/>
        <w:rPr>
          <w:rFonts w:ascii="Bookman Old Style" w:hAnsi="Bookman Old Style"/>
          <w:sz w:val="24"/>
          <w:szCs w:val="24"/>
        </w:rPr>
      </w:pPr>
    </w:p>
    <w:p w14:paraId="23800D09" w14:textId="5C185A0F" w:rsidR="00F74BFC" w:rsidRPr="00F74BFC" w:rsidRDefault="00F74BFC" w:rsidP="00F74BFC">
      <w:pPr>
        <w:spacing w:line="276" w:lineRule="auto"/>
        <w:jc w:val="both"/>
        <w:rPr>
          <w:rFonts w:ascii="Bookman Old Style" w:hAnsi="Bookman Old Style"/>
          <w:sz w:val="24"/>
          <w:szCs w:val="24"/>
        </w:rPr>
      </w:pPr>
      <w:r w:rsidRPr="00F74BFC">
        <w:rPr>
          <w:rFonts w:ascii="Bookman Old Style" w:hAnsi="Bookman Old Style"/>
          <w:sz w:val="24"/>
          <w:szCs w:val="24"/>
        </w:rPr>
        <w:t>La presente Ordenanza XXXXX entrará en vigencia a partir de su sanción sin perjuicio de la fecha de su publicación en la Gaceta Municipal, Página Web y Registro Oficial y se aplicará a partir del XXXXX.</w:t>
      </w:r>
    </w:p>
    <w:p w14:paraId="2D43D149" w14:textId="1DC09D36" w:rsidR="00F74BFC" w:rsidRPr="00F74BFC" w:rsidRDefault="00F74BFC" w:rsidP="00F74BFC">
      <w:pPr>
        <w:spacing w:line="276" w:lineRule="auto"/>
        <w:jc w:val="both"/>
        <w:rPr>
          <w:rFonts w:ascii="Bookman Old Style" w:hAnsi="Bookman Old Style"/>
          <w:sz w:val="24"/>
          <w:szCs w:val="24"/>
        </w:rPr>
      </w:pPr>
    </w:p>
    <w:p w14:paraId="015BE33C" w14:textId="2747C97C" w:rsidR="00F74BFC" w:rsidRPr="00F74BFC" w:rsidRDefault="00F74BFC" w:rsidP="00F74BFC">
      <w:pPr>
        <w:spacing w:line="276" w:lineRule="auto"/>
        <w:jc w:val="both"/>
        <w:rPr>
          <w:rFonts w:ascii="Bookman Old Style" w:hAnsi="Bookman Old Style"/>
          <w:sz w:val="24"/>
          <w:szCs w:val="24"/>
        </w:rPr>
      </w:pPr>
      <w:r w:rsidRPr="00F74BFC">
        <w:rPr>
          <w:rFonts w:ascii="Bookman Old Style" w:hAnsi="Bookman Old Style"/>
          <w:sz w:val="24"/>
          <w:szCs w:val="24"/>
        </w:rPr>
        <w:t>Dada, en la Sala de Sesiones del Concejo Metropolitano de Quito, el XX de XXXX de 20XX.</w:t>
      </w:r>
    </w:p>
    <w:sectPr w:rsidR="00F74BFC" w:rsidRPr="00F74BFC" w:rsidSect="003C13EA">
      <w:pgSz w:w="11906" w:h="16838"/>
      <w:pgMar w:top="1417" w:right="1418" w:bottom="141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BFC"/>
    <w:rsid w:val="00033049"/>
    <w:rsid w:val="000F22FA"/>
    <w:rsid w:val="00152F02"/>
    <w:rsid w:val="00205BC0"/>
    <w:rsid w:val="0021796B"/>
    <w:rsid w:val="00222448"/>
    <w:rsid w:val="0032487E"/>
    <w:rsid w:val="003479BF"/>
    <w:rsid w:val="003563CF"/>
    <w:rsid w:val="00365E89"/>
    <w:rsid w:val="00375A08"/>
    <w:rsid w:val="003C13EA"/>
    <w:rsid w:val="003F0929"/>
    <w:rsid w:val="0046205B"/>
    <w:rsid w:val="004B3C13"/>
    <w:rsid w:val="004E174F"/>
    <w:rsid w:val="005028E2"/>
    <w:rsid w:val="0058761C"/>
    <w:rsid w:val="005932D7"/>
    <w:rsid w:val="005F6E17"/>
    <w:rsid w:val="00675F6F"/>
    <w:rsid w:val="00677DC9"/>
    <w:rsid w:val="00697F6B"/>
    <w:rsid w:val="006B6B85"/>
    <w:rsid w:val="006F4E7E"/>
    <w:rsid w:val="007C4CB4"/>
    <w:rsid w:val="008036A5"/>
    <w:rsid w:val="0084011B"/>
    <w:rsid w:val="0084319A"/>
    <w:rsid w:val="00845271"/>
    <w:rsid w:val="008504C7"/>
    <w:rsid w:val="008547AF"/>
    <w:rsid w:val="0088432E"/>
    <w:rsid w:val="008E3347"/>
    <w:rsid w:val="00927409"/>
    <w:rsid w:val="00944D37"/>
    <w:rsid w:val="00A60B5A"/>
    <w:rsid w:val="00B13F79"/>
    <w:rsid w:val="00B52A8E"/>
    <w:rsid w:val="00BB73FE"/>
    <w:rsid w:val="00BD1E07"/>
    <w:rsid w:val="00D455B0"/>
    <w:rsid w:val="00D531A1"/>
    <w:rsid w:val="00D722F6"/>
    <w:rsid w:val="00D75CE2"/>
    <w:rsid w:val="00E1506D"/>
    <w:rsid w:val="00F74BFC"/>
    <w:rsid w:val="00FF29F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D6C3"/>
  <w15:chartTrackingRefBased/>
  <w15:docId w15:val="{B08230F2-0531-4DD2-9E8A-65844EF5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odytext2">
    <w:name w:val="Body text (2)_"/>
    <w:basedOn w:val="Fuentedeprrafopredeter"/>
    <w:link w:val="Bodytext20"/>
    <w:locked/>
    <w:rsid w:val="004E174F"/>
    <w:rPr>
      <w:rFonts w:ascii="Palatino Linotype" w:eastAsia="Palatino Linotype" w:hAnsi="Palatino Linotype" w:cs="Palatino Linotype"/>
      <w:sz w:val="21"/>
      <w:szCs w:val="21"/>
      <w:shd w:val="clear" w:color="auto" w:fill="FFFFFF"/>
    </w:rPr>
  </w:style>
  <w:style w:type="paragraph" w:customStyle="1" w:styleId="Bodytext20">
    <w:name w:val="Body text (2)"/>
    <w:basedOn w:val="Normal"/>
    <w:link w:val="Bodytext2"/>
    <w:rsid w:val="004E174F"/>
    <w:pPr>
      <w:widowControl w:val="0"/>
      <w:shd w:val="clear" w:color="auto" w:fill="FFFFFF"/>
      <w:spacing w:before="720" w:after="240" w:line="299" w:lineRule="exact"/>
      <w:ind w:hanging="340"/>
      <w:jc w:val="both"/>
    </w:pPr>
    <w:rPr>
      <w:rFonts w:ascii="Palatino Linotype" w:eastAsia="Palatino Linotype" w:hAnsi="Palatino Linotype" w:cs="Palatino Linotype"/>
      <w:sz w:val="21"/>
      <w:szCs w:val="21"/>
      <w:lang w:val="es-EC"/>
    </w:rPr>
  </w:style>
  <w:style w:type="character" w:styleId="Refdecomentario">
    <w:name w:val="annotation reference"/>
    <w:basedOn w:val="Fuentedeprrafopredeter"/>
    <w:uiPriority w:val="99"/>
    <w:semiHidden/>
    <w:unhideWhenUsed/>
    <w:rsid w:val="00D531A1"/>
    <w:rPr>
      <w:sz w:val="16"/>
      <w:szCs w:val="16"/>
    </w:rPr>
  </w:style>
  <w:style w:type="paragraph" w:styleId="Textocomentario">
    <w:name w:val="annotation text"/>
    <w:basedOn w:val="Normal"/>
    <w:link w:val="TextocomentarioCar"/>
    <w:uiPriority w:val="99"/>
    <w:unhideWhenUsed/>
    <w:rsid w:val="00D531A1"/>
    <w:rPr>
      <w:sz w:val="20"/>
      <w:szCs w:val="20"/>
    </w:rPr>
  </w:style>
  <w:style w:type="character" w:customStyle="1" w:styleId="TextocomentarioCar">
    <w:name w:val="Texto comentario Car"/>
    <w:basedOn w:val="Fuentedeprrafopredeter"/>
    <w:link w:val="Textocomentario"/>
    <w:uiPriority w:val="99"/>
    <w:rsid w:val="00D531A1"/>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D531A1"/>
    <w:rPr>
      <w:b/>
      <w:bCs/>
    </w:rPr>
  </w:style>
  <w:style w:type="character" w:customStyle="1" w:styleId="AsuntodelcomentarioCar">
    <w:name w:val="Asunto del comentario Car"/>
    <w:basedOn w:val="TextocomentarioCar"/>
    <w:link w:val="Asuntodelcomentario"/>
    <w:uiPriority w:val="99"/>
    <w:semiHidden/>
    <w:rsid w:val="00D531A1"/>
    <w:rPr>
      <w:b/>
      <w:bCs/>
      <w:sz w:val="20"/>
      <w:szCs w:val="20"/>
      <w:lang w:val="es-ES"/>
    </w:rPr>
  </w:style>
  <w:style w:type="paragraph" w:styleId="Textodeglobo">
    <w:name w:val="Balloon Text"/>
    <w:basedOn w:val="Normal"/>
    <w:link w:val="TextodegloboCar"/>
    <w:uiPriority w:val="99"/>
    <w:semiHidden/>
    <w:unhideWhenUsed/>
    <w:rsid w:val="00D531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1A1"/>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68554">
      <w:bodyDiv w:val="1"/>
      <w:marLeft w:val="0"/>
      <w:marRight w:val="0"/>
      <w:marTop w:val="0"/>
      <w:marBottom w:val="0"/>
      <w:divBdr>
        <w:top w:val="none" w:sz="0" w:space="0" w:color="auto"/>
        <w:left w:val="none" w:sz="0" w:space="0" w:color="auto"/>
        <w:bottom w:val="none" w:sz="0" w:space="0" w:color="auto"/>
        <w:right w:val="none" w:sz="0" w:space="0" w:color="auto"/>
      </w:divBdr>
    </w:div>
    <w:div w:id="113201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1266</Words>
  <Characters>6967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Javier Cuzco Villagomez (e)</dc:creator>
  <cp:keywords/>
  <dc:description/>
  <cp:lastModifiedBy>Usuario</cp:lastModifiedBy>
  <cp:revision>3</cp:revision>
  <dcterms:created xsi:type="dcterms:W3CDTF">2020-12-08T15:45:00Z</dcterms:created>
  <dcterms:modified xsi:type="dcterms:W3CDTF">2020-12-08T15:45:00Z</dcterms:modified>
</cp:coreProperties>
</file>