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D8" w:rsidRPr="00B95A3D" w:rsidRDefault="00AF0F37" w:rsidP="00AF0F37">
      <w:pPr>
        <w:jc w:val="center"/>
        <w:rPr>
          <w:b/>
          <w:sz w:val="28"/>
          <w:szCs w:val="28"/>
        </w:rPr>
      </w:pPr>
      <w:r w:rsidRPr="00B95A3D">
        <w:rPr>
          <w:b/>
          <w:sz w:val="28"/>
          <w:szCs w:val="28"/>
        </w:rPr>
        <w:t>CUADRO COMPARATIVO</w:t>
      </w:r>
      <w:r w:rsidR="00B95A3D" w:rsidRPr="00B95A3D">
        <w:rPr>
          <w:b/>
          <w:sz w:val="28"/>
          <w:szCs w:val="28"/>
        </w:rPr>
        <w:t xml:space="preserve"> DE CUMPLIMIENTO POR HITOS Y FECHAS DE </w:t>
      </w:r>
      <w:r w:rsidR="00B95A3D">
        <w:rPr>
          <w:b/>
          <w:sz w:val="28"/>
          <w:szCs w:val="28"/>
        </w:rPr>
        <w:t xml:space="preserve">ACCIONES EMERGENTES DE LA </w:t>
      </w:r>
      <w:r w:rsidR="00B95A3D" w:rsidRPr="00B95A3D">
        <w:rPr>
          <w:b/>
          <w:sz w:val="28"/>
          <w:szCs w:val="28"/>
        </w:rPr>
        <w:t xml:space="preserve">HOJA DE RUTA </w:t>
      </w:r>
      <w:r w:rsidR="00B95A3D">
        <w:rPr>
          <w:b/>
          <w:sz w:val="28"/>
          <w:szCs w:val="28"/>
        </w:rPr>
        <w:t xml:space="preserve">DEL PLAN METROPOLITANO DE RELOCALIZACIÓN </w:t>
      </w:r>
    </w:p>
    <w:tbl>
      <w:tblPr>
        <w:tblStyle w:val="Tablaconcuadrcula"/>
        <w:tblpPr w:leftFromText="141" w:rightFromText="141" w:vertAnchor="text" w:tblpX="-885" w:tblpY="1"/>
        <w:tblOverlap w:val="never"/>
        <w:tblW w:w="22850" w:type="dxa"/>
        <w:tblLook w:val="04A0" w:firstRow="1" w:lastRow="0" w:firstColumn="1" w:lastColumn="0" w:noHBand="0" w:noVBand="1"/>
      </w:tblPr>
      <w:tblGrid>
        <w:gridCol w:w="3997"/>
        <w:gridCol w:w="3120"/>
        <w:gridCol w:w="2835"/>
        <w:gridCol w:w="2694"/>
        <w:gridCol w:w="2806"/>
        <w:gridCol w:w="2296"/>
        <w:gridCol w:w="2551"/>
        <w:gridCol w:w="2551"/>
      </w:tblGrid>
      <w:tr w:rsidR="00665CFC" w:rsidTr="00665CFC">
        <w:trPr>
          <w:gridAfter w:val="1"/>
          <w:wAfter w:w="2551" w:type="dxa"/>
        </w:trPr>
        <w:tc>
          <w:tcPr>
            <w:tcW w:w="3997" w:type="dxa"/>
            <w:shd w:val="clear" w:color="auto" w:fill="DDD9C3" w:themeFill="background2" w:themeFillShade="E6"/>
            <w:vAlign w:val="center"/>
          </w:tcPr>
          <w:p w:rsidR="00665CFC" w:rsidRPr="000F6186" w:rsidRDefault="00665CFC" w:rsidP="00665CFC">
            <w:pPr>
              <w:jc w:val="center"/>
              <w:rPr>
                <w:rFonts w:cstheme="minorHAnsi"/>
                <w:b/>
              </w:rPr>
            </w:pPr>
            <w:r w:rsidRPr="000F6186">
              <w:rPr>
                <w:rFonts w:cstheme="minorHAnsi"/>
                <w:b/>
              </w:rPr>
              <w:t>ACTIVIDADES</w:t>
            </w:r>
            <w:r>
              <w:rPr>
                <w:rFonts w:cstheme="minorHAnsi"/>
                <w:b/>
              </w:rPr>
              <w:t xml:space="preserve"> DE INICIO </w:t>
            </w:r>
          </w:p>
        </w:tc>
        <w:tc>
          <w:tcPr>
            <w:tcW w:w="3120" w:type="dxa"/>
            <w:shd w:val="clear" w:color="auto" w:fill="DDD9C3" w:themeFill="background2" w:themeFillShade="E6"/>
            <w:vAlign w:val="center"/>
          </w:tcPr>
          <w:p w:rsidR="00665CFC" w:rsidRPr="000F6186" w:rsidRDefault="00665CFC" w:rsidP="00665CFC">
            <w:pPr>
              <w:rPr>
                <w:rFonts w:cstheme="minorHAnsi"/>
                <w:b/>
              </w:rPr>
            </w:pPr>
            <w:r>
              <w:rPr>
                <w:rFonts w:cstheme="minorHAnsi"/>
                <w:b/>
              </w:rPr>
              <w:t xml:space="preserve">GESTIÓN AL 27 DE MAYO </w:t>
            </w:r>
          </w:p>
        </w:tc>
        <w:tc>
          <w:tcPr>
            <w:tcW w:w="2835" w:type="dxa"/>
            <w:shd w:val="clear" w:color="auto" w:fill="DDD9C3" w:themeFill="background2" w:themeFillShade="E6"/>
            <w:vAlign w:val="center"/>
          </w:tcPr>
          <w:p w:rsidR="00665CFC" w:rsidRPr="000F6186" w:rsidRDefault="00665CFC" w:rsidP="00665CFC">
            <w:pPr>
              <w:jc w:val="center"/>
              <w:rPr>
                <w:rFonts w:cstheme="minorHAnsi"/>
                <w:b/>
              </w:rPr>
            </w:pPr>
            <w:r>
              <w:rPr>
                <w:rFonts w:cstheme="minorHAnsi"/>
                <w:b/>
              </w:rPr>
              <w:t>GESTIÓN AL 11 DE JUNIO</w:t>
            </w:r>
          </w:p>
        </w:tc>
        <w:tc>
          <w:tcPr>
            <w:tcW w:w="2694" w:type="dxa"/>
            <w:shd w:val="clear" w:color="auto" w:fill="DDD9C3" w:themeFill="background2" w:themeFillShade="E6"/>
          </w:tcPr>
          <w:p w:rsidR="00665CFC" w:rsidRDefault="00665CFC" w:rsidP="00665CFC">
            <w:pPr>
              <w:jc w:val="center"/>
              <w:rPr>
                <w:rFonts w:cstheme="minorHAnsi"/>
                <w:b/>
              </w:rPr>
            </w:pPr>
            <w:r>
              <w:rPr>
                <w:rFonts w:cstheme="minorHAnsi"/>
                <w:b/>
              </w:rPr>
              <w:t xml:space="preserve">GESTIÓN AL 24 DE JUNIO </w:t>
            </w:r>
          </w:p>
        </w:tc>
        <w:tc>
          <w:tcPr>
            <w:tcW w:w="2806" w:type="dxa"/>
            <w:shd w:val="clear" w:color="auto" w:fill="DDD9C3" w:themeFill="background2" w:themeFillShade="E6"/>
          </w:tcPr>
          <w:p w:rsidR="00665CFC" w:rsidRDefault="00665CFC" w:rsidP="00665CFC">
            <w:pPr>
              <w:jc w:val="center"/>
              <w:rPr>
                <w:rFonts w:cstheme="minorHAnsi"/>
                <w:b/>
              </w:rPr>
            </w:pPr>
            <w:r>
              <w:rPr>
                <w:rFonts w:cstheme="minorHAnsi"/>
                <w:b/>
              </w:rPr>
              <w:t xml:space="preserve">ESTADO ACTUAL </w:t>
            </w:r>
          </w:p>
        </w:tc>
        <w:tc>
          <w:tcPr>
            <w:tcW w:w="2296" w:type="dxa"/>
            <w:shd w:val="clear" w:color="auto" w:fill="DDD9C3" w:themeFill="background2" w:themeFillShade="E6"/>
          </w:tcPr>
          <w:p w:rsidR="00665CFC" w:rsidRDefault="00665CFC" w:rsidP="00665CFC">
            <w:pPr>
              <w:jc w:val="center"/>
              <w:rPr>
                <w:rFonts w:cstheme="minorHAnsi"/>
                <w:b/>
              </w:rPr>
            </w:pPr>
          </w:p>
        </w:tc>
        <w:tc>
          <w:tcPr>
            <w:tcW w:w="2551" w:type="dxa"/>
            <w:shd w:val="clear" w:color="auto" w:fill="DDD9C3" w:themeFill="background2" w:themeFillShade="E6"/>
          </w:tcPr>
          <w:p w:rsidR="00665CFC" w:rsidRDefault="00665CFC" w:rsidP="00665CFC">
            <w:pPr>
              <w:jc w:val="center"/>
              <w:rPr>
                <w:rFonts w:cstheme="minorHAnsi"/>
                <w:b/>
              </w:rPr>
            </w:pPr>
          </w:p>
        </w:tc>
      </w:tr>
      <w:tr w:rsidR="00665CFC" w:rsidTr="00665CFC">
        <w:trPr>
          <w:trHeight w:val="4671"/>
        </w:trPr>
        <w:tc>
          <w:tcPr>
            <w:tcW w:w="3997" w:type="dxa"/>
          </w:tcPr>
          <w:p w:rsidR="00665CFC" w:rsidRDefault="00665CFC" w:rsidP="00665CFC">
            <w:pPr>
              <w:pStyle w:val="Sinespaciado"/>
              <w:jc w:val="center"/>
              <w:rPr>
                <w:rFonts w:asciiTheme="minorHAnsi" w:eastAsiaTheme="minorEastAsia" w:hAnsiTheme="minorHAnsi" w:cstheme="minorHAnsi"/>
                <w:bCs/>
                <w:kern w:val="24"/>
                <w:sz w:val="22"/>
                <w:szCs w:val="22"/>
                <w:lang w:val="es-US" w:eastAsia="es-EC"/>
              </w:rPr>
            </w:pPr>
          </w:p>
          <w:p w:rsidR="00665CFC" w:rsidRDefault="00665CFC" w:rsidP="00665CFC">
            <w:pPr>
              <w:pStyle w:val="Sinespaciado"/>
              <w:jc w:val="both"/>
              <w:rPr>
                <w:rFonts w:asciiTheme="minorHAnsi" w:eastAsiaTheme="minorEastAsia" w:hAnsiTheme="minorHAnsi" w:cstheme="minorHAnsi"/>
                <w:bCs/>
                <w:kern w:val="24"/>
                <w:sz w:val="22"/>
                <w:szCs w:val="22"/>
                <w:lang w:val="es-US" w:eastAsia="es-EC"/>
              </w:rPr>
            </w:pPr>
          </w:p>
          <w:p w:rsidR="00665CFC" w:rsidRPr="00785DF3" w:rsidRDefault="00665CFC" w:rsidP="00665CFC">
            <w:pPr>
              <w:pStyle w:val="Sinespaciado"/>
              <w:jc w:val="both"/>
              <w:rPr>
                <w:rFonts w:asciiTheme="minorHAnsi" w:eastAsiaTheme="minorEastAsia" w:hAnsiTheme="minorHAnsi" w:cstheme="minorHAnsi"/>
                <w:bCs/>
                <w:kern w:val="24"/>
                <w:sz w:val="22"/>
                <w:szCs w:val="22"/>
                <w:lang w:val="es-ES_tradnl" w:eastAsia="es-EC"/>
              </w:rPr>
            </w:pPr>
            <w:r w:rsidRPr="00785DF3">
              <w:rPr>
                <w:rFonts w:asciiTheme="minorHAnsi" w:eastAsiaTheme="minorEastAsia" w:hAnsiTheme="minorHAnsi" w:cstheme="minorHAnsi"/>
                <w:bCs/>
                <w:kern w:val="24"/>
                <w:sz w:val="22"/>
                <w:szCs w:val="22"/>
                <w:lang w:val="es-ES_tradnl" w:eastAsia="es-EC"/>
              </w:rPr>
              <w:t>Apoyo en la Notificación de 51 de viviendas entregadas sin cancelar estipulando plazo de cumplimiento.</w:t>
            </w:r>
          </w:p>
          <w:p w:rsidR="00665CFC" w:rsidRDefault="00665CFC" w:rsidP="00665CFC">
            <w:r>
              <w:rPr>
                <w:rFonts w:eastAsiaTheme="minorEastAsia" w:cstheme="minorHAnsi"/>
                <w:bCs/>
                <w:kern w:val="24"/>
                <w:lang w:val="es-ES_tradnl" w:eastAsia="es-EC"/>
              </w:rPr>
              <w:t xml:space="preserve">(Identificación de beneficiarios relocalizados en situación de vulnerabilidad extrema  </w:t>
            </w:r>
            <w:r w:rsidRPr="00785DF3">
              <w:rPr>
                <w:rFonts w:eastAsiaTheme="minorEastAsia" w:cstheme="minorHAnsi"/>
                <w:bCs/>
                <w:kern w:val="24"/>
              </w:rPr>
              <w:t xml:space="preserve"> para que la EPMHV realice Hipotecas Abiertas hasta convenir gestión con el MIDUVI.</w:t>
            </w:r>
            <w:r>
              <w:rPr>
                <w:rFonts w:eastAsiaTheme="minorEastAsia" w:cstheme="minorHAnsi"/>
                <w:bCs/>
                <w:kern w:val="24"/>
                <w:lang w:val="es-ES_tradnl" w:eastAsia="es-EC"/>
              </w:rPr>
              <w:t>).</w:t>
            </w:r>
            <w:r w:rsidRPr="00785DF3">
              <w:rPr>
                <w:rFonts w:eastAsiaTheme="minorEastAsia" w:cstheme="minorHAnsi"/>
                <w:bCs/>
                <w:kern w:val="24"/>
                <w:lang w:val="es-ES_tradnl" w:eastAsia="es-EC"/>
              </w:rPr>
              <w:t xml:space="preserve">                               </w:t>
            </w:r>
          </w:p>
        </w:tc>
        <w:tc>
          <w:tcPr>
            <w:tcW w:w="3120" w:type="dxa"/>
          </w:tcPr>
          <w:p w:rsidR="00665CFC" w:rsidRDefault="00665CFC" w:rsidP="00665CFC">
            <w:pPr>
              <w:rPr>
                <w:rFonts w:cstheme="minorHAnsi"/>
                <w:lang w:val="es-EC" w:eastAsia="es-EC"/>
              </w:rPr>
            </w:pPr>
          </w:p>
          <w:p w:rsidR="00665CFC" w:rsidRDefault="00665CFC" w:rsidP="00665CFC">
            <w:pPr>
              <w:rPr>
                <w:rFonts w:cstheme="minorHAnsi"/>
                <w:lang w:val="es-EC" w:eastAsia="es-EC"/>
              </w:rPr>
            </w:pPr>
          </w:p>
          <w:p w:rsidR="00665CFC" w:rsidRDefault="00665CFC" w:rsidP="00665CFC">
            <w:r w:rsidRPr="00785DF3">
              <w:rPr>
                <w:rFonts w:cstheme="minorHAnsi"/>
                <w:lang w:val="es-EC" w:eastAsia="es-EC"/>
              </w:rPr>
              <w:t>Lista e Identificación de 51 beneficiarios relocalizados que habitan dentro de los proyectos de La Mena, Pueblo Blanco, Ciudad Bicent</w:t>
            </w:r>
            <w:r>
              <w:rPr>
                <w:rFonts w:cstheme="minorHAnsi"/>
                <w:lang w:val="es-EC" w:eastAsia="es-EC"/>
              </w:rPr>
              <w:t>enario y Bellavista de Carretas , en situación de vulnerabilidad previo a emitir informe técnico social dirigido a la EPMHV.</w:t>
            </w:r>
          </w:p>
        </w:tc>
        <w:tc>
          <w:tcPr>
            <w:tcW w:w="2835" w:type="dxa"/>
            <w:shd w:val="clear" w:color="auto" w:fill="FFFFFF" w:themeFill="background1"/>
            <w:vAlign w:val="center"/>
          </w:tcPr>
          <w:p w:rsidR="00665CFC" w:rsidRPr="00B95A3D" w:rsidRDefault="00665CFC" w:rsidP="00665CFC">
            <w:pPr>
              <w:pStyle w:val="Sinespaciado"/>
              <w:rPr>
                <w:rFonts w:asciiTheme="minorHAnsi" w:hAnsiTheme="minorHAnsi" w:cstheme="minorHAnsi"/>
                <w:color w:val="FFFFFF" w:themeColor="background1"/>
                <w:sz w:val="22"/>
                <w:szCs w:val="22"/>
                <w:lang w:val="es-EC" w:eastAsia="es-EC"/>
              </w:rPr>
            </w:pPr>
            <w:r>
              <w:rPr>
                <w:rFonts w:asciiTheme="minorHAnsi" w:hAnsiTheme="minorHAnsi" w:cstheme="minorHAnsi"/>
                <w:sz w:val="22"/>
                <w:szCs w:val="22"/>
                <w:lang w:val="es-US" w:eastAsia="es-EC"/>
              </w:rPr>
              <w:t>A</w:t>
            </w:r>
            <w:r w:rsidRPr="00B95A3D">
              <w:rPr>
                <w:rFonts w:asciiTheme="minorHAnsi" w:hAnsiTheme="minorHAnsi" w:cstheme="minorHAnsi"/>
                <w:sz w:val="22"/>
                <w:szCs w:val="22"/>
                <w:lang w:val="es-EC" w:eastAsia="es-EC"/>
              </w:rPr>
              <w:t>l 11 de Junio</w:t>
            </w:r>
            <w:r>
              <w:rPr>
                <w:rFonts w:asciiTheme="minorHAnsi" w:hAnsiTheme="minorHAnsi" w:cstheme="minorHAnsi"/>
                <w:sz w:val="22"/>
                <w:szCs w:val="22"/>
                <w:lang w:val="es-EC" w:eastAsia="es-EC"/>
              </w:rPr>
              <w:t xml:space="preserve"> las </w:t>
            </w:r>
            <w:r w:rsidRPr="00B95A3D">
              <w:rPr>
                <w:rFonts w:asciiTheme="minorHAnsi" w:hAnsiTheme="minorHAnsi" w:cstheme="minorHAnsi"/>
                <w:sz w:val="22"/>
                <w:szCs w:val="22"/>
                <w:lang w:val="es-EC" w:eastAsia="es-EC"/>
              </w:rPr>
              <w:t xml:space="preserve"> </w:t>
            </w:r>
            <w:r>
              <w:rPr>
                <w:rFonts w:asciiTheme="minorHAnsi" w:hAnsiTheme="minorHAnsi" w:cstheme="minorHAnsi"/>
                <w:sz w:val="22"/>
                <w:szCs w:val="22"/>
                <w:lang w:val="es-EC" w:eastAsia="es-EC"/>
              </w:rPr>
              <w:t xml:space="preserve">actividades </w:t>
            </w:r>
            <w:r w:rsidRPr="00B95A3D">
              <w:rPr>
                <w:rFonts w:asciiTheme="minorHAnsi" w:hAnsiTheme="minorHAnsi" w:cstheme="minorHAnsi"/>
                <w:sz w:val="22"/>
                <w:szCs w:val="22"/>
                <w:lang w:val="es-EC" w:eastAsia="es-EC"/>
              </w:rPr>
              <w:t>ejecutad</w:t>
            </w:r>
            <w:r>
              <w:rPr>
                <w:rFonts w:asciiTheme="minorHAnsi" w:hAnsiTheme="minorHAnsi" w:cstheme="minorHAnsi"/>
                <w:sz w:val="22"/>
                <w:szCs w:val="22"/>
                <w:lang w:val="es-EC" w:eastAsia="es-EC"/>
              </w:rPr>
              <w:t xml:space="preserve">as muestran un avance </w:t>
            </w:r>
            <w:r w:rsidRPr="00B95A3D">
              <w:rPr>
                <w:rFonts w:asciiTheme="minorHAnsi" w:hAnsiTheme="minorHAnsi" w:cstheme="minorHAnsi"/>
                <w:sz w:val="22"/>
                <w:szCs w:val="22"/>
                <w:lang w:val="es-EC" w:eastAsia="es-EC"/>
              </w:rPr>
              <w:t xml:space="preserve"> </w:t>
            </w:r>
            <w:r>
              <w:rPr>
                <w:rFonts w:asciiTheme="minorHAnsi" w:hAnsiTheme="minorHAnsi" w:cstheme="minorHAnsi"/>
                <w:sz w:val="22"/>
                <w:szCs w:val="22"/>
                <w:lang w:val="es-EC" w:eastAsia="es-EC"/>
              </w:rPr>
              <w:t>del 80</w:t>
            </w:r>
            <w:r w:rsidRPr="00B95A3D">
              <w:rPr>
                <w:rFonts w:asciiTheme="minorHAnsi" w:hAnsiTheme="minorHAnsi" w:cstheme="minorHAnsi"/>
                <w:sz w:val="22"/>
                <w:szCs w:val="22"/>
                <w:lang w:val="es-EC" w:eastAsia="es-EC"/>
              </w:rPr>
              <w:t xml:space="preserve">% </w:t>
            </w:r>
            <w:r>
              <w:rPr>
                <w:rFonts w:asciiTheme="minorHAnsi" w:hAnsiTheme="minorHAnsi" w:cstheme="minorHAnsi"/>
                <w:sz w:val="22"/>
                <w:szCs w:val="22"/>
                <w:lang w:val="es-EC" w:eastAsia="es-EC"/>
              </w:rPr>
              <w:t xml:space="preserve"> entre la Secretaria de Seguridad </w:t>
            </w:r>
            <w:r w:rsidRPr="00B95A3D">
              <w:rPr>
                <w:rFonts w:asciiTheme="minorHAnsi" w:hAnsiTheme="minorHAnsi" w:cstheme="minorHAnsi"/>
                <w:sz w:val="22"/>
                <w:szCs w:val="22"/>
                <w:lang w:val="es-EC" w:eastAsia="es-EC"/>
              </w:rPr>
              <w:t>y</w:t>
            </w:r>
            <w:r>
              <w:rPr>
                <w:rFonts w:asciiTheme="minorHAnsi" w:hAnsiTheme="minorHAnsi" w:cstheme="minorHAnsi"/>
                <w:sz w:val="22"/>
                <w:szCs w:val="22"/>
                <w:lang w:val="es-EC" w:eastAsia="es-EC"/>
              </w:rPr>
              <w:t xml:space="preserve"> la Empresa Municipal de Hábitat y Vivienda, el levantamiento de información in situ </w:t>
            </w:r>
            <w:r w:rsidRPr="00B95A3D">
              <w:rPr>
                <w:rFonts w:asciiTheme="minorHAnsi" w:hAnsiTheme="minorHAnsi" w:cstheme="minorHAnsi"/>
                <w:sz w:val="22"/>
                <w:szCs w:val="22"/>
                <w:lang w:val="es-EC" w:eastAsia="es-EC"/>
              </w:rPr>
              <w:t>se  real</w:t>
            </w:r>
            <w:r>
              <w:rPr>
                <w:rFonts w:asciiTheme="minorHAnsi" w:hAnsiTheme="minorHAnsi" w:cstheme="minorHAnsi"/>
                <w:sz w:val="22"/>
                <w:szCs w:val="22"/>
                <w:lang w:val="es-EC" w:eastAsia="es-EC"/>
              </w:rPr>
              <w:t xml:space="preserve">izó del 4 al 8 de Junio en primera fase de intervención y del 20 al 22 de junio  del 2020 la segunda fase. </w:t>
            </w:r>
          </w:p>
        </w:tc>
        <w:tc>
          <w:tcPr>
            <w:tcW w:w="2694" w:type="dxa"/>
            <w:shd w:val="clear" w:color="auto" w:fill="FFFFFF" w:themeFill="background1"/>
          </w:tcPr>
          <w:p w:rsidR="00665CFC" w:rsidRDefault="00665CFC" w:rsidP="00665CFC">
            <w:pPr>
              <w:pStyle w:val="Sinespaciado"/>
              <w:jc w:val="both"/>
              <w:rPr>
                <w:rFonts w:asciiTheme="minorHAnsi" w:hAnsiTheme="minorHAnsi" w:cstheme="minorHAnsi"/>
                <w:sz w:val="22"/>
                <w:szCs w:val="22"/>
                <w:lang w:val="es-EC" w:eastAsia="es-EC"/>
              </w:rPr>
            </w:pPr>
          </w:p>
          <w:p w:rsidR="00665CFC" w:rsidRDefault="00665CFC" w:rsidP="00665CFC">
            <w:pPr>
              <w:jc w:val="both"/>
              <w:rPr>
                <w:rFonts w:cstheme="minorHAnsi"/>
                <w:color w:val="000000" w:themeColor="text1"/>
                <w:lang w:val="es-EC" w:eastAsia="es-EC"/>
              </w:rPr>
            </w:pPr>
          </w:p>
          <w:p w:rsidR="00665CFC" w:rsidRDefault="00665CFC" w:rsidP="00665CFC">
            <w:pPr>
              <w:jc w:val="both"/>
              <w:rPr>
                <w:lang w:val="es-EC" w:eastAsia="es-EC"/>
              </w:rPr>
            </w:pPr>
            <w:r w:rsidRPr="005C263A">
              <w:rPr>
                <w:rFonts w:cstheme="minorHAnsi"/>
                <w:color w:val="000000" w:themeColor="text1"/>
                <w:lang w:val="es-EC" w:eastAsia="es-EC"/>
              </w:rPr>
              <w:t xml:space="preserve">Al 24 de junio hay un avance del 100% de la información levantada. </w:t>
            </w:r>
            <w:r>
              <w:rPr>
                <w:rFonts w:cstheme="minorHAnsi"/>
                <w:color w:val="000000" w:themeColor="text1"/>
                <w:lang w:val="es-EC" w:eastAsia="es-EC"/>
              </w:rPr>
              <w:t xml:space="preserve">    </w:t>
            </w:r>
            <w:r w:rsidRPr="005C263A">
              <w:rPr>
                <w:rFonts w:cstheme="minorHAnsi"/>
                <w:color w:val="000000" w:themeColor="text1"/>
                <w:lang w:val="es-EC" w:eastAsia="es-EC"/>
              </w:rPr>
              <w:t xml:space="preserve"> Se identifican a 2 viviendas en situación de abandono y 3 viviendas </w:t>
            </w:r>
            <w:r>
              <w:rPr>
                <w:rFonts w:cstheme="minorHAnsi"/>
                <w:color w:val="000000" w:themeColor="text1"/>
                <w:lang w:val="es-EC" w:eastAsia="es-EC"/>
              </w:rPr>
              <w:t xml:space="preserve">que están </w:t>
            </w:r>
            <w:r w:rsidRPr="005C263A">
              <w:rPr>
                <w:rFonts w:cstheme="minorHAnsi"/>
                <w:color w:val="000000" w:themeColor="text1"/>
                <w:lang w:val="es-EC" w:eastAsia="es-EC"/>
              </w:rPr>
              <w:t xml:space="preserve">en arrendamiento. </w:t>
            </w:r>
            <w:r>
              <w:rPr>
                <w:rFonts w:cstheme="minorHAnsi"/>
                <w:color w:val="000000" w:themeColor="text1"/>
                <w:lang w:val="es-EC" w:eastAsia="es-EC"/>
              </w:rPr>
              <w:t xml:space="preserve">                </w:t>
            </w:r>
            <w:r w:rsidRPr="005C263A">
              <w:rPr>
                <w:rFonts w:cstheme="minorHAnsi"/>
                <w:color w:val="000000" w:themeColor="text1"/>
                <w:lang w:val="es-EC" w:eastAsia="es-EC"/>
              </w:rPr>
              <w:t>De las 46 viviendas restantes existen 12 Familias en situación de vulnerabilidad que están calificadas dentro del</w:t>
            </w:r>
            <w:r>
              <w:rPr>
                <w:rFonts w:cstheme="minorHAnsi"/>
                <w:color w:val="000000" w:themeColor="text1"/>
                <w:lang w:val="es-EC" w:eastAsia="es-EC"/>
              </w:rPr>
              <w:t xml:space="preserve"> Registro Social para análisis y emisión de </w:t>
            </w:r>
            <w:r w:rsidRPr="005C263A">
              <w:rPr>
                <w:rFonts w:cstheme="minorHAnsi"/>
                <w:color w:val="000000" w:themeColor="text1"/>
                <w:lang w:val="es-EC" w:eastAsia="es-EC"/>
              </w:rPr>
              <w:t>informe respectivo</w:t>
            </w:r>
            <w:r>
              <w:rPr>
                <w:rFonts w:cstheme="minorHAnsi"/>
                <w:color w:val="000000" w:themeColor="text1"/>
                <w:lang w:val="es-EC" w:eastAsia="es-EC"/>
              </w:rPr>
              <w:t>.</w:t>
            </w:r>
          </w:p>
          <w:p w:rsidR="00665CFC" w:rsidRPr="00B95A3D" w:rsidRDefault="00665CFC" w:rsidP="00665CFC">
            <w:pPr>
              <w:rPr>
                <w:lang w:val="es-EC" w:eastAsia="es-EC"/>
              </w:rPr>
            </w:pPr>
          </w:p>
        </w:tc>
        <w:tc>
          <w:tcPr>
            <w:tcW w:w="2806" w:type="dxa"/>
            <w:tcBorders>
              <w:bottom w:val="single" w:sz="4" w:space="0" w:color="auto"/>
            </w:tcBorders>
            <w:shd w:val="clear" w:color="auto" w:fill="FFFFFF" w:themeFill="background1"/>
          </w:tcPr>
          <w:p w:rsidR="00665CFC" w:rsidRDefault="00665CFC" w:rsidP="00665CFC">
            <w:pPr>
              <w:pStyle w:val="Sinespaciado"/>
              <w:jc w:val="both"/>
              <w:rPr>
                <w:rFonts w:asciiTheme="minorHAnsi" w:hAnsiTheme="minorHAnsi" w:cstheme="minorHAnsi"/>
                <w:sz w:val="22"/>
                <w:szCs w:val="22"/>
                <w:lang w:val="es-EC" w:eastAsia="es-EC"/>
              </w:rPr>
            </w:pPr>
          </w:p>
          <w:p w:rsidR="00665CFC" w:rsidRDefault="00665CFC" w:rsidP="00665CFC">
            <w:pPr>
              <w:pStyle w:val="Sinespaciado"/>
              <w:jc w:val="both"/>
              <w:rPr>
                <w:rFonts w:asciiTheme="minorHAnsi" w:hAnsiTheme="minorHAnsi" w:cstheme="minorHAnsi"/>
                <w:sz w:val="22"/>
                <w:szCs w:val="22"/>
                <w:lang w:val="es-EC" w:eastAsia="es-EC"/>
              </w:rPr>
            </w:pPr>
          </w:p>
          <w:p w:rsidR="00665CFC" w:rsidRDefault="00665CFC" w:rsidP="00665CFC">
            <w:pPr>
              <w:pStyle w:val="Sinespaciado"/>
              <w:jc w:val="both"/>
              <w:rPr>
                <w:rFonts w:asciiTheme="minorHAnsi" w:hAnsiTheme="minorHAnsi" w:cstheme="minorHAnsi"/>
                <w:sz w:val="22"/>
                <w:szCs w:val="22"/>
                <w:lang w:val="es-EC" w:eastAsia="es-EC"/>
              </w:rPr>
            </w:pPr>
            <w:r>
              <w:rPr>
                <w:rFonts w:asciiTheme="minorHAnsi" w:hAnsiTheme="minorHAnsi" w:cstheme="minorHAnsi"/>
                <w:sz w:val="22"/>
                <w:szCs w:val="22"/>
                <w:lang w:val="es-EC" w:eastAsia="es-EC"/>
              </w:rPr>
              <w:t xml:space="preserve">Secretaria de Seguridad  y gobernabilidad se encuentra realizando informe socio económico considerando vulnerabilidad extrema conforme información   levantada in situ para enviar a la EPMHV a que se consideren opción de hipoteca abierta en los casos justificados. </w:t>
            </w:r>
          </w:p>
          <w:p w:rsidR="00665CFC" w:rsidRDefault="00665CFC" w:rsidP="00665CFC">
            <w:pPr>
              <w:pStyle w:val="Sinespaciado"/>
              <w:jc w:val="both"/>
              <w:rPr>
                <w:rFonts w:asciiTheme="minorHAnsi" w:hAnsiTheme="minorHAnsi" w:cstheme="minorHAnsi"/>
                <w:sz w:val="22"/>
                <w:szCs w:val="22"/>
                <w:lang w:val="es-EC" w:eastAsia="es-EC"/>
              </w:rPr>
            </w:pPr>
          </w:p>
        </w:tc>
        <w:tc>
          <w:tcPr>
            <w:tcW w:w="2296" w:type="dxa"/>
            <w:tcBorders>
              <w:bottom w:val="single" w:sz="4" w:space="0" w:color="auto"/>
            </w:tcBorders>
            <w:shd w:val="clear" w:color="auto" w:fill="FFFFFF" w:themeFill="background1"/>
          </w:tcPr>
          <w:p w:rsidR="00665CFC" w:rsidRDefault="00665CFC" w:rsidP="00665CFC">
            <w:pPr>
              <w:pStyle w:val="Sinespaciado"/>
              <w:jc w:val="both"/>
              <w:rPr>
                <w:rFonts w:asciiTheme="minorHAnsi" w:hAnsiTheme="minorHAnsi" w:cstheme="minorHAnsi"/>
                <w:sz w:val="22"/>
                <w:szCs w:val="22"/>
                <w:lang w:val="es-EC" w:eastAsia="es-EC"/>
              </w:rPr>
            </w:pPr>
          </w:p>
        </w:tc>
        <w:tc>
          <w:tcPr>
            <w:tcW w:w="2551" w:type="dxa"/>
            <w:tcBorders>
              <w:bottom w:val="single" w:sz="4" w:space="0" w:color="auto"/>
            </w:tcBorders>
            <w:shd w:val="clear" w:color="auto" w:fill="FFFFFF" w:themeFill="background1"/>
          </w:tcPr>
          <w:p w:rsidR="00665CFC" w:rsidRDefault="00665CFC" w:rsidP="00665CFC">
            <w:pPr>
              <w:pStyle w:val="Sinespaciado"/>
              <w:jc w:val="both"/>
              <w:rPr>
                <w:rFonts w:asciiTheme="minorHAnsi" w:hAnsiTheme="minorHAnsi" w:cstheme="minorHAnsi"/>
                <w:sz w:val="22"/>
                <w:szCs w:val="22"/>
                <w:lang w:val="es-EC" w:eastAsia="es-EC"/>
              </w:rPr>
            </w:pPr>
          </w:p>
        </w:tc>
        <w:tc>
          <w:tcPr>
            <w:tcW w:w="2551" w:type="dxa"/>
            <w:tcBorders>
              <w:bottom w:val="single" w:sz="4" w:space="0" w:color="auto"/>
            </w:tcBorders>
            <w:shd w:val="clear" w:color="auto" w:fill="FFFFFF" w:themeFill="background1"/>
          </w:tcPr>
          <w:p w:rsidR="00665CFC" w:rsidRDefault="00665CFC" w:rsidP="00665CFC">
            <w:pPr>
              <w:pStyle w:val="Sinespaciado"/>
              <w:jc w:val="both"/>
              <w:rPr>
                <w:rFonts w:asciiTheme="minorHAnsi" w:hAnsiTheme="minorHAnsi" w:cstheme="minorHAnsi"/>
                <w:sz w:val="22"/>
                <w:szCs w:val="22"/>
                <w:lang w:val="es-EC" w:eastAsia="es-EC"/>
              </w:rPr>
            </w:pPr>
          </w:p>
        </w:tc>
      </w:tr>
      <w:tr w:rsidR="00665CFC" w:rsidTr="00665CFC">
        <w:trPr>
          <w:trHeight w:val="70"/>
        </w:trPr>
        <w:tc>
          <w:tcPr>
            <w:tcW w:w="3997" w:type="dxa"/>
          </w:tcPr>
          <w:p w:rsidR="00665CFC" w:rsidRDefault="00665CFC" w:rsidP="00665CFC">
            <w:r w:rsidRPr="00785DF3">
              <w:rPr>
                <w:rFonts w:eastAsiaTheme="minorEastAsia" w:cstheme="minorHAnsi"/>
                <w:bCs/>
                <w:kern w:val="24"/>
              </w:rPr>
              <w:t>Identificación de viviendas sin pago, ni ocupación y sin localización de beneficiarios para inicio del proceso de reasignación de 57 inmuebles</w:t>
            </w:r>
            <w:r>
              <w:rPr>
                <w:rFonts w:eastAsiaTheme="minorEastAsia" w:cstheme="minorHAnsi"/>
                <w:bCs/>
                <w:kern w:val="24"/>
              </w:rPr>
              <w:t xml:space="preserve"> deshabitados. </w:t>
            </w:r>
          </w:p>
        </w:tc>
        <w:tc>
          <w:tcPr>
            <w:tcW w:w="3120" w:type="dxa"/>
          </w:tcPr>
          <w:p w:rsidR="00665CFC" w:rsidRDefault="00665CFC" w:rsidP="00665CFC">
            <w:r w:rsidRPr="00785DF3">
              <w:rPr>
                <w:rFonts w:cstheme="minorHAnsi"/>
                <w:lang w:val="es-EC" w:eastAsia="es-EC"/>
              </w:rPr>
              <w:t>La SGSG espera respuesta de informe técnico legal de la Empresa Municipal de Hábitat y Vivienda que ratifique estado actual de las 57 viviendas, para que la SGSG in</w:t>
            </w:r>
            <w:r>
              <w:rPr>
                <w:rFonts w:cstheme="minorHAnsi"/>
                <w:lang w:val="es-EC" w:eastAsia="es-EC"/>
              </w:rPr>
              <w:t xml:space="preserve">icie el proceso de reasignación </w:t>
            </w:r>
            <w:r w:rsidRPr="00785DF3">
              <w:rPr>
                <w:rFonts w:cstheme="minorHAnsi"/>
                <w:lang w:val="es-EC" w:eastAsia="es-EC"/>
              </w:rPr>
              <w:t>respectivo</w:t>
            </w:r>
            <w:r>
              <w:rPr>
                <w:rFonts w:cstheme="minorHAnsi"/>
                <w:lang w:val="es-EC" w:eastAsia="es-EC"/>
              </w:rPr>
              <w:t>.</w:t>
            </w:r>
          </w:p>
        </w:tc>
        <w:tc>
          <w:tcPr>
            <w:tcW w:w="2835" w:type="dxa"/>
            <w:shd w:val="clear" w:color="auto" w:fill="FFFFFF" w:themeFill="background1"/>
          </w:tcPr>
          <w:p w:rsidR="00665CFC" w:rsidRPr="00BB4EED" w:rsidRDefault="00665CFC" w:rsidP="00665CFC">
            <w:pPr>
              <w:rPr>
                <w:rFonts w:cstheme="minorHAnsi"/>
                <w:shd w:val="clear" w:color="auto" w:fill="00B050"/>
                <w:lang w:val="es-EC" w:eastAsia="es-EC"/>
              </w:rPr>
            </w:pPr>
          </w:p>
          <w:p w:rsidR="00665CFC" w:rsidRPr="00BB4EED" w:rsidRDefault="00665CFC" w:rsidP="00665CFC">
            <w:pPr>
              <w:pStyle w:val="Sinespaciado"/>
              <w:jc w:val="both"/>
              <w:rPr>
                <w:rFonts w:asciiTheme="minorHAnsi" w:hAnsiTheme="minorHAnsi" w:cstheme="minorHAnsi"/>
                <w:color w:val="000000" w:themeColor="text1"/>
                <w:sz w:val="22"/>
                <w:szCs w:val="22"/>
                <w:lang w:val="es-EC" w:eastAsia="es-EC"/>
              </w:rPr>
            </w:pPr>
            <w:r w:rsidRPr="00BB4EED">
              <w:rPr>
                <w:rFonts w:asciiTheme="minorHAnsi" w:hAnsiTheme="minorHAnsi" w:cstheme="minorHAnsi"/>
                <w:color w:val="000000" w:themeColor="text1"/>
                <w:sz w:val="22"/>
                <w:szCs w:val="22"/>
                <w:lang w:val="es-EC" w:eastAsia="es-EC"/>
              </w:rPr>
              <w:t>Con fecha 17 de junio</w:t>
            </w:r>
            <w:r>
              <w:rPr>
                <w:rFonts w:asciiTheme="minorHAnsi" w:hAnsiTheme="minorHAnsi" w:cstheme="minorHAnsi"/>
                <w:color w:val="000000" w:themeColor="text1"/>
                <w:sz w:val="22"/>
                <w:szCs w:val="22"/>
                <w:lang w:val="es-EC" w:eastAsia="es-EC"/>
              </w:rPr>
              <w:t xml:space="preserve"> l</w:t>
            </w:r>
            <w:r w:rsidRPr="00BB4EED">
              <w:rPr>
                <w:rFonts w:asciiTheme="minorHAnsi" w:hAnsiTheme="minorHAnsi" w:cstheme="minorHAnsi"/>
                <w:color w:val="000000" w:themeColor="text1"/>
                <w:sz w:val="22"/>
                <w:szCs w:val="22"/>
                <w:lang w:val="es-EC" w:eastAsia="es-EC"/>
              </w:rPr>
              <w:t>a EPMHV envía respuesta de informe técnico legal a la SGSG indicando el estado actual de las 57 viviendas.</w:t>
            </w:r>
          </w:p>
          <w:p w:rsidR="00665CFC" w:rsidRPr="00BB4EED" w:rsidRDefault="00665CFC" w:rsidP="00665CFC">
            <w:pPr>
              <w:rPr>
                <w:rFonts w:cstheme="minorHAnsi"/>
                <w:shd w:val="clear" w:color="auto" w:fill="00B050"/>
                <w:lang w:val="es-EC" w:eastAsia="es-EC"/>
              </w:rPr>
            </w:pPr>
          </w:p>
          <w:p w:rsidR="00665CFC" w:rsidRPr="00BB4EED" w:rsidRDefault="00665CFC" w:rsidP="00665CFC"/>
        </w:tc>
        <w:tc>
          <w:tcPr>
            <w:tcW w:w="2694" w:type="dxa"/>
            <w:shd w:val="clear" w:color="auto" w:fill="FFFFFF" w:themeFill="background1"/>
          </w:tcPr>
          <w:p w:rsidR="00665CFC" w:rsidRPr="00B04C02" w:rsidRDefault="00665CFC" w:rsidP="00665CFC">
            <w:pPr>
              <w:pStyle w:val="Sinespaciado"/>
              <w:jc w:val="both"/>
              <w:rPr>
                <w:rFonts w:asciiTheme="minorHAnsi" w:hAnsiTheme="minorHAnsi" w:cstheme="minorHAnsi"/>
                <w:color w:val="000000" w:themeColor="text1"/>
                <w:sz w:val="22"/>
                <w:szCs w:val="22"/>
                <w:lang w:val="es-EC" w:eastAsia="es-EC"/>
              </w:rPr>
            </w:pPr>
            <w:r>
              <w:rPr>
                <w:rFonts w:asciiTheme="minorHAnsi" w:hAnsiTheme="minorHAnsi" w:cstheme="minorHAnsi"/>
                <w:color w:val="000000" w:themeColor="text1"/>
                <w:sz w:val="22"/>
                <w:szCs w:val="22"/>
                <w:lang w:val="es-US" w:eastAsia="es-EC"/>
              </w:rPr>
              <w:t>La</w:t>
            </w:r>
            <w:r w:rsidRPr="00B04C02">
              <w:rPr>
                <w:rFonts w:asciiTheme="minorHAnsi" w:hAnsiTheme="minorHAnsi" w:cstheme="minorHAnsi"/>
                <w:color w:val="000000" w:themeColor="text1"/>
                <w:sz w:val="22"/>
                <w:szCs w:val="22"/>
                <w:lang w:val="es-EC" w:eastAsia="es-EC"/>
              </w:rPr>
              <w:t xml:space="preserve"> SGSG solicita mediante oficio No DMGR 2020/</w:t>
            </w:r>
            <w:r>
              <w:rPr>
                <w:rFonts w:asciiTheme="minorHAnsi" w:hAnsiTheme="minorHAnsi" w:cstheme="minorHAnsi"/>
                <w:color w:val="000000" w:themeColor="text1"/>
                <w:sz w:val="22"/>
                <w:szCs w:val="22"/>
                <w:lang w:val="es-EC" w:eastAsia="es-EC"/>
              </w:rPr>
              <w:t>149 de</w:t>
            </w:r>
            <w:r w:rsidRPr="00B04C02">
              <w:rPr>
                <w:rFonts w:asciiTheme="minorHAnsi" w:hAnsiTheme="minorHAnsi" w:cstheme="minorHAnsi"/>
                <w:color w:val="000000" w:themeColor="text1"/>
                <w:sz w:val="22"/>
                <w:szCs w:val="22"/>
                <w:lang w:val="es-EC" w:eastAsia="es-EC"/>
              </w:rPr>
              <w:t xml:space="preserve"> 23 de junio a </w:t>
            </w:r>
            <w:r>
              <w:rPr>
                <w:rFonts w:asciiTheme="minorHAnsi" w:hAnsiTheme="minorHAnsi" w:cstheme="minorHAnsi"/>
                <w:color w:val="000000" w:themeColor="text1"/>
                <w:sz w:val="22"/>
                <w:szCs w:val="22"/>
                <w:lang w:val="es-EC" w:eastAsia="es-EC"/>
              </w:rPr>
              <w:t xml:space="preserve">las </w:t>
            </w:r>
            <w:r w:rsidRPr="00B04C02">
              <w:rPr>
                <w:rFonts w:asciiTheme="minorHAnsi" w:hAnsiTheme="minorHAnsi" w:cstheme="minorHAnsi"/>
                <w:color w:val="000000" w:themeColor="text1"/>
                <w:sz w:val="22"/>
                <w:szCs w:val="22"/>
                <w:lang w:val="es-EC" w:eastAsia="es-EC"/>
              </w:rPr>
              <w:t>Admi</w:t>
            </w:r>
            <w:r>
              <w:rPr>
                <w:rFonts w:asciiTheme="minorHAnsi" w:hAnsiTheme="minorHAnsi" w:cstheme="minorHAnsi"/>
                <w:color w:val="000000" w:themeColor="text1"/>
                <w:sz w:val="22"/>
                <w:szCs w:val="22"/>
                <w:lang w:val="es-EC" w:eastAsia="es-EC"/>
              </w:rPr>
              <w:t xml:space="preserve">nistraciones Zonales, </w:t>
            </w:r>
            <w:r w:rsidRPr="00B04C02">
              <w:rPr>
                <w:rFonts w:asciiTheme="minorHAnsi" w:hAnsiTheme="minorHAnsi" w:cstheme="minorHAnsi"/>
                <w:color w:val="000000" w:themeColor="text1"/>
                <w:sz w:val="22"/>
                <w:szCs w:val="22"/>
                <w:lang w:val="es-EC" w:eastAsia="es-EC"/>
              </w:rPr>
              <w:t>proceda a identificar en última instancia a Beneficiarios Relocalizados que puedan suscribi</w:t>
            </w:r>
            <w:r>
              <w:rPr>
                <w:rFonts w:asciiTheme="minorHAnsi" w:hAnsiTheme="minorHAnsi" w:cstheme="minorHAnsi"/>
                <w:color w:val="000000" w:themeColor="text1"/>
                <w:sz w:val="22"/>
                <w:szCs w:val="22"/>
                <w:lang w:val="es-EC" w:eastAsia="es-EC"/>
              </w:rPr>
              <w:t>r actas de desistimiento del Plan de Relocalización.</w:t>
            </w:r>
          </w:p>
          <w:p w:rsidR="00665CFC" w:rsidRDefault="00665CFC" w:rsidP="00665CFC">
            <w:pPr>
              <w:rPr>
                <w:rFonts w:cstheme="minorHAnsi"/>
                <w:shd w:val="clear" w:color="auto" w:fill="00B050"/>
                <w:lang w:val="es-EC" w:eastAsia="es-EC"/>
              </w:rPr>
            </w:pPr>
          </w:p>
        </w:tc>
        <w:tc>
          <w:tcPr>
            <w:tcW w:w="2806" w:type="dxa"/>
            <w:tcBorders>
              <w:bottom w:val="single" w:sz="4" w:space="0" w:color="auto"/>
            </w:tcBorders>
            <w:shd w:val="clear" w:color="auto" w:fill="auto"/>
          </w:tcPr>
          <w:p w:rsidR="00665CFC" w:rsidRDefault="00665CFC" w:rsidP="00665CFC">
            <w:pPr>
              <w:rPr>
                <w:rFonts w:cstheme="minorHAnsi"/>
                <w:lang w:val="es-EC" w:eastAsia="es-EC"/>
              </w:rPr>
            </w:pPr>
            <w:r>
              <w:rPr>
                <w:rFonts w:cstheme="minorHAnsi"/>
                <w:lang w:val="es-EC" w:eastAsia="es-EC"/>
              </w:rPr>
              <w:lastRenderedPageBreak/>
              <w:t>La SGSG está realizando seguimiento  respectivo a lo solicitado.                      La EPMHV deberá de realizar un proceso de notificación por la prensa para localizar a estos 57 beneficiarios conforme normativa.</w:t>
            </w:r>
          </w:p>
          <w:p w:rsidR="00665CFC" w:rsidRDefault="00665CFC" w:rsidP="00665CFC">
            <w:pPr>
              <w:rPr>
                <w:rFonts w:cstheme="minorHAnsi"/>
                <w:lang w:val="es-EC" w:eastAsia="es-EC"/>
              </w:rPr>
            </w:pPr>
          </w:p>
        </w:tc>
        <w:tc>
          <w:tcPr>
            <w:tcW w:w="2296" w:type="dxa"/>
            <w:tcBorders>
              <w:bottom w:val="single" w:sz="4" w:space="0" w:color="auto"/>
            </w:tcBorders>
          </w:tcPr>
          <w:p w:rsidR="00665CFC" w:rsidRPr="00D77D06" w:rsidRDefault="00665CFC" w:rsidP="00665CFC">
            <w:pPr>
              <w:rPr>
                <w:rFonts w:cstheme="minorHAnsi"/>
                <w:lang w:val="es-EC" w:eastAsia="es-EC"/>
              </w:rPr>
            </w:pPr>
          </w:p>
        </w:tc>
        <w:tc>
          <w:tcPr>
            <w:tcW w:w="2551" w:type="dxa"/>
            <w:tcBorders>
              <w:bottom w:val="single" w:sz="4" w:space="0" w:color="auto"/>
            </w:tcBorders>
          </w:tcPr>
          <w:p w:rsidR="00665CFC" w:rsidRPr="00D77D06" w:rsidRDefault="00665CFC" w:rsidP="00665CFC">
            <w:pPr>
              <w:rPr>
                <w:rFonts w:cstheme="minorHAnsi"/>
                <w:lang w:val="es-EC" w:eastAsia="es-EC"/>
              </w:rPr>
            </w:pPr>
          </w:p>
        </w:tc>
        <w:tc>
          <w:tcPr>
            <w:tcW w:w="2551" w:type="dxa"/>
            <w:tcBorders>
              <w:bottom w:val="single" w:sz="4" w:space="0" w:color="auto"/>
            </w:tcBorders>
          </w:tcPr>
          <w:p w:rsidR="00665CFC" w:rsidRPr="00D77D06" w:rsidRDefault="00665CFC" w:rsidP="00665CFC">
            <w:pPr>
              <w:rPr>
                <w:rFonts w:cstheme="minorHAnsi"/>
                <w:lang w:val="es-EC" w:eastAsia="es-EC"/>
              </w:rPr>
            </w:pPr>
          </w:p>
        </w:tc>
      </w:tr>
      <w:tr w:rsidR="00665CFC" w:rsidTr="00665CFC">
        <w:trPr>
          <w:trHeight w:val="345"/>
        </w:trPr>
        <w:tc>
          <w:tcPr>
            <w:tcW w:w="3997" w:type="dxa"/>
            <w:shd w:val="clear" w:color="auto" w:fill="D9D9D9" w:themeFill="background1" w:themeFillShade="D9"/>
          </w:tcPr>
          <w:p w:rsidR="00665CFC" w:rsidRPr="00785DF3" w:rsidRDefault="00665CFC" w:rsidP="00665CFC">
            <w:pPr>
              <w:spacing w:after="50" w:line="216" w:lineRule="auto"/>
              <w:contextualSpacing/>
              <w:rPr>
                <w:rFonts w:eastAsiaTheme="minorEastAsia" w:cstheme="minorHAnsi"/>
                <w:bCs/>
                <w:kern w:val="24"/>
              </w:rPr>
            </w:pPr>
            <w:r w:rsidRPr="000F6186">
              <w:rPr>
                <w:rFonts w:cstheme="minorHAnsi"/>
                <w:b/>
              </w:rPr>
              <w:lastRenderedPageBreak/>
              <w:t>ACTIVIDADES</w:t>
            </w:r>
            <w:r>
              <w:rPr>
                <w:rFonts w:cstheme="minorHAnsi"/>
                <w:b/>
              </w:rPr>
              <w:t xml:space="preserve"> DE INICIO</w:t>
            </w:r>
          </w:p>
        </w:tc>
        <w:tc>
          <w:tcPr>
            <w:tcW w:w="3120" w:type="dxa"/>
            <w:shd w:val="clear" w:color="auto" w:fill="D9D9D9" w:themeFill="background1" w:themeFillShade="D9"/>
          </w:tcPr>
          <w:p w:rsidR="00665CFC" w:rsidRPr="00331BBE" w:rsidRDefault="00665CFC" w:rsidP="00665CFC">
            <w:pPr>
              <w:pStyle w:val="Sinespaciado"/>
              <w:rPr>
                <w:rFonts w:ascii="Calibri" w:hAnsi="Calibri" w:cs="Calibri"/>
                <w:sz w:val="22"/>
                <w:szCs w:val="22"/>
                <w:lang w:val="es-EC" w:eastAsia="es-EC"/>
              </w:rPr>
            </w:pPr>
            <w:r w:rsidRPr="00331BBE">
              <w:rPr>
                <w:rFonts w:ascii="Calibri" w:hAnsi="Calibri" w:cs="Calibri"/>
                <w:b/>
                <w:sz w:val="22"/>
                <w:szCs w:val="22"/>
              </w:rPr>
              <w:t>GESTIÓN AL 27 DE MAYO</w:t>
            </w:r>
          </w:p>
        </w:tc>
        <w:tc>
          <w:tcPr>
            <w:tcW w:w="2835" w:type="dxa"/>
            <w:tcBorders>
              <w:bottom w:val="single" w:sz="4" w:space="0" w:color="auto"/>
            </w:tcBorders>
            <w:shd w:val="clear" w:color="auto" w:fill="D9D9D9" w:themeFill="background1" w:themeFillShade="D9"/>
          </w:tcPr>
          <w:p w:rsidR="00665CFC" w:rsidRDefault="00665CFC" w:rsidP="00665CFC">
            <w:pPr>
              <w:rPr>
                <w:rFonts w:cstheme="minorHAnsi"/>
                <w:color w:val="000000" w:themeColor="text1"/>
                <w:lang w:val="es-EC" w:eastAsia="es-EC"/>
              </w:rPr>
            </w:pPr>
            <w:r>
              <w:rPr>
                <w:rFonts w:cstheme="minorHAnsi"/>
                <w:b/>
              </w:rPr>
              <w:t>GESTIÓN AL 11 DE JUNIO</w:t>
            </w:r>
          </w:p>
        </w:tc>
        <w:tc>
          <w:tcPr>
            <w:tcW w:w="2694" w:type="dxa"/>
            <w:shd w:val="clear" w:color="auto" w:fill="D9D9D9" w:themeFill="background1" w:themeFillShade="D9"/>
          </w:tcPr>
          <w:p w:rsidR="00665CFC" w:rsidRDefault="00665CFC" w:rsidP="00665CFC">
            <w:pPr>
              <w:jc w:val="center"/>
              <w:rPr>
                <w:rFonts w:cstheme="minorHAnsi"/>
                <w:b/>
              </w:rPr>
            </w:pPr>
            <w:r>
              <w:rPr>
                <w:rFonts w:cstheme="minorHAnsi"/>
                <w:b/>
              </w:rPr>
              <w:t xml:space="preserve">GESTIÓN AL 24 DE JUNIO </w:t>
            </w:r>
          </w:p>
        </w:tc>
        <w:tc>
          <w:tcPr>
            <w:tcW w:w="2806" w:type="dxa"/>
            <w:tcBorders>
              <w:top w:val="single" w:sz="4" w:space="0" w:color="auto"/>
            </w:tcBorders>
            <w:shd w:val="clear" w:color="auto" w:fill="D9D9D9" w:themeFill="background1" w:themeFillShade="D9"/>
          </w:tcPr>
          <w:p w:rsidR="00665CFC" w:rsidRDefault="00665CFC" w:rsidP="00665CFC">
            <w:pPr>
              <w:rPr>
                <w:rFonts w:cstheme="minorHAnsi"/>
                <w:lang w:val="es-EC" w:eastAsia="es-EC"/>
              </w:rPr>
            </w:pPr>
            <w:r>
              <w:rPr>
                <w:rFonts w:cstheme="minorHAnsi"/>
                <w:b/>
              </w:rPr>
              <w:t>ESTADO ACTUAL</w:t>
            </w:r>
          </w:p>
        </w:tc>
        <w:tc>
          <w:tcPr>
            <w:tcW w:w="2296" w:type="dxa"/>
            <w:tcBorders>
              <w:top w:val="single" w:sz="4" w:space="0" w:color="auto"/>
            </w:tcBorders>
            <w:shd w:val="clear" w:color="auto" w:fill="FFFFFF" w:themeFill="background1"/>
          </w:tcPr>
          <w:p w:rsidR="00665CFC" w:rsidRDefault="00665CFC" w:rsidP="00665CFC">
            <w:pPr>
              <w:rPr>
                <w:rFonts w:cstheme="minorHAnsi"/>
                <w:lang w:val="es-EC" w:eastAsia="es-EC"/>
              </w:rPr>
            </w:pPr>
          </w:p>
        </w:tc>
        <w:tc>
          <w:tcPr>
            <w:tcW w:w="2551" w:type="dxa"/>
            <w:tcBorders>
              <w:top w:val="single" w:sz="4" w:space="0" w:color="auto"/>
            </w:tcBorders>
            <w:shd w:val="clear" w:color="auto" w:fill="FFFFFF" w:themeFill="background1"/>
          </w:tcPr>
          <w:p w:rsidR="00665CFC" w:rsidRDefault="00665CFC" w:rsidP="00665CFC">
            <w:pPr>
              <w:rPr>
                <w:rFonts w:cstheme="minorHAnsi"/>
                <w:lang w:val="es-EC" w:eastAsia="es-EC"/>
              </w:rPr>
            </w:pPr>
          </w:p>
        </w:tc>
        <w:tc>
          <w:tcPr>
            <w:tcW w:w="2551" w:type="dxa"/>
            <w:tcBorders>
              <w:top w:val="single" w:sz="4" w:space="0" w:color="auto"/>
            </w:tcBorders>
            <w:shd w:val="clear" w:color="auto" w:fill="FFFFFF" w:themeFill="background1"/>
          </w:tcPr>
          <w:p w:rsidR="00665CFC" w:rsidRDefault="00665CFC" w:rsidP="00665CFC">
            <w:pPr>
              <w:rPr>
                <w:rFonts w:cstheme="minorHAnsi"/>
                <w:lang w:val="es-EC" w:eastAsia="es-EC"/>
              </w:rPr>
            </w:pPr>
          </w:p>
        </w:tc>
      </w:tr>
      <w:tr w:rsidR="00665CFC" w:rsidTr="00665CFC">
        <w:trPr>
          <w:trHeight w:val="345"/>
        </w:trPr>
        <w:tc>
          <w:tcPr>
            <w:tcW w:w="3997" w:type="dxa"/>
          </w:tcPr>
          <w:p w:rsidR="00665CFC" w:rsidRPr="00785DF3" w:rsidRDefault="00665CFC" w:rsidP="00665CFC">
            <w:pPr>
              <w:spacing w:after="50" w:line="216" w:lineRule="auto"/>
              <w:contextualSpacing/>
              <w:rPr>
                <w:rFonts w:cstheme="minorHAnsi"/>
              </w:rPr>
            </w:pPr>
            <w:r w:rsidRPr="00785DF3">
              <w:rPr>
                <w:rFonts w:eastAsiaTheme="minorEastAsia" w:cstheme="minorHAnsi"/>
                <w:bCs/>
                <w:kern w:val="24"/>
              </w:rPr>
              <w:t xml:space="preserve">Asignación pendiente de 24 viviendas de relocalización por parte de la SGSG a la EPMHV </w:t>
            </w:r>
          </w:p>
          <w:p w:rsidR="00665CFC" w:rsidRDefault="00665CFC" w:rsidP="00665CFC"/>
        </w:tc>
        <w:tc>
          <w:tcPr>
            <w:tcW w:w="3120" w:type="dxa"/>
          </w:tcPr>
          <w:p w:rsidR="00665CFC" w:rsidRPr="00785DF3" w:rsidRDefault="00665CFC" w:rsidP="00665CFC">
            <w:pPr>
              <w:pStyle w:val="Sinespaciado"/>
              <w:rPr>
                <w:rFonts w:asciiTheme="minorHAnsi" w:hAnsiTheme="minorHAnsi" w:cstheme="minorHAnsi"/>
                <w:b/>
                <w:sz w:val="22"/>
                <w:szCs w:val="22"/>
                <w:lang w:val="es-EC" w:eastAsia="es-EC"/>
              </w:rPr>
            </w:pPr>
            <w:r w:rsidRPr="00785DF3">
              <w:rPr>
                <w:rFonts w:asciiTheme="minorHAnsi" w:hAnsiTheme="minorHAnsi" w:cstheme="minorHAnsi"/>
                <w:sz w:val="22"/>
                <w:szCs w:val="22"/>
                <w:lang w:val="es-EC" w:eastAsia="es-EC"/>
              </w:rPr>
              <w:t xml:space="preserve">Análisis de núcleo familiar y de lugar de residencia actual de beneficiarios relocalizados calificados para iniciar </w:t>
            </w:r>
            <w:r>
              <w:rPr>
                <w:rFonts w:asciiTheme="minorHAnsi" w:hAnsiTheme="minorHAnsi" w:cstheme="minorHAnsi"/>
                <w:sz w:val="22"/>
                <w:szCs w:val="22"/>
                <w:lang w:val="es-EC" w:eastAsia="es-EC"/>
              </w:rPr>
              <w:t xml:space="preserve">proceso de </w:t>
            </w:r>
            <w:r w:rsidRPr="00785DF3">
              <w:rPr>
                <w:rFonts w:asciiTheme="minorHAnsi" w:hAnsiTheme="minorHAnsi" w:cstheme="minorHAnsi"/>
                <w:sz w:val="22"/>
                <w:szCs w:val="22"/>
                <w:lang w:val="es-EC" w:eastAsia="es-EC"/>
              </w:rPr>
              <w:t>asignación</w:t>
            </w:r>
            <w:r>
              <w:rPr>
                <w:rFonts w:asciiTheme="minorHAnsi" w:hAnsiTheme="minorHAnsi" w:cstheme="minorHAnsi"/>
                <w:b/>
                <w:sz w:val="22"/>
                <w:szCs w:val="22"/>
                <w:lang w:val="es-EC" w:eastAsia="es-EC"/>
              </w:rPr>
              <w:t>.</w:t>
            </w:r>
          </w:p>
          <w:p w:rsidR="00665CFC" w:rsidRDefault="00665CFC" w:rsidP="00665CFC"/>
        </w:tc>
        <w:tc>
          <w:tcPr>
            <w:tcW w:w="2835" w:type="dxa"/>
            <w:tcBorders>
              <w:bottom w:val="single" w:sz="4" w:space="0" w:color="auto"/>
            </w:tcBorders>
            <w:shd w:val="clear" w:color="auto" w:fill="FFFFFF" w:themeFill="background1"/>
          </w:tcPr>
          <w:p w:rsidR="00665CFC" w:rsidRPr="00C0405C" w:rsidRDefault="00665CFC" w:rsidP="00665CFC">
            <w:pPr>
              <w:rPr>
                <w:rFonts w:cstheme="minorHAnsi"/>
                <w:color w:val="000000" w:themeColor="text1"/>
                <w:shd w:val="clear" w:color="auto" w:fill="00B050"/>
                <w:lang w:val="es-EC" w:eastAsia="es-EC"/>
              </w:rPr>
            </w:pPr>
            <w:r>
              <w:rPr>
                <w:rFonts w:cstheme="minorHAnsi"/>
                <w:color w:val="000000" w:themeColor="text1"/>
                <w:lang w:val="es-EC" w:eastAsia="es-EC"/>
              </w:rPr>
              <w:t xml:space="preserve">La Secretaría de Seguridad y Gobernabilidad  </w:t>
            </w:r>
            <w:r w:rsidRPr="00C0405C">
              <w:rPr>
                <w:rFonts w:cstheme="minorHAnsi"/>
                <w:color w:val="000000" w:themeColor="text1"/>
                <w:lang w:val="es-EC" w:eastAsia="es-EC"/>
              </w:rPr>
              <w:t xml:space="preserve"> se encuentra en análisis de </w:t>
            </w:r>
            <w:r>
              <w:rPr>
                <w:rFonts w:cstheme="minorHAnsi"/>
                <w:color w:val="000000" w:themeColor="text1"/>
                <w:lang w:val="es-EC" w:eastAsia="es-EC"/>
              </w:rPr>
              <w:t xml:space="preserve">la </w:t>
            </w:r>
            <w:r w:rsidRPr="00C0405C">
              <w:rPr>
                <w:rFonts w:cstheme="minorHAnsi"/>
                <w:color w:val="000000" w:themeColor="text1"/>
                <w:lang w:val="es-EC" w:eastAsia="es-EC"/>
              </w:rPr>
              <w:t xml:space="preserve">información de </w:t>
            </w:r>
            <w:r>
              <w:rPr>
                <w:rFonts w:cstheme="minorHAnsi"/>
                <w:color w:val="000000" w:themeColor="text1"/>
                <w:lang w:val="es-EC" w:eastAsia="es-EC"/>
              </w:rPr>
              <w:t xml:space="preserve">listados de </w:t>
            </w:r>
            <w:r w:rsidRPr="00C0405C">
              <w:rPr>
                <w:rFonts w:cstheme="minorHAnsi"/>
                <w:color w:val="000000" w:themeColor="text1"/>
                <w:lang w:val="es-EC" w:eastAsia="es-EC"/>
              </w:rPr>
              <w:t xml:space="preserve">beneficiarios </w:t>
            </w:r>
            <w:r>
              <w:rPr>
                <w:rFonts w:cstheme="minorHAnsi"/>
                <w:color w:val="000000" w:themeColor="text1"/>
                <w:lang w:val="es-EC" w:eastAsia="es-EC"/>
              </w:rPr>
              <w:t xml:space="preserve">relocalizados </w:t>
            </w:r>
            <w:r w:rsidRPr="00C0405C">
              <w:rPr>
                <w:rFonts w:cstheme="minorHAnsi"/>
                <w:color w:val="000000" w:themeColor="text1"/>
                <w:lang w:val="es-EC" w:eastAsia="es-EC"/>
              </w:rPr>
              <w:t>para asignación 90 %</w:t>
            </w:r>
            <w:r>
              <w:rPr>
                <w:rFonts w:cstheme="minorHAnsi"/>
                <w:color w:val="000000" w:themeColor="text1"/>
                <w:lang w:val="es-EC" w:eastAsia="es-EC"/>
              </w:rPr>
              <w:t xml:space="preserve">  con respecto a este caso.</w:t>
            </w:r>
          </w:p>
          <w:p w:rsidR="00665CFC" w:rsidRDefault="00665CFC" w:rsidP="00665CFC"/>
        </w:tc>
        <w:tc>
          <w:tcPr>
            <w:tcW w:w="2694" w:type="dxa"/>
            <w:shd w:val="clear" w:color="auto" w:fill="FFFFFF" w:themeFill="background1"/>
          </w:tcPr>
          <w:p w:rsidR="00665CFC" w:rsidRDefault="00665CFC" w:rsidP="00665CFC">
            <w:pPr>
              <w:rPr>
                <w:rFonts w:cstheme="minorHAnsi"/>
                <w:shd w:val="clear" w:color="auto" w:fill="00B050"/>
                <w:lang w:val="es-EC" w:eastAsia="es-EC"/>
              </w:rPr>
            </w:pPr>
            <w:r w:rsidRPr="003451E1">
              <w:rPr>
                <w:rFonts w:cstheme="minorHAnsi"/>
                <w:color w:val="000000" w:themeColor="text1"/>
                <w:lang w:val="es-EC" w:eastAsia="es-EC"/>
              </w:rPr>
              <w:t>La DMGR  / CR / tiene identificado el 100% de las tipologías y ubicación de estas 24  viviendas y solicita a las Administraciones Zonales vía Sitra mediante oficio No  DMGR R 2020 /149  del 23 de Junio  la identificación de familias relocalizadas que estén acordes a las tipologías de estas viviendas  para iniciar proceso de asignación correspondiente.</w:t>
            </w:r>
            <w:r>
              <w:rPr>
                <w:rFonts w:cstheme="minorHAnsi"/>
                <w:color w:val="000000" w:themeColor="text1"/>
                <w:lang w:val="es-EC" w:eastAsia="es-EC"/>
              </w:rPr>
              <w:t xml:space="preserve">  </w:t>
            </w:r>
          </w:p>
        </w:tc>
        <w:tc>
          <w:tcPr>
            <w:tcW w:w="2806" w:type="dxa"/>
            <w:tcBorders>
              <w:top w:val="single" w:sz="4" w:space="0" w:color="auto"/>
            </w:tcBorders>
            <w:shd w:val="clear" w:color="auto" w:fill="FFFFFF" w:themeFill="background1"/>
          </w:tcPr>
          <w:p w:rsidR="00665CFC" w:rsidRDefault="00665CFC" w:rsidP="00665CFC">
            <w:pPr>
              <w:rPr>
                <w:rFonts w:cstheme="minorHAnsi"/>
                <w:lang w:val="es-EC" w:eastAsia="es-EC"/>
              </w:rPr>
            </w:pPr>
            <w:r w:rsidRPr="00D77D06">
              <w:rPr>
                <w:rFonts w:cstheme="minorHAnsi"/>
                <w:lang w:val="es-EC" w:eastAsia="es-EC"/>
              </w:rPr>
              <w:t>Ante la falta de respuesta de las Administr</w:t>
            </w:r>
            <w:r>
              <w:rPr>
                <w:rFonts w:cstheme="minorHAnsi"/>
                <w:lang w:val="es-EC" w:eastAsia="es-EC"/>
              </w:rPr>
              <w:t xml:space="preserve">aciones Zonales la SGSG se encuentra realizando seguimiento respectivo y enviará un  oficio  a </w:t>
            </w:r>
            <w:r w:rsidRPr="00D77D06">
              <w:rPr>
                <w:rFonts w:cstheme="minorHAnsi"/>
                <w:lang w:val="es-EC" w:eastAsia="es-EC"/>
              </w:rPr>
              <w:t>Secretaría de Coordinación Territorial y Participación ciudadana para que las Zonales respondan con lo solicitado.</w:t>
            </w:r>
          </w:p>
          <w:p w:rsidR="00665CFC" w:rsidRDefault="00665CFC" w:rsidP="00665CFC">
            <w:pPr>
              <w:rPr>
                <w:rFonts w:cstheme="minorHAnsi"/>
                <w:shd w:val="clear" w:color="auto" w:fill="00B050"/>
                <w:lang w:val="es-EC" w:eastAsia="es-EC"/>
              </w:rPr>
            </w:pPr>
          </w:p>
        </w:tc>
        <w:tc>
          <w:tcPr>
            <w:tcW w:w="2296" w:type="dxa"/>
            <w:tcBorders>
              <w:top w:val="single" w:sz="4" w:space="0" w:color="auto"/>
            </w:tcBorders>
            <w:shd w:val="clear" w:color="auto" w:fill="FFFFFF" w:themeFill="background1"/>
          </w:tcPr>
          <w:p w:rsidR="00665CFC" w:rsidRDefault="00665CFC" w:rsidP="00665CFC">
            <w:pPr>
              <w:rPr>
                <w:rFonts w:cstheme="minorHAnsi"/>
                <w:lang w:val="es-EC" w:eastAsia="es-EC"/>
              </w:rPr>
            </w:pPr>
          </w:p>
        </w:tc>
        <w:tc>
          <w:tcPr>
            <w:tcW w:w="2551" w:type="dxa"/>
            <w:tcBorders>
              <w:top w:val="single" w:sz="4" w:space="0" w:color="auto"/>
            </w:tcBorders>
            <w:shd w:val="clear" w:color="auto" w:fill="FFFFFF" w:themeFill="background1"/>
          </w:tcPr>
          <w:p w:rsidR="00665CFC" w:rsidRDefault="00665CFC" w:rsidP="00665CFC">
            <w:pPr>
              <w:rPr>
                <w:rFonts w:cstheme="minorHAnsi"/>
                <w:lang w:val="es-EC" w:eastAsia="es-EC"/>
              </w:rPr>
            </w:pPr>
          </w:p>
        </w:tc>
        <w:tc>
          <w:tcPr>
            <w:tcW w:w="2551" w:type="dxa"/>
            <w:tcBorders>
              <w:top w:val="single" w:sz="4" w:space="0" w:color="auto"/>
            </w:tcBorders>
            <w:shd w:val="clear" w:color="auto" w:fill="FFFFFF" w:themeFill="background1"/>
          </w:tcPr>
          <w:p w:rsidR="00665CFC" w:rsidRDefault="00665CFC" w:rsidP="00665CFC">
            <w:pPr>
              <w:rPr>
                <w:rFonts w:cstheme="minorHAnsi"/>
                <w:lang w:val="es-EC" w:eastAsia="es-EC"/>
              </w:rPr>
            </w:pPr>
          </w:p>
        </w:tc>
      </w:tr>
      <w:tr w:rsidR="00665CFC" w:rsidTr="00665CFC">
        <w:trPr>
          <w:trHeight w:val="555"/>
        </w:trPr>
        <w:tc>
          <w:tcPr>
            <w:tcW w:w="3997" w:type="dxa"/>
          </w:tcPr>
          <w:p w:rsidR="00665CFC" w:rsidRDefault="00665CFC" w:rsidP="00665CFC">
            <w:pPr>
              <w:spacing w:after="50" w:line="216" w:lineRule="auto"/>
              <w:contextualSpacing/>
              <w:rPr>
                <w:rFonts w:eastAsiaTheme="minorEastAsia" w:cstheme="minorHAnsi"/>
                <w:bCs/>
                <w:kern w:val="24"/>
              </w:rPr>
            </w:pPr>
          </w:p>
          <w:p w:rsidR="00665CFC" w:rsidRDefault="00665CFC" w:rsidP="00665CFC">
            <w:pPr>
              <w:spacing w:after="50" w:line="216" w:lineRule="auto"/>
              <w:contextualSpacing/>
              <w:jc w:val="both"/>
              <w:rPr>
                <w:rFonts w:eastAsiaTheme="minorEastAsia" w:cstheme="minorHAnsi"/>
                <w:bCs/>
                <w:kern w:val="24"/>
              </w:rPr>
            </w:pPr>
          </w:p>
          <w:p w:rsidR="00665CFC" w:rsidRPr="0041325C" w:rsidRDefault="00665CFC" w:rsidP="00665CFC">
            <w:pPr>
              <w:spacing w:after="50" w:line="216" w:lineRule="auto"/>
              <w:contextualSpacing/>
              <w:jc w:val="both"/>
              <w:rPr>
                <w:rFonts w:eastAsiaTheme="minorEastAsia" w:cstheme="minorHAnsi"/>
                <w:bCs/>
                <w:kern w:val="24"/>
              </w:rPr>
            </w:pPr>
            <w:r w:rsidRPr="0041325C">
              <w:rPr>
                <w:rFonts w:eastAsiaTheme="minorEastAsia" w:cstheme="minorHAnsi"/>
                <w:bCs/>
                <w:kern w:val="24"/>
                <w:lang w:val="es-ES_tradnl"/>
              </w:rPr>
              <w:t xml:space="preserve">Empaquetamiento de casos especiales para solución conjunta MDMQ-MIDUVI  en lo referente al proceso de </w:t>
            </w:r>
            <w:r>
              <w:rPr>
                <w:rFonts w:eastAsiaTheme="minorEastAsia" w:cstheme="minorHAnsi"/>
                <w:bCs/>
                <w:kern w:val="24"/>
                <w:lang w:val="es-ES_tradnl"/>
              </w:rPr>
              <w:t>193  viviendas pendientes de titularización.</w:t>
            </w:r>
          </w:p>
          <w:p w:rsidR="00665CFC" w:rsidRDefault="00665CFC" w:rsidP="00665CFC">
            <w:pPr>
              <w:spacing w:after="50" w:line="216" w:lineRule="auto"/>
              <w:contextualSpacing/>
              <w:rPr>
                <w:rFonts w:eastAsiaTheme="minorEastAsia" w:cstheme="minorHAnsi"/>
                <w:bCs/>
                <w:kern w:val="24"/>
              </w:rPr>
            </w:pPr>
          </w:p>
          <w:p w:rsidR="00665CFC" w:rsidRPr="00785DF3" w:rsidRDefault="00665CFC" w:rsidP="00665CFC">
            <w:pPr>
              <w:spacing w:after="50" w:line="216" w:lineRule="auto"/>
              <w:contextualSpacing/>
              <w:rPr>
                <w:rFonts w:eastAsiaTheme="minorEastAsia" w:cstheme="minorHAnsi"/>
                <w:bCs/>
                <w:kern w:val="24"/>
              </w:rPr>
            </w:pPr>
          </w:p>
        </w:tc>
        <w:tc>
          <w:tcPr>
            <w:tcW w:w="3120" w:type="dxa"/>
          </w:tcPr>
          <w:p w:rsidR="00665CFC" w:rsidRDefault="00665CFC" w:rsidP="00665CFC">
            <w:pPr>
              <w:pStyle w:val="Sinespaciado"/>
              <w:rPr>
                <w:rFonts w:asciiTheme="minorHAnsi" w:hAnsiTheme="minorHAnsi" w:cstheme="minorHAnsi"/>
                <w:sz w:val="22"/>
                <w:szCs w:val="22"/>
                <w:lang w:val="es-US" w:eastAsia="es-EC"/>
              </w:rPr>
            </w:pPr>
          </w:p>
          <w:p w:rsidR="00665CFC" w:rsidRDefault="00665CFC" w:rsidP="00665CFC">
            <w:pPr>
              <w:pStyle w:val="Sinespaciado"/>
              <w:rPr>
                <w:rFonts w:asciiTheme="minorHAnsi" w:hAnsiTheme="minorHAnsi" w:cstheme="minorHAnsi"/>
                <w:sz w:val="22"/>
                <w:szCs w:val="22"/>
                <w:lang w:val="es-US" w:eastAsia="es-EC"/>
              </w:rPr>
            </w:pPr>
          </w:p>
          <w:p w:rsidR="00665CFC" w:rsidRDefault="00665CFC" w:rsidP="00665CFC">
            <w:pPr>
              <w:pStyle w:val="Sinespaciado"/>
              <w:rPr>
                <w:rFonts w:asciiTheme="minorHAnsi" w:hAnsiTheme="minorHAnsi" w:cstheme="minorHAnsi"/>
                <w:sz w:val="22"/>
                <w:szCs w:val="22"/>
                <w:lang w:val="es-US" w:eastAsia="es-EC"/>
              </w:rPr>
            </w:pPr>
            <w:r w:rsidRPr="00E649D9">
              <w:rPr>
                <w:rFonts w:asciiTheme="minorHAnsi" w:hAnsiTheme="minorHAnsi" w:cstheme="minorHAnsi"/>
                <w:sz w:val="22"/>
                <w:szCs w:val="22"/>
                <w:lang w:val="es-US" w:eastAsia="es-EC"/>
              </w:rPr>
              <w:t>Se realiza mesa d</w:t>
            </w:r>
            <w:r>
              <w:rPr>
                <w:rFonts w:asciiTheme="minorHAnsi" w:hAnsiTheme="minorHAnsi" w:cstheme="minorHAnsi"/>
                <w:sz w:val="22"/>
                <w:szCs w:val="22"/>
                <w:lang w:val="es-US" w:eastAsia="es-EC"/>
              </w:rPr>
              <w:t>e trabajo virtual el 26 de mayo entre la SGSG – EPMHV  .</w:t>
            </w:r>
          </w:p>
          <w:p w:rsidR="00665CFC" w:rsidRPr="0041325C" w:rsidRDefault="00665CFC" w:rsidP="00665CFC">
            <w:pPr>
              <w:pStyle w:val="Sinespaciado"/>
              <w:rPr>
                <w:rFonts w:asciiTheme="minorHAnsi" w:hAnsiTheme="minorHAnsi" w:cstheme="minorHAnsi"/>
                <w:sz w:val="22"/>
                <w:szCs w:val="22"/>
                <w:lang w:val="es-US" w:eastAsia="es-EC"/>
              </w:rPr>
            </w:pPr>
            <w:r>
              <w:rPr>
                <w:rFonts w:asciiTheme="minorHAnsi" w:hAnsiTheme="minorHAnsi" w:cstheme="minorHAnsi"/>
                <w:sz w:val="22"/>
                <w:szCs w:val="22"/>
                <w:lang w:val="es-US" w:eastAsia="es-EC"/>
              </w:rPr>
              <w:t xml:space="preserve">Paralelamente se realiza </w:t>
            </w:r>
            <w:r w:rsidRPr="00E649D9">
              <w:rPr>
                <w:rFonts w:asciiTheme="minorHAnsi" w:hAnsiTheme="minorHAnsi" w:cstheme="minorHAnsi"/>
                <w:sz w:val="22"/>
                <w:szCs w:val="22"/>
                <w:lang w:val="es-US" w:eastAsia="es-EC"/>
              </w:rPr>
              <w:t xml:space="preserve">una reunión de trabajo </w:t>
            </w:r>
            <w:r>
              <w:rPr>
                <w:rFonts w:asciiTheme="minorHAnsi" w:hAnsiTheme="minorHAnsi" w:cstheme="minorHAnsi"/>
                <w:sz w:val="22"/>
                <w:szCs w:val="22"/>
                <w:lang w:val="es-US" w:eastAsia="es-EC"/>
              </w:rPr>
              <w:t xml:space="preserve">virtual </w:t>
            </w:r>
            <w:r w:rsidRPr="00E649D9">
              <w:rPr>
                <w:rFonts w:asciiTheme="minorHAnsi" w:hAnsiTheme="minorHAnsi" w:cstheme="minorHAnsi"/>
                <w:sz w:val="22"/>
                <w:szCs w:val="22"/>
                <w:lang w:val="es-US" w:eastAsia="es-EC"/>
              </w:rPr>
              <w:t xml:space="preserve">entre </w:t>
            </w:r>
            <w:r>
              <w:rPr>
                <w:rFonts w:asciiTheme="minorHAnsi" w:hAnsiTheme="minorHAnsi" w:cstheme="minorHAnsi"/>
                <w:sz w:val="22"/>
                <w:szCs w:val="22"/>
                <w:lang w:val="es-US" w:eastAsia="es-EC"/>
              </w:rPr>
              <w:t>la G</w:t>
            </w:r>
            <w:r w:rsidRPr="00E649D9">
              <w:rPr>
                <w:rFonts w:asciiTheme="minorHAnsi" w:hAnsiTheme="minorHAnsi" w:cstheme="minorHAnsi"/>
                <w:sz w:val="22"/>
                <w:szCs w:val="22"/>
                <w:lang w:val="es-US" w:eastAsia="es-EC"/>
              </w:rPr>
              <w:t>erencia</w:t>
            </w:r>
            <w:r>
              <w:rPr>
                <w:rFonts w:asciiTheme="minorHAnsi" w:hAnsiTheme="minorHAnsi" w:cstheme="minorHAnsi"/>
                <w:sz w:val="22"/>
                <w:szCs w:val="22"/>
                <w:lang w:val="es-US" w:eastAsia="es-EC"/>
              </w:rPr>
              <w:t xml:space="preserve"> General de la EPMHV  y la Subsecretaria de vivienda urbana del  MIDUVI para comunicar casos presentados en el Plan de Relocalización.</w:t>
            </w:r>
            <w:r w:rsidRPr="00E649D9">
              <w:rPr>
                <w:rFonts w:asciiTheme="minorHAnsi" w:hAnsiTheme="minorHAnsi" w:cstheme="minorHAnsi"/>
                <w:sz w:val="22"/>
                <w:szCs w:val="22"/>
                <w:lang w:val="es-US" w:eastAsia="es-EC"/>
              </w:rPr>
              <w:t xml:space="preserve"> </w:t>
            </w:r>
          </w:p>
        </w:tc>
        <w:tc>
          <w:tcPr>
            <w:tcW w:w="2835" w:type="dxa"/>
            <w:tcBorders>
              <w:bottom w:val="single" w:sz="4" w:space="0" w:color="auto"/>
            </w:tcBorders>
            <w:shd w:val="clear" w:color="auto" w:fill="FFFFFF" w:themeFill="background1"/>
          </w:tcPr>
          <w:p w:rsidR="00665CFC" w:rsidRDefault="00665CFC" w:rsidP="00665CFC">
            <w:pPr>
              <w:rPr>
                <w:rFonts w:cstheme="minorHAnsi"/>
                <w:color w:val="000000" w:themeColor="text1"/>
                <w:lang w:val="es-EC" w:eastAsia="es-EC"/>
              </w:rPr>
            </w:pPr>
          </w:p>
          <w:p w:rsidR="00665CFC" w:rsidRDefault="00665CFC" w:rsidP="00665CFC">
            <w:pPr>
              <w:rPr>
                <w:rFonts w:cstheme="minorHAnsi"/>
                <w:color w:val="000000" w:themeColor="text1"/>
                <w:lang w:val="es-EC" w:eastAsia="es-EC"/>
              </w:rPr>
            </w:pPr>
          </w:p>
          <w:p w:rsidR="00665CFC" w:rsidRDefault="00665CFC" w:rsidP="00665CFC">
            <w:pPr>
              <w:rPr>
                <w:rFonts w:cstheme="minorHAnsi"/>
                <w:color w:val="000000" w:themeColor="text1"/>
                <w:lang w:val="es-EC" w:eastAsia="es-EC"/>
              </w:rPr>
            </w:pPr>
            <w:r w:rsidRPr="00E649D9">
              <w:rPr>
                <w:rFonts w:cstheme="minorHAnsi"/>
                <w:color w:val="000000" w:themeColor="text1"/>
                <w:lang w:val="es-EC" w:eastAsia="es-EC"/>
              </w:rPr>
              <w:t xml:space="preserve">Paralelamente al 11 de Junio se realizó el 51 %  de las notificaciones respectivas  entre la SGSG y la EPMHV, las actividades  se  realizaron in situ del 4 al 8 de Junio 2020.  </w:t>
            </w:r>
          </w:p>
        </w:tc>
        <w:tc>
          <w:tcPr>
            <w:tcW w:w="2694" w:type="dxa"/>
            <w:shd w:val="clear" w:color="auto" w:fill="FFFFFF" w:themeFill="background1"/>
          </w:tcPr>
          <w:p w:rsidR="00665CFC" w:rsidRDefault="00665CFC" w:rsidP="00665CFC">
            <w:pPr>
              <w:rPr>
                <w:rFonts w:cstheme="minorHAnsi"/>
                <w:color w:val="000000" w:themeColor="text1"/>
                <w:lang w:val="es-EC" w:eastAsia="es-EC"/>
              </w:rPr>
            </w:pPr>
          </w:p>
          <w:p w:rsidR="00665CFC" w:rsidRDefault="00665CFC" w:rsidP="00665CFC">
            <w:pPr>
              <w:rPr>
                <w:rFonts w:cstheme="minorHAnsi"/>
                <w:color w:val="000000" w:themeColor="text1"/>
                <w:lang w:val="es-EC" w:eastAsia="es-EC"/>
              </w:rPr>
            </w:pPr>
          </w:p>
          <w:p w:rsidR="00665CFC" w:rsidRDefault="00665CFC" w:rsidP="00665CFC">
            <w:pPr>
              <w:rPr>
                <w:rFonts w:cstheme="minorHAnsi"/>
                <w:color w:val="000000" w:themeColor="text1"/>
                <w:lang w:val="es-EC" w:eastAsia="es-EC"/>
              </w:rPr>
            </w:pPr>
            <w:r w:rsidRPr="00E32FAE">
              <w:rPr>
                <w:rFonts w:cstheme="minorHAnsi"/>
                <w:color w:val="000000" w:themeColor="text1"/>
                <w:lang w:val="es-EC" w:eastAsia="es-EC"/>
              </w:rPr>
              <w:t>Para el 23 de junio</w:t>
            </w:r>
            <w:r>
              <w:rPr>
                <w:rFonts w:cstheme="minorHAnsi"/>
                <w:color w:val="000000" w:themeColor="text1"/>
                <w:lang w:val="es-EC" w:eastAsia="es-EC"/>
              </w:rPr>
              <w:t xml:space="preserve"> se alcanza un 80</w:t>
            </w:r>
            <w:r w:rsidRPr="00E32FAE">
              <w:rPr>
                <w:rFonts w:cstheme="minorHAnsi"/>
                <w:color w:val="000000" w:themeColor="text1"/>
                <w:lang w:val="es-EC" w:eastAsia="es-EC"/>
              </w:rPr>
              <w:t>% de notificaciones entregadas</w:t>
            </w:r>
            <w:r>
              <w:rPr>
                <w:rFonts w:cstheme="minorHAnsi"/>
                <w:color w:val="000000" w:themeColor="text1"/>
                <w:lang w:val="es-EC" w:eastAsia="es-EC"/>
              </w:rPr>
              <w:t xml:space="preserve"> de parte de la EPMHV </w:t>
            </w:r>
            <w:r w:rsidRPr="00E32FAE">
              <w:rPr>
                <w:rFonts w:cstheme="minorHAnsi"/>
                <w:color w:val="000000" w:themeColor="text1"/>
                <w:lang w:val="es-EC" w:eastAsia="es-EC"/>
              </w:rPr>
              <w:t xml:space="preserve">.   Una vez realizado el proceso de depuración de las  viviendas sin escriturar </w:t>
            </w:r>
            <w:r>
              <w:rPr>
                <w:rFonts w:cstheme="minorHAnsi"/>
                <w:color w:val="000000" w:themeColor="text1"/>
                <w:lang w:val="es-EC" w:eastAsia="es-EC"/>
              </w:rPr>
              <w:t>se establecen los siguientes resultados :</w:t>
            </w:r>
          </w:p>
          <w:p w:rsidR="00665CFC" w:rsidRPr="003451E1" w:rsidRDefault="00665CFC" w:rsidP="00665CFC">
            <w:pPr>
              <w:rPr>
                <w:rFonts w:cstheme="minorHAnsi"/>
                <w:color w:val="000000" w:themeColor="text1"/>
                <w:lang w:val="es-EC" w:eastAsia="es-EC"/>
              </w:rPr>
            </w:pPr>
            <w:r>
              <w:rPr>
                <w:rFonts w:cstheme="minorHAnsi"/>
                <w:color w:val="000000" w:themeColor="text1"/>
                <w:lang w:val="es-EC" w:eastAsia="es-EC"/>
              </w:rPr>
              <w:t>-12 procesos en trámite de escrituración.                        -9 escrituras ya realizadas.</w:t>
            </w:r>
          </w:p>
        </w:tc>
        <w:tc>
          <w:tcPr>
            <w:tcW w:w="2806" w:type="dxa"/>
            <w:tcBorders>
              <w:top w:val="single" w:sz="4" w:space="0" w:color="auto"/>
            </w:tcBorders>
            <w:shd w:val="clear" w:color="auto" w:fill="FFFFFF" w:themeFill="background1"/>
          </w:tcPr>
          <w:p w:rsidR="00665CFC" w:rsidRDefault="00665CFC" w:rsidP="00665CFC">
            <w:pPr>
              <w:rPr>
                <w:rFonts w:cstheme="minorHAnsi"/>
                <w:lang w:val="es-EC" w:eastAsia="es-EC"/>
              </w:rPr>
            </w:pPr>
          </w:p>
          <w:p w:rsidR="00665CFC" w:rsidRDefault="00665CFC" w:rsidP="00665CFC">
            <w:pPr>
              <w:rPr>
                <w:rFonts w:cstheme="minorHAnsi"/>
                <w:lang w:val="es-EC" w:eastAsia="es-EC"/>
              </w:rPr>
            </w:pPr>
          </w:p>
          <w:p w:rsidR="00665CFC" w:rsidRDefault="00665CFC" w:rsidP="00665CFC">
            <w:pPr>
              <w:rPr>
                <w:rFonts w:cstheme="minorHAnsi"/>
                <w:lang w:val="es-EC" w:eastAsia="es-EC"/>
              </w:rPr>
            </w:pPr>
            <w:r>
              <w:rPr>
                <w:rFonts w:cstheme="minorHAnsi"/>
                <w:lang w:val="es-EC" w:eastAsia="es-EC"/>
              </w:rPr>
              <w:t xml:space="preserve">La </w:t>
            </w:r>
            <w:r w:rsidRPr="006823A3">
              <w:rPr>
                <w:rFonts w:cstheme="minorHAnsi"/>
                <w:lang w:val="es-EC" w:eastAsia="es-EC"/>
              </w:rPr>
              <w:t>EPMHV</w:t>
            </w:r>
            <w:r>
              <w:rPr>
                <w:rFonts w:cstheme="minorHAnsi"/>
                <w:lang w:val="es-EC" w:eastAsia="es-EC"/>
              </w:rPr>
              <w:t xml:space="preserve"> con un 90% de información levantada </w:t>
            </w:r>
            <w:r w:rsidRPr="006823A3">
              <w:rPr>
                <w:rFonts w:cstheme="minorHAnsi"/>
                <w:lang w:val="es-EC" w:eastAsia="es-EC"/>
              </w:rPr>
              <w:t xml:space="preserve"> deberá realizar</w:t>
            </w:r>
            <w:r>
              <w:rPr>
                <w:rFonts w:cstheme="minorHAnsi"/>
                <w:lang w:val="es-EC" w:eastAsia="es-EC"/>
              </w:rPr>
              <w:t xml:space="preserve"> una última depuración previo</w:t>
            </w:r>
            <w:r w:rsidRPr="006823A3">
              <w:rPr>
                <w:rFonts w:cstheme="minorHAnsi"/>
                <w:lang w:val="es-EC" w:eastAsia="es-EC"/>
              </w:rPr>
              <w:t xml:space="preserve"> pedido al MIDUVI de  asignac</w:t>
            </w:r>
            <w:r>
              <w:rPr>
                <w:rFonts w:cstheme="minorHAnsi"/>
                <w:lang w:val="es-EC" w:eastAsia="es-EC"/>
              </w:rPr>
              <w:t>ión de bonos de titularización para 172 viviendas que no tienen escrituras y no han respondido al proceso de escrituración por su situación socioeconómica</w:t>
            </w:r>
          </w:p>
        </w:tc>
        <w:tc>
          <w:tcPr>
            <w:tcW w:w="2296" w:type="dxa"/>
            <w:tcBorders>
              <w:top w:val="single" w:sz="4" w:space="0" w:color="auto"/>
            </w:tcBorders>
            <w:shd w:val="clear" w:color="auto" w:fill="FFFFFF" w:themeFill="background1"/>
          </w:tcPr>
          <w:p w:rsidR="00665CFC" w:rsidRDefault="00665CFC" w:rsidP="00665CFC">
            <w:pPr>
              <w:rPr>
                <w:rFonts w:cstheme="minorHAnsi"/>
                <w:lang w:val="es-EC" w:eastAsia="es-EC"/>
              </w:rPr>
            </w:pPr>
          </w:p>
        </w:tc>
        <w:tc>
          <w:tcPr>
            <w:tcW w:w="2551" w:type="dxa"/>
            <w:tcBorders>
              <w:top w:val="single" w:sz="4" w:space="0" w:color="auto"/>
            </w:tcBorders>
            <w:shd w:val="clear" w:color="auto" w:fill="FFFFFF" w:themeFill="background1"/>
          </w:tcPr>
          <w:p w:rsidR="00665CFC" w:rsidRDefault="00665CFC" w:rsidP="00665CFC">
            <w:pPr>
              <w:rPr>
                <w:rFonts w:cstheme="minorHAnsi"/>
                <w:lang w:val="es-EC" w:eastAsia="es-EC"/>
              </w:rPr>
            </w:pPr>
          </w:p>
        </w:tc>
        <w:tc>
          <w:tcPr>
            <w:tcW w:w="2551" w:type="dxa"/>
            <w:tcBorders>
              <w:top w:val="single" w:sz="4" w:space="0" w:color="auto"/>
            </w:tcBorders>
            <w:shd w:val="clear" w:color="auto" w:fill="FFFFFF" w:themeFill="background1"/>
          </w:tcPr>
          <w:p w:rsidR="00665CFC" w:rsidRDefault="00665CFC" w:rsidP="00665CFC">
            <w:pPr>
              <w:rPr>
                <w:rFonts w:cstheme="minorHAnsi"/>
                <w:lang w:val="es-EC" w:eastAsia="es-EC"/>
              </w:rPr>
            </w:pPr>
          </w:p>
        </w:tc>
      </w:tr>
      <w:tr w:rsidR="00665CFC" w:rsidTr="00665CFC">
        <w:trPr>
          <w:gridAfter w:val="2"/>
          <w:wAfter w:w="5102" w:type="dxa"/>
          <w:trHeight w:val="416"/>
        </w:trPr>
        <w:tc>
          <w:tcPr>
            <w:tcW w:w="3997" w:type="dxa"/>
            <w:shd w:val="clear" w:color="auto" w:fill="D9D9D9" w:themeFill="background1" w:themeFillShade="D9"/>
          </w:tcPr>
          <w:p w:rsidR="00665CFC" w:rsidRPr="00785DF3" w:rsidRDefault="00665CFC" w:rsidP="00665CFC">
            <w:pPr>
              <w:spacing w:after="50" w:line="216" w:lineRule="auto"/>
              <w:contextualSpacing/>
              <w:rPr>
                <w:rFonts w:eastAsiaTheme="minorEastAsia" w:cstheme="minorHAnsi"/>
                <w:bCs/>
                <w:kern w:val="24"/>
              </w:rPr>
            </w:pPr>
            <w:r w:rsidRPr="000F6186">
              <w:rPr>
                <w:rFonts w:cstheme="minorHAnsi"/>
                <w:b/>
              </w:rPr>
              <w:lastRenderedPageBreak/>
              <w:t>ACTIVIDADES</w:t>
            </w:r>
            <w:r>
              <w:rPr>
                <w:rFonts w:cstheme="minorHAnsi"/>
                <w:b/>
              </w:rPr>
              <w:t xml:space="preserve"> DE INICIO</w:t>
            </w:r>
          </w:p>
        </w:tc>
        <w:tc>
          <w:tcPr>
            <w:tcW w:w="3120" w:type="dxa"/>
            <w:shd w:val="clear" w:color="auto" w:fill="D9D9D9" w:themeFill="background1" w:themeFillShade="D9"/>
          </w:tcPr>
          <w:p w:rsidR="00665CFC" w:rsidRPr="00331BBE" w:rsidRDefault="00665CFC" w:rsidP="00665CFC">
            <w:pPr>
              <w:pStyle w:val="Sinespaciado"/>
              <w:rPr>
                <w:rFonts w:ascii="Calibri" w:hAnsi="Calibri" w:cs="Calibri"/>
                <w:sz w:val="22"/>
                <w:szCs w:val="22"/>
                <w:lang w:val="es-EC" w:eastAsia="es-EC"/>
              </w:rPr>
            </w:pPr>
            <w:r w:rsidRPr="00331BBE">
              <w:rPr>
                <w:rFonts w:ascii="Calibri" w:hAnsi="Calibri" w:cs="Calibri"/>
                <w:b/>
                <w:sz w:val="22"/>
                <w:szCs w:val="22"/>
              </w:rPr>
              <w:t>GESTIÓN AL 27 DE MAYO</w:t>
            </w:r>
          </w:p>
        </w:tc>
        <w:tc>
          <w:tcPr>
            <w:tcW w:w="2835" w:type="dxa"/>
            <w:shd w:val="clear" w:color="auto" w:fill="D9D9D9" w:themeFill="background1" w:themeFillShade="D9"/>
          </w:tcPr>
          <w:p w:rsidR="00665CFC" w:rsidRDefault="00665CFC" w:rsidP="00665CFC">
            <w:pPr>
              <w:rPr>
                <w:rFonts w:cstheme="minorHAnsi"/>
                <w:color w:val="000000" w:themeColor="text1"/>
                <w:lang w:val="es-EC" w:eastAsia="es-EC"/>
              </w:rPr>
            </w:pPr>
            <w:r>
              <w:rPr>
                <w:rFonts w:cstheme="minorHAnsi"/>
                <w:b/>
              </w:rPr>
              <w:t>GESTIÓN AL 11 DE JUNIO</w:t>
            </w:r>
          </w:p>
        </w:tc>
        <w:tc>
          <w:tcPr>
            <w:tcW w:w="2694" w:type="dxa"/>
            <w:shd w:val="clear" w:color="auto" w:fill="D9D9D9" w:themeFill="background1" w:themeFillShade="D9"/>
          </w:tcPr>
          <w:p w:rsidR="00665CFC" w:rsidRDefault="00665CFC" w:rsidP="00665CFC">
            <w:pPr>
              <w:jc w:val="center"/>
              <w:rPr>
                <w:rFonts w:cstheme="minorHAnsi"/>
                <w:b/>
              </w:rPr>
            </w:pPr>
            <w:r>
              <w:rPr>
                <w:rFonts w:cstheme="minorHAnsi"/>
                <w:b/>
              </w:rPr>
              <w:t xml:space="preserve">GESTIÓN AL 24 DE JUNIO </w:t>
            </w:r>
          </w:p>
        </w:tc>
        <w:tc>
          <w:tcPr>
            <w:tcW w:w="2806" w:type="dxa"/>
            <w:shd w:val="clear" w:color="auto" w:fill="D9D9D9" w:themeFill="background1" w:themeFillShade="D9"/>
          </w:tcPr>
          <w:p w:rsidR="00665CFC" w:rsidRDefault="00665CFC" w:rsidP="00665CFC">
            <w:pPr>
              <w:rPr>
                <w:rFonts w:cstheme="minorHAnsi"/>
                <w:lang w:val="es-EC" w:eastAsia="es-EC"/>
              </w:rPr>
            </w:pPr>
            <w:r>
              <w:rPr>
                <w:rFonts w:cstheme="minorHAnsi"/>
                <w:b/>
              </w:rPr>
              <w:t>ESTADO ACTUAL</w:t>
            </w:r>
          </w:p>
        </w:tc>
        <w:tc>
          <w:tcPr>
            <w:tcW w:w="2296" w:type="dxa"/>
            <w:shd w:val="clear" w:color="auto" w:fill="FFFFFF" w:themeFill="background1"/>
          </w:tcPr>
          <w:p w:rsidR="00665CFC" w:rsidRDefault="00665CFC" w:rsidP="00665CFC">
            <w:pPr>
              <w:rPr>
                <w:rFonts w:cstheme="minorHAnsi"/>
                <w:lang w:val="es-EC" w:eastAsia="es-EC"/>
              </w:rPr>
            </w:pPr>
          </w:p>
        </w:tc>
      </w:tr>
      <w:tr w:rsidR="00665CFC" w:rsidTr="00665CFC">
        <w:trPr>
          <w:trHeight w:val="135"/>
        </w:trPr>
        <w:tc>
          <w:tcPr>
            <w:tcW w:w="3997" w:type="dxa"/>
            <w:shd w:val="clear" w:color="auto" w:fill="auto"/>
          </w:tcPr>
          <w:p w:rsidR="00665CFC" w:rsidRPr="00785DF3" w:rsidRDefault="00665CFC" w:rsidP="00665CFC">
            <w:pPr>
              <w:spacing w:after="50" w:line="216" w:lineRule="auto"/>
              <w:contextualSpacing/>
              <w:rPr>
                <w:rFonts w:eastAsiaTheme="minorEastAsia" w:cstheme="minorHAnsi"/>
                <w:bCs/>
                <w:kern w:val="24"/>
              </w:rPr>
            </w:pPr>
          </w:p>
        </w:tc>
        <w:tc>
          <w:tcPr>
            <w:tcW w:w="3120" w:type="dxa"/>
            <w:shd w:val="clear" w:color="auto" w:fill="auto"/>
          </w:tcPr>
          <w:p w:rsidR="00665CFC" w:rsidRPr="00CF0F33" w:rsidRDefault="00665CFC" w:rsidP="00665CFC">
            <w:pPr>
              <w:pStyle w:val="Sinespaciado"/>
              <w:rPr>
                <w:rFonts w:ascii="Calibri" w:hAnsi="Calibri" w:cs="Calibri"/>
                <w:sz w:val="22"/>
                <w:szCs w:val="22"/>
                <w:lang w:val="es-EC" w:eastAsia="es-EC"/>
              </w:rPr>
            </w:pPr>
          </w:p>
        </w:tc>
        <w:tc>
          <w:tcPr>
            <w:tcW w:w="2835" w:type="dxa"/>
            <w:tcBorders>
              <w:bottom w:val="single" w:sz="4" w:space="0" w:color="auto"/>
            </w:tcBorders>
            <w:shd w:val="clear" w:color="auto" w:fill="auto"/>
          </w:tcPr>
          <w:p w:rsidR="00665CFC" w:rsidRDefault="00665CFC" w:rsidP="00665CFC">
            <w:pPr>
              <w:rPr>
                <w:rFonts w:cstheme="minorHAnsi"/>
                <w:color w:val="000000" w:themeColor="text1"/>
                <w:lang w:val="es-EC" w:eastAsia="es-EC"/>
              </w:rPr>
            </w:pPr>
          </w:p>
        </w:tc>
        <w:tc>
          <w:tcPr>
            <w:tcW w:w="2694" w:type="dxa"/>
            <w:shd w:val="clear" w:color="auto" w:fill="auto"/>
          </w:tcPr>
          <w:p w:rsidR="00665CFC" w:rsidRDefault="00665CFC" w:rsidP="00665CFC">
            <w:pPr>
              <w:rPr>
                <w:rFonts w:cstheme="minorHAnsi"/>
                <w:b/>
              </w:rPr>
            </w:pPr>
          </w:p>
        </w:tc>
        <w:tc>
          <w:tcPr>
            <w:tcW w:w="2806" w:type="dxa"/>
            <w:tcBorders>
              <w:top w:val="single" w:sz="4" w:space="0" w:color="auto"/>
            </w:tcBorders>
            <w:shd w:val="clear" w:color="auto" w:fill="auto"/>
          </w:tcPr>
          <w:p w:rsidR="00665CFC" w:rsidRDefault="00665CFC" w:rsidP="00665CFC">
            <w:pPr>
              <w:rPr>
                <w:rFonts w:cstheme="minorHAnsi"/>
                <w:lang w:val="es-EC" w:eastAsia="es-EC"/>
              </w:rPr>
            </w:pPr>
          </w:p>
        </w:tc>
        <w:tc>
          <w:tcPr>
            <w:tcW w:w="2296" w:type="dxa"/>
            <w:shd w:val="clear" w:color="auto" w:fill="FFFFFF" w:themeFill="background1"/>
          </w:tcPr>
          <w:p w:rsidR="00665CFC" w:rsidRDefault="00665CFC" w:rsidP="00665CFC">
            <w:pPr>
              <w:rPr>
                <w:rFonts w:cstheme="minorHAnsi"/>
                <w:shd w:val="clear" w:color="auto" w:fill="7030A0"/>
                <w:lang w:val="es-EC" w:eastAsia="es-EC"/>
              </w:rPr>
            </w:pPr>
          </w:p>
        </w:tc>
        <w:tc>
          <w:tcPr>
            <w:tcW w:w="2551" w:type="dxa"/>
            <w:shd w:val="clear" w:color="auto" w:fill="FFFFFF" w:themeFill="background1"/>
          </w:tcPr>
          <w:p w:rsidR="00665CFC" w:rsidRDefault="00665CFC" w:rsidP="00665CFC">
            <w:pPr>
              <w:rPr>
                <w:rFonts w:cstheme="minorHAnsi"/>
                <w:shd w:val="clear" w:color="auto" w:fill="7030A0"/>
                <w:lang w:val="es-EC" w:eastAsia="es-EC"/>
              </w:rPr>
            </w:pPr>
          </w:p>
        </w:tc>
        <w:tc>
          <w:tcPr>
            <w:tcW w:w="2551" w:type="dxa"/>
            <w:shd w:val="clear" w:color="auto" w:fill="FFFFFF" w:themeFill="background1"/>
          </w:tcPr>
          <w:p w:rsidR="00665CFC" w:rsidRDefault="00665CFC" w:rsidP="00665CFC">
            <w:pPr>
              <w:rPr>
                <w:rFonts w:cstheme="minorHAnsi"/>
                <w:shd w:val="clear" w:color="auto" w:fill="7030A0"/>
                <w:lang w:val="es-EC" w:eastAsia="es-EC"/>
              </w:rPr>
            </w:pPr>
          </w:p>
        </w:tc>
      </w:tr>
      <w:tr w:rsidR="00665CFC" w:rsidTr="00665CFC">
        <w:trPr>
          <w:trHeight w:val="4098"/>
        </w:trPr>
        <w:tc>
          <w:tcPr>
            <w:tcW w:w="3997" w:type="dxa"/>
          </w:tcPr>
          <w:p w:rsidR="00665CFC" w:rsidRDefault="00060948" w:rsidP="00665CFC">
            <w:r>
              <w:rPr>
                <w:rFonts w:cstheme="minorHAnsi"/>
                <w:bCs/>
                <w:lang w:val="es-ES_tradnl"/>
              </w:rPr>
              <w:t>Estudio de factibilidad a 171</w:t>
            </w:r>
            <w:r w:rsidR="00665CFC" w:rsidRPr="00785DF3">
              <w:rPr>
                <w:rFonts w:cstheme="minorHAnsi"/>
                <w:bCs/>
                <w:lang w:val="es-ES_tradnl"/>
              </w:rPr>
              <w:t xml:space="preserve">  familias relocalizadas asignadas al Proyecto Victoria del Sur para determinación de vulnerabilidad especial y asignación de bonos respectivos.</w:t>
            </w:r>
          </w:p>
        </w:tc>
        <w:tc>
          <w:tcPr>
            <w:tcW w:w="3120" w:type="dxa"/>
          </w:tcPr>
          <w:p w:rsidR="00665CFC" w:rsidRPr="00785DF3" w:rsidRDefault="00665CFC" w:rsidP="00665CFC">
            <w:pPr>
              <w:pStyle w:val="Sinespaciado"/>
              <w:jc w:val="both"/>
              <w:rPr>
                <w:rFonts w:asciiTheme="minorHAnsi" w:hAnsiTheme="minorHAnsi" w:cstheme="minorHAnsi"/>
                <w:sz w:val="22"/>
                <w:szCs w:val="22"/>
                <w:lang w:val="es-EC" w:eastAsia="es-EC"/>
              </w:rPr>
            </w:pPr>
            <w:r>
              <w:rPr>
                <w:rFonts w:asciiTheme="minorHAnsi" w:hAnsiTheme="minorHAnsi" w:cstheme="minorHAnsi"/>
                <w:sz w:val="22"/>
                <w:szCs w:val="22"/>
                <w:lang w:val="es-US" w:eastAsia="es-EC"/>
              </w:rPr>
              <w:t>Inicio del Estudio</w:t>
            </w:r>
            <w:r w:rsidRPr="00D11447">
              <w:rPr>
                <w:rFonts w:asciiTheme="minorHAnsi" w:hAnsiTheme="minorHAnsi" w:cstheme="minorHAnsi"/>
                <w:sz w:val="22"/>
                <w:szCs w:val="22"/>
                <w:lang w:val="es-EC" w:eastAsia="es-EC"/>
              </w:rPr>
              <w:t xml:space="preserve"> Comparativo </w:t>
            </w:r>
            <w:r>
              <w:rPr>
                <w:rFonts w:asciiTheme="minorHAnsi" w:hAnsiTheme="minorHAnsi" w:cstheme="minorHAnsi"/>
                <w:sz w:val="22"/>
                <w:szCs w:val="22"/>
                <w:lang w:val="es-EC" w:eastAsia="es-EC"/>
              </w:rPr>
              <w:t xml:space="preserve"> y de priorización </w:t>
            </w:r>
            <w:r w:rsidRPr="00D11447">
              <w:rPr>
                <w:rFonts w:asciiTheme="minorHAnsi" w:hAnsiTheme="minorHAnsi" w:cstheme="minorHAnsi"/>
                <w:sz w:val="22"/>
                <w:szCs w:val="22"/>
                <w:lang w:val="es-EC" w:eastAsia="es-EC"/>
              </w:rPr>
              <w:t>con Base del Registro Social y B</w:t>
            </w:r>
            <w:r>
              <w:rPr>
                <w:rFonts w:asciiTheme="minorHAnsi" w:hAnsiTheme="minorHAnsi" w:cstheme="minorHAnsi"/>
                <w:sz w:val="22"/>
                <w:szCs w:val="22"/>
                <w:lang w:val="es-EC" w:eastAsia="es-EC"/>
              </w:rPr>
              <w:t>ase del Bono de Desarrollo Humano</w:t>
            </w:r>
            <w:r w:rsidR="00060948">
              <w:rPr>
                <w:rFonts w:asciiTheme="minorHAnsi" w:hAnsiTheme="minorHAnsi" w:cstheme="minorHAnsi"/>
                <w:sz w:val="22"/>
                <w:szCs w:val="22"/>
                <w:lang w:val="es-EC" w:eastAsia="es-EC"/>
              </w:rPr>
              <w:t xml:space="preserve"> inicia con 188 beneficiarios debido a la actualización en la calificación de beneficiarios</w:t>
            </w:r>
            <w:r>
              <w:rPr>
                <w:rFonts w:asciiTheme="minorHAnsi" w:hAnsiTheme="minorHAnsi" w:cstheme="minorHAnsi"/>
                <w:sz w:val="22"/>
                <w:szCs w:val="22"/>
                <w:lang w:val="es-EC" w:eastAsia="es-EC"/>
              </w:rPr>
              <w:t xml:space="preserve"> </w:t>
            </w:r>
            <w:r w:rsidRPr="00D11447">
              <w:rPr>
                <w:rFonts w:asciiTheme="minorHAnsi" w:hAnsiTheme="minorHAnsi" w:cstheme="minorHAnsi"/>
                <w:sz w:val="22"/>
                <w:szCs w:val="22"/>
                <w:lang w:val="es-EC" w:eastAsia="es-EC"/>
              </w:rPr>
              <w:t>realizado por la SGSG</w:t>
            </w:r>
            <w:r>
              <w:rPr>
                <w:rFonts w:asciiTheme="minorHAnsi" w:hAnsiTheme="minorHAnsi" w:cstheme="minorHAnsi"/>
                <w:sz w:val="22"/>
                <w:szCs w:val="22"/>
                <w:lang w:val="es-EC" w:eastAsia="es-EC"/>
              </w:rPr>
              <w:t xml:space="preserve">, </w:t>
            </w:r>
            <w:r w:rsidR="00060948">
              <w:rPr>
                <w:rFonts w:asciiTheme="minorHAnsi" w:hAnsiTheme="minorHAnsi" w:cstheme="minorHAnsi"/>
                <w:sz w:val="22"/>
                <w:szCs w:val="22"/>
                <w:lang w:val="es-EC" w:eastAsia="es-EC"/>
              </w:rPr>
              <w:t xml:space="preserve">se presenta un </w:t>
            </w:r>
            <w:bookmarkStart w:id="0" w:name="_GoBack"/>
            <w:bookmarkEnd w:id="0"/>
            <w:r>
              <w:rPr>
                <w:rFonts w:asciiTheme="minorHAnsi" w:hAnsiTheme="minorHAnsi" w:cstheme="minorHAnsi"/>
                <w:sz w:val="22"/>
                <w:szCs w:val="22"/>
                <w:lang w:val="es-EC" w:eastAsia="es-EC"/>
              </w:rPr>
              <w:t>avance del 40 %.</w:t>
            </w:r>
            <w:r w:rsidRPr="00785DF3">
              <w:rPr>
                <w:rFonts w:asciiTheme="minorHAnsi" w:hAnsiTheme="minorHAnsi" w:cstheme="minorHAnsi"/>
                <w:sz w:val="22"/>
                <w:szCs w:val="22"/>
                <w:lang w:val="es-EC" w:eastAsia="es-EC"/>
              </w:rPr>
              <w:t xml:space="preserve"> </w:t>
            </w:r>
          </w:p>
          <w:p w:rsidR="00665CFC" w:rsidRDefault="00665CFC" w:rsidP="00665CFC"/>
        </w:tc>
        <w:tc>
          <w:tcPr>
            <w:tcW w:w="2835" w:type="dxa"/>
            <w:shd w:val="clear" w:color="auto" w:fill="FFFFFF" w:themeFill="background1"/>
          </w:tcPr>
          <w:p w:rsidR="00665CFC" w:rsidRDefault="00665CFC" w:rsidP="00665CFC">
            <w:pPr>
              <w:rPr>
                <w:rFonts w:cstheme="minorHAnsi"/>
                <w:lang w:val="es-EC" w:eastAsia="es-EC"/>
              </w:rPr>
            </w:pPr>
            <w:r>
              <w:rPr>
                <w:rFonts w:cstheme="minorHAnsi"/>
                <w:lang w:val="es-EC" w:eastAsia="es-EC"/>
              </w:rPr>
              <w:t xml:space="preserve">Al 11 de junio avance del estudio comparativo y de priorización  mencionado y realizado por la SGSG en un 80%. </w:t>
            </w:r>
          </w:p>
          <w:p w:rsidR="00665CFC" w:rsidRPr="00135C0B" w:rsidRDefault="00665CFC" w:rsidP="00665CFC">
            <w:pPr>
              <w:rPr>
                <w:rFonts w:cstheme="minorHAnsi"/>
                <w:color w:val="000000" w:themeColor="text1"/>
                <w:highlight w:val="cyan"/>
                <w:lang w:val="es-EC" w:eastAsia="es-EC"/>
              </w:rPr>
            </w:pPr>
          </w:p>
        </w:tc>
        <w:tc>
          <w:tcPr>
            <w:tcW w:w="2694" w:type="dxa"/>
            <w:shd w:val="clear" w:color="auto" w:fill="FFFFFF" w:themeFill="background1"/>
          </w:tcPr>
          <w:p w:rsidR="00665CFC" w:rsidRDefault="00665CFC" w:rsidP="00665CFC">
            <w:pPr>
              <w:rPr>
                <w:rFonts w:cstheme="minorHAnsi"/>
                <w:lang w:val="es-EC" w:eastAsia="es-EC"/>
              </w:rPr>
            </w:pPr>
            <w:r>
              <w:rPr>
                <w:rFonts w:cstheme="minorHAnsi"/>
                <w:lang w:val="es-EC" w:eastAsia="es-EC"/>
              </w:rPr>
              <w:t xml:space="preserve">Al 23 de Junio  la SGSG </w:t>
            </w:r>
            <w:r w:rsidRPr="00D11447">
              <w:rPr>
                <w:rFonts w:cstheme="minorHAnsi"/>
                <w:lang w:val="es-EC" w:eastAsia="es-EC"/>
              </w:rPr>
              <w:t xml:space="preserve">cuenta con el 100% del estudio y listados respectivos.  </w:t>
            </w:r>
            <w:r>
              <w:rPr>
                <w:rFonts w:cstheme="minorHAnsi"/>
                <w:lang w:val="es-EC" w:eastAsia="es-EC"/>
              </w:rPr>
              <w:t xml:space="preserve">         Mediante oficio</w:t>
            </w:r>
            <w:r w:rsidRPr="00D11447">
              <w:rPr>
                <w:rFonts w:cstheme="minorHAnsi"/>
                <w:lang w:val="es-EC" w:eastAsia="es-EC"/>
              </w:rPr>
              <w:t xml:space="preserve"> </w:t>
            </w:r>
            <w:r w:rsidRPr="00D11447">
              <w:rPr>
                <w:rFonts w:cstheme="minorHAnsi"/>
                <w:lang w:eastAsia="es-EC"/>
              </w:rPr>
              <w:t xml:space="preserve">SGSG-DMGR-R- 942 al 946 </w:t>
            </w:r>
            <w:r>
              <w:rPr>
                <w:rFonts w:cstheme="minorHAnsi"/>
                <w:lang w:eastAsia="es-EC"/>
              </w:rPr>
              <w:t xml:space="preserve">del 12 de junio </w:t>
            </w:r>
            <w:r w:rsidRPr="00D11447">
              <w:rPr>
                <w:rFonts w:cstheme="minorHAnsi"/>
                <w:lang w:eastAsia="es-EC"/>
              </w:rPr>
              <w:t>se solicitó a las Administraciones Zonales convalidar la información de</w:t>
            </w:r>
            <w:r w:rsidRPr="00D11447">
              <w:rPr>
                <w:rFonts w:cstheme="minorHAnsi"/>
                <w:lang w:val="es-EC" w:eastAsia="es-EC"/>
              </w:rPr>
              <w:t xml:space="preserve"> beneficiarios relocalizados</w:t>
            </w:r>
            <w:r>
              <w:rPr>
                <w:rFonts w:cstheme="minorHAnsi"/>
                <w:lang w:val="es-EC" w:eastAsia="es-EC"/>
              </w:rPr>
              <w:t xml:space="preserve"> de sus jurisdicciones que puedan ser sujetos de estos beneficios.</w:t>
            </w:r>
          </w:p>
        </w:tc>
        <w:tc>
          <w:tcPr>
            <w:tcW w:w="2806" w:type="dxa"/>
            <w:shd w:val="clear" w:color="auto" w:fill="FFFFFF" w:themeFill="background1"/>
          </w:tcPr>
          <w:p w:rsidR="00665CFC" w:rsidRDefault="00665CFC" w:rsidP="00665CFC">
            <w:pPr>
              <w:rPr>
                <w:rFonts w:cstheme="minorHAnsi"/>
                <w:lang w:val="es-EC" w:eastAsia="es-EC"/>
              </w:rPr>
            </w:pPr>
            <w:r w:rsidRPr="00EB5D29">
              <w:rPr>
                <w:rFonts w:cstheme="minorHAnsi"/>
                <w:lang w:val="es-EC" w:eastAsia="es-EC"/>
              </w:rPr>
              <w:t>Ante la falta de respuesta de las Admini</w:t>
            </w:r>
            <w:r>
              <w:rPr>
                <w:rFonts w:cstheme="minorHAnsi"/>
                <w:lang w:val="es-EC" w:eastAsia="es-EC"/>
              </w:rPr>
              <w:t xml:space="preserve">straciones Zonales la SGSG está realizando seguimiento respectivo y enviará  un oficio de </w:t>
            </w:r>
            <w:r w:rsidRPr="00EB5D29">
              <w:rPr>
                <w:rFonts w:cstheme="minorHAnsi"/>
                <w:lang w:val="es-EC" w:eastAsia="es-EC"/>
              </w:rPr>
              <w:t xml:space="preserve"> insistencia a la Secretaría de Coordinación Territorial y  Participación ciudadana para que las Zonales  respondan  con  lo solicitado.</w:t>
            </w:r>
          </w:p>
        </w:tc>
        <w:tc>
          <w:tcPr>
            <w:tcW w:w="2296" w:type="dxa"/>
            <w:shd w:val="clear" w:color="auto" w:fill="FFFFFF" w:themeFill="background1"/>
          </w:tcPr>
          <w:p w:rsidR="00665CFC" w:rsidRDefault="00665CFC" w:rsidP="00665CFC">
            <w:pPr>
              <w:rPr>
                <w:rFonts w:cstheme="minorHAnsi"/>
                <w:lang w:val="es-EC" w:eastAsia="es-EC"/>
              </w:rPr>
            </w:pPr>
          </w:p>
        </w:tc>
        <w:tc>
          <w:tcPr>
            <w:tcW w:w="2551" w:type="dxa"/>
            <w:shd w:val="clear" w:color="auto" w:fill="FFFFFF" w:themeFill="background1"/>
          </w:tcPr>
          <w:p w:rsidR="00665CFC" w:rsidRDefault="00665CFC" w:rsidP="00665CFC">
            <w:pPr>
              <w:rPr>
                <w:rFonts w:cstheme="minorHAnsi"/>
                <w:lang w:val="es-EC" w:eastAsia="es-EC"/>
              </w:rPr>
            </w:pPr>
          </w:p>
        </w:tc>
        <w:tc>
          <w:tcPr>
            <w:tcW w:w="2551" w:type="dxa"/>
            <w:shd w:val="clear" w:color="auto" w:fill="FFFFFF" w:themeFill="background1"/>
          </w:tcPr>
          <w:p w:rsidR="00665CFC" w:rsidRDefault="00665CFC" w:rsidP="00665CFC">
            <w:pPr>
              <w:rPr>
                <w:rFonts w:cstheme="minorHAnsi"/>
                <w:lang w:val="es-EC" w:eastAsia="es-EC"/>
              </w:rPr>
            </w:pPr>
          </w:p>
        </w:tc>
      </w:tr>
      <w:tr w:rsidR="00665CFC" w:rsidTr="00665CFC">
        <w:trPr>
          <w:trHeight w:val="473"/>
        </w:trPr>
        <w:tc>
          <w:tcPr>
            <w:tcW w:w="3997" w:type="dxa"/>
          </w:tcPr>
          <w:p w:rsidR="00665CFC" w:rsidRDefault="00665CFC" w:rsidP="00665CFC"/>
          <w:p w:rsidR="00665CFC" w:rsidRDefault="00665CFC" w:rsidP="00665CFC">
            <w:r w:rsidRPr="00785DF3">
              <w:rPr>
                <w:rFonts w:cstheme="minorHAnsi"/>
              </w:rPr>
              <w:t>Asignación de 270 viviendas a familias relocalizadas del Proyecto Victoria del Sur en las manzanas 11,12,14 y 15</w:t>
            </w:r>
          </w:p>
        </w:tc>
        <w:tc>
          <w:tcPr>
            <w:tcW w:w="3120" w:type="dxa"/>
          </w:tcPr>
          <w:p w:rsidR="00665CFC" w:rsidRPr="0077042A" w:rsidRDefault="00665CFC" w:rsidP="00665CFC">
            <w:pPr>
              <w:pStyle w:val="Sinespaciado"/>
              <w:rPr>
                <w:rFonts w:asciiTheme="minorHAnsi" w:hAnsiTheme="minorHAnsi" w:cstheme="minorHAnsi"/>
                <w:sz w:val="22"/>
                <w:szCs w:val="22"/>
                <w:lang w:val="es-EC" w:eastAsia="es-EC"/>
              </w:rPr>
            </w:pPr>
            <w:r w:rsidRPr="00785DF3">
              <w:rPr>
                <w:rFonts w:asciiTheme="minorHAnsi" w:hAnsiTheme="minorHAnsi" w:cstheme="minorHAnsi"/>
                <w:sz w:val="22"/>
                <w:szCs w:val="22"/>
                <w:lang w:val="es-EC" w:eastAsia="es-EC"/>
              </w:rPr>
              <w:t>En e</w:t>
            </w:r>
            <w:r>
              <w:rPr>
                <w:rFonts w:asciiTheme="minorHAnsi" w:hAnsiTheme="minorHAnsi" w:cstheme="minorHAnsi"/>
                <w:sz w:val="22"/>
                <w:szCs w:val="22"/>
                <w:lang w:val="es-EC" w:eastAsia="es-EC"/>
              </w:rPr>
              <w:t>spera de respuesta de la EPMHV</w:t>
            </w:r>
            <w:r w:rsidRPr="00785DF3">
              <w:rPr>
                <w:rFonts w:asciiTheme="minorHAnsi" w:hAnsiTheme="minorHAnsi" w:cstheme="minorHAnsi"/>
                <w:sz w:val="22"/>
                <w:szCs w:val="22"/>
                <w:lang w:val="es-EC" w:eastAsia="es-EC"/>
              </w:rPr>
              <w:t xml:space="preserve"> obtenga la Propiedad Horizontal de las Manzanas 11,12,14 y 15 de Victoria del Sur </w:t>
            </w:r>
            <w:r>
              <w:rPr>
                <w:rFonts w:asciiTheme="minorHAnsi" w:hAnsiTheme="minorHAnsi" w:cstheme="minorHAnsi"/>
                <w:sz w:val="22"/>
                <w:szCs w:val="22"/>
                <w:lang w:val="es-EC" w:eastAsia="es-EC"/>
              </w:rPr>
              <w:t xml:space="preserve"> y Administraciones Zonales articulen proceso de actualización respectiva   para   iniciar fase  de  asignación respectiva.</w:t>
            </w:r>
          </w:p>
        </w:tc>
        <w:tc>
          <w:tcPr>
            <w:tcW w:w="2835" w:type="dxa"/>
            <w:shd w:val="clear" w:color="auto" w:fill="FFFFFF" w:themeFill="background1"/>
          </w:tcPr>
          <w:p w:rsidR="00665CFC" w:rsidRDefault="00665CFC" w:rsidP="00665CFC">
            <w:pPr>
              <w:rPr>
                <w:rFonts w:cstheme="minorHAnsi"/>
                <w:lang w:val="es-EC" w:eastAsia="es-EC"/>
              </w:rPr>
            </w:pPr>
            <w:r w:rsidRPr="000D6219">
              <w:rPr>
                <w:rFonts w:cstheme="minorHAnsi"/>
                <w:lang w:val="es-EC" w:eastAsia="es-EC"/>
              </w:rPr>
              <w:t>En espera de respuesta de la EPMHV obtenga la Propiedad Horizontal de las Manzanas 11,</w:t>
            </w:r>
            <w:r>
              <w:rPr>
                <w:rFonts w:cstheme="minorHAnsi"/>
                <w:lang w:val="es-EC" w:eastAsia="es-EC"/>
              </w:rPr>
              <w:t xml:space="preserve">12,14 y 15 de Victoria del Sur </w:t>
            </w:r>
            <w:r w:rsidRPr="000D6219">
              <w:rPr>
                <w:rFonts w:cstheme="minorHAnsi"/>
                <w:lang w:val="es-EC" w:eastAsia="es-EC"/>
              </w:rPr>
              <w:t>y Administraciones Zonales articulen proceso de actualización re</w:t>
            </w:r>
            <w:r>
              <w:rPr>
                <w:rFonts w:cstheme="minorHAnsi"/>
                <w:lang w:val="es-EC" w:eastAsia="es-EC"/>
              </w:rPr>
              <w:t xml:space="preserve">spectiva   para   iniciar fase de </w:t>
            </w:r>
            <w:r w:rsidRPr="000D6219">
              <w:rPr>
                <w:rFonts w:cstheme="minorHAnsi"/>
                <w:lang w:val="es-EC" w:eastAsia="es-EC"/>
              </w:rPr>
              <w:t>asignación respectiva.</w:t>
            </w:r>
          </w:p>
          <w:p w:rsidR="00665CFC" w:rsidRDefault="00665CFC" w:rsidP="00665CFC">
            <w:pPr>
              <w:rPr>
                <w:rFonts w:cstheme="minorHAnsi"/>
                <w:lang w:val="es-EC" w:eastAsia="es-EC"/>
              </w:rPr>
            </w:pPr>
          </w:p>
          <w:p w:rsidR="00665CFC" w:rsidRPr="00953ACF" w:rsidRDefault="00665CFC" w:rsidP="00665CFC">
            <w:pPr>
              <w:rPr>
                <w:rFonts w:cstheme="minorHAnsi"/>
                <w:lang w:val="es-EC" w:eastAsia="es-EC"/>
              </w:rPr>
            </w:pPr>
          </w:p>
        </w:tc>
        <w:tc>
          <w:tcPr>
            <w:tcW w:w="2694" w:type="dxa"/>
            <w:shd w:val="clear" w:color="auto" w:fill="FFFFFF" w:themeFill="background1"/>
          </w:tcPr>
          <w:p w:rsidR="00665CFC" w:rsidRDefault="00665CFC" w:rsidP="00665CFC">
            <w:pPr>
              <w:rPr>
                <w:rFonts w:cstheme="minorHAnsi"/>
                <w:lang w:val="es-EC" w:eastAsia="es-EC"/>
              </w:rPr>
            </w:pPr>
            <w:r w:rsidRPr="0020421E">
              <w:rPr>
                <w:rFonts w:cstheme="minorHAnsi"/>
                <w:lang w:val="es-EC" w:eastAsia="es-EC"/>
              </w:rPr>
              <w:t>La EPMHV realiza pedido de revisión de precios de viviendas de la Mz 13 de Victoria del Sur a la Dirección Metropolitana de Catastros mediante oficio No</w:t>
            </w:r>
            <w:r>
              <w:rPr>
                <w:rFonts w:cstheme="minorHAnsi"/>
                <w:lang w:val="es-EC" w:eastAsia="es-EC"/>
              </w:rPr>
              <w:t xml:space="preserve"> EPMHV-GG- 2020-0231 del 16 de j</w:t>
            </w:r>
            <w:r w:rsidRPr="0020421E">
              <w:rPr>
                <w:rFonts w:cstheme="minorHAnsi"/>
                <w:lang w:val="es-EC" w:eastAsia="es-EC"/>
              </w:rPr>
              <w:t>unio del 2020</w:t>
            </w:r>
            <w:r>
              <w:rPr>
                <w:rFonts w:cstheme="minorHAnsi"/>
                <w:lang w:val="es-EC" w:eastAsia="es-EC"/>
              </w:rPr>
              <w:t xml:space="preserve"> y también solicita priorizar proceso de declaración de propiedad horizontal de las manzanas 11,12,14 y 15. </w:t>
            </w:r>
            <w:r w:rsidRPr="0020421E">
              <w:rPr>
                <w:rFonts w:cstheme="minorHAnsi"/>
                <w:lang w:val="es-EC" w:eastAsia="es-EC"/>
              </w:rPr>
              <w:t>.</w:t>
            </w:r>
          </w:p>
        </w:tc>
        <w:tc>
          <w:tcPr>
            <w:tcW w:w="2806" w:type="dxa"/>
            <w:shd w:val="clear" w:color="auto" w:fill="FFFFFF" w:themeFill="background1"/>
          </w:tcPr>
          <w:p w:rsidR="00665CFC" w:rsidRPr="0077042A" w:rsidRDefault="00665CFC" w:rsidP="00665CFC">
            <w:pPr>
              <w:rPr>
                <w:rFonts w:cstheme="minorHAnsi"/>
                <w:lang w:val="es-EC" w:eastAsia="es-EC"/>
              </w:rPr>
            </w:pPr>
            <w:r w:rsidRPr="0077042A">
              <w:rPr>
                <w:rFonts w:cstheme="minorHAnsi"/>
                <w:lang w:val="es-EC" w:eastAsia="es-EC"/>
              </w:rPr>
              <w:t xml:space="preserve">Se realiza  el 03 de julio inspección conjunta entre la SGSG, la EPMHV y la Dirección de Avalúos y Catastros (DAC) al Proyecto Victoria del Sur para análisis de condiciones actuales de viviendas de la Mz 13 para realizar  informe de reevaluó que también servirá de referencia para </w:t>
            </w:r>
          </w:p>
          <w:p w:rsidR="00665CFC" w:rsidRDefault="00665CFC" w:rsidP="00665CFC">
            <w:pPr>
              <w:rPr>
                <w:rFonts w:cstheme="minorHAnsi"/>
                <w:lang w:val="es-EC" w:eastAsia="es-EC"/>
              </w:rPr>
            </w:pPr>
            <w:r>
              <w:rPr>
                <w:rFonts w:cstheme="minorHAnsi"/>
                <w:lang w:val="es-EC" w:eastAsia="es-EC"/>
              </w:rPr>
              <w:t>e</w:t>
            </w:r>
            <w:r w:rsidRPr="0077042A">
              <w:rPr>
                <w:rFonts w:cstheme="minorHAnsi"/>
                <w:lang w:val="es-EC" w:eastAsia="es-EC"/>
              </w:rPr>
              <w:t>stablecer precios de las manzanas 11,12,14 y 15</w:t>
            </w:r>
          </w:p>
        </w:tc>
        <w:tc>
          <w:tcPr>
            <w:tcW w:w="2296" w:type="dxa"/>
            <w:shd w:val="clear" w:color="auto" w:fill="FFFFFF" w:themeFill="background1"/>
          </w:tcPr>
          <w:p w:rsidR="00665CFC" w:rsidRDefault="00665CFC" w:rsidP="00665CFC">
            <w:pPr>
              <w:rPr>
                <w:rFonts w:cstheme="minorHAnsi"/>
                <w:lang w:val="es-EC" w:eastAsia="es-EC"/>
              </w:rPr>
            </w:pPr>
          </w:p>
        </w:tc>
        <w:tc>
          <w:tcPr>
            <w:tcW w:w="2551" w:type="dxa"/>
            <w:shd w:val="clear" w:color="auto" w:fill="FFFFFF" w:themeFill="background1"/>
          </w:tcPr>
          <w:p w:rsidR="00665CFC" w:rsidRDefault="00665CFC" w:rsidP="00665CFC">
            <w:pPr>
              <w:rPr>
                <w:rFonts w:cstheme="minorHAnsi"/>
                <w:lang w:val="es-EC" w:eastAsia="es-EC"/>
              </w:rPr>
            </w:pPr>
          </w:p>
        </w:tc>
        <w:tc>
          <w:tcPr>
            <w:tcW w:w="2551" w:type="dxa"/>
            <w:shd w:val="clear" w:color="auto" w:fill="FFFFFF" w:themeFill="background1"/>
          </w:tcPr>
          <w:p w:rsidR="00665CFC" w:rsidRDefault="00665CFC" w:rsidP="00665CFC">
            <w:pPr>
              <w:rPr>
                <w:rFonts w:cstheme="minorHAnsi"/>
                <w:lang w:val="es-EC" w:eastAsia="es-EC"/>
              </w:rPr>
            </w:pPr>
          </w:p>
        </w:tc>
      </w:tr>
      <w:tr w:rsidR="00665CFC" w:rsidTr="00665CFC">
        <w:trPr>
          <w:trHeight w:val="696"/>
        </w:trPr>
        <w:tc>
          <w:tcPr>
            <w:tcW w:w="3997" w:type="dxa"/>
            <w:shd w:val="clear" w:color="auto" w:fill="D9D9D9" w:themeFill="background1" w:themeFillShade="D9"/>
          </w:tcPr>
          <w:p w:rsidR="00665CFC" w:rsidRPr="00785DF3" w:rsidRDefault="00665CFC" w:rsidP="00665CFC">
            <w:pPr>
              <w:spacing w:after="50" w:line="216" w:lineRule="auto"/>
              <w:contextualSpacing/>
              <w:rPr>
                <w:rFonts w:eastAsiaTheme="minorEastAsia" w:cstheme="minorHAnsi"/>
                <w:bCs/>
                <w:kern w:val="24"/>
              </w:rPr>
            </w:pPr>
            <w:r w:rsidRPr="000F6186">
              <w:rPr>
                <w:rFonts w:cstheme="minorHAnsi"/>
                <w:b/>
              </w:rPr>
              <w:lastRenderedPageBreak/>
              <w:t>ACTIVIDADES</w:t>
            </w:r>
            <w:r>
              <w:rPr>
                <w:rFonts w:cstheme="minorHAnsi"/>
                <w:b/>
              </w:rPr>
              <w:t xml:space="preserve"> DE INICIO</w:t>
            </w:r>
          </w:p>
        </w:tc>
        <w:tc>
          <w:tcPr>
            <w:tcW w:w="3120" w:type="dxa"/>
            <w:shd w:val="clear" w:color="auto" w:fill="D9D9D9" w:themeFill="background1" w:themeFillShade="D9"/>
          </w:tcPr>
          <w:p w:rsidR="00665CFC" w:rsidRPr="00331BBE" w:rsidRDefault="00665CFC" w:rsidP="00665CFC">
            <w:pPr>
              <w:pStyle w:val="Sinespaciado"/>
              <w:rPr>
                <w:rFonts w:ascii="Calibri" w:hAnsi="Calibri" w:cs="Calibri"/>
                <w:sz w:val="22"/>
                <w:szCs w:val="22"/>
                <w:lang w:val="es-EC" w:eastAsia="es-EC"/>
              </w:rPr>
            </w:pPr>
            <w:r w:rsidRPr="00331BBE">
              <w:rPr>
                <w:rFonts w:ascii="Calibri" w:hAnsi="Calibri" w:cs="Calibri"/>
                <w:b/>
                <w:sz w:val="22"/>
                <w:szCs w:val="22"/>
              </w:rPr>
              <w:t>GESTIÓN AL 27 DE MAYO</w:t>
            </w:r>
          </w:p>
        </w:tc>
        <w:tc>
          <w:tcPr>
            <w:tcW w:w="2835" w:type="dxa"/>
            <w:shd w:val="clear" w:color="auto" w:fill="D9D9D9" w:themeFill="background1" w:themeFillShade="D9"/>
          </w:tcPr>
          <w:p w:rsidR="00665CFC" w:rsidRDefault="00665CFC" w:rsidP="00665CFC">
            <w:pPr>
              <w:rPr>
                <w:rFonts w:cstheme="minorHAnsi"/>
                <w:color w:val="000000" w:themeColor="text1"/>
                <w:lang w:val="es-EC" w:eastAsia="es-EC"/>
              </w:rPr>
            </w:pPr>
            <w:r>
              <w:rPr>
                <w:rFonts w:cstheme="minorHAnsi"/>
                <w:b/>
              </w:rPr>
              <w:t>GESTIÓN AL 11 DE JUNIO</w:t>
            </w:r>
          </w:p>
        </w:tc>
        <w:tc>
          <w:tcPr>
            <w:tcW w:w="2694" w:type="dxa"/>
            <w:shd w:val="clear" w:color="auto" w:fill="D9D9D9" w:themeFill="background1" w:themeFillShade="D9"/>
          </w:tcPr>
          <w:p w:rsidR="00665CFC" w:rsidRDefault="00665CFC" w:rsidP="00665CFC">
            <w:pPr>
              <w:jc w:val="center"/>
              <w:rPr>
                <w:rFonts w:cstheme="minorHAnsi"/>
                <w:b/>
              </w:rPr>
            </w:pPr>
            <w:r>
              <w:rPr>
                <w:rFonts w:cstheme="minorHAnsi"/>
                <w:b/>
              </w:rPr>
              <w:t xml:space="preserve">GESTIÓN AL 24 DE JUNIO </w:t>
            </w:r>
          </w:p>
        </w:tc>
        <w:tc>
          <w:tcPr>
            <w:tcW w:w="2806" w:type="dxa"/>
            <w:shd w:val="clear" w:color="auto" w:fill="D9D9D9" w:themeFill="background1" w:themeFillShade="D9"/>
          </w:tcPr>
          <w:p w:rsidR="00665CFC" w:rsidRDefault="00665CFC" w:rsidP="00665CFC">
            <w:pPr>
              <w:rPr>
                <w:rFonts w:cstheme="minorHAnsi"/>
                <w:lang w:val="es-EC" w:eastAsia="es-EC"/>
              </w:rPr>
            </w:pPr>
            <w:r>
              <w:rPr>
                <w:rFonts w:cstheme="minorHAnsi"/>
                <w:b/>
              </w:rPr>
              <w:t>ESTADO ACTUAL</w:t>
            </w:r>
          </w:p>
        </w:tc>
        <w:tc>
          <w:tcPr>
            <w:tcW w:w="2296" w:type="dxa"/>
            <w:shd w:val="clear" w:color="auto" w:fill="FFFFFF" w:themeFill="background1"/>
          </w:tcPr>
          <w:p w:rsidR="00665CFC" w:rsidRDefault="00665CFC" w:rsidP="00665CFC">
            <w:pPr>
              <w:rPr>
                <w:rFonts w:cstheme="minorHAnsi"/>
                <w:shd w:val="clear" w:color="auto" w:fill="7030A0"/>
                <w:lang w:val="es-EC" w:eastAsia="es-EC"/>
              </w:rPr>
            </w:pPr>
          </w:p>
        </w:tc>
        <w:tc>
          <w:tcPr>
            <w:tcW w:w="2551" w:type="dxa"/>
            <w:shd w:val="clear" w:color="auto" w:fill="FFFFFF" w:themeFill="background1"/>
          </w:tcPr>
          <w:p w:rsidR="00665CFC" w:rsidRDefault="00665CFC" w:rsidP="00665CFC">
            <w:pPr>
              <w:rPr>
                <w:rFonts w:cstheme="minorHAnsi"/>
                <w:shd w:val="clear" w:color="auto" w:fill="7030A0"/>
                <w:lang w:val="es-EC" w:eastAsia="es-EC"/>
              </w:rPr>
            </w:pPr>
          </w:p>
        </w:tc>
        <w:tc>
          <w:tcPr>
            <w:tcW w:w="2551" w:type="dxa"/>
            <w:shd w:val="clear" w:color="auto" w:fill="FFFFFF" w:themeFill="background1"/>
          </w:tcPr>
          <w:p w:rsidR="00665CFC" w:rsidRDefault="00665CFC" w:rsidP="00665CFC">
            <w:pPr>
              <w:rPr>
                <w:rFonts w:cstheme="minorHAnsi"/>
                <w:shd w:val="clear" w:color="auto" w:fill="7030A0"/>
                <w:lang w:val="es-EC" w:eastAsia="es-EC"/>
              </w:rPr>
            </w:pPr>
          </w:p>
        </w:tc>
      </w:tr>
      <w:tr w:rsidR="00665CFC" w:rsidTr="00665CFC">
        <w:trPr>
          <w:trHeight w:val="3831"/>
        </w:trPr>
        <w:tc>
          <w:tcPr>
            <w:tcW w:w="3997" w:type="dxa"/>
            <w:vAlign w:val="center"/>
          </w:tcPr>
          <w:p w:rsidR="00665CFC" w:rsidRPr="00785DF3" w:rsidRDefault="00665CFC" w:rsidP="00665CFC">
            <w:pPr>
              <w:spacing w:line="216" w:lineRule="auto"/>
              <w:rPr>
                <w:rFonts w:cstheme="minorHAnsi"/>
              </w:rPr>
            </w:pPr>
            <w:r w:rsidRPr="00785DF3">
              <w:rPr>
                <w:rFonts w:cstheme="minorHAnsi"/>
                <w:bCs/>
              </w:rPr>
              <w:t xml:space="preserve">Inspección y calificación en situ a 55 familias en situación de riesgos en  el barrio de Laderas de San Francisco (20) y en el Barrio San Pedro de Guajaló (35)  </w:t>
            </w:r>
          </w:p>
        </w:tc>
        <w:tc>
          <w:tcPr>
            <w:tcW w:w="3120" w:type="dxa"/>
          </w:tcPr>
          <w:p w:rsidR="00665CFC" w:rsidRDefault="00665CFC" w:rsidP="00665CFC">
            <w:pPr>
              <w:rPr>
                <w:rFonts w:cstheme="minorHAnsi"/>
                <w:lang w:eastAsia="es-EC"/>
              </w:rPr>
            </w:pPr>
          </w:p>
          <w:p w:rsidR="00665CFC" w:rsidRDefault="00665CFC" w:rsidP="00665CFC">
            <w:pPr>
              <w:rPr>
                <w:rFonts w:cstheme="minorHAnsi"/>
                <w:lang w:eastAsia="es-EC"/>
              </w:rPr>
            </w:pPr>
          </w:p>
          <w:p w:rsidR="00665CFC" w:rsidRDefault="00665CFC" w:rsidP="00665CFC">
            <w:pPr>
              <w:rPr>
                <w:rFonts w:cstheme="minorHAnsi"/>
                <w:lang w:eastAsia="es-EC"/>
              </w:rPr>
            </w:pPr>
          </w:p>
          <w:p w:rsidR="00665CFC" w:rsidRDefault="00665CFC" w:rsidP="00665CFC">
            <w:pPr>
              <w:rPr>
                <w:rFonts w:cstheme="minorHAnsi"/>
                <w:lang w:eastAsia="es-EC"/>
              </w:rPr>
            </w:pPr>
          </w:p>
          <w:p w:rsidR="00665CFC" w:rsidRDefault="00665CFC" w:rsidP="00665CFC">
            <w:r w:rsidRPr="00785DF3">
              <w:rPr>
                <w:rFonts w:cstheme="minorHAnsi"/>
                <w:lang w:val="es-EC" w:eastAsia="es-EC"/>
              </w:rPr>
              <w:t xml:space="preserve">La SGSG  tiene listo los formularios y matrices de aplicación para que esta actividad pueda dar  inició una vez que cambie la </w:t>
            </w:r>
            <w:r>
              <w:rPr>
                <w:rFonts w:cstheme="minorHAnsi"/>
                <w:lang w:val="es-EC" w:eastAsia="es-EC"/>
              </w:rPr>
              <w:t xml:space="preserve">semaforización de la Emergencia </w:t>
            </w:r>
            <w:r w:rsidRPr="00785DF3">
              <w:rPr>
                <w:rFonts w:cstheme="minorHAnsi"/>
                <w:lang w:val="es-EC" w:eastAsia="es-EC"/>
              </w:rPr>
              <w:t>Sanitaria.</w:t>
            </w:r>
            <w:r>
              <w:rPr>
                <w:rFonts w:cstheme="minorHAnsi"/>
                <w:b/>
                <w:lang w:val="es-EC" w:eastAsia="es-EC"/>
              </w:rPr>
              <w:t xml:space="preserve">            </w:t>
            </w:r>
          </w:p>
        </w:tc>
        <w:tc>
          <w:tcPr>
            <w:tcW w:w="2835" w:type="dxa"/>
            <w:shd w:val="clear" w:color="auto" w:fill="FFFFFF" w:themeFill="background1"/>
          </w:tcPr>
          <w:p w:rsidR="00665CFC" w:rsidRDefault="00665CFC" w:rsidP="00665CFC">
            <w:pPr>
              <w:rPr>
                <w:rFonts w:cstheme="minorHAnsi"/>
                <w:lang w:val="es-EC" w:eastAsia="es-EC"/>
              </w:rPr>
            </w:pPr>
          </w:p>
          <w:p w:rsidR="00665CFC" w:rsidRDefault="00665CFC" w:rsidP="00665CFC">
            <w:pPr>
              <w:rPr>
                <w:rFonts w:cstheme="minorHAnsi"/>
                <w:lang w:val="es-EC" w:eastAsia="es-EC"/>
              </w:rPr>
            </w:pPr>
          </w:p>
          <w:p w:rsidR="00665CFC" w:rsidRDefault="00665CFC" w:rsidP="00665CFC">
            <w:pPr>
              <w:rPr>
                <w:rFonts w:cstheme="minorHAnsi"/>
                <w:lang w:val="es-EC" w:eastAsia="es-EC"/>
              </w:rPr>
            </w:pPr>
          </w:p>
          <w:p w:rsidR="00665CFC" w:rsidRDefault="00665CFC" w:rsidP="00665CFC">
            <w:pPr>
              <w:rPr>
                <w:rFonts w:cstheme="minorHAnsi"/>
                <w:lang w:val="es-EC" w:eastAsia="es-EC"/>
              </w:rPr>
            </w:pPr>
          </w:p>
          <w:p w:rsidR="00665CFC" w:rsidRDefault="00665CFC" w:rsidP="00665CFC">
            <w:pPr>
              <w:rPr>
                <w:rFonts w:cstheme="minorHAnsi"/>
                <w:lang w:val="es-EC" w:eastAsia="es-EC"/>
              </w:rPr>
            </w:pPr>
            <w:r w:rsidRPr="00074C80">
              <w:rPr>
                <w:rFonts w:cstheme="minorHAnsi"/>
                <w:lang w:val="es-EC" w:eastAsia="es-EC"/>
              </w:rPr>
              <w:t>Actividades se realizarán a partir del 15 de Junio  una vez que se reinte</w:t>
            </w:r>
            <w:r>
              <w:rPr>
                <w:rFonts w:cstheme="minorHAnsi"/>
                <w:lang w:val="es-EC" w:eastAsia="es-EC"/>
              </w:rPr>
              <w:t xml:space="preserve">gren técnicos de las Administraciones  Zonales (AZ)   y de la SGSG </w:t>
            </w:r>
            <w:r w:rsidRPr="00074C80">
              <w:rPr>
                <w:rFonts w:cstheme="minorHAnsi"/>
                <w:lang w:val="es-EC" w:eastAsia="es-EC"/>
              </w:rPr>
              <w:t xml:space="preserve"> a laborar de forma presenc</w:t>
            </w:r>
            <w:r>
              <w:rPr>
                <w:rFonts w:cstheme="minorHAnsi"/>
                <w:lang w:val="es-EC" w:eastAsia="es-EC"/>
              </w:rPr>
              <w:t>ial según disposiciones del COE.</w:t>
            </w:r>
            <w:r w:rsidRPr="00074C80">
              <w:rPr>
                <w:rFonts w:cstheme="minorHAnsi"/>
                <w:lang w:val="es-EC" w:eastAsia="es-EC"/>
              </w:rPr>
              <w:t xml:space="preserve">  </w:t>
            </w:r>
          </w:p>
          <w:p w:rsidR="00665CFC" w:rsidRDefault="00665CFC" w:rsidP="00665CFC">
            <w:pPr>
              <w:rPr>
                <w:rFonts w:cstheme="minorHAnsi"/>
                <w:lang w:val="es-EC" w:eastAsia="es-EC"/>
              </w:rPr>
            </w:pPr>
          </w:p>
          <w:p w:rsidR="00665CFC" w:rsidRDefault="00665CFC" w:rsidP="00665CFC"/>
        </w:tc>
        <w:tc>
          <w:tcPr>
            <w:tcW w:w="2694" w:type="dxa"/>
            <w:shd w:val="clear" w:color="auto" w:fill="FFFFFF" w:themeFill="background1"/>
          </w:tcPr>
          <w:p w:rsidR="00665CFC" w:rsidRDefault="00665CFC" w:rsidP="00665CFC">
            <w:pPr>
              <w:rPr>
                <w:rFonts w:cstheme="minorHAnsi"/>
                <w:lang w:eastAsia="es-EC"/>
              </w:rPr>
            </w:pPr>
          </w:p>
          <w:p w:rsidR="00665CFC" w:rsidRDefault="00665CFC" w:rsidP="00665CFC">
            <w:pPr>
              <w:rPr>
                <w:rFonts w:cstheme="minorHAnsi"/>
                <w:lang w:eastAsia="es-EC"/>
              </w:rPr>
            </w:pPr>
          </w:p>
          <w:p w:rsidR="00665CFC" w:rsidRDefault="00665CFC" w:rsidP="00665CFC">
            <w:pPr>
              <w:rPr>
                <w:rFonts w:cstheme="minorHAnsi"/>
                <w:lang w:eastAsia="es-EC"/>
              </w:rPr>
            </w:pPr>
          </w:p>
          <w:p w:rsidR="00665CFC" w:rsidRDefault="00665CFC" w:rsidP="00665CFC">
            <w:pPr>
              <w:rPr>
                <w:rFonts w:cstheme="minorHAnsi"/>
                <w:lang w:eastAsia="es-EC"/>
              </w:rPr>
            </w:pPr>
          </w:p>
          <w:p w:rsidR="00665CFC" w:rsidRPr="00074C80" w:rsidRDefault="00665CFC" w:rsidP="00665CFC">
            <w:pPr>
              <w:rPr>
                <w:rFonts w:cstheme="minorHAnsi"/>
                <w:lang w:eastAsia="es-EC"/>
              </w:rPr>
            </w:pPr>
            <w:r w:rsidRPr="00985CE5">
              <w:rPr>
                <w:rFonts w:cstheme="minorHAnsi"/>
                <w:lang w:eastAsia="es-EC"/>
              </w:rPr>
              <w:t>Actividades se realizarán a partir del 29 de Junio  una vez que se rein</w:t>
            </w:r>
            <w:r>
              <w:rPr>
                <w:rFonts w:cstheme="minorHAnsi"/>
                <w:lang w:eastAsia="es-EC"/>
              </w:rPr>
              <w:t>tegren técnicos de las AZ  y de l</w:t>
            </w:r>
            <w:r w:rsidRPr="00985CE5">
              <w:rPr>
                <w:rFonts w:cstheme="minorHAnsi"/>
                <w:lang w:eastAsia="es-EC"/>
              </w:rPr>
              <w:t>a</w:t>
            </w:r>
            <w:r>
              <w:rPr>
                <w:rFonts w:cstheme="minorHAnsi"/>
                <w:lang w:eastAsia="es-EC"/>
              </w:rPr>
              <w:t xml:space="preserve"> SGSG a </w:t>
            </w:r>
            <w:r w:rsidRPr="00985CE5">
              <w:rPr>
                <w:rFonts w:cstheme="minorHAnsi"/>
                <w:lang w:eastAsia="es-EC"/>
              </w:rPr>
              <w:t xml:space="preserve"> laborar de forma presencial según disposiciones del COE Nacional.</w:t>
            </w:r>
          </w:p>
        </w:tc>
        <w:tc>
          <w:tcPr>
            <w:tcW w:w="2806" w:type="dxa"/>
            <w:shd w:val="clear" w:color="auto" w:fill="FFFFFF" w:themeFill="background1"/>
          </w:tcPr>
          <w:p w:rsidR="00665CFC" w:rsidRDefault="00665CFC" w:rsidP="00665CFC">
            <w:pPr>
              <w:rPr>
                <w:rFonts w:cstheme="minorHAnsi"/>
                <w:lang w:val="es-EC" w:eastAsia="es-EC"/>
              </w:rPr>
            </w:pPr>
          </w:p>
          <w:p w:rsidR="00665CFC" w:rsidRDefault="00665CFC" w:rsidP="00665CFC">
            <w:pPr>
              <w:rPr>
                <w:rFonts w:cstheme="minorHAnsi"/>
                <w:lang w:val="es-EC" w:eastAsia="es-EC"/>
              </w:rPr>
            </w:pPr>
            <w:r>
              <w:rPr>
                <w:rFonts w:cstheme="minorHAnsi"/>
                <w:lang w:val="es-EC" w:eastAsia="es-EC"/>
              </w:rPr>
              <w:t>La SGSG tiene planificado con la Jefatura de Seguridad Ciudadana de  la Administración Quitumbe realizar un evento de socialización con dirigentes del sector cuyos predios se encuentren en alto riesgo no mitigable para iniciar proceso de calificación una vez se retomen las actividades laborales.</w:t>
            </w:r>
          </w:p>
        </w:tc>
        <w:tc>
          <w:tcPr>
            <w:tcW w:w="2296" w:type="dxa"/>
            <w:shd w:val="clear" w:color="auto" w:fill="FFFFFF" w:themeFill="background1"/>
          </w:tcPr>
          <w:p w:rsidR="00665CFC" w:rsidRDefault="00665CFC" w:rsidP="00665CFC">
            <w:pPr>
              <w:rPr>
                <w:rFonts w:cstheme="minorHAnsi"/>
                <w:lang w:val="es-EC" w:eastAsia="es-EC"/>
              </w:rPr>
            </w:pPr>
          </w:p>
        </w:tc>
        <w:tc>
          <w:tcPr>
            <w:tcW w:w="2551" w:type="dxa"/>
            <w:shd w:val="clear" w:color="auto" w:fill="FFFFFF" w:themeFill="background1"/>
          </w:tcPr>
          <w:p w:rsidR="00665CFC" w:rsidRDefault="00665CFC" w:rsidP="00665CFC">
            <w:pPr>
              <w:rPr>
                <w:rFonts w:cstheme="minorHAnsi"/>
                <w:lang w:val="es-EC" w:eastAsia="es-EC"/>
              </w:rPr>
            </w:pPr>
          </w:p>
        </w:tc>
        <w:tc>
          <w:tcPr>
            <w:tcW w:w="2551" w:type="dxa"/>
            <w:shd w:val="clear" w:color="auto" w:fill="FFFFFF" w:themeFill="background1"/>
          </w:tcPr>
          <w:p w:rsidR="00665CFC" w:rsidRDefault="00665CFC" w:rsidP="00665CFC">
            <w:pPr>
              <w:rPr>
                <w:rFonts w:cstheme="minorHAnsi"/>
                <w:lang w:val="es-EC" w:eastAsia="es-EC"/>
              </w:rPr>
            </w:pPr>
          </w:p>
        </w:tc>
      </w:tr>
      <w:tr w:rsidR="00665CFC" w:rsidTr="00665CFC">
        <w:trPr>
          <w:trHeight w:val="1720"/>
        </w:trPr>
        <w:tc>
          <w:tcPr>
            <w:tcW w:w="3997" w:type="dxa"/>
          </w:tcPr>
          <w:p w:rsidR="00665CFC" w:rsidRPr="00785DF3" w:rsidRDefault="00665CFC" w:rsidP="00665CFC">
            <w:pPr>
              <w:spacing w:line="216" w:lineRule="auto"/>
              <w:rPr>
                <w:rFonts w:cstheme="minorHAnsi"/>
              </w:rPr>
            </w:pPr>
            <w:r w:rsidRPr="00785DF3">
              <w:rPr>
                <w:rFonts w:cstheme="minorHAnsi"/>
              </w:rPr>
              <w:t xml:space="preserve">Calificación técnica social de beneficiarios relocalizados calificados para el Proyecto Victoria del Sur para asignación de Ayuda Humanitaria y Bonos de Vulnerabilidad Especial </w:t>
            </w:r>
          </w:p>
          <w:p w:rsidR="00665CFC" w:rsidRDefault="00665CFC" w:rsidP="00665CFC"/>
        </w:tc>
        <w:tc>
          <w:tcPr>
            <w:tcW w:w="3120" w:type="dxa"/>
          </w:tcPr>
          <w:p w:rsidR="00665CFC" w:rsidRDefault="00665CFC" w:rsidP="00665CFC">
            <w:pPr>
              <w:rPr>
                <w:rFonts w:cstheme="minorHAnsi"/>
                <w:b/>
                <w:color w:val="000000" w:themeColor="text1"/>
                <w:lang w:val="es-EC" w:eastAsia="es-EC"/>
              </w:rPr>
            </w:pPr>
            <w:r w:rsidRPr="00D35B6E">
              <w:rPr>
                <w:rFonts w:cstheme="minorHAnsi"/>
                <w:bCs/>
                <w:lang w:val="es-ES_tradnl"/>
              </w:rPr>
              <w:t>Asignación de  3 procesos de Ayuda Humanitaria y 3 Bonos de Vulnerabilidad Especial.</w:t>
            </w:r>
            <w:r>
              <w:rPr>
                <w:rFonts w:cstheme="minorHAnsi"/>
                <w:color w:val="000000" w:themeColor="text1"/>
                <w:lang w:val="es-EC" w:eastAsia="es-EC"/>
              </w:rPr>
              <w:t xml:space="preserve"> </w:t>
            </w:r>
          </w:p>
          <w:p w:rsidR="00665CFC" w:rsidRDefault="00665CFC" w:rsidP="00665CFC"/>
        </w:tc>
        <w:tc>
          <w:tcPr>
            <w:tcW w:w="2835" w:type="dxa"/>
          </w:tcPr>
          <w:p w:rsidR="00665CFC" w:rsidRDefault="00665CFC" w:rsidP="00665CFC">
            <w:r w:rsidRPr="00D35B6E">
              <w:t>La DMGR-CR se encuentra  ejecutando el proceso respectivo con las 6 seis familias identificadas para recibir estas subvenciones</w:t>
            </w:r>
            <w:r>
              <w:t xml:space="preserve"> con un avance del 40%</w:t>
            </w:r>
            <w:r w:rsidRPr="00D35B6E">
              <w:t xml:space="preserve"> </w:t>
            </w:r>
          </w:p>
          <w:p w:rsidR="00665CFC" w:rsidRDefault="00665CFC" w:rsidP="00665CFC"/>
        </w:tc>
        <w:tc>
          <w:tcPr>
            <w:tcW w:w="2694" w:type="dxa"/>
            <w:shd w:val="clear" w:color="auto" w:fill="FFFFFF" w:themeFill="background1"/>
          </w:tcPr>
          <w:p w:rsidR="00665CFC" w:rsidRDefault="00665CFC" w:rsidP="00665CFC">
            <w:r w:rsidRPr="00D35B6E">
              <w:t>La DMGR-CR se encuentra  ejecutando el proceso respectivo con las 6 seis familias identificadas pa</w:t>
            </w:r>
            <w:r>
              <w:t>ra recibir estas subvenciones con un a</w:t>
            </w:r>
            <w:r w:rsidRPr="00D35B6E">
              <w:t xml:space="preserve">vance del 80%.  </w:t>
            </w:r>
          </w:p>
        </w:tc>
        <w:tc>
          <w:tcPr>
            <w:tcW w:w="2806" w:type="dxa"/>
            <w:shd w:val="clear" w:color="auto" w:fill="FFFFFF" w:themeFill="background1"/>
          </w:tcPr>
          <w:p w:rsidR="00665CFC" w:rsidRDefault="00665CFC" w:rsidP="00665CFC">
            <w:r w:rsidRPr="00871B14">
              <w:t>La DMGR-CR se encuentra  ejecutando el proceso respectivo con las 6 seis familias identificadas para reci</w:t>
            </w:r>
            <w:r>
              <w:t>bir estas subvenciones con un avance del 9</w:t>
            </w:r>
            <w:r w:rsidRPr="00871B14">
              <w:t xml:space="preserve">0%.  </w:t>
            </w:r>
          </w:p>
        </w:tc>
        <w:tc>
          <w:tcPr>
            <w:tcW w:w="2296" w:type="dxa"/>
            <w:shd w:val="clear" w:color="auto" w:fill="FFFFFF" w:themeFill="background1"/>
          </w:tcPr>
          <w:p w:rsidR="00665CFC" w:rsidRDefault="00665CFC" w:rsidP="00665CFC"/>
        </w:tc>
        <w:tc>
          <w:tcPr>
            <w:tcW w:w="2551" w:type="dxa"/>
            <w:shd w:val="clear" w:color="auto" w:fill="FFFFFF" w:themeFill="background1"/>
          </w:tcPr>
          <w:p w:rsidR="00665CFC" w:rsidRDefault="00665CFC" w:rsidP="00665CFC"/>
        </w:tc>
        <w:tc>
          <w:tcPr>
            <w:tcW w:w="2551" w:type="dxa"/>
            <w:shd w:val="clear" w:color="auto" w:fill="FFFFFF" w:themeFill="background1"/>
          </w:tcPr>
          <w:p w:rsidR="00665CFC" w:rsidRDefault="00665CFC" w:rsidP="00665CFC"/>
        </w:tc>
      </w:tr>
    </w:tbl>
    <w:p w:rsidR="004B5B42" w:rsidRPr="00265CB9" w:rsidRDefault="00C6207F" w:rsidP="003E0F7B">
      <w:pPr>
        <w:pStyle w:val="Sinespaciado"/>
        <w:jc w:val="both"/>
        <w:rPr>
          <w:rFonts w:asciiTheme="minorHAnsi" w:hAnsiTheme="minorHAnsi" w:cstheme="minorHAnsi"/>
          <w:sz w:val="24"/>
          <w:szCs w:val="24"/>
        </w:rPr>
      </w:pPr>
      <w:r>
        <w:rPr>
          <w:rFonts w:asciiTheme="minorHAnsi" w:hAnsiTheme="minorHAnsi" w:cstheme="minorHAnsi"/>
          <w:sz w:val="24"/>
          <w:szCs w:val="24"/>
        </w:rPr>
        <w:br w:type="textWrapping" w:clear="all"/>
      </w:r>
    </w:p>
    <w:p w:rsidR="003E0F7B" w:rsidRDefault="003E0F7B" w:rsidP="003E0F7B">
      <w:pPr>
        <w:pStyle w:val="Sinespaciado"/>
        <w:jc w:val="both"/>
        <w:rPr>
          <w:rFonts w:asciiTheme="minorHAnsi" w:hAnsiTheme="minorHAnsi" w:cstheme="minorHAnsi"/>
          <w:b/>
          <w:kern w:val="24"/>
          <w:sz w:val="24"/>
          <w:szCs w:val="24"/>
        </w:rPr>
      </w:pPr>
    </w:p>
    <w:p w:rsidR="003E0F7B" w:rsidRPr="003E0F7B" w:rsidRDefault="003E0F7B" w:rsidP="00D1327A">
      <w:pPr>
        <w:pStyle w:val="Sinespaciado"/>
        <w:jc w:val="both"/>
        <w:rPr>
          <w:rFonts w:asciiTheme="minorHAnsi" w:hAnsiTheme="minorHAnsi" w:cstheme="minorHAnsi"/>
          <w:sz w:val="24"/>
          <w:szCs w:val="24"/>
        </w:rPr>
      </w:pPr>
    </w:p>
    <w:p w:rsidR="006D49FC" w:rsidRDefault="006D49FC" w:rsidP="00D44CD8">
      <w:pPr>
        <w:pStyle w:val="Sinespaciado"/>
        <w:ind w:left="360"/>
        <w:jc w:val="both"/>
        <w:rPr>
          <w:rFonts w:asciiTheme="minorHAnsi" w:hAnsiTheme="minorHAnsi" w:cstheme="minorHAnsi"/>
          <w:sz w:val="24"/>
          <w:szCs w:val="24"/>
        </w:rPr>
      </w:pPr>
    </w:p>
    <w:p w:rsidR="00D36BD9" w:rsidRPr="003E0F7B" w:rsidRDefault="00D36BD9">
      <w:pPr>
        <w:rPr>
          <w:lang w:val="es-ES"/>
        </w:rPr>
      </w:pPr>
    </w:p>
    <w:sectPr w:rsidR="00D36BD9" w:rsidRPr="003E0F7B" w:rsidSect="003871EE">
      <w:pgSz w:w="15840" w:h="12240" w:orient="landscape"/>
      <w:pgMar w:top="1701" w:right="1417" w:bottom="170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FC" w:rsidRDefault="00665CFC" w:rsidP="00665CFC">
      <w:pPr>
        <w:spacing w:after="0" w:line="240" w:lineRule="auto"/>
      </w:pPr>
      <w:r>
        <w:separator/>
      </w:r>
    </w:p>
  </w:endnote>
  <w:endnote w:type="continuationSeparator" w:id="0">
    <w:p w:rsidR="00665CFC" w:rsidRDefault="00665CFC" w:rsidP="0066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FC" w:rsidRDefault="00665CFC" w:rsidP="00665CFC">
      <w:pPr>
        <w:spacing w:after="0" w:line="240" w:lineRule="auto"/>
      </w:pPr>
      <w:r>
        <w:separator/>
      </w:r>
    </w:p>
  </w:footnote>
  <w:footnote w:type="continuationSeparator" w:id="0">
    <w:p w:rsidR="00665CFC" w:rsidRDefault="00665CFC" w:rsidP="00665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722"/>
    <w:multiLevelType w:val="hybridMultilevel"/>
    <w:tmpl w:val="1D5E0660"/>
    <w:lvl w:ilvl="0" w:tplc="540A000B">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707C1B13"/>
    <w:multiLevelType w:val="hybridMultilevel"/>
    <w:tmpl w:val="BCBACF36"/>
    <w:lvl w:ilvl="0" w:tplc="540A000B">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EE"/>
    <w:rsid w:val="000118E6"/>
    <w:rsid w:val="00060948"/>
    <w:rsid w:val="00074AB9"/>
    <w:rsid w:val="00074C80"/>
    <w:rsid w:val="000B0773"/>
    <w:rsid w:val="000D6219"/>
    <w:rsid w:val="000F6186"/>
    <w:rsid w:val="001247D8"/>
    <w:rsid w:val="00127950"/>
    <w:rsid w:val="00135C0B"/>
    <w:rsid w:val="0016456C"/>
    <w:rsid w:val="001B173F"/>
    <w:rsid w:val="001B28D3"/>
    <w:rsid w:val="001B3124"/>
    <w:rsid w:val="001E2A65"/>
    <w:rsid w:val="001F6D84"/>
    <w:rsid w:val="0020421E"/>
    <w:rsid w:val="002608BA"/>
    <w:rsid w:val="00261D5B"/>
    <w:rsid w:val="00265CB9"/>
    <w:rsid w:val="00285C60"/>
    <w:rsid w:val="00291538"/>
    <w:rsid w:val="002A369F"/>
    <w:rsid w:val="002C55EE"/>
    <w:rsid w:val="002E53FD"/>
    <w:rsid w:val="00331BBE"/>
    <w:rsid w:val="003451E1"/>
    <w:rsid w:val="0036143B"/>
    <w:rsid w:val="003871EE"/>
    <w:rsid w:val="003C0856"/>
    <w:rsid w:val="003E0F7B"/>
    <w:rsid w:val="0041325C"/>
    <w:rsid w:val="0042655E"/>
    <w:rsid w:val="004408A7"/>
    <w:rsid w:val="0049149B"/>
    <w:rsid w:val="004B5B42"/>
    <w:rsid w:val="004B71EC"/>
    <w:rsid w:val="00540EA1"/>
    <w:rsid w:val="005B314B"/>
    <w:rsid w:val="005C263A"/>
    <w:rsid w:val="00665CFC"/>
    <w:rsid w:val="006823A3"/>
    <w:rsid w:val="00684C2E"/>
    <w:rsid w:val="006B667E"/>
    <w:rsid w:val="006C1C2E"/>
    <w:rsid w:val="006D49FC"/>
    <w:rsid w:val="007119E5"/>
    <w:rsid w:val="00714E83"/>
    <w:rsid w:val="007319F1"/>
    <w:rsid w:val="0077042A"/>
    <w:rsid w:val="007A7FF5"/>
    <w:rsid w:val="007F20BD"/>
    <w:rsid w:val="00843E1B"/>
    <w:rsid w:val="0087023B"/>
    <w:rsid w:val="00871B14"/>
    <w:rsid w:val="008F59C5"/>
    <w:rsid w:val="00915CBF"/>
    <w:rsid w:val="00953ACF"/>
    <w:rsid w:val="00985CE5"/>
    <w:rsid w:val="009A7DE0"/>
    <w:rsid w:val="009B4E6A"/>
    <w:rsid w:val="009C2E48"/>
    <w:rsid w:val="009E57FA"/>
    <w:rsid w:val="009F65C8"/>
    <w:rsid w:val="00A06097"/>
    <w:rsid w:val="00A262CA"/>
    <w:rsid w:val="00A323A4"/>
    <w:rsid w:val="00A62BCF"/>
    <w:rsid w:val="00AB0779"/>
    <w:rsid w:val="00AC3720"/>
    <w:rsid w:val="00AF0F37"/>
    <w:rsid w:val="00AF4973"/>
    <w:rsid w:val="00B04C02"/>
    <w:rsid w:val="00B817AB"/>
    <w:rsid w:val="00B90DCD"/>
    <w:rsid w:val="00B95A3D"/>
    <w:rsid w:val="00BA09D8"/>
    <w:rsid w:val="00BB1C77"/>
    <w:rsid w:val="00BB2E30"/>
    <w:rsid w:val="00BB4EED"/>
    <w:rsid w:val="00BC3842"/>
    <w:rsid w:val="00BD49C5"/>
    <w:rsid w:val="00C0405C"/>
    <w:rsid w:val="00C07E4F"/>
    <w:rsid w:val="00C120C4"/>
    <w:rsid w:val="00C12F1D"/>
    <w:rsid w:val="00C6207F"/>
    <w:rsid w:val="00C651AC"/>
    <w:rsid w:val="00CA2B2C"/>
    <w:rsid w:val="00CF0F33"/>
    <w:rsid w:val="00D11447"/>
    <w:rsid w:val="00D1327A"/>
    <w:rsid w:val="00D35B6E"/>
    <w:rsid w:val="00D36BD9"/>
    <w:rsid w:val="00D44CD8"/>
    <w:rsid w:val="00D77D06"/>
    <w:rsid w:val="00DB4E8A"/>
    <w:rsid w:val="00DF1CDD"/>
    <w:rsid w:val="00E32FAE"/>
    <w:rsid w:val="00E649D9"/>
    <w:rsid w:val="00EB5D29"/>
    <w:rsid w:val="00ED6532"/>
    <w:rsid w:val="00EF38AE"/>
    <w:rsid w:val="00F54C2F"/>
    <w:rsid w:val="00F61FE0"/>
    <w:rsid w:val="00FA42CA"/>
    <w:rsid w:val="00FD26BD"/>
    <w:rsid w:val="00FE1F39"/>
    <w:rsid w:val="00FE677B"/>
    <w:rsid w:val="00FF226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A54A"/>
  <w15:docId w15:val="{28ACE3D0-B464-4486-A1BD-ACABF0B9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B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B2E30"/>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BB2E30"/>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9F65C8"/>
    <w:pPr>
      <w:ind w:left="720"/>
      <w:contextualSpacing/>
    </w:pPr>
  </w:style>
  <w:style w:type="paragraph" w:styleId="Encabezado">
    <w:name w:val="header"/>
    <w:basedOn w:val="Normal"/>
    <w:link w:val="EncabezadoCar"/>
    <w:uiPriority w:val="99"/>
    <w:unhideWhenUsed/>
    <w:rsid w:val="00665C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CFC"/>
  </w:style>
  <w:style w:type="paragraph" w:styleId="Piedepgina">
    <w:name w:val="footer"/>
    <w:basedOn w:val="Normal"/>
    <w:link w:val="PiedepginaCar"/>
    <w:uiPriority w:val="99"/>
    <w:unhideWhenUsed/>
    <w:rsid w:val="00665C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53581-642C-4104-8E83-4A5AE5B3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1407</Words>
  <Characters>8020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54</cp:revision>
  <dcterms:created xsi:type="dcterms:W3CDTF">2020-07-06T15:53:00Z</dcterms:created>
  <dcterms:modified xsi:type="dcterms:W3CDTF">2020-07-08T19:18:00Z</dcterms:modified>
</cp:coreProperties>
</file>