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5D" w:rsidRPr="00DA605D" w:rsidRDefault="00DA605D" w:rsidP="00DA605D">
      <w:pPr>
        <w:ind w:left="4536"/>
        <w:rPr>
          <w:sz w:val="20"/>
          <w:szCs w:val="20"/>
        </w:rPr>
      </w:pPr>
      <w:r w:rsidRPr="00DA605D">
        <w:rPr>
          <w:sz w:val="20"/>
          <w:szCs w:val="20"/>
        </w:rPr>
        <w:t>Oficio No. STHV-DMPPS-</w:t>
      </w:r>
    </w:p>
    <w:p w:rsidR="00DA605D" w:rsidRPr="00DA605D" w:rsidRDefault="00DA605D" w:rsidP="00DA605D">
      <w:pPr>
        <w:ind w:left="4536"/>
        <w:rPr>
          <w:sz w:val="20"/>
          <w:szCs w:val="20"/>
        </w:rPr>
      </w:pPr>
      <w:r w:rsidRPr="00DA605D">
        <w:rPr>
          <w:sz w:val="20"/>
          <w:szCs w:val="20"/>
        </w:rPr>
        <w:t>DM Quito,</w:t>
      </w:r>
    </w:p>
    <w:p w:rsidR="00DA605D" w:rsidRPr="00DA605D" w:rsidRDefault="00DA605D" w:rsidP="00DA605D">
      <w:pPr>
        <w:ind w:left="4536"/>
        <w:rPr>
          <w:sz w:val="20"/>
          <w:szCs w:val="20"/>
          <w:lang w:val="es-EC"/>
        </w:rPr>
      </w:pPr>
      <w:r w:rsidRPr="00DA605D">
        <w:rPr>
          <w:sz w:val="20"/>
          <w:szCs w:val="20"/>
          <w:lang w:val="es-EC"/>
        </w:rPr>
        <w:t>Ticket GDOC No.</w:t>
      </w:r>
      <w:r w:rsidR="004B02DA">
        <w:rPr>
          <w:sz w:val="20"/>
          <w:szCs w:val="20"/>
          <w:lang w:val="es-EC"/>
        </w:rPr>
        <w:t xml:space="preserve"> 2019-077739/2019-078739</w:t>
      </w:r>
    </w:p>
    <w:p w:rsidR="00DA605D" w:rsidRDefault="00DA605D" w:rsidP="00DA605D">
      <w:pPr>
        <w:tabs>
          <w:tab w:val="left" w:pos="3119"/>
        </w:tabs>
        <w:jc w:val="both"/>
        <w:rPr>
          <w:rFonts w:cstheme="minorHAnsi"/>
          <w:sz w:val="20"/>
          <w:szCs w:val="20"/>
          <w:lang w:val="es-MX"/>
        </w:rPr>
      </w:pPr>
    </w:p>
    <w:p w:rsidR="00923CEE" w:rsidRDefault="00923CEE" w:rsidP="00DA605D">
      <w:pPr>
        <w:tabs>
          <w:tab w:val="left" w:pos="3119"/>
        </w:tabs>
        <w:jc w:val="both"/>
        <w:rPr>
          <w:rFonts w:cstheme="minorHAnsi"/>
          <w:sz w:val="20"/>
          <w:szCs w:val="20"/>
          <w:lang w:val="es-MX"/>
        </w:rPr>
      </w:pPr>
    </w:p>
    <w:p w:rsidR="00561374" w:rsidRDefault="00561374" w:rsidP="00DA605D">
      <w:pPr>
        <w:tabs>
          <w:tab w:val="left" w:pos="3119"/>
        </w:tabs>
        <w:jc w:val="both"/>
        <w:rPr>
          <w:rFonts w:cstheme="minorHAnsi"/>
          <w:sz w:val="20"/>
          <w:szCs w:val="20"/>
          <w:lang w:val="es-MX"/>
        </w:rPr>
      </w:pPr>
    </w:p>
    <w:p w:rsidR="000805B1" w:rsidRDefault="000805B1" w:rsidP="00DA605D">
      <w:pPr>
        <w:tabs>
          <w:tab w:val="left" w:pos="3119"/>
        </w:tabs>
        <w:jc w:val="both"/>
        <w:rPr>
          <w:rFonts w:cstheme="minorHAnsi"/>
          <w:sz w:val="20"/>
          <w:szCs w:val="20"/>
          <w:lang w:val="es-MX"/>
        </w:rPr>
      </w:pPr>
      <w:r>
        <w:rPr>
          <w:rFonts w:cstheme="minorHAnsi"/>
          <w:sz w:val="20"/>
          <w:szCs w:val="20"/>
          <w:lang w:val="es-MX"/>
        </w:rPr>
        <w:t>Abogado</w:t>
      </w:r>
    </w:p>
    <w:p w:rsidR="000805B1" w:rsidRDefault="000805B1" w:rsidP="00DA605D">
      <w:pPr>
        <w:tabs>
          <w:tab w:val="left" w:pos="3119"/>
        </w:tabs>
        <w:jc w:val="both"/>
        <w:rPr>
          <w:rFonts w:cstheme="minorHAnsi"/>
          <w:sz w:val="20"/>
          <w:szCs w:val="20"/>
          <w:lang w:val="es-MX"/>
        </w:rPr>
      </w:pPr>
      <w:r>
        <w:rPr>
          <w:rFonts w:cstheme="minorHAnsi"/>
          <w:sz w:val="20"/>
          <w:szCs w:val="20"/>
          <w:lang w:val="es-MX"/>
        </w:rPr>
        <w:t xml:space="preserve">Carlos </w:t>
      </w:r>
      <w:proofErr w:type="spellStart"/>
      <w:r>
        <w:rPr>
          <w:rFonts w:cstheme="minorHAnsi"/>
          <w:sz w:val="20"/>
          <w:szCs w:val="20"/>
          <w:lang w:val="es-MX"/>
        </w:rPr>
        <w:t>Alomoto</w:t>
      </w:r>
      <w:proofErr w:type="spellEnd"/>
      <w:r>
        <w:rPr>
          <w:rFonts w:cstheme="minorHAnsi"/>
          <w:sz w:val="20"/>
          <w:szCs w:val="20"/>
          <w:lang w:val="es-MX"/>
        </w:rPr>
        <w:t xml:space="preserve"> R.</w:t>
      </w:r>
    </w:p>
    <w:p w:rsidR="000805B1" w:rsidRDefault="000805B1" w:rsidP="00DA605D">
      <w:pPr>
        <w:tabs>
          <w:tab w:val="left" w:pos="3119"/>
        </w:tabs>
        <w:jc w:val="both"/>
        <w:rPr>
          <w:rFonts w:cstheme="minorHAnsi"/>
          <w:sz w:val="20"/>
          <w:szCs w:val="20"/>
          <w:lang w:val="es-MX"/>
        </w:rPr>
      </w:pPr>
      <w:r>
        <w:rPr>
          <w:rFonts w:cstheme="minorHAnsi"/>
          <w:sz w:val="20"/>
          <w:szCs w:val="20"/>
          <w:lang w:val="es-MX"/>
        </w:rPr>
        <w:t>Secretario General del Concejo Metropolitano de Quito</w:t>
      </w:r>
    </w:p>
    <w:p w:rsidR="00DA605D" w:rsidRPr="00DA605D" w:rsidRDefault="00DA605D" w:rsidP="00DA605D">
      <w:pPr>
        <w:jc w:val="both"/>
        <w:rPr>
          <w:sz w:val="20"/>
          <w:szCs w:val="20"/>
        </w:rPr>
      </w:pPr>
      <w:r w:rsidRPr="00DA605D">
        <w:rPr>
          <w:sz w:val="20"/>
          <w:szCs w:val="20"/>
        </w:rPr>
        <w:t>Presente.</w:t>
      </w:r>
    </w:p>
    <w:p w:rsidR="00DA605D" w:rsidRDefault="00DA605D" w:rsidP="00DA605D">
      <w:pPr>
        <w:jc w:val="right"/>
        <w:rPr>
          <w:b/>
          <w:sz w:val="20"/>
          <w:szCs w:val="20"/>
        </w:rPr>
      </w:pPr>
    </w:p>
    <w:p w:rsidR="00561374" w:rsidRPr="00DC72F0" w:rsidRDefault="00561374" w:rsidP="00DA605D">
      <w:pPr>
        <w:jc w:val="right"/>
        <w:rPr>
          <w:b/>
          <w:sz w:val="20"/>
          <w:szCs w:val="20"/>
        </w:rPr>
      </w:pPr>
    </w:p>
    <w:p w:rsidR="000805B1" w:rsidRPr="00C16D54" w:rsidRDefault="000805B1" w:rsidP="00DA605D">
      <w:pPr>
        <w:jc w:val="right"/>
        <w:rPr>
          <w:sz w:val="20"/>
          <w:szCs w:val="20"/>
        </w:rPr>
      </w:pPr>
      <w:r>
        <w:rPr>
          <w:b/>
          <w:sz w:val="20"/>
          <w:szCs w:val="20"/>
        </w:rPr>
        <w:t>ASUNTO</w:t>
      </w:r>
      <w:r w:rsidRPr="00C16D54">
        <w:rPr>
          <w:sz w:val="20"/>
          <w:szCs w:val="20"/>
        </w:rPr>
        <w:t xml:space="preserve">: </w:t>
      </w:r>
      <w:r w:rsidR="00C16D54" w:rsidRPr="00C16D54">
        <w:rPr>
          <w:sz w:val="20"/>
          <w:szCs w:val="20"/>
        </w:rPr>
        <w:t>Propuesta de Ordenanza Modificatoria a la  OM 0037</w:t>
      </w:r>
      <w:r w:rsidR="00C16D54">
        <w:rPr>
          <w:sz w:val="20"/>
          <w:szCs w:val="20"/>
        </w:rPr>
        <w:t>.</w:t>
      </w:r>
    </w:p>
    <w:p w:rsidR="000805B1" w:rsidRDefault="000805B1" w:rsidP="00C16D54">
      <w:pPr>
        <w:tabs>
          <w:tab w:val="left" w:pos="4820"/>
          <w:tab w:val="left" w:pos="5245"/>
        </w:tabs>
        <w:jc w:val="center"/>
        <w:rPr>
          <w:sz w:val="20"/>
          <w:szCs w:val="20"/>
        </w:rPr>
      </w:pPr>
      <w:r>
        <w:rPr>
          <w:sz w:val="20"/>
          <w:szCs w:val="20"/>
        </w:rPr>
        <w:t xml:space="preserve">                                                                                           </w:t>
      </w:r>
    </w:p>
    <w:p w:rsidR="00561374" w:rsidRDefault="00561374" w:rsidP="00DA605D">
      <w:pPr>
        <w:jc w:val="both"/>
        <w:rPr>
          <w:sz w:val="20"/>
          <w:szCs w:val="20"/>
        </w:rPr>
      </w:pPr>
    </w:p>
    <w:p w:rsidR="00DA605D" w:rsidRPr="000805B1" w:rsidRDefault="00DA605D" w:rsidP="00DA605D">
      <w:pPr>
        <w:jc w:val="both"/>
        <w:rPr>
          <w:sz w:val="20"/>
          <w:szCs w:val="20"/>
        </w:rPr>
      </w:pPr>
      <w:r w:rsidRPr="000805B1">
        <w:rPr>
          <w:sz w:val="20"/>
          <w:szCs w:val="20"/>
        </w:rPr>
        <w:t>De mi consideración:</w:t>
      </w:r>
    </w:p>
    <w:p w:rsidR="00DA605D" w:rsidRPr="00DA605D" w:rsidRDefault="00DA605D" w:rsidP="00DA605D">
      <w:pPr>
        <w:jc w:val="both"/>
        <w:rPr>
          <w:sz w:val="20"/>
          <w:szCs w:val="20"/>
        </w:rPr>
      </w:pPr>
      <w:r w:rsidRPr="00DA605D">
        <w:rPr>
          <w:sz w:val="20"/>
          <w:szCs w:val="20"/>
        </w:rPr>
        <w:tab/>
      </w:r>
    </w:p>
    <w:p w:rsidR="009767DE" w:rsidRDefault="00D842D5" w:rsidP="00C16D54">
      <w:pPr>
        <w:jc w:val="both"/>
        <w:rPr>
          <w:sz w:val="20"/>
          <w:szCs w:val="20"/>
          <w:lang w:val="es-EC"/>
        </w:rPr>
      </w:pPr>
      <w:r>
        <w:rPr>
          <w:sz w:val="20"/>
          <w:szCs w:val="20"/>
        </w:rPr>
        <w:t xml:space="preserve">En atención al oficio No. SGC-0293 de 24 de junio de 2019 ingresado a esta dependencia </w:t>
      </w:r>
      <w:r w:rsidR="00DB1B69">
        <w:rPr>
          <w:sz w:val="20"/>
          <w:szCs w:val="20"/>
        </w:rPr>
        <w:t>con</w:t>
      </w:r>
      <w:r>
        <w:rPr>
          <w:sz w:val="20"/>
          <w:szCs w:val="20"/>
        </w:rPr>
        <w:t xml:space="preserve"> ticket GDOC 2019-</w:t>
      </w:r>
      <w:r>
        <w:rPr>
          <w:sz w:val="20"/>
          <w:szCs w:val="20"/>
          <w:lang w:val="es-EC"/>
        </w:rPr>
        <w:t xml:space="preserve">077739/2019-078739 mediante el cual, por disposición del doctor René </w:t>
      </w:r>
      <w:proofErr w:type="spellStart"/>
      <w:r>
        <w:rPr>
          <w:sz w:val="20"/>
          <w:szCs w:val="20"/>
          <w:lang w:val="es-EC"/>
        </w:rPr>
        <w:t>Bedón</w:t>
      </w:r>
      <w:proofErr w:type="spellEnd"/>
      <w:r>
        <w:rPr>
          <w:sz w:val="20"/>
          <w:szCs w:val="20"/>
          <w:lang w:val="es-EC"/>
        </w:rPr>
        <w:t>, presidente de la Comisión de Uso de Suelo del Concejo Metropolitano, se remite copia del oficio No. SGC-</w:t>
      </w:r>
      <w:r w:rsidR="009767DE">
        <w:rPr>
          <w:sz w:val="20"/>
          <w:szCs w:val="20"/>
          <w:lang w:val="es-EC"/>
        </w:rPr>
        <w:t xml:space="preserve">0201 de 13 de junio de  2019, respecto al proyecto de Ordenanza Modificatoria </w:t>
      </w:r>
      <w:r w:rsidR="00DB1B69">
        <w:rPr>
          <w:sz w:val="20"/>
          <w:szCs w:val="20"/>
          <w:lang w:val="es-EC"/>
        </w:rPr>
        <w:t>de</w:t>
      </w:r>
      <w:r w:rsidR="009767DE">
        <w:rPr>
          <w:sz w:val="20"/>
          <w:szCs w:val="20"/>
          <w:lang w:val="es-EC"/>
        </w:rPr>
        <w:t xml:space="preserve"> la Ordenanza Metropolitana No. 0037 de Zonificación, que contiene el Plan Parcial de Ordenamiento Territorial de la zona aeropuerto-parroquias nororientales (PPZA);  y solicita que se remita una propuesta de texto a dicha ordenanza en formato Word, así como la matriz con los cambios que se sugiere acoger y la razón de los mismos.</w:t>
      </w:r>
    </w:p>
    <w:p w:rsidR="009767DE" w:rsidRDefault="009767DE" w:rsidP="00C16D54">
      <w:pPr>
        <w:jc w:val="both"/>
        <w:rPr>
          <w:sz w:val="20"/>
          <w:szCs w:val="20"/>
          <w:lang w:val="es-EC"/>
        </w:rPr>
      </w:pPr>
    </w:p>
    <w:p w:rsidR="009E6B88" w:rsidRDefault="009E6B88" w:rsidP="00C16D54">
      <w:pPr>
        <w:jc w:val="both"/>
        <w:rPr>
          <w:sz w:val="20"/>
          <w:szCs w:val="20"/>
          <w:lang w:val="es-EC"/>
        </w:rPr>
      </w:pPr>
      <w:r>
        <w:rPr>
          <w:sz w:val="20"/>
          <w:szCs w:val="20"/>
          <w:lang w:val="es-EC"/>
        </w:rPr>
        <w:t xml:space="preserve">Se adjuntan copias de los oficios No. 0026-VMQ-DMQ-19 de 10 de junio de 2019 suscrito por el doctor Santiago </w:t>
      </w:r>
      <w:proofErr w:type="spellStart"/>
      <w:r>
        <w:rPr>
          <w:sz w:val="20"/>
          <w:szCs w:val="20"/>
          <w:lang w:val="es-EC"/>
        </w:rPr>
        <w:t>Guarderas</w:t>
      </w:r>
      <w:proofErr w:type="spellEnd"/>
      <w:r>
        <w:rPr>
          <w:sz w:val="20"/>
          <w:szCs w:val="20"/>
          <w:lang w:val="es-EC"/>
        </w:rPr>
        <w:t xml:space="preserve">, Vicealcalde del Municipio de Quito;  y No. JCF-MDMQ-2019-036 de 11 de junio de 2019, suscrito por el </w:t>
      </w:r>
      <w:proofErr w:type="spellStart"/>
      <w:r>
        <w:rPr>
          <w:sz w:val="20"/>
          <w:szCs w:val="20"/>
          <w:lang w:val="es-EC"/>
        </w:rPr>
        <w:t>MSc</w:t>
      </w:r>
      <w:proofErr w:type="spellEnd"/>
      <w:r>
        <w:rPr>
          <w:sz w:val="20"/>
          <w:szCs w:val="20"/>
          <w:lang w:val="es-EC"/>
        </w:rPr>
        <w:t xml:space="preserve">. Juan Carlos </w:t>
      </w:r>
      <w:proofErr w:type="spellStart"/>
      <w:r>
        <w:rPr>
          <w:sz w:val="20"/>
          <w:szCs w:val="20"/>
          <w:lang w:val="es-EC"/>
        </w:rPr>
        <w:t>Fiallo</w:t>
      </w:r>
      <w:proofErr w:type="spellEnd"/>
      <w:r>
        <w:rPr>
          <w:sz w:val="20"/>
          <w:szCs w:val="20"/>
          <w:lang w:val="es-EC"/>
        </w:rPr>
        <w:t>, Concejal Metropolitano de Quito,  con las observaciones referentes al caso emitidas por cada edil.</w:t>
      </w:r>
    </w:p>
    <w:p w:rsidR="009E6B88" w:rsidRDefault="009E6B88" w:rsidP="00C16D54">
      <w:pPr>
        <w:jc w:val="both"/>
        <w:rPr>
          <w:sz w:val="20"/>
          <w:szCs w:val="20"/>
          <w:lang w:val="es-EC"/>
        </w:rPr>
      </w:pPr>
    </w:p>
    <w:p w:rsidR="00EA747C" w:rsidRDefault="009767DE" w:rsidP="00C16D54">
      <w:pPr>
        <w:jc w:val="both"/>
        <w:rPr>
          <w:sz w:val="20"/>
          <w:szCs w:val="20"/>
          <w:lang w:val="es-EC"/>
        </w:rPr>
      </w:pPr>
      <w:r>
        <w:rPr>
          <w:sz w:val="20"/>
          <w:szCs w:val="20"/>
          <w:lang w:val="es-EC"/>
        </w:rPr>
        <w:t>La Secretaría de Territorio, Hábitat y Vivienda</w:t>
      </w:r>
      <w:r w:rsidR="00CC395B">
        <w:rPr>
          <w:sz w:val="20"/>
          <w:szCs w:val="20"/>
          <w:lang w:val="es-EC"/>
        </w:rPr>
        <w:t xml:space="preserve"> una vez</w:t>
      </w:r>
      <w:r w:rsidR="00EA747C">
        <w:rPr>
          <w:sz w:val="20"/>
          <w:szCs w:val="20"/>
          <w:lang w:val="es-EC"/>
        </w:rPr>
        <w:t xml:space="preserve"> revisada la documentación adjunta, remite </w:t>
      </w:r>
      <w:r w:rsidR="00DB1B69">
        <w:rPr>
          <w:sz w:val="20"/>
          <w:szCs w:val="20"/>
          <w:lang w:val="es-EC"/>
        </w:rPr>
        <w:t>la</w:t>
      </w:r>
      <w:r w:rsidR="00EA747C">
        <w:rPr>
          <w:sz w:val="20"/>
          <w:szCs w:val="20"/>
          <w:lang w:val="es-EC"/>
        </w:rPr>
        <w:t xml:space="preserve"> matriz </w:t>
      </w:r>
      <w:r w:rsidR="00DB1B69">
        <w:rPr>
          <w:sz w:val="20"/>
          <w:szCs w:val="20"/>
          <w:lang w:val="es-EC"/>
        </w:rPr>
        <w:t>señalada</w:t>
      </w:r>
      <w:r w:rsidR="00EA747C">
        <w:rPr>
          <w:sz w:val="20"/>
          <w:szCs w:val="20"/>
          <w:lang w:val="es-EC"/>
        </w:rPr>
        <w:t xml:space="preserve"> y el texto de la propuesta de Ordenanza Modificatoria en formato Word, en  archivo impreso y digital de acuerdo a lo solicitado.</w:t>
      </w:r>
    </w:p>
    <w:p w:rsidR="00EA747C" w:rsidRDefault="00EA747C" w:rsidP="00C16D54">
      <w:pPr>
        <w:jc w:val="both"/>
        <w:rPr>
          <w:sz w:val="20"/>
          <w:szCs w:val="20"/>
          <w:lang w:val="es-EC"/>
        </w:rPr>
      </w:pPr>
    </w:p>
    <w:p w:rsidR="00923CEE" w:rsidRDefault="00923CEE" w:rsidP="00DA605D">
      <w:pPr>
        <w:jc w:val="both"/>
        <w:rPr>
          <w:sz w:val="20"/>
          <w:szCs w:val="20"/>
        </w:rPr>
      </w:pPr>
      <w:r>
        <w:rPr>
          <w:sz w:val="20"/>
          <w:szCs w:val="20"/>
        </w:rPr>
        <w:t xml:space="preserve">Atentamente, </w:t>
      </w:r>
    </w:p>
    <w:p w:rsidR="00923CEE" w:rsidRDefault="00923CEE" w:rsidP="00DA605D">
      <w:pPr>
        <w:jc w:val="both"/>
        <w:rPr>
          <w:sz w:val="20"/>
          <w:szCs w:val="20"/>
        </w:rPr>
      </w:pPr>
    </w:p>
    <w:p w:rsidR="00923CEE" w:rsidRDefault="00923CEE" w:rsidP="00DA605D">
      <w:pPr>
        <w:jc w:val="both"/>
        <w:rPr>
          <w:sz w:val="20"/>
          <w:szCs w:val="20"/>
        </w:rPr>
      </w:pPr>
    </w:p>
    <w:p w:rsidR="00487DDE" w:rsidRDefault="00487DDE" w:rsidP="00487DDE">
      <w:pPr>
        <w:jc w:val="both"/>
        <w:rPr>
          <w:rFonts w:cstheme="minorHAnsi"/>
          <w:b/>
          <w:lang w:val="es-MX"/>
        </w:rPr>
      </w:pPr>
    </w:p>
    <w:p w:rsidR="00487DDE" w:rsidRPr="00DC72F0" w:rsidRDefault="00487DDE" w:rsidP="00487DDE">
      <w:pPr>
        <w:jc w:val="both"/>
        <w:rPr>
          <w:rFonts w:cstheme="minorHAnsi"/>
          <w:b/>
          <w:lang w:val="es-MX"/>
        </w:rPr>
      </w:pPr>
      <w:r w:rsidRPr="00DC72F0">
        <w:rPr>
          <w:rFonts w:cstheme="minorHAnsi"/>
          <w:b/>
          <w:lang w:val="es-MX"/>
        </w:rPr>
        <w:t xml:space="preserve">Arq. </w:t>
      </w:r>
      <w:r w:rsidR="00714566">
        <w:rPr>
          <w:rFonts w:cstheme="minorHAnsi"/>
          <w:b/>
          <w:lang w:val="es-MX"/>
        </w:rPr>
        <w:t>Vladimir Tapia G</w:t>
      </w:r>
      <w:r>
        <w:rPr>
          <w:rFonts w:cstheme="minorHAnsi"/>
          <w:b/>
          <w:lang w:val="es-MX"/>
        </w:rPr>
        <w:t>.</w:t>
      </w:r>
    </w:p>
    <w:p w:rsidR="00487DDE" w:rsidRDefault="00714566" w:rsidP="00487DDE">
      <w:pPr>
        <w:jc w:val="both"/>
        <w:rPr>
          <w:rFonts w:cstheme="minorHAnsi"/>
          <w:b/>
        </w:rPr>
      </w:pPr>
      <w:r>
        <w:rPr>
          <w:rFonts w:cstheme="minorHAnsi"/>
          <w:b/>
          <w:lang w:val="es-MX"/>
        </w:rPr>
        <w:t>DIRECTOR METROPOLITANO DE POLÍTICAS Y PLANEAMIENTO DEL SUELO</w:t>
      </w:r>
      <w:r w:rsidR="00487DDE" w:rsidRPr="00DC72F0">
        <w:rPr>
          <w:rFonts w:cstheme="minorHAnsi"/>
          <w:b/>
        </w:rPr>
        <w:t xml:space="preserve"> </w:t>
      </w:r>
    </w:p>
    <w:p w:rsidR="003E40B7" w:rsidRPr="00DC72F0" w:rsidRDefault="003E40B7" w:rsidP="00487DDE">
      <w:pPr>
        <w:jc w:val="both"/>
        <w:rPr>
          <w:lang w:val="es-MX"/>
        </w:rPr>
      </w:pPr>
    </w:p>
    <w:tbl>
      <w:tblPr>
        <w:tblW w:w="70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701"/>
        <w:gridCol w:w="1417"/>
        <w:gridCol w:w="992"/>
        <w:gridCol w:w="1276"/>
      </w:tblGrid>
      <w:tr w:rsidR="00487DDE" w:rsidRPr="00DC72F0" w:rsidTr="00487DDE">
        <w:trPr>
          <w:trHeight w:val="225"/>
        </w:trPr>
        <w:tc>
          <w:tcPr>
            <w:tcW w:w="1668" w:type="dxa"/>
            <w:shd w:val="clear" w:color="auto" w:fill="auto"/>
          </w:tcPr>
          <w:p w:rsidR="00487DDE" w:rsidRPr="00DC72F0" w:rsidRDefault="00487DDE" w:rsidP="004D456B">
            <w:pPr>
              <w:pStyle w:val="Prrafodelista"/>
              <w:autoSpaceDE w:val="0"/>
              <w:autoSpaceDN w:val="0"/>
              <w:adjustRightInd w:val="0"/>
              <w:ind w:left="0"/>
              <w:jc w:val="center"/>
              <w:rPr>
                <w:rFonts w:ascii="Calibri" w:hAnsi="Calibri" w:cs="Helvetica"/>
                <w:b/>
                <w:sz w:val="14"/>
                <w:szCs w:val="14"/>
              </w:rPr>
            </w:pPr>
            <w:r w:rsidRPr="00DC72F0">
              <w:rPr>
                <w:rFonts w:ascii="Calibri" w:hAnsi="Calibri" w:cs="Helvetica"/>
                <w:b/>
                <w:sz w:val="14"/>
                <w:szCs w:val="14"/>
              </w:rPr>
              <w:t>ACCIÓN</w:t>
            </w:r>
          </w:p>
        </w:tc>
        <w:tc>
          <w:tcPr>
            <w:tcW w:w="1701" w:type="dxa"/>
            <w:shd w:val="clear" w:color="auto" w:fill="auto"/>
          </w:tcPr>
          <w:p w:rsidR="00487DDE" w:rsidRPr="00DC72F0" w:rsidRDefault="00487DDE" w:rsidP="004D456B">
            <w:pPr>
              <w:pStyle w:val="Prrafodelista"/>
              <w:autoSpaceDE w:val="0"/>
              <w:autoSpaceDN w:val="0"/>
              <w:adjustRightInd w:val="0"/>
              <w:ind w:left="0"/>
              <w:jc w:val="center"/>
              <w:rPr>
                <w:rFonts w:ascii="Calibri" w:hAnsi="Calibri" w:cs="Helvetica"/>
                <w:b/>
                <w:sz w:val="14"/>
                <w:szCs w:val="14"/>
              </w:rPr>
            </w:pPr>
            <w:r w:rsidRPr="00DC72F0">
              <w:rPr>
                <w:rFonts w:ascii="Calibri" w:hAnsi="Calibri" w:cs="Helvetica"/>
                <w:b/>
                <w:sz w:val="14"/>
                <w:szCs w:val="14"/>
              </w:rPr>
              <w:t>RESPONSABLE</w:t>
            </w:r>
            <w:r w:rsidR="003E40B7">
              <w:rPr>
                <w:rFonts w:ascii="Calibri" w:hAnsi="Calibri" w:cs="Helvetica"/>
                <w:b/>
                <w:sz w:val="14"/>
                <w:szCs w:val="14"/>
              </w:rPr>
              <w:t>S</w:t>
            </w:r>
          </w:p>
        </w:tc>
        <w:tc>
          <w:tcPr>
            <w:tcW w:w="1417" w:type="dxa"/>
            <w:shd w:val="clear" w:color="auto" w:fill="auto"/>
          </w:tcPr>
          <w:p w:rsidR="00487DDE" w:rsidRPr="00DC72F0" w:rsidRDefault="00487DDE" w:rsidP="004D456B">
            <w:pPr>
              <w:pStyle w:val="Prrafodelista"/>
              <w:autoSpaceDE w:val="0"/>
              <w:autoSpaceDN w:val="0"/>
              <w:adjustRightInd w:val="0"/>
              <w:ind w:left="0"/>
              <w:jc w:val="center"/>
              <w:rPr>
                <w:rFonts w:ascii="Calibri" w:hAnsi="Calibri" w:cs="Helvetica"/>
                <w:b/>
                <w:sz w:val="14"/>
                <w:szCs w:val="14"/>
              </w:rPr>
            </w:pPr>
            <w:r w:rsidRPr="00DC72F0">
              <w:rPr>
                <w:rFonts w:ascii="Calibri" w:hAnsi="Calibri" w:cs="Helvetica"/>
                <w:b/>
                <w:sz w:val="14"/>
                <w:szCs w:val="14"/>
              </w:rPr>
              <w:t>SIGLA UNIDAD</w:t>
            </w:r>
          </w:p>
        </w:tc>
        <w:tc>
          <w:tcPr>
            <w:tcW w:w="992" w:type="dxa"/>
            <w:shd w:val="clear" w:color="auto" w:fill="auto"/>
          </w:tcPr>
          <w:p w:rsidR="00487DDE" w:rsidRPr="00DC72F0" w:rsidRDefault="00487DDE" w:rsidP="004D456B">
            <w:pPr>
              <w:pStyle w:val="Prrafodelista"/>
              <w:autoSpaceDE w:val="0"/>
              <w:autoSpaceDN w:val="0"/>
              <w:adjustRightInd w:val="0"/>
              <w:ind w:left="0"/>
              <w:jc w:val="center"/>
              <w:rPr>
                <w:rFonts w:ascii="Calibri" w:hAnsi="Calibri" w:cs="Helvetica"/>
                <w:b/>
                <w:sz w:val="14"/>
                <w:szCs w:val="14"/>
              </w:rPr>
            </w:pPr>
            <w:r w:rsidRPr="00DC72F0">
              <w:rPr>
                <w:rFonts w:ascii="Calibri" w:hAnsi="Calibri" w:cs="Helvetica"/>
                <w:b/>
                <w:sz w:val="14"/>
                <w:szCs w:val="14"/>
              </w:rPr>
              <w:t>FECHA</w:t>
            </w:r>
          </w:p>
        </w:tc>
        <w:tc>
          <w:tcPr>
            <w:tcW w:w="1276" w:type="dxa"/>
            <w:shd w:val="clear" w:color="auto" w:fill="auto"/>
          </w:tcPr>
          <w:p w:rsidR="00487DDE" w:rsidRPr="00DC72F0" w:rsidRDefault="00487DDE" w:rsidP="004D456B">
            <w:pPr>
              <w:pStyle w:val="Prrafodelista"/>
              <w:autoSpaceDE w:val="0"/>
              <w:autoSpaceDN w:val="0"/>
              <w:adjustRightInd w:val="0"/>
              <w:ind w:left="0"/>
              <w:jc w:val="center"/>
              <w:rPr>
                <w:rFonts w:ascii="Calibri" w:hAnsi="Calibri" w:cs="Helvetica"/>
                <w:b/>
                <w:sz w:val="14"/>
                <w:szCs w:val="14"/>
              </w:rPr>
            </w:pPr>
            <w:r w:rsidRPr="00DC72F0">
              <w:rPr>
                <w:rFonts w:ascii="Calibri" w:hAnsi="Calibri" w:cs="Helvetica"/>
                <w:b/>
                <w:sz w:val="14"/>
                <w:szCs w:val="14"/>
              </w:rPr>
              <w:t>SUMILLA</w:t>
            </w:r>
          </w:p>
        </w:tc>
      </w:tr>
      <w:tr w:rsidR="00487DDE" w:rsidRPr="00DC72F0" w:rsidTr="00487DDE">
        <w:trPr>
          <w:trHeight w:hRule="exact" w:val="227"/>
        </w:trPr>
        <w:tc>
          <w:tcPr>
            <w:tcW w:w="1668"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r w:rsidRPr="00487DDE">
              <w:rPr>
                <w:rFonts w:ascii="Calibri" w:hAnsi="Calibri" w:cs="Helvetica"/>
                <w:sz w:val="14"/>
                <w:szCs w:val="14"/>
              </w:rPr>
              <w:t xml:space="preserve">Elaboración: </w:t>
            </w:r>
          </w:p>
        </w:tc>
        <w:tc>
          <w:tcPr>
            <w:tcW w:w="1701" w:type="dxa"/>
            <w:shd w:val="clear" w:color="auto" w:fill="auto"/>
          </w:tcPr>
          <w:p w:rsidR="00487DDE" w:rsidRPr="00487DDE" w:rsidRDefault="00487DDE" w:rsidP="00487DDE">
            <w:pPr>
              <w:pStyle w:val="Prrafodelista"/>
              <w:autoSpaceDE w:val="0"/>
              <w:autoSpaceDN w:val="0"/>
              <w:adjustRightInd w:val="0"/>
              <w:ind w:left="0"/>
              <w:jc w:val="both"/>
              <w:rPr>
                <w:rFonts w:ascii="Calibri" w:hAnsi="Calibri" w:cs="Helvetica"/>
                <w:sz w:val="14"/>
                <w:szCs w:val="14"/>
              </w:rPr>
            </w:pPr>
            <w:r w:rsidRPr="00487DDE">
              <w:rPr>
                <w:rFonts w:ascii="Calibri" w:hAnsi="Calibri" w:cs="Helvetica"/>
                <w:sz w:val="14"/>
                <w:szCs w:val="14"/>
              </w:rPr>
              <w:t>Arq. María González</w:t>
            </w:r>
          </w:p>
        </w:tc>
        <w:tc>
          <w:tcPr>
            <w:tcW w:w="1417"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r w:rsidRPr="00487DDE">
              <w:rPr>
                <w:rFonts w:ascii="Calibri" w:hAnsi="Calibri" w:cs="Helvetica"/>
                <w:sz w:val="14"/>
                <w:szCs w:val="14"/>
              </w:rPr>
              <w:t>DMPPS</w:t>
            </w:r>
          </w:p>
        </w:tc>
        <w:tc>
          <w:tcPr>
            <w:tcW w:w="992" w:type="dxa"/>
            <w:shd w:val="clear" w:color="auto" w:fill="auto"/>
          </w:tcPr>
          <w:p w:rsidR="00487DDE" w:rsidRPr="00487DDE" w:rsidRDefault="00EA747C" w:rsidP="00487DDE">
            <w:pPr>
              <w:pStyle w:val="Prrafodelista"/>
              <w:autoSpaceDE w:val="0"/>
              <w:autoSpaceDN w:val="0"/>
              <w:adjustRightInd w:val="0"/>
              <w:ind w:left="0"/>
              <w:jc w:val="both"/>
              <w:rPr>
                <w:rFonts w:ascii="Calibri" w:hAnsi="Calibri" w:cs="Helvetica"/>
                <w:sz w:val="14"/>
                <w:szCs w:val="14"/>
              </w:rPr>
            </w:pPr>
            <w:r>
              <w:rPr>
                <w:rFonts w:ascii="Calibri" w:hAnsi="Calibri" w:cs="Helvetica"/>
                <w:sz w:val="14"/>
                <w:szCs w:val="14"/>
              </w:rPr>
              <w:t>2019 06 25</w:t>
            </w:r>
          </w:p>
        </w:tc>
        <w:tc>
          <w:tcPr>
            <w:tcW w:w="1276"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p>
        </w:tc>
      </w:tr>
      <w:tr w:rsidR="00487DDE" w:rsidRPr="00DC72F0" w:rsidTr="00487DDE">
        <w:trPr>
          <w:trHeight w:hRule="exact" w:val="227"/>
        </w:trPr>
        <w:tc>
          <w:tcPr>
            <w:tcW w:w="1668"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r w:rsidRPr="00487DDE">
              <w:rPr>
                <w:rFonts w:ascii="Calibri" w:hAnsi="Calibri" w:cs="Helvetica"/>
                <w:sz w:val="14"/>
                <w:szCs w:val="14"/>
              </w:rPr>
              <w:t>Revisión y aprobación</w:t>
            </w:r>
          </w:p>
        </w:tc>
        <w:tc>
          <w:tcPr>
            <w:tcW w:w="1701" w:type="dxa"/>
            <w:shd w:val="clear" w:color="auto" w:fill="auto"/>
          </w:tcPr>
          <w:p w:rsidR="00487DDE" w:rsidRPr="00487DDE" w:rsidRDefault="00487DDE" w:rsidP="00714566">
            <w:pPr>
              <w:pStyle w:val="Prrafodelista"/>
              <w:autoSpaceDE w:val="0"/>
              <w:autoSpaceDN w:val="0"/>
              <w:adjustRightInd w:val="0"/>
              <w:ind w:left="0"/>
              <w:jc w:val="both"/>
              <w:rPr>
                <w:rFonts w:ascii="Calibri" w:hAnsi="Calibri" w:cs="Helvetica"/>
                <w:sz w:val="14"/>
                <w:szCs w:val="14"/>
              </w:rPr>
            </w:pPr>
            <w:r w:rsidRPr="00487DDE">
              <w:rPr>
                <w:rFonts w:ascii="Calibri" w:hAnsi="Calibri" w:cs="Helvetica"/>
                <w:sz w:val="14"/>
                <w:szCs w:val="14"/>
              </w:rPr>
              <w:t xml:space="preserve">Arq. </w:t>
            </w:r>
            <w:r w:rsidR="00714566">
              <w:rPr>
                <w:rFonts w:ascii="Calibri" w:hAnsi="Calibri" w:cs="Helvetica"/>
                <w:sz w:val="14"/>
                <w:szCs w:val="14"/>
              </w:rPr>
              <w:t>Mauricio Marín</w:t>
            </w:r>
          </w:p>
        </w:tc>
        <w:tc>
          <w:tcPr>
            <w:tcW w:w="1417"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p>
        </w:tc>
        <w:tc>
          <w:tcPr>
            <w:tcW w:w="992"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p>
        </w:tc>
        <w:tc>
          <w:tcPr>
            <w:tcW w:w="1276" w:type="dxa"/>
            <w:shd w:val="clear" w:color="auto" w:fill="auto"/>
          </w:tcPr>
          <w:p w:rsidR="00487DDE" w:rsidRPr="00487DDE" w:rsidRDefault="00487DDE" w:rsidP="004D456B">
            <w:pPr>
              <w:pStyle w:val="Prrafodelista"/>
              <w:autoSpaceDE w:val="0"/>
              <w:autoSpaceDN w:val="0"/>
              <w:adjustRightInd w:val="0"/>
              <w:ind w:left="0"/>
              <w:jc w:val="both"/>
              <w:rPr>
                <w:rFonts w:ascii="Calibri" w:hAnsi="Calibri" w:cs="Helvetica"/>
                <w:sz w:val="14"/>
                <w:szCs w:val="14"/>
              </w:rPr>
            </w:pPr>
          </w:p>
        </w:tc>
      </w:tr>
    </w:tbl>
    <w:p w:rsidR="003E40B7" w:rsidRDefault="003E40B7" w:rsidP="00487DDE">
      <w:pPr>
        <w:rPr>
          <w:rStyle w:val="nfasisintenso"/>
          <w:b w:val="0"/>
          <w:i w:val="0"/>
          <w:sz w:val="18"/>
          <w:szCs w:val="18"/>
        </w:rPr>
      </w:pPr>
    </w:p>
    <w:p w:rsidR="00EA747C" w:rsidRDefault="00487DDE" w:rsidP="00487DDE">
      <w:pPr>
        <w:rPr>
          <w:rStyle w:val="nfasisintenso"/>
          <w:b w:val="0"/>
          <w:i w:val="0"/>
          <w:color w:val="auto"/>
          <w:sz w:val="18"/>
          <w:szCs w:val="18"/>
        </w:rPr>
      </w:pPr>
      <w:r w:rsidRPr="003E40B7">
        <w:rPr>
          <w:rStyle w:val="nfasisintenso"/>
          <w:b w:val="0"/>
          <w:i w:val="0"/>
          <w:color w:val="auto"/>
          <w:sz w:val="18"/>
          <w:szCs w:val="18"/>
        </w:rPr>
        <w:t>Anexos</w:t>
      </w:r>
      <w:proofErr w:type="gramStart"/>
      <w:r w:rsidRPr="003E40B7">
        <w:rPr>
          <w:rStyle w:val="nfasisintenso"/>
          <w:b w:val="0"/>
          <w:i w:val="0"/>
          <w:color w:val="auto"/>
          <w:sz w:val="18"/>
          <w:szCs w:val="18"/>
        </w:rPr>
        <w:t xml:space="preserve">: </w:t>
      </w:r>
      <w:r w:rsidR="00EA747C">
        <w:rPr>
          <w:rStyle w:val="nfasisintenso"/>
          <w:b w:val="0"/>
          <w:i w:val="0"/>
          <w:color w:val="auto"/>
          <w:sz w:val="18"/>
          <w:szCs w:val="18"/>
        </w:rPr>
        <w:t xml:space="preserve"> Matriz</w:t>
      </w:r>
      <w:proofErr w:type="gramEnd"/>
      <w:r w:rsidR="00EA747C">
        <w:rPr>
          <w:rStyle w:val="nfasisintenso"/>
          <w:b w:val="0"/>
          <w:i w:val="0"/>
          <w:color w:val="auto"/>
          <w:sz w:val="18"/>
          <w:szCs w:val="18"/>
        </w:rPr>
        <w:t xml:space="preserve"> con  cambios sugeridos por los concejales;</w:t>
      </w:r>
    </w:p>
    <w:p w:rsidR="003E40B7" w:rsidRDefault="00EA747C" w:rsidP="00487DDE">
      <w:pPr>
        <w:rPr>
          <w:rStyle w:val="nfasisintenso"/>
          <w:b w:val="0"/>
          <w:i w:val="0"/>
          <w:color w:val="auto"/>
          <w:sz w:val="18"/>
          <w:szCs w:val="18"/>
        </w:rPr>
      </w:pPr>
      <w:r>
        <w:rPr>
          <w:rStyle w:val="nfasisintenso"/>
          <w:b w:val="0"/>
          <w:i w:val="0"/>
          <w:color w:val="auto"/>
          <w:sz w:val="18"/>
          <w:szCs w:val="18"/>
        </w:rPr>
        <w:t xml:space="preserve">                Te</w:t>
      </w:r>
      <w:r w:rsidR="003E40B7">
        <w:rPr>
          <w:rStyle w:val="nfasisintenso"/>
          <w:b w:val="0"/>
          <w:i w:val="0"/>
          <w:color w:val="auto"/>
          <w:sz w:val="18"/>
          <w:szCs w:val="18"/>
        </w:rPr>
        <w:t>xto de propuesta de ordenanza;</w:t>
      </w:r>
    </w:p>
    <w:p w:rsidR="00487DDE" w:rsidRPr="003E40B7" w:rsidRDefault="003E40B7" w:rsidP="00487DDE">
      <w:pPr>
        <w:rPr>
          <w:rStyle w:val="nfasisintenso"/>
          <w:b w:val="0"/>
          <w:i w:val="0"/>
          <w:color w:val="auto"/>
          <w:sz w:val="18"/>
          <w:szCs w:val="18"/>
        </w:rPr>
      </w:pPr>
      <w:r>
        <w:rPr>
          <w:rStyle w:val="nfasisintenso"/>
          <w:b w:val="0"/>
          <w:i w:val="0"/>
          <w:color w:val="auto"/>
          <w:sz w:val="18"/>
          <w:szCs w:val="18"/>
        </w:rPr>
        <w:t xml:space="preserve">                </w:t>
      </w:r>
      <w:r w:rsidR="00C33410">
        <w:rPr>
          <w:rStyle w:val="nfasisintenso"/>
          <w:b w:val="0"/>
          <w:i w:val="0"/>
          <w:color w:val="auto"/>
          <w:sz w:val="18"/>
          <w:szCs w:val="18"/>
        </w:rPr>
        <w:t>C</w:t>
      </w:r>
      <w:r w:rsidR="00C33410" w:rsidRPr="00C33410">
        <w:rPr>
          <w:rStyle w:val="nfasisintenso"/>
          <w:b w:val="0"/>
          <w:i w:val="0"/>
          <w:color w:val="auto"/>
          <w:sz w:val="18"/>
          <w:szCs w:val="18"/>
        </w:rPr>
        <w:t>opias de los oficios referidos</w:t>
      </w:r>
      <w:r w:rsidR="00487DDE" w:rsidRPr="00C33410">
        <w:rPr>
          <w:sz w:val="18"/>
          <w:szCs w:val="18"/>
        </w:rPr>
        <w:t>.</w:t>
      </w:r>
    </w:p>
    <w:p w:rsidR="00487DDE" w:rsidRPr="003E40B7" w:rsidRDefault="00487DDE" w:rsidP="00487DDE">
      <w:pPr>
        <w:rPr>
          <w:rStyle w:val="nfasisintenso"/>
          <w:b w:val="0"/>
          <w:i w:val="0"/>
          <w:color w:val="auto"/>
          <w:sz w:val="18"/>
          <w:szCs w:val="18"/>
        </w:rPr>
      </w:pPr>
    </w:p>
    <w:p w:rsidR="00487DDE" w:rsidRPr="003E40B7" w:rsidRDefault="00487DDE" w:rsidP="00487DDE">
      <w:pPr>
        <w:rPr>
          <w:rStyle w:val="nfasisintenso"/>
          <w:b w:val="0"/>
          <w:i w:val="0"/>
          <w:color w:val="auto"/>
          <w:sz w:val="18"/>
          <w:szCs w:val="18"/>
        </w:rPr>
      </w:pPr>
      <w:r w:rsidRPr="003E40B7">
        <w:rPr>
          <w:rStyle w:val="nfasisintenso"/>
          <w:b w:val="0"/>
          <w:i w:val="0"/>
          <w:color w:val="auto"/>
          <w:sz w:val="18"/>
          <w:szCs w:val="18"/>
        </w:rPr>
        <w:t xml:space="preserve">Ejemplar 1:  </w:t>
      </w:r>
      <w:r w:rsidR="003E40B7">
        <w:rPr>
          <w:rStyle w:val="nfasisintenso"/>
          <w:b w:val="0"/>
          <w:i w:val="0"/>
          <w:color w:val="auto"/>
          <w:sz w:val="18"/>
          <w:szCs w:val="18"/>
        </w:rPr>
        <w:t xml:space="preserve">  </w:t>
      </w:r>
      <w:r w:rsidRPr="003E40B7">
        <w:rPr>
          <w:rStyle w:val="nfasisintenso"/>
          <w:b w:val="0"/>
          <w:i w:val="0"/>
          <w:color w:val="auto"/>
          <w:sz w:val="18"/>
          <w:szCs w:val="18"/>
        </w:rPr>
        <w:t>Secretaría General del Concejo Metropolitano,</w:t>
      </w:r>
    </w:p>
    <w:p w:rsidR="003E40B7" w:rsidRDefault="00487DDE" w:rsidP="00487DDE">
      <w:pPr>
        <w:rPr>
          <w:rStyle w:val="nfasisintenso"/>
          <w:i w:val="0"/>
          <w:sz w:val="18"/>
          <w:szCs w:val="18"/>
        </w:rPr>
      </w:pPr>
      <w:r w:rsidRPr="003E40B7">
        <w:rPr>
          <w:rStyle w:val="nfasisintenso"/>
          <w:b w:val="0"/>
          <w:i w:val="0"/>
          <w:color w:val="auto"/>
          <w:sz w:val="18"/>
          <w:szCs w:val="18"/>
        </w:rPr>
        <w:t xml:space="preserve">Ejemplar 2: </w:t>
      </w:r>
      <w:r w:rsidR="003E40B7">
        <w:rPr>
          <w:rStyle w:val="nfasisintenso"/>
          <w:b w:val="0"/>
          <w:i w:val="0"/>
          <w:color w:val="auto"/>
          <w:sz w:val="18"/>
          <w:szCs w:val="18"/>
        </w:rPr>
        <w:t xml:space="preserve">   C</w:t>
      </w:r>
      <w:r w:rsidRPr="003E40B7">
        <w:rPr>
          <w:rStyle w:val="nfasisintenso"/>
          <w:b w:val="0"/>
          <w:i w:val="0"/>
          <w:color w:val="auto"/>
          <w:sz w:val="18"/>
          <w:szCs w:val="18"/>
        </w:rPr>
        <w:t xml:space="preserve">opia para </w:t>
      </w:r>
      <w:r w:rsidR="00714566">
        <w:rPr>
          <w:rStyle w:val="nfasisintenso"/>
          <w:b w:val="0"/>
          <w:i w:val="0"/>
          <w:color w:val="auto"/>
          <w:sz w:val="18"/>
          <w:szCs w:val="18"/>
        </w:rPr>
        <w:t>el a</w:t>
      </w:r>
      <w:r w:rsidRPr="003E40B7">
        <w:rPr>
          <w:rStyle w:val="nfasisintenso"/>
          <w:b w:val="0"/>
          <w:i w:val="0"/>
          <w:color w:val="auto"/>
          <w:sz w:val="18"/>
          <w:szCs w:val="18"/>
        </w:rPr>
        <w:t xml:space="preserve">bogado René </w:t>
      </w:r>
      <w:proofErr w:type="spellStart"/>
      <w:r w:rsidRPr="003E40B7">
        <w:rPr>
          <w:rStyle w:val="nfasisintenso"/>
          <w:b w:val="0"/>
          <w:i w:val="0"/>
          <w:color w:val="auto"/>
          <w:sz w:val="18"/>
          <w:szCs w:val="18"/>
        </w:rPr>
        <w:t>Bedón</w:t>
      </w:r>
      <w:proofErr w:type="spellEnd"/>
      <w:r w:rsidRPr="003E40B7">
        <w:rPr>
          <w:rStyle w:val="nfasisintenso"/>
          <w:b w:val="0"/>
          <w:i w:val="0"/>
          <w:color w:val="auto"/>
          <w:sz w:val="18"/>
          <w:szCs w:val="18"/>
        </w:rPr>
        <w:t>, presidente de la Comisión de Uso de Suelo</w:t>
      </w:r>
      <w:r w:rsidR="003E40B7">
        <w:rPr>
          <w:rStyle w:val="nfasisintenso"/>
          <w:b w:val="0"/>
          <w:i w:val="0"/>
          <w:color w:val="auto"/>
          <w:sz w:val="18"/>
          <w:szCs w:val="18"/>
        </w:rPr>
        <w:t>.</w:t>
      </w:r>
    </w:p>
    <w:p w:rsidR="003E40B7" w:rsidRDefault="003E40B7" w:rsidP="00487DDE">
      <w:pPr>
        <w:rPr>
          <w:rStyle w:val="nfasisintenso"/>
          <w:b w:val="0"/>
          <w:i w:val="0"/>
          <w:color w:val="auto"/>
          <w:sz w:val="18"/>
          <w:szCs w:val="18"/>
        </w:rPr>
      </w:pPr>
      <w:r>
        <w:rPr>
          <w:rStyle w:val="nfasisintenso"/>
          <w:b w:val="0"/>
          <w:i w:val="0"/>
          <w:color w:val="auto"/>
          <w:sz w:val="18"/>
          <w:szCs w:val="18"/>
        </w:rPr>
        <w:t>Ejemplar 3:    Archivo General STHV.</w:t>
      </w:r>
    </w:p>
    <w:p w:rsidR="003E40B7" w:rsidRPr="003E40B7" w:rsidRDefault="003E40B7" w:rsidP="00487DDE">
      <w:pPr>
        <w:rPr>
          <w:b/>
          <w:bCs/>
          <w:iCs/>
          <w:color w:val="4F81BD" w:themeColor="accent1"/>
          <w:sz w:val="18"/>
          <w:szCs w:val="18"/>
        </w:rPr>
      </w:pPr>
      <w:r>
        <w:rPr>
          <w:rStyle w:val="nfasisintenso"/>
          <w:b w:val="0"/>
          <w:i w:val="0"/>
          <w:color w:val="auto"/>
          <w:sz w:val="18"/>
          <w:szCs w:val="18"/>
        </w:rPr>
        <w:t>Ejemplar 4:    Archivo DMPPS.</w:t>
      </w:r>
    </w:p>
    <w:p w:rsidR="00DB1B69" w:rsidRDefault="00DB1B69" w:rsidP="00923CEE">
      <w:pPr>
        <w:jc w:val="both"/>
        <w:rPr>
          <w:b/>
          <w:sz w:val="20"/>
          <w:szCs w:val="20"/>
        </w:rPr>
      </w:pPr>
      <w:r w:rsidRPr="00DB1B69">
        <w:rPr>
          <w:b/>
          <w:sz w:val="20"/>
          <w:szCs w:val="20"/>
        </w:rPr>
        <w:lastRenderedPageBreak/>
        <w:t>MATRIZ DE OBSERVACIONES AL PROYECTO DE ORDENANZA MODIFICATORIA QUE REFORMA LA ORDENANZA METROPOLITANA No. 0037 DE ZONIFICACIÓN, QUE CONTIENE EL PLAN PARCIAL DE ORDENAMIENTO TERRITORIAL DE LA ZONA AEROPUERTO-PARROQUIAS NORORIENTALES (PPZA).</w:t>
      </w:r>
    </w:p>
    <w:p w:rsidR="00080FBD" w:rsidRPr="00080FBD" w:rsidRDefault="00080FBD" w:rsidP="00923CEE">
      <w:pPr>
        <w:jc w:val="both"/>
        <w:rPr>
          <w:b/>
          <w:sz w:val="18"/>
          <w:szCs w:val="18"/>
        </w:rPr>
      </w:pPr>
      <w:r w:rsidRPr="00080FBD">
        <w:rPr>
          <w:b/>
          <w:sz w:val="18"/>
          <w:szCs w:val="18"/>
        </w:rPr>
        <w:t>Referencia: contenido en el oficio No. SGC-0293</w:t>
      </w:r>
      <w:r w:rsidR="00E4026F">
        <w:rPr>
          <w:b/>
          <w:sz w:val="18"/>
          <w:szCs w:val="18"/>
        </w:rPr>
        <w:t xml:space="preserve"> de 24 de junio de 2019.</w:t>
      </w:r>
    </w:p>
    <w:tbl>
      <w:tblPr>
        <w:tblStyle w:val="Tablaconcuadrcula"/>
        <w:tblW w:w="0" w:type="auto"/>
        <w:tblLook w:val="04A0" w:firstRow="1" w:lastRow="0" w:firstColumn="1" w:lastColumn="0" w:noHBand="0" w:noVBand="1"/>
      </w:tblPr>
      <w:tblGrid>
        <w:gridCol w:w="4393"/>
        <w:gridCol w:w="4394"/>
      </w:tblGrid>
      <w:tr w:rsidR="00DB1B69" w:rsidRPr="00DB1B69" w:rsidTr="00DB1B69">
        <w:tc>
          <w:tcPr>
            <w:tcW w:w="4393" w:type="dxa"/>
          </w:tcPr>
          <w:p w:rsidR="00DB1B69" w:rsidRPr="00DB1B69" w:rsidRDefault="00DB1B69" w:rsidP="00DB1B69">
            <w:pPr>
              <w:jc w:val="center"/>
              <w:rPr>
                <w:b/>
                <w:sz w:val="20"/>
                <w:szCs w:val="20"/>
              </w:rPr>
            </w:pPr>
            <w:r w:rsidRPr="00DB1B69">
              <w:rPr>
                <w:b/>
                <w:sz w:val="20"/>
                <w:szCs w:val="20"/>
              </w:rPr>
              <w:t>OBSERVACIONES</w:t>
            </w:r>
          </w:p>
        </w:tc>
        <w:tc>
          <w:tcPr>
            <w:tcW w:w="4394" w:type="dxa"/>
          </w:tcPr>
          <w:p w:rsidR="00DB1B69" w:rsidRPr="00DB1B69" w:rsidRDefault="00DB1B69" w:rsidP="00DB1B69">
            <w:pPr>
              <w:jc w:val="center"/>
              <w:rPr>
                <w:b/>
                <w:sz w:val="20"/>
                <w:szCs w:val="20"/>
              </w:rPr>
            </w:pPr>
            <w:r w:rsidRPr="00DB1B69">
              <w:rPr>
                <w:b/>
                <w:sz w:val="20"/>
                <w:szCs w:val="20"/>
              </w:rPr>
              <w:t>PROPUESTA</w:t>
            </w:r>
          </w:p>
        </w:tc>
      </w:tr>
      <w:tr w:rsidR="00F54C59" w:rsidTr="00225822">
        <w:tc>
          <w:tcPr>
            <w:tcW w:w="8787" w:type="dxa"/>
            <w:gridSpan w:val="2"/>
          </w:tcPr>
          <w:p w:rsidR="00F54C59" w:rsidRDefault="00F54C59" w:rsidP="00923CEE">
            <w:pPr>
              <w:jc w:val="both"/>
              <w:rPr>
                <w:b/>
                <w:sz w:val="22"/>
                <w:szCs w:val="22"/>
              </w:rPr>
            </w:pPr>
            <w:r>
              <w:rPr>
                <w:b/>
                <w:sz w:val="20"/>
                <w:szCs w:val="20"/>
              </w:rPr>
              <w:t xml:space="preserve">Dr. René </w:t>
            </w:r>
            <w:proofErr w:type="spellStart"/>
            <w:r>
              <w:rPr>
                <w:b/>
                <w:sz w:val="20"/>
                <w:szCs w:val="20"/>
              </w:rPr>
              <w:t>Bedón</w:t>
            </w:r>
            <w:proofErr w:type="spellEnd"/>
            <w:r>
              <w:rPr>
                <w:b/>
                <w:sz w:val="20"/>
                <w:szCs w:val="20"/>
              </w:rPr>
              <w:t>:</w:t>
            </w:r>
          </w:p>
        </w:tc>
      </w:tr>
      <w:tr w:rsidR="00DB1B69" w:rsidTr="00DB1B69">
        <w:tc>
          <w:tcPr>
            <w:tcW w:w="4393" w:type="dxa"/>
          </w:tcPr>
          <w:p w:rsidR="00DB1B69" w:rsidRPr="0067524F" w:rsidRDefault="00A70BAF" w:rsidP="00A70BAF">
            <w:pPr>
              <w:jc w:val="both"/>
              <w:rPr>
                <w:sz w:val="16"/>
                <w:szCs w:val="16"/>
              </w:rPr>
            </w:pPr>
            <w:r w:rsidRPr="0067524F">
              <w:rPr>
                <w:sz w:val="16"/>
                <w:szCs w:val="16"/>
              </w:rPr>
              <w:t>La Procuraduría Metropolitana presentó una serie de recomendaciones y consideraciones que no fueron acogidas en los considerandos de la Ordenanza, las cuales deben ser tomadas en cuenta para el segundo debate.</w:t>
            </w:r>
          </w:p>
        </w:tc>
        <w:tc>
          <w:tcPr>
            <w:tcW w:w="4394" w:type="dxa"/>
          </w:tcPr>
          <w:p w:rsidR="00DB1B69" w:rsidRPr="0067524F" w:rsidRDefault="00A70BAF" w:rsidP="00080FBD">
            <w:pPr>
              <w:jc w:val="both"/>
              <w:rPr>
                <w:sz w:val="16"/>
                <w:szCs w:val="16"/>
              </w:rPr>
            </w:pPr>
            <w:r w:rsidRPr="0067524F">
              <w:rPr>
                <w:sz w:val="16"/>
                <w:szCs w:val="16"/>
              </w:rPr>
              <w:t xml:space="preserve">Se han </w:t>
            </w:r>
            <w:r w:rsidR="00080FBD">
              <w:rPr>
                <w:sz w:val="16"/>
                <w:szCs w:val="16"/>
              </w:rPr>
              <w:t xml:space="preserve">acogido e </w:t>
            </w:r>
            <w:r w:rsidRPr="0067524F">
              <w:rPr>
                <w:sz w:val="16"/>
                <w:szCs w:val="16"/>
              </w:rPr>
              <w:t xml:space="preserve">incorporado las observaciones </w:t>
            </w:r>
            <w:r w:rsidR="0067524F" w:rsidRPr="0067524F">
              <w:rPr>
                <w:sz w:val="16"/>
                <w:szCs w:val="16"/>
              </w:rPr>
              <w:t>realizadas por la Procuraduría Metropolitana contenidas en el oficio No. GADDMQ-PM-SAUOS-2019-0009-O de 15 de marzo de 2019</w:t>
            </w:r>
            <w:r w:rsidR="00080FBD">
              <w:rPr>
                <w:sz w:val="16"/>
                <w:szCs w:val="16"/>
              </w:rPr>
              <w:t>.</w:t>
            </w:r>
          </w:p>
        </w:tc>
      </w:tr>
      <w:tr w:rsidR="00DB1B69" w:rsidTr="00DB1B69">
        <w:tc>
          <w:tcPr>
            <w:tcW w:w="4393" w:type="dxa"/>
          </w:tcPr>
          <w:p w:rsidR="00DB1B69" w:rsidRPr="00080FBD" w:rsidRDefault="00080FBD" w:rsidP="00E4026F">
            <w:pPr>
              <w:jc w:val="both"/>
              <w:rPr>
                <w:b/>
                <w:sz w:val="20"/>
                <w:szCs w:val="20"/>
              </w:rPr>
            </w:pPr>
            <w:r w:rsidRPr="00080FBD">
              <w:rPr>
                <w:b/>
                <w:sz w:val="20"/>
                <w:szCs w:val="20"/>
              </w:rPr>
              <w:t>Dr.</w:t>
            </w:r>
            <w:r w:rsidR="00E4026F">
              <w:rPr>
                <w:b/>
                <w:sz w:val="20"/>
                <w:szCs w:val="20"/>
              </w:rPr>
              <w:t xml:space="preserve"> Santiago </w:t>
            </w:r>
            <w:proofErr w:type="spellStart"/>
            <w:r w:rsidR="00E4026F">
              <w:rPr>
                <w:b/>
                <w:sz w:val="20"/>
                <w:szCs w:val="20"/>
              </w:rPr>
              <w:t>Guarderas</w:t>
            </w:r>
            <w:proofErr w:type="spellEnd"/>
            <w:r w:rsidR="00E4026F">
              <w:rPr>
                <w:b/>
                <w:sz w:val="20"/>
                <w:szCs w:val="20"/>
              </w:rPr>
              <w:t xml:space="preserve"> </w:t>
            </w:r>
            <w:r w:rsidR="00E4026F" w:rsidRPr="00E4026F">
              <w:rPr>
                <w:b/>
                <w:sz w:val="16"/>
                <w:szCs w:val="16"/>
              </w:rPr>
              <w:t>(oficio No. 0026-VMQ-DMQ-19 de 10 de junio de 2019)</w:t>
            </w:r>
            <w:r w:rsidR="00E4026F">
              <w:rPr>
                <w:b/>
                <w:sz w:val="16"/>
                <w:szCs w:val="16"/>
              </w:rPr>
              <w:t>:</w:t>
            </w:r>
          </w:p>
        </w:tc>
        <w:tc>
          <w:tcPr>
            <w:tcW w:w="4394" w:type="dxa"/>
          </w:tcPr>
          <w:p w:rsidR="00DB1B69" w:rsidRDefault="00DB1B69" w:rsidP="00923CEE">
            <w:pPr>
              <w:jc w:val="both"/>
              <w:rPr>
                <w:b/>
                <w:sz w:val="22"/>
                <w:szCs w:val="22"/>
              </w:rPr>
            </w:pPr>
          </w:p>
        </w:tc>
      </w:tr>
      <w:tr w:rsidR="00DB1B69" w:rsidTr="00DB1B69">
        <w:tc>
          <w:tcPr>
            <w:tcW w:w="4393" w:type="dxa"/>
          </w:tcPr>
          <w:p w:rsidR="00DB1B69" w:rsidRPr="00080FBD" w:rsidRDefault="00080FBD" w:rsidP="00923CEE">
            <w:pPr>
              <w:jc w:val="both"/>
              <w:rPr>
                <w:sz w:val="16"/>
                <w:szCs w:val="16"/>
              </w:rPr>
            </w:pPr>
            <w:r>
              <w:rPr>
                <w:sz w:val="16"/>
                <w:szCs w:val="16"/>
              </w:rPr>
              <w:t>1. En el proyecto de Ordenanza, previo a los Considerandos, no se hace mención al Informe que motiva la Ordenanza, siendo éste: IC-O-2019-180 (Comisión de Uso de Suelo).</w:t>
            </w:r>
          </w:p>
        </w:tc>
        <w:tc>
          <w:tcPr>
            <w:tcW w:w="4394" w:type="dxa"/>
          </w:tcPr>
          <w:p w:rsidR="00DB1B69" w:rsidRPr="00080FBD" w:rsidRDefault="000C77C6" w:rsidP="00714566">
            <w:pPr>
              <w:jc w:val="both"/>
              <w:rPr>
                <w:sz w:val="16"/>
                <w:szCs w:val="16"/>
              </w:rPr>
            </w:pPr>
            <w:r w:rsidRPr="00681F57">
              <w:rPr>
                <w:sz w:val="16"/>
                <w:szCs w:val="16"/>
              </w:rPr>
              <w:t>Acog</w:t>
            </w:r>
            <w:r>
              <w:rPr>
                <w:sz w:val="16"/>
                <w:szCs w:val="16"/>
              </w:rPr>
              <w:t>ido, observando que e</w:t>
            </w:r>
            <w:r w:rsidR="00080FBD">
              <w:rPr>
                <w:sz w:val="16"/>
                <w:szCs w:val="16"/>
              </w:rPr>
              <w:t>st</w:t>
            </w:r>
            <w:r w:rsidR="00681F57">
              <w:rPr>
                <w:sz w:val="16"/>
                <w:szCs w:val="16"/>
              </w:rPr>
              <w:t xml:space="preserve">a referencia al Informe </w:t>
            </w:r>
            <w:r w:rsidR="00080FBD">
              <w:rPr>
                <w:sz w:val="16"/>
                <w:szCs w:val="16"/>
              </w:rPr>
              <w:t>lo incorpora la SGC, una vez que el proyecto se aprueba en Segundo Debate</w:t>
            </w:r>
            <w:r w:rsidR="00714566">
              <w:rPr>
                <w:sz w:val="16"/>
                <w:szCs w:val="16"/>
              </w:rPr>
              <w:t>.</w:t>
            </w:r>
          </w:p>
        </w:tc>
      </w:tr>
      <w:tr w:rsidR="00DB1B69" w:rsidTr="00DB1B69">
        <w:tc>
          <w:tcPr>
            <w:tcW w:w="4393" w:type="dxa"/>
          </w:tcPr>
          <w:p w:rsidR="00DB1B69" w:rsidRDefault="00681F57" w:rsidP="00923CEE">
            <w:pPr>
              <w:jc w:val="both"/>
              <w:rPr>
                <w:b/>
                <w:sz w:val="22"/>
                <w:szCs w:val="22"/>
              </w:rPr>
            </w:pPr>
            <w:r w:rsidRPr="00681F57">
              <w:rPr>
                <w:sz w:val="16"/>
                <w:szCs w:val="16"/>
              </w:rPr>
              <w:t>2.</w:t>
            </w:r>
            <w:r>
              <w:rPr>
                <w:b/>
                <w:sz w:val="22"/>
                <w:szCs w:val="22"/>
              </w:rPr>
              <w:t xml:space="preserve"> </w:t>
            </w:r>
            <w:r w:rsidRPr="00681F57">
              <w:rPr>
                <w:sz w:val="16"/>
                <w:szCs w:val="16"/>
              </w:rPr>
              <w:t>E</w:t>
            </w:r>
            <w:r>
              <w:rPr>
                <w:sz w:val="16"/>
                <w:szCs w:val="16"/>
              </w:rPr>
              <w:t>n el segundo párrafo de la Exposición de Motivos se hace referencia al oficio No. STHV-DMPPS-6039 de 10 de diciembre de 2018, cuando lo correcto es el Oficio No. STHV-DMPPS-01628 de 25 de abril de 2019, con el informe ampliado y actualizado de la STHV, solicitado por la CUS, en relaciones con los oficios emitidos en diciembre y enero.</w:t>
            </w:r>
          </w:p>
        </w:tc>
        <w:tc>
          <w:tcPr>
            <w:tcW w:w="4394" w:type="dxa"/>
          </w:tcPr>
          <w:p w:rsidR="00DB1B69" w:rsidRPr="00681F57" w:rsidRDefault="00681F57" w:rsidP="00714566">
            <w:pPr>
              <w:jc w:val="both"/>
              <w:rPr>
                <w:sz w:val="16"/>
                <w:szCs w:val="16"/>
              </w:rPr>
            </w:pPr>
            <w:r w:rsidRPr="00681F57">
              <w:rPr>
                <w:sz w:val="16"/>
                <w:szCs w:val="16"/>
              </w:rPr>
              <w:t>Acog</w:t>
            </w:r>
            <w:r w:rsidR="00276D27">
              <w:rPr>
                <w:sz w:val="16"/>
                <w:szCs w:val="16"/>
              </w:rPr>
              <w:t>ido, observando que la fecha del oficio STHV-DM</w:t>
            </w:r>
            <w:r w:rsidR="00714566">
              <w:rPr>
                <w:sz w:val="16"/>
                <w:szCs w:val="16"/>
              </w:rPr>
              <w:t>PPS-01628 es 5 de abril de 2019</w:t>
            </w:r>
            <w:r w:rsidR="00276D27">
              <w:rPr>
                <w:sz w:val="16"/>
                <w:szCs w:val="16"/>
              </w:rPr>
              <w:t>.</w:t>
            </w:r>
          </w:p>
        </w:tc>
      </w:tr>
      <w:tr w:rsidR="00DB1B69" w:rsidTr="00DB1B69">
        <w:tc>
          <w:tcPr>
            <w:tcW w:w="4393" w:type="dxa"/>
          </w:tcPr>
          <w:p w:rsidR="00DB1B69" w:rsidRPr="00276D27" w:rsidRDefault="00276D27" w:rsidP="00923CEE">
            <w:pPr>
              <w:jc w:val="both"/>
              <w:rPr>
                <w:sz w:val="16"/>
                <w:szCs w:val="16"/>
              </w:rPr>
            </w:pPr>
            <w:r w:rsidRPr="00276D27">
              <w:rPr>
                <w:sz w:val="16"/>
                <w:szCs w:val="16"/>
              </w:rPr>
              <w:t xml:space="preserve">3. En el detalle de las normas legales </w:t>
            </w:r>
            <w:r>
              <w:rPr>
                <w:sz w:val="16"/>
                <w:szCs w:val="16"/>
              </w:rPr>
              <w:t>que facultan al Alcalde Metropolitano la expedición del proyecto de Ordenanza, se deber eliminar el artículo 57, literal a) del COOTAD, que se refiere a las funcion</w:t>
            </w:r>
            <w:r w:rsidR="00D10EB3">
              <w:rPr>
                <w:sz w:val="16"/>
                <w:szCs w:val="16"/>
              </w:rPr>
              <w:t>es d</w:t>
            </w:r>
            <w:r w:rsidR="00714566">
              <w:rPr>
                <w:sz w:val="16"/>
                <w:szCs w:val="16"/>
              </w:rPr>
              <w:t>e</w:t>
            </w:r>
            <w:r w:rsidR="00D10EB3">
              <w:rPr>
                <w:sz w:val="16"/>
                <w:szCs w:val="16"/>
              </w:rPr>
              <w:t xml:space="preserve"> los Concejos Municipales, y se considere incluir el artículo 87, literal a) que se refiere a una de las atribuciones de los Concejos Metropolitanos.</w:t>
            </w:r>
          </w:p>
        </w:tc>
        <w:tc>
          <w:tcPr>
            <w:tcW w:w="4394" w:type="dxa"/>
          </w:tcPr>
          <w:p w:rsidR="00DB1B69" w:rsidRDefault="00714566" w:rsidP="00714566">
            <w:pPr>
              <w:jc w:val="both"/>
              <w:rPr>
                <w:b/>
                <w:sz w:val="22"/>
                <w:szCs w:val="22"/>
              </w:rPr>
            </w:pPr>
            <w:r>
              <w:rPr>
                <w:sz w:val="16"/>
                <w:szCs w:val="16"/>
              </w:rPr>
              <w:t>Acogido</w:t>
            </w:r>
            <w:r w:rsidR="00D10EB3">
              <w:rPr>
                <w:sz w:val="16"/>
                <w:szCs w:val="16"/>
              </w:rPr>
              <w:t>.</w:t>
            </w:r>
          </w:p>
        </w:tc>
      </w:tr>
      <w:tr w:rsidR="00DB1B69" w:rsidTr="00DB1B69">
        <w:tc>
          <w:tcPr>
            <w:tcW w:w="4393" w:type="dxa"/>
          </w:tcPr>
          <w:p w:rsidR="00DB1B69" w:rsidRDefault="00D10EB3" w:rsidP="00D10EB3">
            <w:pPr>
              <w:jc w:val="both"/>
              <w:rPr>
                <w:b/>
                <w:sz w:val="22"/>
                <w:szCs w:val="22"/>
              </w:rPr>
            </w:pPr>
            <w:r>
              <w:rPr>
                <w:sz w:val="16"/>
                <w:szCs w:val="16"/>
              </w:rPr>
              <w:t>4. El nombre de la Ordenanza debería decir: “Ordenanza Modificatoria a la Ordenanza Metropolitana No. 0037 que contiene el Plan Parcial de Ordenamiento Territorial de la Zona Aeropuerto-parroquias nororientales- (PPZA)”.</w:t>
            </w:r>
          </w:p>
        </w:tc>
        <w:tc>
          <w:tcPr>
            <w:tcW w:w="4394" w:type="dxa"/>
          </w:tcPr>
          <w:p w:rsidR="00DB1B69" w:rsidRPr="006525F8" w:rsidRDefault="006525F8" w:rsidP="006525F8">
            <w:pPr>
              <w:tabs>
                <w:tab w:val="left" w:pos="1330"/>
                <w:tab w:val="left" w:pos="4536"/>
                <w:tab w:val="left" w:pos="4820"/>
                <w:tab w:val="left" w:pos="4962"/>
                <w:tab w:val="left" w:pos="5103"/>
              </w:tabs>
              <w:jc w:val="both"/>
              <w:rPr>
                <w:sz w:val="16"/>
                <w:szCs w:val="16"/>
                <w:lang w:val="es-MX"/>
              </w:rPr>
            </w:pPr>
            <w:r w:rsidRPr="006525F8">
              <w:rPr>
                <w:sz w:val="16"/>
                <w:szCs w:val="16"/>
              </w:rPr>
              <w:t>Acogido.</w:t>
            </w:r>
            <w:r>
              <w:rPr>
                <w:sz w:val="16"/>
                <w:szCs w:val="16"/>
              </w:rPr>
              <w:t xml:space="preserve"> </w:t>
            </w:r>
          </w:p>
        </w:tc>
      </w:tr>
      <w:tr w:rsidR="00DB1B69" w:rsidTr="00DB1B69">
        <w:tc>
          <w:tcPr>
            <w:tcW w:w="4393" w:type="dxa"/>
          </w:tcPr>
          <w:p w:rsidR="00DB1B69" w:rsidRPr="006525F8" w:rsidRDefault="006525F8" w:rsidP="006525F8">
            <w:pPr>
              <w:jc w:val="both"/>
              <w:rPr>
                <w:sz w:val="16"/>
                <w:szCs w:val="16"/>
              </w:rPr>
            </w:pPr>
            <w:r w:rsidRPr="006525F8">
              <w:rPr>
                <w:sz w:val="16"/>
                <w:szCs w:val="16"/>
              </w:rPr>
              <w:t xml:space="preserve">5. </w:t>
            </w:r>
            <w:r>
              <w:rPr>
                <w:sz w:val="16"/>
                <w:szCs w:val="16"/>
              </w:rPr>
              <w:t>En el  artículo único, se debe agregar,</w:t>
            </w:r>
            <w:r w:rsidRPr="006525F8">
              <w:rPr>
                <w:sz w:val="16"/>
                <w:szCs w:val="16"/>
              </w:rPr>
              <w:t xml:space="preserve"> previo </w:t>
            </w:r>
            <w:r>
              <w:rPr>
                <w:sz w:val="16"/>
                <w:szCs w:val="16"/>
              </w:rPr>
              <w:t>a la descripción de los códigos de actividades económicas, el siguiente nombre: “Comercial y de Servicios”.</w:t>
            </w:r>
          </w:p>
        </w:tc>
        <w:tc>
          <w:tcPr>
            <w:tcW w:w="4394" w:type="dxa"/>
          </w:tcPr>
          <w:p w:rsidR="00DB1B69" w:rsidRPr="006525F8" w:rsidRDefault="006525F8" w:rsidP="006525F8">
            <w:pPr>
              <w:tabs>
                <w:tab w:val="left" w:pos="1330"/>
                <w:tab w:val="left" w:pos="4536"/>
                <w:tab w:val="left" w:pos="4820"/>
                <w:tab w:val="left" w:pos="4962"/>
                <w:tab w:val="left" w:pos="5103"/>
              </w:tabs>
              <w:jc w:val="both"/>
              <w:rPr>
                <w:sz w:val="16"/>
                <w:szCs w:val="16"/>
              </w:rPr>
            </w:pPr>
            <w:r w:rsidRPr="006525F8">
              <w:rPr>
                <w:sz w:val="16"/>
                <w:szCs w:val="16"/>
              </w:rPr>
              <w:t>Acogido.</w:t>
            </w:r>
          </w:p>
        </w:tc>
      </w:tr>
      <w:tr w:rsidR="00F54C59" w:rsidTr="00A00560">
        <w:tc>
          <w:tcPr>
            <w:tcW w:w="8787" w:type="dxa"/>
            <w:gridSpan w:val="2"/>
          </w:tcPr>
          <w:p w:rsidR="00F54C59" w:rsidRDefault="00F54C59" w:rsidP="00923CEE">
            <w:pPr>
              <w:jc w:val="both"/>
              <w:rPr>
                <w:b/>
                <w:sz w:val="22"/>
                <w:szCs w:val="22"/>
              </w:rPr>
            </w:pPr>
            <w:proofErr w:type="spellStart"/>
            <w:r>
              <w:rPr>
                <w:b/>
                <w:sz w:val="20"/>
                <w:szCs w:val="20"/>
              </w:rPr>
              <w:t>MSc</w:t>
            </w:r>
            <w:proofErr w:type="spellEnd"/>
            <w:r>
              <w:rPr>
                <w:b/>
                <w:sz w:val="20"/>
                <w:szCs w:val="20"/>
              </w:rPr>
              <w:t xml:space="preserve">. Juan Carlos </w:t>
            </w:r>
            <w:proofErr w:type="spellStart"/>
            <w:r>
              <w:rPr>
                <w:b/>
                <w:sz w:val="20"/>
                <w:szCs w:val="20"/>
              </w:rPr>
              <w:t>Fiallo</w:t>
            </w:r>
            <w:proofErr w:type="spellEnd"/>
            <w:r>
              <w:rPr>
                <w:b/>
                <w:sz w:val="20"/>
                <w:szCs w:val="20"/>
              </w:rPr>
              <w:t xml:space="preserve"> </w:t>
            </w:r>
            <w:r w:rsidRPr="00E4026F">
              <w:rPr>
                <w:b/>
                <w:sz w:val="16"/>
                <w:szCs w:val="16"/>
              </w:rPr>
              <w:t xml:space="preserve">(oficio No. </w:t>
            </w:r>
            <w:r>
              <w:rPr>
                <w:b/>
                <w:sz w:val="16"/>
                <w:szCs w:val="16"/>
              </w:rPr>
              <w:t xml:space="preserve">JCF-MDMQ-2019-036 de </w:t>
            </w:r>
            <w:r w:rsidRPr="00E4026F">
              <w:rPr>
                <w:b/>
                <w:sz w:val="16"/>
                <w:szCs w:val="16"/>
              </w:rPr>
              <w:t>1</w:t>
            </w:r>
            <w:r>
              <w:rPr>
                <w:b/>
                <w:sz w:val="16"/>
                <w:szCs w:val="16"/>
              </w:rPr>
              <w:t>1</w:t>
            </w:r>
            <w:r w:rsidRPr="00E4026F">
              <w:rPr>
                <w:b/>
                <w:sz w:val="16"/>
                <w:szCs w:val="16"/>
              </w:rPr>
              <w:t xml:space="preserve"> de junio de 2019)</w:t>
            </w:r>
            <w:r>
              <w:rPr>
                <w:b/>
                <w:sz w:val="16"/>
                <w:szCs w:val="16"/>
              </w:rPr>
              <w:t>:</w:t>
            </w:r>
          </w:p>
        </w:tc>
      </w:tr>
      <w:tr w:rsidR="00DB1B69" w:rsidTr="00DB1B69">
        <w:tc>
          <w:tcPr>
            <w:tcW w:w="4393" w:type="dxa"/>
          </w:tcPr>
          <w:p w:rsidR="00DB1B69" w:rsidRPr="00CF603D" w:rsidRDefault="00CF603D" w:rsidP="00923CEE">
            <w:pPr>
              <w:jc w:val="both"/>
              <w:rPr>
                <w:sz w:val="16"/>
                <w:szCs w:val="16"/>
              </w:rPr>
            </w:pPr>
            <w:r w:rsidRPr="00CF603D">
              <w:rPr>
                <w:sz w:val="16"/>
                <w:szCs w:val="16"/>
              </w:rPr>
              <w:t xml:space="preserve">1. Debe modificarse el título por el siguiente: </w:t>
            </w:r>
            <w:r>
              <w:rPr>
                <w:sz w:val="16"/>
                <w:szCs w:val="16"/>
              </w:rPr>
              <w:t>“Ordenanza Reformatoria al artículo 9 de la Ordenanza Metropolitana No. 037 de Zonificación que contiene el Plan Parcial de Ordenamiento Territorial de la Zona Aeropuerto-parroquias nororientales-(PPZA) de 26 de marzo de 2009”.</w:t>
            </w:r>
          </w:p>
        </w:tc>
        <w:tc>
          <w:tcPr>
            <w:tcW w:w="4394" w:type="dxa"/>
          </w:tcPr>
          <w:p w:rsidR="00DB1B69" w:rsidRPr="00CF603D" w:rsidRDefault="00CF603D" w:rsidP="00714566">
            <w:pPr>
              <w:jc w:val="both"/>
              <w:rPr>
                <w:sz w:val="16"/>
                <w:szCs w:val="16"/>
              </w:rPr>
            </w:pPr>
            <w:r>
              <w:rPr>
                <w:sz w:val="16"/>
                <w:szCs w:val="16"/>
              </w:rPr>
              <w:t>No acogido.</w:t>
            </w:r>
          </w:p>
        </w:tc>
      </w:tr>
      <w:tr w:rsidR="00CF603D" w:rsidTr="00DB1B69">
        <w:tc>
          <w:tcPr>
            <w:tcW w:w="4393" w:type="dxa"/>
          </w:tcPr>
          <w:p w:rsidR="00CF603D" w:rsidRDefault="00CF603D" w:rsidP="00923CEE">
            <w:pPr>
              <w:jc w:val="both"/>
              <w:rPr>
                <w:b/>
                <w:sz w:val="22"/>
                <w:szCs w:val="22"/>
              </w:rPr>
            </w:pPr>
            <w:r w:rsidRPr="00CF603D">
              <w:rPr>
                <w:sz w:val="16"/>
                <w:szCs w:val="16"/>
              </w:rPr>
              <w:t>2. En el artículo único, antes de la palabra “incorpórese” se debe incluir “En el artículo 9”.</w:t>
            </w:r>
          </w:p>
        </w:tc>
        <w:tc>
          <w:tcPr>
            <w:tcW w:w="4394" w:type="dxa"/>
          </w:tcPr>
          <w:p w:rsidR="00CF603D" w:rsidRPr="006525F8" w:rsidRDefault="00CF603D" w:rsidP="001D6D24">
            <w:pPr>
              <w:tabs>
                <w:tab w:val="left" w:pos="1330"/>
                <w:tab w:val="left" w:pos="4536"/>
                <w:tab w:val="left" w:pos="4820"/>
                <w:tab w:val="left" w:pos="4962"/>
                <w:tab w:val="left" w:pos="5103"/>
              </w:tabs>
              <w:jc w:val="both"/>
              <w:rPr>
                <w:sz w:val="16"/>
                <w:szCs w:val="16"/>
              </w:rPr>
            </w:pPr>
            <w:r w:rsidRPr="006525F8">
              <w:rPr>
                <w:sz w:val="16"/>
                <w:szCs w:val="16"/>
              </w:rPr>
              <w:t>Acogido.</w:t>
            </w:r>
          </w:p>
        </w:tc>
      </w:tr>
      <w:tr w:rsidR="00DB1B69" w:rsidTr="00DB1B69">
        <w:tc>
          <w:tcPr>
            <w:tcW w:w="4393" w:type="dxa"/>
          </w:tcPr>
          <w:p w:rsidR="00DB1B69" w:rsidRPr="002339D2" w:rsidRDefault="00CF603D" w:rsidP="00923CEE">
            <w:pPr>
              <w:jc w:val="both"/>
              <w:rPr>
                <w:sz w:val="16"/>
                <w:szCs w:val="16"/>
              </w:rPr>
            </w:pPr>
            <w:r w:rsidRPr="002339D2">
              <w:rPr>
                <w:sz w:val="16"/>
                <w:szCs w:val="16"/>
              </w:rPr>
              <w:t>3. Se sugiere agregar a los considerandos la norma que con</w:t>
            </w:r>
            <w:r w:rsidR="00FA569C">
              <w:rPr>
                <w:sz w:val="16"/>
                <w:szCs w:val="16"/>
              </w:rPr>
              <w:t xml:space="preserve">tiene </w:t>
            </w:r>
            <w:r w:rsidR="002339D2" w:rsidRPr="002339D2">
              <w:rPr>
                <w:sz w:val="16"/>
                <w:szCs w:val="16"/>
              </w:rPr>
              <w:t xml:space="preserve">las actividades </w:t>
            </w:r>
            <w:r w:rsidR="00FA569C">
              <w:rPr>
                <w:sz w:val="16"/>
                <w:szCs w:val="16"/>
              </w:rPr>
              <w:t>económicas de los códigos CIIU que se pretenden incorporar en el proyecto de ordenanza.</w:t>
            </w:r>
          </w:p>
        </w:tc>
        <w:tc>
          <w:tcPr>
            <w:tcW w:w="4394" w:type="dxa"/>
          </w:tcPr>
          <w:p w:rsidR="00EB57AD" w:rsidRDefault="008C76B0" w:rsidP="00EB57AD">
            <w:pPr>
              <w:jc w:val="both"/>
              <w:rPr>
                <w:sz w:val="16"/>
                <w:szCs w:val="16"/>
              </w:rPr>
            </w:pPr>
            <w:r>
              <w:rPr>
                <w:sz w:val="16"/>
                <w:szCs w:val="16"/>
              </w:rPr>
              <w:t>Acogido, el texto debe decir</w:t>
            </w:r>
            <w:r w:rsidR="00EB57AD">
              <w:rPr>
                <w:sz w:val="16"/>
                <w:szCs w:val="16"/>
              </w:rPr>
              <w:t xml:space="preserve"> lo siguiente</w:t>
            </w:r>
            <w:r>
              <w:rPr>
                <w:sz w:val="16"/>
                <w:szCs w:val="16"/>
              </w:rPr>
              <w:t>:</w:t>
            </w:r>
          </w:p>
          <w:p w:rsidR="00F91742" w:rsidRDefault="008C76B0" w:rsidP="00FC5CC6">
            <w:pPr>
              <w:jc w:val="both"/>
              <w:rPr>
                <w:i/>
                <w:sz w:val="16"/>
                <w:szCs w:val="16"/>
              </w:rPr>
            </w:pPr>
            <w:r>
              <w:rPr>
                <w:sz w:val="16"/>
                <w:szCs w:val="16"/>
              </w:rPr>
              <w:t xml:space="preserve"> </w:t>
            </w:r>
            <w:r w:rsidRPr="00274CC5">
              <w:rPr>
                <w:i/>
                <w:sz w:val="16"/>
                <w:szCs w:val="16"/>
              </w:rPr>
              <w:t>Que, la Ordenanza</w:t>
            </w:r>
            <w:r w:rsidR="00EB57AD">
              <w:rPr>
                <w:i/>
                <w:sz w:val="16"/>
                <w:szCs w:val="16"/>
              </w:rPr>
              <w:t xml:space="preserve"> Metropolitana No.</w:t>
            </w:r>
            <w:r w:rsidRPr="00274CC5">
              <w:rPr>
                <w:i/>
                <w:sz w:val="16"/>
                <w:szCs w:val="16"/>
              </w:rPr>
              <w:t xml:space="preserve"> 192</w:t>
            </w:r>
            <w:r w:rsidR="00274CC5" w:rsidRPr="00274CC5">
              <w:rPr>
                <w:i/>
                <w:sz w:val="16"/>
                <w:szCs w:val="16"/>
              </w:rPr>
              <w:t xml:space="preserve">, Modificatoria de la Ordenanza Metropolitana No. 127 que contiene el PUOS, sancionada el 20 de diciembre de 2017, </w:t>
            </w:r>
            <w:r w:rsidRPr="00274CC5">
              <w:rPr>
                <w:i/>
                <w:sz w:val="16"/>
                <w:szCs w:val="16"/>
              </w:rPr>
              <w:t xml:space="preserve"> establece en su Disposición Reformatoria Primera</w:t>
            </w:r>
            <w:r w:rsidR="00FC5CC6">
              <w:rPr>
                <w:i/>
                <w:sz w:val="16"/>
                <w:szCs w:val="16"/>
              </w:rPr>
              <w:t xml:space="preserve">, </w:t>
            </w:r>
            <w:r w:rsidRPr="00274CC5">
              <w:rPr>
                <w:i/>
                <w:sz w:val="16"/>
                <w:szCs w:val="16"/>
              </w:rPr>
              <w:t xml:space="preserve">a continuación del artículo 22 de la Ordenanza Metropolitana No. 172, del Régimen Administrativo del Suelo </w:t>
            </w:r>
            <w:r w:rsidR="00FC5CC6">
              <w:rPr>
                <w:i/>
                <w:sz w:val="16"/>
                <w:szCs w:val="16"/>
              </w:rPr>
              <w:t>que se incorpore como contenido del PUOS entre otros, lo siguiente</w:t>
            </w:r>
            <w:r w:rsidRPr="00274CC5">
              <w:rPr>
                <w:i/>
                <w:sz w:val="16"/>
                <w:szCs w:val="16"/>
              </w:rPr>
              <w:t xml:space="preserve">: </w:t>
            </w:r>
            <w:r w:rsidR="00F91742" w:rsidRPr="00274CC5">
              <w:rPr>
                <w:i/>
                <w:sz w:val="16"/>
                <w:szCs w:val="16"/>
              </w:rPr>
              <w:t>“…c. Clasificador Internacional Industrial Uniforme (CIIU</w:t>
            </w:r>
            <w:r w:rsidR="00F91742" w:rsidRPr="00EB57AD">
              <w:rPr>
                <w:i/>
                <w:sz w:val="16"/>
                <w:szCs w:val="16"/>
              </w:rPr>
              <w:t>)…”</w:t>
            </w:r>
            <w:r w:rsidR="00EB57AD" w:rsidRPr="00EB57AD">
              <w:rPr>
                <w:i/>
                <w:sz w:val="16"/>
                <w:szCs w:val="16"/>
              </w:rPr>
              <w:t>, lo que consta en el artículo IV.1.22 del Código Municipal del Distrito Metropolitano, Ordenanza 001, sancionada el 29 de marzo de 2019.</w:t>
            </w:r>
          </w:p>
          <w:p w:rsidR="005F0A83" w:rsidRPr="00EB57AD" w:rsidRDefault="005F0A83" w:rsidP="001371B9">
            <w:pPr>
              <w:jc w:val="both"/>
              <w:rPr>
                <w:i/>
                <w:sz w:val="16"/>
                <w:szCs w:val="16"/>
              </w:rPr>
            </w:pPr>
          </w:p>
        </w:tc>
      </w:tr>
      <w:tr w:rsidR="00EB57AD" w:rsidTr="00DB1B69">
        <w:tc>
          <w:tcPr>
            <w:tcW w:w="4393" w:type="dxa"/>
          </w:tcPr>
          <w:p w:rsidR="00EB57AD" w:rsidRPr="002339D2" w:rsidRDefault="00EB57AD" w:rsidP="00EB57AD">
            <w:pPr>
              <w:jc w:val="both"/>
              <w:rPr>
                <w:sz w:val="16"/>
                <w:szCs w:val="16"/>
              </w:rPr>
            </w:pPr>
            <w:r>
              <w:rPr>
                <w:sz w:val="16"/>
                <w:szCs w:val="16"/>
              </w:rPr>
              <w:t xml:space="preserve">4. Las recomendaciones realizadas por la Procuraduría Metropolitana </w:t>
            </w:r>
            <w:r w:rsidR="00A27FF5">
              <w:rPr>
                <w:sz w:val="16"/>
                <w:szCs w:val="16"/>
              </w:rPr>
              <w:t>con expediente Procuraduría PRO 2019-0546 de 15 de marzo de 2019 no han sido incluidas al proyecto de ordenanza, por tal razón se sugiere sean agregadas.</w:t>
            </w:r>
          </w:p>
        </w:tc>
        <w:tc>
          <w:tcPr>
            <w:tcW w:w="4394" w:type="dxa"/>
          </w:tcPr>
          <w:p w:rsidR="00EB57AD" w:rsidRDefault="00F54C59" w:rsidP="00923CEE">
            <w:pPr>
              <w:jc w:val="both"/>
              <w:rPr>
                <w:b/>
                <w:sz w:val="22"/>
                <w:szCs w:val="22"/>
              </w:rPr>
            </w:pPr>
            <w:r w:rsidRPr="0067524F">
              <w:rPr>
                <w:sz w:val="16"/>
                <w:szCs w:val="16"/>
              </w:rPr>
              <w:t xml:space="preserve">Se han </w:t>
            </w:r>
            <w:r>
              <w:rPr>
                <w:sz w:val="16"/>
                <w:szCs w:val="16"/>
              </w:rPr>
              <w:t xml:space="preserve">acogido e </w:t>
            </w:r>
            <w:r w:rsidRPr="0067524F">
              <w:rPr>
                <w:sz w:val="16"/>
                <w:szCs w:val="16"/>
              </w:rPr>
              <w:t>incorporado las observaciones realizadas por la Procuraduría Metropolitana contenidas en el oficio No. GADDMQ-PM-SAUOS-2019-0009-O de 15 de marzo de 2019</w:t>
            </w:r>
            <w:r>
              <w:rPr>
                <w:sz w:val="16"/>
                <w:szCs w:val="16"/>
              </w:rPr>
              <w:t>.</w:t>
            </w:r>
          </w:p>
        </w:tc>
      </w:tr>
      <w:tr w:rsidR="00F54C59" w:rsidTr="00EB24BF">
        <w:tc>
          <w:tcPr>
            <w:tcW w:w="8787" w:type="dxa"/>
            <w:gridSpan w:val="2"/>
          </w:tcPr>
          <w:p w:rsidR="00F54C59" w:rsidRDefault="00F54C59" w:rsidP="00923CEE">
            <w:pPr>
              <w:jc w:val="both"/>
              <w:rPr>
                <w:b/>
                <w:sz w:val="22"/>
                <w:szCs w:val="22"/>
              </w:rPr>
            </w:pPr>
            <w:r w:rsidRPr="00F54C59">
              <w:rPr>
                <w:b/>
                <w:sz w:val="20"/>
                <w:szCs w:val="20"/>
              </w:rPr>
              <w:t>Sra. Andrea Hidalgo</w:t>
            </w:r>
            <w:r>
              <w:rPr>
                <w:b/>
                <w:sz w:val="20"/>
                <w:szCs w:val="20"/>
              </w:rPr>
              <w:t>:</w:t>
            </w:r>
          </w:p>
        </w:tc>
      </w:tr>
      <w:tr w:rsidR="00EB57AD" w:rsidRPr="00F54C59" w:rsidTr="00DB1B69">
        <w:tc>
          <w:tcPr>
            <w:tcW w:w="4393" w:type="dxa"/>
          </w:tcPr>
          <w:p w:rsidR="00EB57AD" w:rsidRPr="00F54C59" w:rsidRDefault="00F54C59" w:rsidP="00923CEE">
            <w:pPr>
              <w:jc w:val="both"/>
              <w:rPr>
                <w:sz w:val="16"/>
                <w:szCs w:val="16"/>
              </w:rPr>
            </w:pPr>
            <w:r w:rsidRPr="00F54C59">
              <w:rPr>
                <w:sz w:val="16"/>
                <w:szCs w:val="16"/>
              </w:rPr>
              <w:t>En el proyecto de Ordenanza se debe establecer normas que permitan regular el establecimiento de actividades comerciales a los alrededores de la Zona Aeropuerto.</w:t>
            </w:r>
          </w:p>
        </w:tc>
        <w:tc>
          <w:tcPr>
            <w:tcW w:w="4394" w:type="dxa"/>
          </w:tcPr>
          <w:p w:rsidR="003C4990" w:rsidRDefault="003C4990" w:rsidP="00923CEE">
            <w:pPr>
              <w:jc w:val="both"/>
              <w:rPr>
                <w:sz w:val="16"/>
                <w:szCs w:val="16"/>
              </w:rPr>
            </w:pPr>
            <w:r>
              <w:rPr>
                <w:sz w:val="16"/>
                <w:szCs w:val="16"/>
              </w:rPr>
              <w:t>No acogido por la STHV en razón de lo siguiente:</w:t>
            </w:r>
          </w:p>
          <w:p w:rsidR="003C4990" w:rsidRDefault="00F54C59" w:rsidP="00923CEE">
            <w:pPr>
              <w:jc w:val="both"/>
              <w:rPr>
                <w:sz w:val="16"/>
                <w:szCs w:val="16"/>
              </w:rPr>
            </w:pPr>
            <w:r>
              <w:rPr>
                <w:sz w:val="16"/>
                <w:szCs w:val="16"/>
              </w:rPr>
              <w:t xml:space="preserve">La compatibilidad de uso de suelo </w:t>
            </w:r>
            <w:r w:rsidR="003C4990">
              <w:rPr>
                <w:sz w:val="16"/>
                <w:szCs w:val="16"/>
              </w:rPr>
              <w:t>es</w:t>
            </w:r>
            <w:r>
              <w:rPr>
                <w:sz w:val="16"/>
                <w:szCs w:val="16"/>
              </w:rPr>
              <w:t xml:space="preserve"> las que se propone incorporar en la propuesta modificatoria</w:t>
            </w:r>
            <w:r w:rsidR="003C4990">
              <w:rPr>
                <w:sz w:val="16"/>
                <w:szCs w:val="16"/>
              </w:rPr>
              <w:t>.</w:t>
            </w:r>
          </w:p>
          <w:p w:rsidR="00EB57AD" w:rsidRDefault="003C4990" w:rsidP="003C4990">
            <w:pPr>
              <w:jc w:val="both"/>
              <w:rPr>
                <w:sz w:val="16"/>
                <w:szCs w:val="16"/>
              </w:rPr>
            </w:pPr>
            <w:r>
              <w:rPr>
                <w:sz w:val="16"/>
                <w:szCs w:val="16"/>
              </w:rPr>
              <w:t>L</w:t>
            </w:r>
            <w:r w:rsidR="00F54C59">
              <w:rPr>
                <w:sz w:val="16"/>
                <w:szCs w:val="16"/>
              </w:rPr>
              <w:t>as condiciones</w:t>
            </w:r>
            <w:r>
              <w:rPr>
                <w:sz w:val="16"/>
                <w:szCs w:val="16"/>
              </w:rPr>
              <w:t xml:space="preserve"> generales y específicas de </w:t>
            </w:r>
            <w:r w:rsidR="00F54C59">
              <w:rPr>
                <w:sz w:val="16"/>
                <w:szCs w:val="16"/>
              </w:rPr>
              <w:t>implantación</w:t>
            </w:r>
            <w:r>
              <w:rPr>
                <w:sz w:val="16"/>
                <w:szCs w:val="16"/>
              </w:rPr>
              <w:t xml:space="preserve"> del uso </w:t>
            </w:r>
            <w:r>
              <w:rPr>
                <w:sz w:val="16"/>
                <w:szCs w:val="16"/>
              </w:rPr>
              <w:lastRenderedPageBreak/>
              <w:t>comercial y de servicios</w:t>
            </w:r>
            <w:r w:rsidR="00F54C59">
              <w:rPr>
                <w:sz w:val="16"/>
                <w:szCs w:val="16"/>
              </w:rPr>
              <w:t xml:space="preserve"> constan en el anexo de la Ordenanza M</w:t>
            </w:r>
            <w:r>
              <w:rPr>
                <w:sz w:val="16"/>
                <w:szCs w:val="16"/>
              </w:rPr>
              <w:t xml:space="preserve">etropolitana No. 210 del PUOS.  </w:t>
            </w:r>
          </w:p>
          <w:p w:rsidR="003C4990" w:rsidRPr="00F54C59" w:rsidRDefault="003C4990" w:rsidP="003C4990">
            <w:pPr>
              <w:jc w:val="both"/>
              <w:rPr>
                <w:sz w:val="16"/>
                <w:szCs w:val="16"/>
              </w:rPr>
            </w:pPr>
            <w:r>
              <w:rPr>
                <w:sz w:val="16"/>
                <w:szCs w:val="16"/>
              </w:rPr>
              <w:t>Las Reglas Técnicas de Arquitectura y Urbanismo (RTAU) que corresponden al anexo único de la Ordenanza Metropolitana 172 del Régimen Administrativo del Suelo, contienen normas particulares sobre las características de las edificaciones que albergan los usos de suelo.</w:t>
            </w:r>
          </w:p>
        </w:tc>
      </w:tr>
    </w:tbl>
    <w:p w:rsidR="00DB1B69" w:rsidRPr="00F54C59" w:rsidRDefault="00B06940" w:rsidP="00B06940">
      <w:pPr>
        <w:jc w:val="right"/>
        <w:rPr>
          <w:sz w:val="16"/>
          <w:szCs w:val="16"/>
        </w:rPr>
      </w:pPr>
      <w:bookmarkStart w:id="0" w:name="_GoBack"/>
      <w:bookmarkEnd w:id="0"/>
      <w:r>
        <w:rPr>
          <w:sz w:val="16"/>
          <w:szCs w:val="16"/>
        </w:rPr>
        <w:lastRenderedPageBreak/>
        <w:t>Elaborado por: STHV / DMPPS</w:t>
      </w:r>
    </w:p>
    <w:sectPr w:rsidR="00DB1B69" w:rsidRPr="00F54C59" w:rsidSect="003E40B7">
      <w:headerReference w:type="default" r:id="rId7"/>
      <w:footerReference w:type="default" r:id="rId8"/>
      <w:pgSz w:w="11900" w:h="16840"/>
      <w:pgMar w:top="1417" w:right="1552"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C2" w:rsidRDefault="008020C2">
      <w:r>
        <w:separator/>
      </w:r>
    </w:p>
  </w:endnote>
  <w:endnote w:type="continuationSeparator" w:id="0">
    <w:p w:rsidR="008020C2" w:rsidRDefault="0080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10" w:rsidRDefault="00A73A71">
    <w:pPr>
      <w:pBdr>
        <w:top w:val="nil"/>
        <w:left w:val="nil"/>
        <w:bottom w:val="nil"/>
        <w:right w:val="nil"/>
        <w:between w:val="nil"/>
      </w:pBdr>
      <w:tabs>
        <w:tab w:val="left" w:pos="2781"/>
      </w:tabs>
      <w:rPr>
        <w:color w:val="000000"/>
      </w:rPr>
    </w:pPr>
    <w:r>
      <w:rPr>
        <w:noProof/>
        <w:color w:val="000000"/>
        <w:lang w:val="es-EC"/>
      </w:rPr>
      <w:drawing>
        <wp:inline distT="0" distB="0" distL="0" distR="0" wp14:anchorId="6B1E40DA" wp14:editId="02AAD5AC">
          <wp:extent cx="5386705" cy="244475"/>
          <wp:effectExtent l="0" t="0" r="0" b="0"/>
          <wp:docPr id="2" name="image2.png" descr="../../Desktop/Captura%20de%20pantalla%202019-05-30%20a%20la(s)%2010.48.22.png"/>
          <wp:cNvGraphicFramePr/>
          <a:graphic xmlns:a="http://schemas.openxmlformats.org/drawingml/2006/main">
            <a:graphicData uri="http://schemas.openxmlformats.org/drawingml/2006/picture">
              <pic:pic xmlns:pic="http://schemas.openxmlformats.org/drawingml/2006/picture">
                <pic:nvPicPr>
                  <pic:cNvPr id="0" name="image2.png" descr="../../Desktop/Captura%20de%20pantalla%202019-05-30%20a%20la(s)%2010.48.22.png"/>
                  <pic:cNvPicPr preferRelativeResize="0"/>
                </pic:nvPicPr>
                <pic:blipFill>
                  <a:blip r:embed="rId1"/>
                  <a:srcRect/>
                  <a:stretch>
                    <a:fillRect/>
                  </a:stretch>
                </pic:blipFill>
                <pic:spPr>
                  <a:xfrm>
                    <a:off x="0" y="0"/>
                    <a:ext cx="5386705" cy="2444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C2" w:rsidRDefault="008020C2">
      <w:r>
        <w:separator/>
      </w:r>
    </w:p>
  </w:footnote>
  <w:footnote w:type="continuationSeparator" w:id="0">
    <w:p w:rsidR="008020C2" w:rsidRDefault="0080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71" w:rsidRDefault="00A73A71">
    <w:pPr>
      <w:pBdr>
        <w:top w:val="nil"/>
        <w:left w:val="nil"/>
        <w:bottom w:val="nil"/>
        <w:right w:val="nil"/>
        <w:between w:val="nil"/>
      </w:pBdr>
      <w:tabs>
        <w:tab w:val="center" w:pos="4252"/>
        <w:tab w:val="right" w:pos="8504"/>
      </w:tabs>
      <w:jc w:val="right"/>
      <w:rPr>
        <w:color w:val="000000"/>
      </w:rPr>
    </w:pPr>
  </w:p>
  <w:p w:rsidR="00DC4C10" w:rsidRDefault="00A73A71">
    <w:pPr>
      <w:pBdr>
        <w:top w:val="nil"/>
        <w:left w:val="nil"/>
        <w:bottom w:val="nil"/>
        <w:right w:val="nil"/>
        <w:between w:val="nil"/>
      </w:pBdr>
      <w:tabs>
        <w:tab w:val="center" w:pos="4252"/>
        <w:tab w:val="right" w:pos="8504"/>
      </w:tabs>
      <w:jc w:val="right"/>
      <w:rPr>
        <w:color w:val="000000"/>
      </w:rPr>
    </w:pPr>
    <w:r>
      <w:rPr>
        <w:noProof/>
        <w:color w:val="000000"/>
        <w:lang w:val="es-EC"/>
      </w:rPr>
      <w:drawing>
        <wp:inline distT="0" distB="0" distL="0" distR="0" wp14:anchorId="715C4ED2" wp14:editId="7D48C0ED">
          <wp:extent cx="1288628" cy="667024"/>
          <wp:effectExtent l="0" t="0" r="0" b="0"/>
          <wp:docPr id="1" name="image1.png" descr="../Desktop/Captura%20de%20pantalla%202019-05-23%20a%20la(s)%2009.12.48.png"/>
          <wp:cNvGraphicFramePr/>
          <a:graphic xmlns:a="http://schemas.openxmlformats.org/drawingml/2006/main">
            <a:graphicData uri="http://schemas.openxmlformats.org/drawingml/2006/picture">
              <pic:pic xmlns:pic="http://schemas.openxmlformats.org/drawingml/2006/picture">
                <pic:nvPicPr>
                  <pic:cNvPr id="0" name="image1.png" descr="../Desktop/Captura%20de%20pantalla%202019-05-23%20a%20la(s)%2009.12.48.png"/>
                  <pic:cNvPicPr preferRelativeResize="0"/>
                </pic:nvPicPr>
                <pic:blipFill>
                  <a:blip r:embed="rId1"/>
                  <a:srcRect/>
                  <a:stretch>
                    <a:fillRect/>
                  </a:stretch>
                </pic:blipFill>
                <pic:spPr>
                  <a:xfrm>
                    <a:off x="0" y="0"/>
                    <a:ext cx="1288628" cy="667024"/>
                  </a:xfrm>
                  <a:prstGeom prst="rect">
                    <a:avLst/>
                  </a:prstGeom>
                  <a:ln/>
                </pic:spPr>
              </pic:pic>
            </a:graphicData>
          </a:graphic>
        </wp:inline>
      </w:drawing>
    </w:r>
  </w:p>
  <w:p w:rsidR="00A73A71" w:rsidRDefault="00A73A71">
    <w:pPr>
      <w:pBdr>
        <w:top w:val="nil"/>
        <w:left w:val="nil"/>
        <w:bottom w:val="nil"/>
        <w:right w:val="nil"/>
        <w:between w:val="nil"/>
      </w:pBdr>
      <w:tabs>
        <w:tab w:val="center" w:pos="4252"/>
        <w:tab w:val="right" w:pos="8504"/>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10"/>
    <w:rsid w:val="000805B1"/>
    <w:rsid w:val="00080FBD"/>
    <w:rsid w:val="000B0F12"/>
    <w:rsid w:val="000C77C6"/>
    <w:rsid w:val="000F506C"/>
    <w:rsid w:val="001371B9"/>
    <w:rsid w:val="001E5BD2"/>
    <w:rsid w:val="002339D2"/>
    <w:rsid w:val="00274CC5"/>
    <w:rsid w:val="00276D27"/>
    <w:rsid w:val="002A37E2"/>
    <w:rsid w:val="00366785"/>
    <w:rsid w:val="003C4990"/>
    <w:rsid w:val="003E40B7"/>
    <w:rsid w:val="003F0D9D"/>
    <w:rsid w:val="00426BBD"/>
    <w:rsid w:val="00487DDE"/>
    <w:rsid w:val="004B02DA"/>
    <w:rsid w:val="0054242E"/>
    <w:rsid w:val="00561374"/>
    <w:rsid w:val="00564C8F"/>
    <w:rsid w:val="005D3DBB"/>
    <w:rsid w:val="005F0A83"/>
    <w:rsid w:val="005F5A4D"/>
    <w:rsid w:val="006525F8"/>
    <w:rsid w:val="0067524F"/>
    <w:rsid w:val="00681F57"/>
    <w:rsid w:val="006E6E8B"/>
    <w:rsid w:val="00714566"/>
    <w:rsid w:val="008020C2"/>
    <w:rsid w:val="00815EDD"/>
    <w:rsid w:val="00817D09"/>
    <w:rsid w:val="008C76B0"/>
    <w:rsid w:val="00923CEE"/>
    <w:rsid w:val="009767DE"/>
    <w:rsid w:val="009E6B88"/>
    <w:rsid w:val="00A27FF5"/>
    <w:rsid w:val="00A70BAF"/>
    <w:rsid w:val="00A73A71"/>
    <w:rsid w:val="00B06940"/>
    <w:rsid w:val="00BD5A9A"/>
    <w:rsid w:val="00C16D54"/>
    <w:rsid w:val="00C33410"/>
    <w:rsid w:val="00CC395B"/>
    <w:rsid w:val="00CF3CBA"/>
    <w:rsid w:val="00CF603D"/>
    <w:rsid w:val="00D10EB3"/>
    <w:rsid w:val="00D842D5"/>
    <w:rsid w:val="00DA605D"/>
    <w:rsid w:val="00DB1B69"/>
    <w:rsid w:val="00DC4C10"/>
    <w:rsid w:val="00E32733"/>
    <w:rsid w:val="00E4026F"/>
    <w:rsid w:val="00E407AC"/>
    <w:rsid w:val="00EA747C"/>
    <w:rsid w:val="00EB57AD"/>
    <w:rsid w:val="00F54C59"/>
    <w:rsid w:val="00F91742"/>
    <w:rsid w:val="00FA569C"/>
    <w:rsid w:val="00FC5CC6"/>
    <w:rsid w:val="00FD58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_tradnl"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73A71"/>
    <w:pPr>
      <w:tabs>
        <w:tab w:val="center" w:pos="4419"/>
        <w:tab w:val="right" w:pos="8838"/>
      </w:tabs>
    </w:pPr>
  </w:style>
  <w:style w:type="character" w:customStyle="1" w:styleId="EncabezadoCar">
    <w:name w:val="Encabezado Car"/>
    <w:basedOn w:val="Fuentedeprrafopredeter"/>
    <w:link w:val="Encabezado"/>
    <w:uiPriority w:val="99"/>
    <w:rsid w:val="00A73A71"/>
  </w:style>
  <w:style w:type="paragraph" w:styleId="Piedepgina">
    <w:name w:val="footer"/>
    <w:basedOn w:val="Normal"/>
    <w:link w:val="PiedepginaCar"/>
    <w:uiPriority w:val="99"/>
    <w:unhideWhenUsed/>
    <w:rsid w:val="00A73A71"/>
    <w:pPr>
      <w:tabs>
        <w:tab w:val="center" w:pos="4419"/>
        <w:tab w:val="right" w:pos="8838"/>
      </w:tabs>
    </w:pPr>
  </w:style>
  <w:style w:type="character" w:customStyle="1" w:styleId="PiedepginaCar">
    <w:name w:val="Pie de página Car"/>
    <w:basedOn w:val="Fuentedeprrafopredeter"/>
    <w:link w:val="Piedepgina"/>
    <w:uiPriority w:val="99"/>
    <w:rsid w:val="00A73A71"/>
  </w:style>
  <w:style w:type="paragraph" w:styleId="Textodeglobo">
    <w:name w:val="Balloon Text"/>
    <w:basedOn w:val="Normal"/>
    <w:link w:val="TextodegloboCar"/>
    <w:uiPriority w:val="99"/>
    <w:semiHidden/>
    <w:unhideWhenUsed/>
    <w:rsid w:val="0054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42E"/>
    <w:rPr>
      <w:rFonts w:ascii="Tahoma" w:hAnsi="Tahoma" w:cs="Tahoma"/>
      <w:sz w:val="16"/>
      <w:szCs w:val="16"/>
    </w:rPr>
  </w:style>
  <w:style w:type="paragraph" w:styleId="Prrafodelista">
    <w:name w:val="List Paragraph"/>
    <w:aliases w:val="Párrafo de lista SUBCAPITULO,Párrafo de lista1,Colorful List - Accent 11,TIT 2 IND,Texto,List Paragraph"/>
    <w:basedOn w:val="Normal"/>
    <w:link w:val="PrrafodelistaCar"/>
    <w:uiPriority w:val="34"/>
    <w:qFormat/>
    <w:rsid w:val="00487DDE"/>
    <w:pPr>
      <w:ind w:left="720"/>
      <w:contextualSpacing/>
    </w:pPr>
    <w:rPr>
      <w:rFonts w:ascii="Times New Roman" w:eastAsia="Times New Roman" w:hAnsi="Times New Roman" w:cs="Times New Roman"/>
      <w:lang w:val="es-ES" w:eastAsia="es-ES"/>
    </w:rPr>
  </w:style>
  <w:style w:type="character" w:customStyle="1" w:styleId="PrrafodelistaCar">
    <w:name w:val="Párrafo de lista Car"/>
    <w:aliases w:val="Párrafo de lista SUBCAPITULO Car,Párrafo de lista1 Car,Colorful List - Accent 11 Car,TIT 2 IND Car,Texto Car,List Paragraph Car"/>
    <w:link w:val="Prrafodelista"/>
    <w:uiPriority w:val="34"/>
    <w:locked/>
    <w:rsid w:val="00487DDE"/>
    <w:rPr>
      <w:rFonts w:ascii="Times New Roman" w:eastAsia="Times New Roman" w:hAnsi="Times New Roman" w:cs="Times New Roman"/>
      <w:lang w:val="es-ES" w:eastAsia="es-ES"/>
    </w:rPr>
  </w:style>
  <w:style w:type="character" w:styleId="nfasisintenso">
    <w:name w:val="Intense Emphasis"/>
    <w:basedOn w:val="Fuentedeprrafopredeter"/>
    <w:uiPriority w:val="21"/>
    <w:qFormat/>
    <w:rsid w:val="00487DDE"/>
    <w:rPr>
      <w:b/>
      <w:bCs/>
      <w:i/>
      <w:iCs/>
      <w:color w:val="4F81BD" w:themeColor="accent1"/>
    </w:rPr>
  </w:style>
  <w:style w:type="table" w:styleId="Tablaconcuadrcula">
    <w:name w:val="Table Grid"/>
    <w:basedOn w:val="Tablanormal"/>
    <w:uiPriority w:val="39"/>
    <w:rsid w:val="00DB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_tradnl"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73A71"/>
    <w:pPr>
      <w:tabs>
        <w:tab w:val="center" w:pos="4419"/>
        <w:tab w:val="right" w:pos="8838"/>
      </w:tabs>
    </w:pPr>
  </w:style>
  <w:style w:type="character" w:customStyle="1" w:styleId="EncabezadoCar">
    <w:name w:val="Encabezado Car"/>
    <w:basedOn w:val="Fuentedeprrafopredeter"/>
    <w:link w:val="Encabezado"/>
    <w:uiPriority w:val="99"/>
    <w:rsid w:val="00A73A71"/>
  </w:style>
  <w:style w:type="paragraph" w:styleId="Piedepgina">
    <w:name w:val="footer"/>
    <w:basedOn w:val="Normal"/>
    <w:link w:val="PiedepginaCar"/>
    <w:uiPriority w:val="99"/>
    <w:unhideWhenUsed/>
    <w:rsid w:val="00A73A71"/>
    <w:pPr>
      <w:tabs>
        <w:tab w:val="center" w:pos="4419"/>
        <w:tab w:val="right" w:pos="8838"/>
      </w:tabs>
    </w:pPr>
  </w:style>
  <w:style w:type="character" w:customStyle="1" w:styleId="PiedepginaCar">
    <w:name w:val="Pie de página Car"/>
    <w:basedOn w:val="Fuentedeprrafopredeter"/>
    <w:link w:val="Piedepgina"/>
    <w:uiPriority w:val="99"/>
    <w:rsid w:val="00A73A71"/>
  </w:style>
  <w:style w:type="paragraph" w:styleId="Textodeglobo">
    <w:name w:val="Balloon Text"/>
    <w:basedOn w:val="Normal"/>
    <w:link w:val="TextodegloboCar"/>
    <w:uiPriority w:val="99"/>
    <w:semiHidden/>
    <w:unhideWhenUsed/>
    <w:rsid w:val="0054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42E"/>
    <w:rPr>
      <w:rFonts w:ascii="Tahoma" w:hAnsi="Tahoma" w:cs="Tahoma"/>
      <w:sz w:val="16"/>
      <w:szCs w:val="16"/>
    </w:rPr>
  </w:style>
  <w:style w:type="paragraph" w:styleId="Prrafodelista">
    <w:name w:val="List Paragraph"/>
    <w:aliases w:val="Párrafo de lista SUBCAPITULO,Párrafo de lista1,Colorful List - Accent 11,TIT 2 IND,Texto,List Paragraph"/>
    <w:basedOn w:val="Normal"/>
    <w:link w:val="PrrafodelistaCar"/>
    <w:uiPriority w:val="34"/>
    <w:qFormat/>
    <w:rsid w:val="00487DDE"/>
    <w:pPr>
      <w:ind w:left="720"/>
      <w:contextualSpacing/>
    </w:pPr>
    <w:rPr>
      <w:rFonts w:ascii="Times New Roman" w:eastAsia="Times New Roman" w:hAnsi="Times New Roman" w:cs="Times New Roman"/>
      <w:lang w:val="es-ES" w:eastAsia="es-ES"/>
    </w:rPr>
  </w:style>
  <w:style w:type="character" w:customStyle="1" w:styleId="PrrafodelistaCar">
    <w:name w:val="Párrafo de lista Car"/>
    <w:aliases w:val="Párrafo de lista SUBCAPITULO Car,Párrafo de lista1 Car,Colorful List - Accent 11 Car,TIT 2 IND Car,Texto Car,List Paragraph Car"/>
    <w:link w:val="Prrafodelista"/>
    <w:uiPriority w:val="34"/>
    <w:locked/>
    <w:rsid w:val="00487DDE"/>
    <w:rPr>
      <w:rFonts w:ascii="Times New Roman" w:eastAsia="Times New Roman" w:hAnsi="Times New Roman" w:cs="Times New Roman"/>
      <w:lang w:val="es-ES" w:eastAsia="es-ES"/>
    </w:rPr>
  </w:style>
  <w:style w:type="character" w:styleId="nfasisintenso">
    <w:name w:val="Intense Emphasis"/>
    <w:basedOn w:val="Fuentedeprrafopredeter"/>
    <w:uiPriority w:val="21"/>
    <w:qFormat/>
    <w:rsid w:val="00487DDE"/>
    <w:rPr>
      <w:b/>
      <w:bCs/>
      <w:i/>
      <w:iCs/>
      <w:color w:val="4F81BD" w:themeColor="accent1"/>
    </w:rPr>
  </w:style>
  <w:style w:type="table" w:styleId="Tablaconcuadrcula">
    <w:name w:val="Table Grid"/>
    <w:basedOn w:val="Tablanormal"/>
    <w:uiPriority w:val="39"/>
    <w:rsid w:val="00DB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Gonzalez Vasquez</dc:creator>
  <cp:lastModifiedBy>María de Lourdes González Vásquez</cp:lastModifiedBy>
  <cp:revision>5</cp:revision>
  <cp:lastPrinted>2019-06-04T15:40:00Z</cp:lastPrinted>
  <dcterms:created xsi:type="dcterms:W3CDTF">2019-06-26T13:29:00Z</dcterms:created>
  <dcterms:modified xsi:type="dcterms:W3CDTF">2019-06-26T21:03:00Z</dcterms:modified>
</cp:coreProperties>
</file>