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BB6B" w14:textId="77777777" w:rsidR="00FC0AC2" w:rsidRPr="008A1F48" w:rsidRDefault="00FC0AC2" w:rsidP="00FC0AC2">
      <w:pPr>
        <w:spacing w:line="276" w:lineRule="auto"/>
        <w:jc w:val="center"/>
        <w:rPr>
          <w:rFonts w:ascii="Palatino Linotype" w:hAnsi="Palatino Linotype"/>
          <w:b/>
          <w:sz w:val="22"/>
          <w:szCs w:val="22"/>
        </w:rPr>
      </w:pPr>
      <w:bookmarkStart w:id="0" w:name="_GoBack"/>
      <w:bookmarkEnd w:id="0"/>
      <w:r w:rsidRPr="008A1F48">
        <w:rPr>
          <w:rFonts w:ascii="Palatino Linotype" w:hAnsi="Palatino Linotype"/>
          <w:b/>
          <w:sz w:val="22"/>
          <w:szCs w:val="22"/>
        </w:rPr>
        <w:t>EXPOSICIÓN DE MOTIVOS</w:t>
      </w:r>
    </w:p>
    <w:p w14:paraId="1C88AE6C" w14:textId="77777777" w:rsidR="00FC0AC2" w:rsidRPr="008A1F48" w:rsidRDefault="00FC0AC2" w:rsidP="00FC0AC2">
      <w:pPr>
        <w:spacing w:line="276" w:lineRule="auto"/>
        <w:jc w:val="both"/>
        <w:rPr>
          <w:rFonts w:ascii="Palatino Linotype" w:hAnsi="Palatino Linotype"/>
          <w:b/>
          <w:sz w:val="22"/>
          <w:szCs w:val="22"/>
        </w:rPr>
      </w:pPr>
    </w:p>
    <w:p w14:paraId="429821B4" w14:textId="77777777"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El Plan de Uso y Ocupación de Suelo (PUOS) es el componente del Plan Metropolitano de Ordenamiento Territorial que, según lo determinado en el artículo IV.1.22 del Libro IV del Código Municipal para el Distrito Metropolitano de Quito, tiene por objeto la estructuración de la admisibilidad de usos y la edificabilidad, mediante la fijación de los parámetros y normas específicas para el uso, ocupación, habilitación del suelo y edificación. </w:t>
      </w:r>
    </w:p>
    <w:p w14:paraId="6151C045" w14:textId="77777777" w:rsidR="00FC0AC2" w:rsidRPr="008A1F48" w:rsidRDefault="00FC0AC2" w:rsidP="00FC0AC2">
      <w:pPr>
        <w:spacing w:line="276" w:lineRule="auto"/>
        <w:jc w:val="both"/>
        <w:rPr>
          <w:rFonts w:ascii="Palatino Linotype" w:hAnsi="Palatino Linotype"/>
          <w:sz w:val="22"/>
          <w:szCs w:val="22"/>
        </w:rPr>
      </w:pPr>
    </w:p>
    <w:p w14:paraId="1849F4A8" w14:textId="77777777"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El PUOS tiene una vigencia de 5 años y puede ser actualizado mediante la formulación de planes parciales, planes especiales y proyectos especiales. Asimismo, según lo establecido en el artículo IV.1.18 del Libro IV del Código Municipal para el Distrito Metropolitano de Quito, puede ser revisado excepcionalmente en los siguientes casos: (a) cuando ocurran cambios significativos en las previsiones respecto del crecimiento demográfico; del uso e intensidad de ocupación del suelo; o cuando el empleo de nuevos avances tecnológicos proporcionen datos que exijan una revisión o actualización; (b) cuando surja la necesidad o conveniencia de ejecutar proyectos de gran impacto o planes especiales en materia de transporte, infraestructura, equipamiento, servicios urbanos y en general servicios públicos; (c) cuando por caso fortuito o fuerza mayor se produzcan modificaciones que impliquen la necesidad o la conveniencia de implementar los respectivos ajustes; (d) por solicitud edilicia. Las revisiones serán conocidas y aprobadas por el Concejo Metropolitano. </w:t>
      </w:r>
    </w:p>
    <w:p w14:paraId="683B7F7C" w14:textId="77777777" w:rsidR="00FC0AC2" w:rsidRPr="008A1F48" w:rsidRDefault="00FC0AC2" w:rsidP="00FC0AC2">
      <w:pPr>
        <w:spacing w:line="276" w:lineRule="auto"/>
        <w:jc w:val="both"/>
        <w:rPr>
          <w:rFonts w:ascii="Palatino Linotype" w:hAnsi="Palatino Linotype"/>
          <w:sz w:val="22"/>
          <w:szCs w:val="22"/>
        </w:rPr>
      </w:pPr>
    </w:p>
    <w:p w14:paraId="4D96A990" w14:textId="77777777"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En el mes de marzo del año 2015 se expidió la Ordenanza Metropolitana No. 041 que aprobó el Plan Metropolitano de Desarrollo y Ordenamiento Territorial del Distrito Metropolitano de Quito. En dicha Ordenanza, a través de la Disposición Transitoria Única, se dispuso a la Secretaría de Territorio, Hábitat y Vivienda que prepare la actualización del Plan de Uso y Ocupación de Suelo (PUOS) para conocimiento y aprobación del Concejo Metropolitano de Quito. </w:t>
      </w:r>
    </w:p>
    <w:p w14:paraId="27F3DA46" w14:textId="77777777" w:rsidR="00FC0AC2" w:rsidRPr="008A1F48" w:rsidRDefault="00FC0AC2" w:rsidP="00FC0AC2">
      <w:pPr>
        <w:spacing w:line="276" w:lineRule="auto"/>
        <w:jc w:val="both"/>
        <w:rPr>
          <w:rFonts w:ascii="Palatino Linotype" w:hAnsi="Palatino Linotype"/>
          <w:sz w:val="22"/>
          <w:szCs w:val="22"/>
        </w:rPr>
      </w:pPr>
    </w:p>
    <w:p w14:paraId="5109648E" w14:textId="77777777"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En el proceso legislativo de actualización del PUOS, la Comisión de Uso de Suelo y el Concejo Metropolitano utilizaron un instrumento de trabajo en el que se detalló, identificó y validó todos los casos en los que procedían cambios en materia de clasificación, uso de suelo y zonificación, que se denominó Matriz de Cambios 2016. Sobre esta base se aprobó la Ordenanza Metropolitana No. 127, sancionada el 25 de julio del año 2016, que actualizó el PUOS. Los mapas de Uso de Suelo y Forma de Ocupación, anexos al PUOS, debían registrar exclusivamente los cambios contenidos en la Matriz de Cambios 2016 y aprobados por el Concejo Metropolitano.  </w:t>
      </w:r>
    </w:p>
    <w:p w14:paraId="70636D1B" w14:textId="77777777" w:rsidR="00FC0AC2" w:rsidRPr="008A1F48" w:rsidRDefault="00FC0AC2" w:rsidP="00FC0AC2">
      <w:pPr>
        <w:spacing w:line="276" w:lineRule="auto"/>
        <w:jc w:val="both"/>
        <w:rPr>
          <w:rFonts w:ascii="Palatino Linotype" w:hAnsi="Palatino Linotype"/>
          <w:sz w:val="22"/>
          <w:szCs w:val="22"/>
        </w:rPr>
      </w:pPr>
    </w:p>
    <w:p w14:paraId="3CA44AE4" w14:textId="3376F22C" w:rsidR="003B5E6E" w:rsidRDefault="003B5E6E" w:rsidP="00FC0AC2">
      <w:pPr>
        <w:spacing w:line="276" w:lineRule="auto"/>
        <w:jc w:val="both"/>
        <w:rPr>
          <w:rFonts w:ascii="Palatino Linotype" w:hAnsi="Palatino Linotype"/>
          <w:sz w:val="22"/>
          <w:szCs w:val="22"/>
        </w:rPr>
      </w:pPr>
      <w:r>
        <w:rPr>
          <w:rFonts w:ascii="Palatino Linotype" w:hAnsi="Palatino Linotype"/>
          <w:sz w:val="22"/>
          <w:szCs w:val="22"/>
        </w:rPr>
        <w:t xml:space="preserve">La ciudadanía realizó observaciones las mismas que fueron verificada por los </w:t>
      </w:r>
    </w:p>
    <w:p w14:paraId="315D96A0" w14:textId="28F779AE"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lastRenderedPageBreak/>
        <w:t xml:space="preserve">integrantes de la Comisión de Uso de Suelo, </w:t>
      </w:r>
      <w:r w:rsidR="003B5E6E">
        <w:rPr>
          <w:rFonts w:ascii="Palatino Linotype" w:hAnsi="Palatino Linotype"/>
          <w:sz w:val="22"/>
          <w:szCs w:val="22"/>
        </w:rPr>
        <w:t>determinando</w:t>
      </w:r>
      <w:r w:rsidRPr="008A1F48">
        <w:rPr>
          <w:rFonts w:ascii="Palatino Linotype" w:hAnsi="Palatino Linotype"/>
          <w:sz w:val="22"/>
          <w:szCs w:val="22"/>
        </w:rPr>
        <w:t xml:space="preserve"> que existían inconsistencias entre los mapas de Uso de Suelo y Forma de Ocupación anexos al PUOS de la Ordenanza Metropolitana No. 127</w:t>
      </w:r>
      <w:r w:rsidR="003B5E6E">
        <w:rPr>
          <w:rFonts w:ascii="Palatino Linotype" w:hAnsi="Palatino Linotype"/>
          <w:sz w:val="22"/>
          <w:szCs w:val="22"/>
        </w:rPr>
        <w:t>,</w:t>
      </w:r>
      <w:r w:rsidRPr="008A1F48">
        <w:rPr>
          <w:rFonts w:ascii="Palatino Linotype" w:hAnsi="Palatino Linotype"/>
          <w:sz w:val="22"/>
          <w:szCs w:val="22"/>
        </w:rPr>
        <w:t xml:space="preserve"> de julio de 2016</w:t>
      </w:r>
      <w:r w:rsidR="003B5E6E">
        <w:rPr>
          <w:rFonts w:ascii="Palatino Linotype" w:hAnsi="Palatino Linotype"/>
          <w:sz w:val="22"/>
          <w:szCs w:val="22"/>
        </w:rPr>
        <w:t xml:space="preserve">, </w:t>
      </w:r>
      <w:r w:rsidRPr="008A1F48">
        <w:rPr>
          <w:rFonts w:ascii="Palatino Linotype" w:hAnsi="Palatino Linotype"/>
          <w:sz w:val="22"/>
          <w:szCs w:val="22"/>
        </w:rPr>
        <w:t xml:space="preserve">y los casos contenidos en la Matriz de Cambios 2016, y expresamente aprobados por el Concejo Metropolitano de Quito. En consecuencia, entre noviembre de 2016 hasta abril de 2017, en reuniones de la Comisión de Uso de Suelo y mesas de trabajo, se analizó las referidas inconsistencias, determinando con claridad los casos que no formaron parte de la Matriz de Cambios 2016 y fueron incorporados en los mapas de Uso de Suelo y Forma de Ocupación anexos al PUOS de la Ordenanza Metropolitana No. 127 de julio de 2016. </w:t>
      </w:r>
    </w:p>
    <w:p w14:paraId="6E684EAA" w14:textId="77777777" w:rsidR="00FC0AC2" w:rsidRPr="008A1F48" w:rsidRDefault="00FC0AC2" w:rsidP="00FC0AC2">
      <w:pPr>
        <w:spacing w:line="276" w:lineRule="auto"/>
        <w:jc w:val="both"/>
        <w:rPr>
          <w:rFonts w:ascii="Palatino Linotype" w:hAnsi="Palatino Linotype"/>
          <w:sz w:val="22"/>
          <w:szCs w:val="22"/>
        </w:rPr>
      </w:pPr>
    </w:p>
    <w:p w14:paraId="329EC818" w14:textId="5FCF3E61"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cstheme="minorHAnsi"/>
          <w:sz w:val="22"/>
          <w:szCs w:val="22"/>
          <w:lang w:eastAsia="ar-SA"/>
        </w:rPr>
        <w:t>Mediante oficio No. STHV-DMPPS-5009 de fecha 5 de septiembre de 2017</w:t>
      </w:r>
      <w:r w:rsidRPr="008A1F48">
        <w:rPr>
          <w:rFonts w:ascii="Palatino Linotype" w:hAnsi="Palatino Linotype"/>
          <w:sz w:val="22"/>
          <w:szCs w:val="22"/>
        </w:rPr>
        <w:t xml:space="preserve">, la Secretaría de Territorio, Hábitat y Vivienda presentó a la Comisión de Uso de Suelo la matriz de los 354 casos no registrados en la </w:t>
      </w:r>
      <w:r w:rsidR="003B5E6E">
        <w:rPr>
          <w:rFonts w:ascii="Palatino Linotype" w:hAnsi="Palatino Linotype"/>
          <w:sz w:val="22"/>
          <w:szCs w:val="22"/>
        </w:rPr>
        <w:t>m</w:t>
      </w:r>
      <w:r w:rsidRPr="008A1F48">
        <w:rPr>
          <w:rFonts w:ascii="Palatino Linotype" w:hAnsi="Palatino Linotype"/>
          <w:sz w:val="22"/>
          <w:szCs w:val="22"/>
        </w:rPr>
        <w:t xml:space="preserve">atriz de </w:t>
      </w:r>
      <w:r w:rsidR="003B5E6E">
        <w:rPr>
          <w:rFonts w:ascii="Palatino Linotype" w:hAnsi="Palatino Linotype"/>
          <w:sz w:val="22"/>
          <w:szCs w:val="22"/>
        </w:rPr>
        <w:t>c</w:t>
      </w:r>
      <w:r w:rsidRPr="008A1F48">
        <w:rPr>
          <w:rFonts w:ascii="Palatino Linotype" w:hAnsi="Palatino Linotype"/>
          <w:sz w:val="22"/>
          <w:szCs w:val="22"/>
        </w:rPr>
        <w:t>ambios 2016.</w:t>
      </w:r>
    </w:p>
    <w:p w14:paraId="106F0FC5" w14:textId="77777777" w:rsidR="00FC0AC2" w:rsidRPr="008A1F48" w:rsidRDefault="00FC0AC2" w:rsidP="00FC0AC2">
      <w:pPr>
        <w:spacing w:line="276" w:lineRule="auto"/>
        <w:jc w:val="both"/>
        <w:rPr>
          <w:rFonts w:ascii="Palatino Linotype" w:hAnsi="Palatino Linotype"/>
          <w:sz w:val="22"/>
          <w:szCs w:val="22"/>
        </w:rPr>
      </w:pPr>
    </w:p>
    <w:p w14:paraId="0FBCC43F" w14:textId="40984B1B"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El 19 de diciembre de 2017 se sancionó la Ordenanza Metropolitana No. 0192, modificatoria de la Ordenanza Metropolitana No. 0127 de 25 de julio de 2016, que contiene el Plan de Uso y Ocupación de Suelo (PUOS) y que sustituyó los mapas PUOS U2-1, Mapa de Uso de Suelo Principal (2017-03-21) y Mapa PUOS Z2-1, de Ocupación y Edificabilidad (2017-03-21), anexos a la Ordenanza Metropolitana No. 0127. El objetivo del Concejo Metropolitano al promulgar esta </w:t>
      </w:r>
      <w:r w:rsidR="0042745E">
        <w:rPr>
          <w:rFonts w:ascii="Palatino Linotype" w:hAnsi="Palatino Linotype"/>
          <w:sz w:val="22"/>
          <w:szCs w:val="22"/>
        </w:rPr>
        <w:t>o</w:t>
      </w:r>
      <w:r w:rsidRPr="008A1F48">
        <w:rPr>
          <w:rFonts w:ascii="Palatino Linotype" w:hAnsi="Palatino Linotype"/>
          <w:sz w:val="22"/>
          <w:szCs w:val="22"/>
        </w:rPr>
        <w:t xml:space="preserve">rdenanza </w:t>
      </w:r>
      <w:r w:rsidR="0042745E">
        <w:rPr>
          <w:rFonts w:ascii="Palatino Linotype" w:hAnsi="Palatino Linotype"/>
          <w:sz w:val="22"/>
          <w:szCs w:val="22"/>
        </w:rPr>
        <w:t>m</w:t>
      </w:r>
      <w:r w:rsidRPr="008A1F48">
        <w:rPr>
          <w:rFonts w:ascii="Palatino Linotype" w:hAnsi="Palatino Linotype"/>
          <w:sz w:val="22"/>
          <w:szCs w:val="22"/>
        </w:rPr>
        <w:t xml:space="preserve">odificatoria, según lo establecido expresamente en la </w:t>
      </w:r>
      <w:r w:rsidR="003B5E6E">
        <w:rPr>
          <w:rFonts w:ascii="Palatino Linotype" w:hAnsi="Palatino Linotype"/>
          <w:sz w:val="22"/>
          <w:szCs w:val="22"/>
        </w:rPr>
        <w:t>e</w:t>
      </w:r>
      <w:r w:rsidRPr="008A1F48">
        <w:rPr>
          <w:rFonts w:ascii="Palatino Linotype" w:hAnsi="Palatino Linotype"/>
          <w:sz w:val="22"/>
          <w:szCs w:val="22"/>
        </w:rPr>
        <w:t xml:space="preserve">xposición de </w:t>
      </w:r>
      <w:r w:rsidR="003B5E6E">
        <w:rPr>
          <w:rFonts w:ascii="Palatino Linotype" w:hAnsi="Palatino Linotype"/>
          <w:sz w:val="22"/>
          <w:szCs w:val="22"/>
        </w:rPr>
        <w:t>m</w:t>
      </w:r>
      <w:r w:rsidRPr="008A1F48">
        <w:rPr>
          <w:rFonts w:ascii="Palatino Linotype" w:hAnsi="Palatino Linotype"/>
          <w:sz w:val="22"/>
          <w:szCs w:val="22"/>
        </w:rPr>
        <w:t xml:space="preserve">otivos, fue contar con un PUOS cuyos mapas de Uso de Suelo y de Ocupación y Edificabilidad sean coincidentes con los cambios que analizó y aprobó el Concejo Metropolitano de la </w:t>
      </w:r>
      <w:r w:rsidR="003B5E6E">
        <w:rPr>
          <w:rFonts w:ascii="Palatino Linotype" w:hAnsi="Palatino Linotype"/>
          <w:sz w:val="22"/>
          <w:szCs w:val="22"/>
        </w:rPr>
        <w:t>s</w:t>
      </w:r>
      <w:r w:rsidRPr="008A1F48">
        <w:rPr>
          <w:rFonts w:ascii="Palatino Linotype" w:hAnsi="Palatino Linotype"/>
          <w:sz w:val="22"/>
          <w:szCs w:val="22"/>
        </w:rPr>
        <w:t xml:space="preserve">esión del </w:t>
      </w:r>
      <w:r w:rsidR="003B5E6E">
        <w:rPr>
          <w:rFonts w:ascii="Palatino Linotype" w:hAnsi="Palatino Linotype"/>
          <w:sz w:val="22"/>
          <w:szCs w:val="22"/>
        </w:rPr>
        <w:t>s</w:t>
      </w:r>
      <w:r w:rsidRPr="008A1F48">
        <w:rPr>
          <w:rFonts w:ascii="Palatino Linotype" w:hAnsi="Palatino Linotype"/>
          <w:sz w:val="22"/>
          <w:szCs w:val="22"/>
        </w:rPr>
        <w:t xml:space="preserve">egundo </w:t>
      </w:r>
      <w:r w:rsidR="003B5E6E">
        <w:rPr>
          <w:rFonts w:ascii="Palatino Linotype" w:hAnsi="Palatino Linotype"/>
          <w:sz w:val="22"/>
          <w:szCs w:val="22"/>
        </w:rPr>
        <w:t>d</w:t>
      </w:r>
      <w:r w:rsidRPr="008A1F48">
        <w:rPr>
          <w:rFonts w:ascii="Palatino Linotype" w:hAnsi="Palatino Linotype"/>
          <w:sz w:val="22"/>
          <w:szCs w:val="22"/>
        </w:rPr>
        <w:t xml:space="preserve">ebate llevada a cabo el 18 de julio de 2016, en concordancia con los polígonos contenidos en la </w:t>
      </w:r>
      <w:r w:rsidR="0042745E">
        <w:rPr>
          <w:rFonts w:ascii="Palatino Linotype" w:hAnsi="Palatino Linotype"/>
          <w:sz w:val="22"/>
          <w:szCs w:val="22"/>
        </w:rPr>
        <w:t>M</w:t>
      </w:r>
      <w:r w:rsidRPr="008A1F48">
        <w:rPr>
          <w:rFonts w:ascii="Palatino Linotype" w:hAnsi="Palatino Linotype"/>
          <w:sz w:val="22"/>
          <w:szCs w:val="22"/>
        </w:rPr>
        <w:t xml:space="preserve">atriz de </w:t>
      </w:r>
      <w:r w:rsidR="0042745E">
        <w:rPr>
          <w:rFonts w:ascii="Palatino Linotype" w:hAnsi="Palatino Linotype"/>
          <w:sz w:val="22"/>
          <w:szCs w:val="22"/>
        </w:rPr>
        <w:t>C</w:t>
      </w:r>
      <w:r w:rsidRPr="008A1F48">
        <w:rPr>
          <w:rFonts w:ascii="Palatino Linotype" w:hAnsi="Palatino Linotype"/>
          <w:sz w:val="22"/>
          <w:szCs w:val="22"/>
        </w:rPr>
        <w:t xml:space="preserve">ambios 2016, que sirvió como instrumento de trabajo para identificar los polígonos de cambio. </w:t>
      </w:r>
    </w:p>
    <w:p w14:paraId="57C169E5" w14:textId="77777777" w:rsidR="00FC0AC2" w:rsidRPr="008A1F48" w:rsidRDefault="00FC0AC2" w:rsidP="00FC0AC2">
      <w:pPr>
        <w:spacing w:line="276" w:lineRule="auto"/>
        <w:jc w:val="both"/>
        <w:rPr>
          <w:rFonts w:ascii="Palatino Linotype" w:hAnsi="Palatino Linotype"/>
          <w:sz w:val="22"/>
          <w:szCs w:val="22"/>
        </w:rPr>
      </w:pPr>
    </w:p>
    <w:p w14:paraId="32085B32" w14:textId="0F71F008"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En la aprobación de la Ordenanza Metropolitana No. 0192 de diciembre de 2017, el Concejo Metropolitano dejó en claro que ese proceso legislativo no eximía a los funcionarios responsables de las acciones administrativas, civiles y penales que pudieran efectuarse en su contra por las incorporaciones realizadas en los mapas PUOS, sin conocimiento expreso del Concejo Metropolitano, por no haber sido registrados en la Matriz de Cambios 2016. Consecuentemente, se llevó a cabo el proceso de </w:t>
      </w:r>
      <w:r w:rsidR="0042745E">
        <w:rPr>
          <w:rFonts w:ascii="Palatino Linotype" w:hAnsi="Palatino Linotype"/>
          <w:sz w:val="22"/>
          <w:szCs w:val="22"/>
        </w:rPr>
        <w:t>s</w:t>
      </w:r>
      <w:r w:rsidRPr="008A1F48">
        <w:rPr>
          <w:rFonts w:ascii="Palatino Linotype" w:hAnsi="Palatino Linotype"/>
          <w:sz w:val="22"/>
          <w:szCs w:val="22"/>
        </w:rPr>
        <w:t xml:space="preserve">umario </w:t>
      </w:r>
      <w:r w:rsidR="0042745E">
        <w:rPr>
          <w:rFonts w:ascii="Palatino Linotype" w:hAnsi="Palatino Linotype"/>
          <w:sz w:val="22"/>
          <w:szCs w:val="22"/>
        </w:rPr>
        <w:t>a</w:t>
      </w:r>
      <w:r w:rsidRPr="008A1F48">
        <w:rPr>
          <w:rFonts w:ascii="Palatino Linotype" w:hAnsi="Palatino Linotype"/>
          <w:sz w:val="22"/>
          <w:szCs w:val="22"/>
        </w:rPr>
        <w:t>dministrativo correspondiente.</w:t>
      </w:r>
    </w:p>
    <w:p w14:paraId="059F6150" w14:textId="77777777" w:rsidR="00FC0AC2" w:rsidRPr="008A1F48" w:rsidRDefault="00FC0AC2" w:rsidP="00FC0AC2">
      <w:pPr>
        <w:spacing w:line="276" w:lineRule="auto"/>
        <w:jc w:val="both"/>
        <w:rPr>
          <w:rFonts w:ascii="Palatino Linotype" w:hAnsi="Palatino Linotype"/>
          <w:sz w:val="22"/>
          <w:szCs w:val="22"/>
        </w:rPr>
      </w:pPr>
    </w:p>
    <w:p w14:paraId="4E64ECDD" w14:textId="211227C4"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La Disposición Transitoria Primera de la Ordenanza Metropolitana No. 0192 de diciembre de 2017 dispuso a la Secretaría de Territorio, Hábitat y Vivienda presentar en un plazo de 90 días un Plan de Trabajo que permita a la Comisión de Uso de Suelo y al Concejo Metropolitano analizar los casos no registrados en la Matriz de Cambios 2016 para su oportuno tratamiento en el marco de una futura reforma al PUOS. </w:t>
      </w:r>
    </w:p>
    <w:p w14:paraId="10DFB9F9" w14:textId="77777777" w:rsidR="00FC0AC2" w:rsidRPr="008A1F48" w:rsidRDefault="00FC0AC2" w:rsidP="00FC0AC2">
      <w:pPr>
        <w:spacing w:line="276" w:lineRule="auto"/>
        <w:jc w:val="both"/>
        <w:rPr>
          <w:rFonts w:ascii="Palatino Linotype" w:hAnsi="Palatino Linotype"/>
          <w:sz w:val="22"/>
          <w:szCs w:val="22"/>
        </w:rPr>
      </w:pPr>
    </w:p>
    <w:p w14:paraId="71EE3735" w14:textId="77777777"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lastRenderedPageBreak/>
        <w:t xml:space="preserve">Entre los meses de octubre de 2018 y marzo de 2019, y en el marco de una nueva actualización del PUOS conforme lo establecido en la Ordenanza Metropolitana No. 0192 de diciembre de 2017, la Comisión de Uso de Suelo realizó siete mesas de trabajo en las que se analizó todos los casos no registrados en la Matriz de Cambios 2016, resolviendo en cada uno la procedencia o improcedencia del cambio en materia de clasificación, uso de suelo y zonificación, conforme a lo dispuesto por el ordenamiento jurídico metropolitano vigente y a los análisis técnicos territoriales de la Secretaría de Territorio, Hábitat y Vivienda. </w:t>
      </w:r>
    </w:p>
    <w:p w14:paraId="5AC8DD78" w14:textId="77777777" w:rsidR="00FC0AC2" w:rsidRPr="008A1F48" w:rsidRDefault="00FC0AC2" w:rsidP="00FC0AC2">
      <w:pPr>
        <w:spacing w:line="276" w:lineRule="auto"/>
        <w:jc w:val="both"/>
        <w:rPr>
          <w:rFonts w:ascii="Palatino Linotype" w:hAnsi="Palatino Linotype"/>
          <w:sz w:val="22"/>
          <w:szCs w:val="22"/>
        </w:rPr>
      </w:pPr>
    </w:p>
    <w:p w14:paraId="66E5301D" w14:textId="5C7EFBA6"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El resultado de dichas mesas de trabajo, se compiló en 5 </w:t>
      </w:r>
      <w:r w:rsidR="0042745E">
        <w:rPr>
          <w:rFonts w:ascii="Palatino Linotype" w:hAnsi="Palatino Linotype"/>
          <w:sz w:val="22"/>
          <w:szCs w:val="22"/>
        </w:rPr>
        <w:t>m</w:t>
      </w:r>
      <w:r w:rsidRPr="008A1F48">
        <w:rPr>
          <w:rFonts w:ascii="Palatino Linotype" w:hAnsi="Palatino Linotype"/>
          <w:sz w:val="22"/>
          <w:szCs w:val="22"/>
        </w:rPr>
        <w:t xml:space="preserve">atrices que contienen la totalidad de los 354 polígonos no registrados en la Matriz de Cambios 2016, categorizados de la siguiente manera: a) </w:t>
      </w:r>
      <w:r w:rsidRPr="008A1F48">
        <w:rPr>
          <w:rFonts w:ascii="Palatino Linotype" w:eastAsia="Times New Roman" w:hAnsi="Palatino Linotype" w:cs="Times New Roman"/>
          <w:sz w:val="22"/>
          <w:szCs w:val="22"/>
          <w:lang w:val="es-ES"/>
        </w:rPr>
        <w:t xml:space="preserve">Matriz 1: Polígonos que se incorporan en la Matriz de Cambios 2019; b) Matriz 2: Polígonos que corresponden a procesos administrativos para su incorporación al PUOS, sustentados en ordenanzas o competencias administrativas de la STHV; c) Matriz 3: Polígonos en espera de verificación de información, relacionada a licencias metropolitanas urbanísticas, actividades económicas y concesiones mineras, que sustente su cambio en el PUOS; d) Matriz 4: Polígonos que deberán considerarse en las reformas de las </w:t>
      </w:r>
      <w:r w:rsidR="0042745E">
        <w:rPr>
          <w:rFonts w:ascii="Palatino Linotype" w:eastAsia="Times New Roman" w:hAnsi="Palatino Linotype" w:cs="Times New Roman"/>
          <w:sz w:val="22"/>
          <w:szCs w:val="22"/>
          <w:lang w:val="es-ES"/>
        </w:rPr>
        <w:t>o</w:t>
      </w:r>
      <w:r w:rsidRPr="008A1F48">
        <w:rPr>
          <w:rFonts w:ascii="Palatino Linotype" w:eastAsia="Times New Roman" w:hAnsi="Palatino Linotype" w:cs="Times New Roman"/>
          <w:sz w:val="22"/>
          <w:szCs w:val="22"/>
          <w:lang w:val="es-ES"/>
        </w:rPr>
        <w:t xml:space="preserve">rdenanzas de connotación </w:t>
      </w:r>
      <w:r w:rsidR="0042745E">
        <w:rPr>
          <w:rFonts w:ascii="Palatino Linotype" w:eastAsia="Times New Roman" w:hAnsi="Palatino Linotype" w:cs="Times New Roman"/>
          <w:sz w:val="22"/>
          <w:szCs w:val="22"/>
          <w:lang w:val="es-ES"/>
        </w:rPr>
        <w:t>a</w:t>
      </w:r>
      <w:r w:rsidRPr="008A1F48">
        <w:rPr>
          <w:rFonts w:ascii="Palatino Linotype" w:eastAsia="Times New Roman" w:hAnsi="Palatino Linotype" w:cs="Times New Roman"/>
          <w:sz w:val="22"/>
          <w:szCs w:val="22"/>
          <w:lang w:val="es-ES"/>
        </w:rPr>
        <w:t>mbiental correspondientes y; e) Matriz 5: Polígonos que ratifican la reversión de asignaciones.</w:t>
      </w:r>
    </w:p>
    <w:p w14:paraId="0173BB7B" w14:textId="77777777" w:rsidR="00FC0AC2" w:rsidRPr="008A1F48" w:rsidRDefault="00FC0AC2" w:rsidP="00FC0AC2">
      <w:pPr>
        <w:spacing w:line="276" w:lineRule="auto"/>
        <w:jc w:val="both"/>
        <w:rPr>
          <w:rFonts w:ascii="Palatino Linotype" w:hAnsi="Palatino Linotype"/>
          <w:sz w:val="22"/>
          <w:szCs w:val="22"/>
        </w:rPr>
      </w:pPr>
    </w:p>
    <w:p w14:paraId="4FEC0339" w14:textId="3792A906" w:rsidR="00FC0AC2" w:rsidRPr="008A1F48" w:rsidRDefault="00FC0AC2" w:rsidP="00FC0AC2">
      <w:pPr>
        <w:spacing w:line="276" w:lineRule="auto"/>
        <w:jc w:val="both"/>
        <w:rPr>
          <w:rFonts w:ascii="Palatino Linotype" w:eastAsia="Times New Roman" w:hAnsi="Palatino Linotype" w:cs="Times New Roman"/>
          <w:sz w:val="22"/>
          <w:szCs w:val="22"/>
          <w:lang w:val="es-ES"/>
        </w:rPr>
      </w:pPr>
      <w:r w:rsidRPr="008A1F48">
        <w:rPr>
          <w:rFonts w:ascii="Palatino Linotype" w:hAnsi="Palatino Linotype"/>
          <w:sz w:val="22"/>
          <w:szCs w:val="22"/>
        </w:rPr>
        <w:t xml:space="preserve">Para las </w:t>
      </w:r>
      <w:r w:rsidR="0042745E">
        <w:rPr>
          <w:rFonts w:ascii="Palatino Linotype" w:hAnsi="Palatino Linotype"/>
          <w:sz w:val="22"/>
          <w:szCs w:val="22"/>
        </w:rPr>
        <w:t>o</w:t>
      </w:r>
      <w:r w:rsidRPr="008A1F48">
        <w:rPr>
          <w:rFonts w:ascii="Palatino Linotype" w:hAnsi="Palatino Linotype"/>
          <w:sz w:val="22"/>
          <w:szCs w:val="22"/>
        </w:rPr>
        <w:t>rdenanzas de áreas de protección ecológica, que contienen los polígonos detallados en la mencionada Matriz 4, la Comisión de Uso de Suelo resolvió que las mismas deberán ser modificadas con el objetivo de delimitar con mayor precisión las macro-áreas establecidas en sus respectivos mapas.</w:t>
      </w:r>
    </w:p>
    <w:p w14:paraId="2C447BA0" w14:textId="77777777" w:rsidR="00FC0AC2" w:rsidRPr="008A1F48" w:rsidRDefault="00FC0AC2" w:rsidP="00FC0AC2">
      <w:pPr>
        <w:spacing w:line="276" w:lineRule="auto"/>
        <w:jc w:val="both"/>
        <w:rPr>
          <w:rFonts w:ascii="Palatino Linotype" w:hAnsi="Palatino Linotype"/>
          <w:sz w:val="22"/>
          <w:szCs w:val="22"/>
        </w:rPr>
      </w:pPr>
    </w:p>
    <w:p w14:paraId="5A4766DD" w14:textId="77777777" w:rsidR="00FC0AC2" w:rsidRPr="008A1F48" w:rsidRDefault="00FC0AC2" w:rsidP="00FC0AC2">
      <w:pPr>
        <w:spacing w:line="276" w:lineRule="auto"/>
        <w:jc w:val="both"/>
        <w:rPr>
          <w:rFonts w:ascii="Palatino Linotype" w:hAnsi="Palatino Linotype" w:cs="Arial"/>
          <w:sz w:val="22"/>
          <w:szCs w:val="22"/>
        </w:rPr>
      </w:pPr>
      <w:r w:rsidRPr="008A1F48">
        <w:rPr>
          <w:rFonts w:ascii="Palatino Linotype" w:hAnsi="Palatino Linotype"/>
          <w:sz w:val="22"/>
          <w:szCs w:val="22"/>
        </w:rPr>
        <w:t>Como resultado de este proceso de análisis, se definió la “Matriz de Cambios 2019”, instrumento de trabajo para identificación y registro de los polígonos de cambio propuestos para la presente actualización del PUOS.</w:t>
      </w:r>
    </w:p>
    <w:p w14:paraId="00421FE7" w14:textId="77777777" w:rsidR="00FC0AC2" w:rsidRPr="008A1F48" w:rsidRDefault="00FC0AC2" w:rsidP="00FC0AC2">
      <w:pPr>
        <w:spacing w:line="276" w:lineRule="auto"/>
        <w:jc w:val="both"/>
        <w:rPr>
          <w:rFonts w:ascii="Palatino Linotype" w:hAnsi="Palatino Linotype"/>
          <w:sz w:val="22"/>
          <w:szCs w:val="22"/>
        </w:rPr>
      </w:pPr>
    </w:p>
    <w:p w14:paraId="03CE9ED0" w14:textId="7A5278A8"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Del total de los 354 polígonos analizados por la Comisión de Uso de Suelo, se incorporan a la Matriz de Cambios 2019 y proceden a una modificación al PUOS, 100 polígonos por ser técnicamente viables</w:t>
      </w:r>
      <w:r w:rsidR="00B5586A" w:rsidRPr="008A1F48">
        <w:rPr>
          <w:rFonts w:ascii="Palatino Linotype" w:hAnsi="Palatino Linotype"/>
          <w:sz w:val="22"/>
          <w:szCs w:val="22"/>
        </w:rPr>
        <w:t>, de conformidad con lo acordado en las mesas de trabajo antes señaladas,</w:t>
      </w:r>
      <w:r w:rsidRPr="008A1F48">
        <w:rPr>
          <w:rFonts w:ascii="Palatino Linotype" w:hAnsi="Palatino Linotype"/>
          <w:sz w:val="22"/>
          <w:szCs w:val="22"/>
        </w:rPr>
        <w:t xml:space="preserve"> en razón de uno o varios de los siguientes parámetros: (i) asignación de datos; (ii) equipamientos; (iii) grado de consolidación urbana; (vi) protección ecológica; (vii) protección especial y; (viii) homologación del sector. Dichos polígonos son los que se detallan en la </w:t>
      </w:r>
      <w:r w:rsidR="0042745E">
        <w:rPr>
          <w:rFonts w:ascii="Palatino Linotype" w:hAnsi="Palatino Linotype"/>
          <w:sz w:val="22"/>
          <w:szCs w:val="22"/>
        </w:rPr>
        <w:t>m</w:t>
      </w:r>
      <w:r w:rsidRPr="008A1F48">
        <w:rPr>
          <w:rFonts w:ascii="Palatino Linotype" w:hAnsi="Palatino Linotype"/>
          <w:sz w:val="22"/>
          <w:szCs w:val="22"/>
        </w:rPr>
        <w:t xml:space="preserve">atriz 1 previamente mencionada, la cual incluye los parámetros técnicos que sustentan los cambios de cada uno de los polígonos. </w:t>
      </w:r>
    </w:p>
    <w:p w14:paraId="28AF4664" w14:textId="77777777" w:rsidR="00FC0AC2" w:rsidRPr="008A1F48" w:rsidRDefault="00FC0AC2" w:rsidP="00FC0AC2">
      <w:pPr>
        <w:spacing w:line="276" w:lineRule="auto"/>
        <w:jc w:val="both"/>
        <w:rPr>
          <w:rFonts w:ascii="Palatino Linotype" w:hAnsi="Palatino Linotype"/>
          <w:sz w:val="22"/>
          <w:szCs w:val="22"/>
        </w:rPr>
      </w:pPr>
    </w:p>
    <w:p w14:paraId="52DE7026" w14:textId="230DE7B7" w:rsidR="008A66C8"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Adicionalmente, entran a formar parte de la Matriz de Cambios 2019, 4 casos que no forman parte de los 354 polígonos no registrados en la Matriz de Cambios 2016 y que, </w:t>
      </w:r>
      <w:r w:rsidRPr="008A1F48">
        <w:rPr>
          <w:rFonts w:ascii="Palatino Linotype" w:hAnsi="Palatino Linotype"/>
          <w:sz w:val="22"/>
          <w:szCs w:val="22"/>
        </w:rPr>
        <w:lastRenderedPageBreak/>
        <w:t xml:space="preserve">por petición expresa de los propietarios que se consideran asimismo técnicamente viables por uno o varios de los parámetros ya enumerados, se incorporan al proceso de actualización del PUOS y a la Matriz de Cambios 2019, en virtud de la facultad edilicia contenida en el artículo IV.1.18 del Libro IV del Código Municipal para el Distrito Metropolitano de Quito. </w:t>
      </w:r>
      <w:r w:rsidR="000F6C90" w:rsidRPr="008A1F48">
        <w:rPr>
          <w:rFonts w:ascii="Palatino Linotype" w:hAnsi="Palatino Linotype"/>
          <w:sz w:val="22"/>
          <w:szCs w:val="22"/>
        </w:rPr>
        <w:t>Los cuatro casos previamente mencionados</w:t>
      </w:r>
      <w:r w:rsidR="007C32D8" w:rsidRPr="008A1F48">
        <w:rPr>
          <w:rFonts w:ascii="Palatino Linotype" w:hAnsi="Palatino Linotype"/>
          <w:sz w:val="22"/>
          <w:szCs w:val="22"/>
        </w:rPr>
        <w:t xml:space="preserve"> son: </w:t>
      </w:r>
    </w:p>
    <w:tbl>
      <w:tblPr>
        <w:tblStyle w:val="Tablaconcuadrcula"/>
        <w:tblW w:w="0" w:type="auto"/>
        <w:tblLook w:val="04A0" w:firstRow="1" w:lastRow="0" w:firstColumn="1" w:lastColumn="0" w:noHBand="0" w:noVBand="1"/>
      </w:tblPr>
      <w:tblGrid>
        <w:gridCol w:w="704"/>
        <w:gridCol w:w="3260"/>
        <w:gridCol w:w="2407"/>
        <w:gridCol w:w="2124"/>
      </w:tblGrid>
      <w:tr w:rsidR="008A66C8" w:rsidRPr="008A1F48" w14:paraId="6B6A5CEC" w14:textId="77777777" w:rsidTr="008A66C8">
        <w:tc>
          <w:tcPr>
            <w:tcW w:w="704" w:type="dxa"/>
          </w:tcPr>
          <w:p w14:paraId="0A93A50F" w14:textId="4CE7D946" w:rsidR="008A66C8" w:rsidRPr="008A1F48" w:rsidRDefault="008A66C8" w:rsidP="008A66C8">
            <w:pPr>
              <w:spacing w:line="276" w:lineRule="auto"/>
              <w:jc w:val="center"/>
              <w:rPr>
                <w:rFonts w:ascii="Palatino Linotype" w:hAnsi="Palatino Linotype"/>
                <w:b/>
                <w:sz w:val="22"/>
                <w:szCs w:val="22"/>
              </w:rPr>
            </w:pPr>
            <w:r w:rsidRPr="008A1F48">
              <w:rPr>
                <w:rFonts w:ascii="Palatino Linotype" w:hAnsi="Palatino Linotype"/>
                <w:b/>
                <w:sz w:val="22"/>
                <w:szCs w:val="22"/>
              </w:rPr>
              <w:t>No.</w:t>
            </w:r>
          </w:p>
        </w:tc>
        <w:tc>
          <w:tcPr>
            <w:tcW w:w="3260" w:type="dxa"/>
          </w:tcPr>
          <w:p w14:paraId="5D2FEBF1" w14:textId="0F4B9420" w:rsidR="008A66C8" w:rsidRPr="008A1F48" w:rsidRDefault="008A66C8" w:rsidP="008A66C8">
            <w:pPr>
              <w:spacing w:line="276" w:lineRule="auto"/>
              <w:jc w:val="center"/>
              <w:rPr>
                <w:rFonts w:ascii="Palatino Linotype" w:hAnsi="Palatino Linotype"/>
                <w:b/>
                <w:sz w:val="22"/>
                <w:szCs w:val="22"/>
              </w:rPr>
            </w:pPr>
            <w:r w:rsidRPr="008A1F48">
              <w:rPr>
                <w:rFonts w:ascii="Palatino Linotype" w:hAnsi="Palatino Linotype"/>
                <w:b/>
                <w:sz w:val="22"/>
                <w:szCs w:val="22"/>
              </w:rPr>
              <w:t>Caso</w:t>
            </w:r>
          </w:p>
        </w:tc>
        <w:tc>
          <w:tcPr>
            <w:tcW w:w="2407" w:type="dxa"/>
          </w:tcPr>
          <w:p w14:paraId="127B5EEF" w14:textId="4340155C" w:rsidR="008A66C8" w:rsidRPr="008A1F48" w:rsidRDefault="008A66C8" w:rsidP="008A66C8">
            <w:pPr>
              <w:spacing w:line="276" w:lineRule="auto"/>
              <w:jc w:val="center"/>
              <w:rPr>
                <w:rFonts w:ascii="Palatino Linotype" w:hAnsi="Palatino Linotype"/>
                <w:b/>
                <w:sz w:val="22"/>
                <w:szCs w:val="22"/>
              </w:rPr>
            </w:pPr>
            <w:r w:rsidRPr="008A1F48">
              <w:rPr>
                <w:rFonts w:ascii="Palatino Linotype" w:hAnsi="Palatino Linotype"/>
                <w:b/>
                <w:sz w:val="22"/>
                <w:szCs w:val="22"/>
              </w:rPr>
              <w:t>Oficio de petición</w:t>
            </w:r>
          </w:p>
        </w:tc>
        <w:tc>
          <w:tcPr>
            <w:tcW w:w="2124" w:type="dxa"/>
          </w:tcPr>
          <w:p w14:paraId="21F5BD42" w14:textId="094FCE34" w:rsidR="008A66C8" w:rsidRPr="008A1F48" w:rsidRDefault="000F6C90" w:rsidP="008A66C8">
            <w:pPr>
              <w:spacing w:line="276" w:lineRule="auto"/>
              <w:jc w:val="center"/>
              <w:rPr>
                <w:rFonts w:ascii="Palatino Linotype" w:hAnsi="Palatino Linotype"/>
                <w:b/>
                <w:sz w:val="22"/>
                <w:szCs w:val="22"/>
              </w:rPr>
            </w:pPr>
            <w:r w:rsidRPr="008A1F48">
              <w:rPr>
                <w:rFonts w:ascii="Palatino Linotype" w:hAnsi="Palatino Linotype"/>
                <w:b/>
                <w:sz w:val="22"/>
                <w:szCs w:val="22"/>
              </w:rPr>
              <w:t>Petición edilicia</w:t>
            </w:r>
          </w:p>
        </w:tc>
      </w:tr>
      <w:tr w:rsidR="008A66C8" w:rsidRPr="008A1F48" w14:paraId="174AC140" w14:textId="77777777" w:rsidTr="008A66C8">
        <w:tc>
          <w:tcPr>
            <w:tcW w:w="704" w:type="dxa"/>
          </w:tcPr>
          <w:p w14:paraId="6A7BC2AB" w14:textId="1A5ABE0C"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1</w:t>
            </w:r>
          </w:p>
        </w:tc>
        <w:tc>
          <w:tcPr>
            <w:tcW w:w="3260" w:type="dxa"/>
          </w:tcPr>
          <w:p w14:paraId="28E7FA8E" w14:textId="79E2C99A"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Familia Arroyo Acosta</w:t>
            </w:r>
          </w:p>
        </w:tc>
        <w:tc>
          <w:tcPr>
            <w:tcW w:w="2407" w:type="dxa"/>
          </w:tcPr>
          <w:p w14:paraId="1DB5CE2B" w14:textId="77777777" w:rsidR="008A66C8" w:rsidRPr="008A1F48" w:rsidRDefault="00C40BEA" w:rsidP="008A66C8">
            <w:pPr>
              <w:spacing w:line="276" w:lineRule="auto"/>
              <w:jc w:val="center"/>
              <w:rPr>
                <w:rFonts w:ascii="Palatino Linotype" w:hAnsi="Palatino Linotype"/>
                <w:sz w:val="22"/>
                <w:szCs w:val="22"/>
              </w:rPr>
            </w:pPr>
            <w:r w:rsidRPr="008A1F48">
              <w:rPr>
                <w:rFonts w:ascii="Palatino Linotype" w:hAnsi="Palatino Linotype"/>
                <w:sz w:val="22"/>
                <w:szCs w:val="22"/>
              </w:rPr>
              <w:t>SGC-2019-0290</w:t>
            </w:r>
          </w:p>
          <w:p w14:paraId="083AD58A" w14:textId="77777777" w:rsidR="00C40BEA" w:rsidRPr="008A1F48" w:rsidRDefault="00C40BEA" w:rsidP="008A66C8">
            <w:pPr>
              <w:spacing w:line="276" w:lineRule="auto"/>
              <w:jc w:val="center"/>
              <w:rPr>
                <w:rFonts w:ascii="Palatino Linotype" w:hAnsi="Palatino Linotype"/>
                <w:sz w:val="22"/>
                <w:szCs w:val="22"/>
              </w:rPr>
            </w:pPr>
            <w:r w:rsidRPr="008A1F48">
              <w:rPr>
                <w:rFonts w:ascii="Palatino Linotype" w:hAnsi="Palatino Linotype"/>
                <w:sz w:val="22"/>
                <w:szCs w:val="22"/>
              </w:rPr>
              <w:t>SGC-2019-0365</w:t>
            </w:r>
          </w:p>
          <w:p w14:paraId="6683EAA8" w14:textId="3DFF6B1B" w:rsidR="00C40BEA" w:rsidRPr="008A1F48" w:rsidRDefault="00C40BEA" w:rsidP="008A66C8">
            <w:pPr>
              <w:spacing w:line="276" w:lineRule="auto"/>
              <w:jc w:val="center"/>
              <w:rPr>
                <w:rFonts w:ascii="Palatino Linotype" w:hAnsi="Palatino Linotype"/>
                <w:sz w:val="22"/>
                <w:szCs w:val="22"/>
              </w:rPr>
            </w:pPr>
            <w:proofErr w:type="spellStart"/>
            <w:r w:rsidRPr="008A1F48">
              <w:rPr>
                <w:rFonts w:ascii="Palatino Linotype" w:hAnsi="Palatino Linotype"/>
                <w:sz w:val="22"/>
                <w:szCs w:val="22"/>
              </w:rPr>
              <w:t>Gdoc</w:t>
            </w:r>
            <w:proofErr w:type="spellEnd"/>
            <w:r w:rsidRPr="008A1F48">
              <w:rPr>
                <w:rFonts w:ascii="Palatino Linotype" w:hAnsi="Palatino Linotype"/>
                <w:sz w:val="22"/>
                <w:szCs w:val="22"/>
              </w:rPr>
              <w:t>: 2019-004280</w:t>
            </w:r>
          </w:p>
        </w:tc>
        <w:tc>
          <w:tcPr>
            <w:tcW w:w="2124" w:type="dxa"/>
          </w:tcPr>
          <w:p w14:paraId="6DCE1D66" w14:textId="1CD7B165"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Presidente CUS</w:t>
            </w:r>
          </w:p>
        </w:tc>
      </w:tr>
      <w:tr w:rsidR="008A66C8" w:rsidRPr="008A1F48" w14:paraId="5837C058" w14:textId="77777777" w:rsidTr="008A66C8">
        <w:tc>
          <w:tcPr>
            <w:tcW w:w="704" w:type="dxa"/>
          </w:tcPr>
          <w:p w14:paraId="29E47D02" w14:textId="541ED5DD"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2</w:t>
            </w:r>
          </w:p>
        </w:tc>
        <w:tc>
          <w:tcPr>
            <w:tcW w:w="3260" w:type="dxa"/>
          </w:tcPr>
          <w:p w14:paraId="3D9C7784" w14:textId="73461754"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 xml:space="preserve">Predio Fábrica </w:t>
            </w:r>
            <w:proofErr w:type="spellStart"/>
            <w:r w:rsidRPr="008A1F48">
              <w:rPr>
                <w:rFonts w:ascii="Palatino Linotype" w:hAnsi="Palatino Linotype"/>
                <w:sz w:val="22"/>
                <w:szCs w:val="22"/>
              </w:rPr>
              <w:t>Zaimella</w:t>
            </w:r>
            <w:proofErr w:type="spellEnd"/>
          </w:p>
        </w:tc>
        <w:tc>
          <w:tcPr>
            <w:tcW w:w="2407" w:type="dxa"/>
          </w:tcPr>
          <w:p w14:paraId="6A0A2D68" w14:textId="77777777"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SGC-2018-1238</w:t>
            </w:r>
          </w:p>
          <w:p w14:paraId="36A1C8DD" w14:textId="237CDA9B" w:rsidR="008A66C8" w:rsidRPr="008A1F48" w:rsidRDefault="008A66C8" w:rsidP="008A66C8">
            <w:pPr>
              <w:spacing w:line="276" w:lineRule="auto"/>
              <w:jc w:val="center"/>
              <w:rPr>
                <w:rFonts w:ascii="Palatino Linotype" w:hAnsi="Palatino Linotype"/>
                <w:sz w:val="22"/>
                <w:szCs w:val="22"/>
              </w:rPr>
            </w:pPr>
            <w:proofErr w:type="spellStart"/>
            <w:r w:rsidRPr="008A1F48">
              <w:rPr>
                <w:rFonts w:ascii="Palatino Linotype" w:hAnsi="Palatino Linotype"/>
                <w:sz w:val="22"/>
                <w:szCs w:val="22"/>
              </w:rPr>
              <w:t>Gdoc</w:t>
            </w:r>
            <w:proofErr w:type="spellEnd"/>
            <w:r w:rsidRPr="008A1F48">
              <w:rPr>
                <w:rFonts w:ascii="Palatino Linotype" w:hAnsi="Palatino Linotype"/>
                <w:sz w:val="22"/>
                <w:szCs w:val="22"/>
              </w:rPr>
              <w:t>: 2018-111949</w:t>
            </w:r>
          </w:p>
        </w:tc>
        <w:tc>
          <w:tcPr>
            <w:tcW w:w="2124" w:type="dxa"/>
          </w:tcPr>
          <w:p w14:paraId="77A38BD1" w14:textId="6AF18F5E"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Presidente CUS</w:t>
            </w:r>
          </w:p>
        </w:tc>
      </w:tr>
      <w:tr w:rsidR="008A66C8" w:rsidRPr="008A1F48" w14:paraId="15C0CC89" w14:textId="77777777" w:rsidTr="008A66C8">
        <w:tc>
          <w:tcPr>
            <w:tcW w:w="704" w:type="dxa"/>
          </w:tcPr>
          <w:p w14:paraId="6DDACDB4" w14:textId="084BCEDB"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3</w:t>
            </w:r>
          </w:p>
        </w:tc>
        <w:tc>
          <w:tcPr>
            <w:tcW w:w="3260" w:type="dxa"/>
          </w:tcPr>
          <w:p w14:paraId="7E125525" w14:textId="065863B0"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Predios Avenida Interoceánica</w:t>
            </w:r>
          </w:p>
        </w:tc>
        <w:tc>
          <w:tcPr>
            <w:tcW w:w="2407" w:type="dxa"/>
          </w:tcPr>
          <w:p w14:paraId="0ABCD343" w14:textId="77777777" w:rsidR="008A66C8" w:rsidRPr="008A1F48" w:rsidRDefault="00C40BEA" w:rsidP="008A66C8">
            <w:pPr>
              <w:spacing w:line="276" w:lineRule="auto"/>
              <w:jc w:val="center"/>
              <w:rPr>
                <w:rFonts w:ascii="Palatino Linotype" w:hAnsi="Palatino Linotype"/>
                <w:sz w:val="22"/>
                <w:szCs w:val="22"/>
              </w:rPr>
            </w:pPr>
            <w:r w:rsidRPr="008A1F48">
              <w:rPr>
                <w:rFonts w:ascii="Palatino Linotype" w:hAnsi="Palatino Linotype"/>
                <w:sz w:val="22"/>
                <w:szCs w:val="22"/>
              </w:rPr>
              <w:t>SGC.2018-3863</w:t>
            </w:r>
          </w:p>
          <w:p w14:paraId="205955DE" w14:textId="09016CC3" w:rsidR="00C40BEA" w:rsidRPr="008A1F48" w:rsidRDefault="00C40BEA" w:rsidP="008A66C8">
            <w:pPr>
              <w:spacing w:line="276" w:lineRule="auto"/>
              <w:jc w:val="center"/>
              <w:rPr>
                <w:rFonts w:ascii="Palatino Linotype" w:hAnsi="Palatino Linotype"/>
                <w:sz w:val="22"/>
                <w:szCs w:val="22"/>
              </w:rPr>
            </w:pPr>
            <w:proofErr w:type="spellStart"/>
            <w:r w:rsidRPr="008A1F48">
              <w:rPr>
                <w:rFonts w:ascii="Palatino Linotype" w:hAnsi="Palatino Linotype"/>
                <w:sz w:val="22"/>
                <w:szCs w:val="22"/>
              </w:rPr>
              <w:t>Gdoc</w:t>
            </w:r>
            <w:proofErr w:type="spellEnd"/>
            <w:r w:rsidRPr="008A1F48">
              <w:rPr>
                <w:rFonts w:ascii="Palatino Linotype" w:hAnsi="Palatino Linotype"/>
                <w:sz w:val="22"/>
                <w:szCs w:val="22"/>
              </w:rPr>
              <w:t>: 2018-145665</w:t>
            </w:r>
          </w:p>
        </w:tc>
        <w:tc>
          <w:tcPr>
            <w:tcW w:w="2124" w:type="dxa"/>
          </w:tcPr>
          <w:p w14:paraId="1E3FEF01" w14:textId="632E4221" w:rsidR="008A66C8" w:rsidRPr="008A1F48" w:rsidRDefault="00C40BEA" w:rsidP="008A66C8">
            <w:pPr>
              <w:spacing w:line="276" w:lineRule="auto"/>
              <w:jc w:val="center"/>
              <w:rPr>
                <w:rFonts w:ascii="Palatino Linotype" w:hAnsi="Palatino Linotype"/>
                <w:sz w:val="22"/>
                <w:szCs w:val="22"/>
              </w:rPr>
            </w:pPr>
            <w:r w:rsidRPr="008A1F48">
              <w:rPr>
                <w:rFonts w:ascii="Palatino Linotype" w:hAnsi="Palatino Linotype"/>
                <w:sz w:val="22"/>
                <w:szCs w:val="22"/>
              </w:rPr>
              <w:t>Presidente CUS</w:t>
            </w:r>
          </w:p>
        </w:tc>
      </w:tr>
      <w:tr w:rsidR="008A66C8" w:rsidRPr="008A1F48" w14:paraId="31C46979" w14:textId="77777777" w:rsidTr="008A66C8">
        <w:tc>
          <w:tcPr>
            <w:tcW w:w="704" w:type="dxa"/>
          </w:tcPr>
          <w:p w14:paraId="20736F13" w14:textId="5F4B6932"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4</w:t>
            </w:r>
          </w:p>
        </w:tc>
        <w:tc>
          <w:tcPr>
            <w:tcW w:w="3260" w:type="dxa"/>
          </w:tcPr>
          <w:p w14:paraId="0778F470" w14:textId="61240320" w:rsidR="008A66C8" w:rsidRPr="008A1F48" w:rsidRDefault="008A66C8" w:rsidP="008A66C8">
            <w:pPr>
              <w:spacing w:line="276" w:lineRule="auto"/>
              <w:jc w:val="center"/>
              <w:rPr>
                <w:rFonts w:ascii="Palatino Linotype" w:hAnsi="Palatino Linotype"/>
                <w:sz w:val="22"/>
                <w:szCs w:val="22"/>
              </w:rPr>
            </w:pPr>
            <w:r w:rsidRPr="008A1F48">
              <w:rPr>
                <w:rFonts w:ascii="Palatino Linotype" w:hAnsi="Palatino Linotype"/>
                <w:sz w:val="22"/>
                <w:szCs w:val="22"/>
              </w:rPr>
              <w:t>Predios Hacienda Nápoles</w:t>
            </w:r>
          </w:p>
        </w:tc>
        <w:tc>
          <w:tcPr>
            <w:tcW w:w="2407" w:type="dxa"/>
          </w:tcPr>
          <w:p w14:paraId="46461992" w14:textId="18DB16C0" w:rsidR="008A66C8" w:rsidRPr="008A1F48" w:rsidRDefault="006E108B" w:rsidP="008A66C8">
            <w:pPr>
              <w:spacing w:line="276" w:lineRule="auto"/>
              <w:jc w:val="center"/>
              <w:rPr>
                <w:rFonts w:ascii="Palatino Linotype" w:hAnsi="Palatino Linotype"/>
                <w:sz w:val="22"/>
                <w:szCs w:val="22"/>
              </w:rPr>
            </w:pPr>
            <w:proofErr w:type="spellStart"/>
            <w:r w:rsidRPr="008A1F48">
              <w:rPr>
                <w:rFonts w:ascii="Palatino Linotype" w:hAnsi="Palatino Linotype"/>
                <w:sz w:val="22"/>
                <w:szCs w:val="22"/>
              </w:rPr>
              <w:t>Gdoc</w:t>
            </w:r>
            <w:proofErr w:type="spellEnd"/>
            <w:r w:rsidRPr="008A1F48">
              <w:rPr>
                <w:rFonts w:ascii="Palatino Linotype" w:hAnsi="Palatino Linotype"/>
                <w:sz w:val="22"/>
                <w:szCs w:val="22"/>
              </w:rPr>
              <w:t>: 2018-162454</w:t>
            </w:r>
          </w:p>
        </w:tc>
        <w:tc>
          <w:tcPr>
            <w:tcW w:w="2124" w:type="dxa"/>
          </w:tcPr>
          <w:p w14:paraId="0A4FC850" w14:textId="01D7790C" w:rsidR="008A66C8" w:rsidRPr="008A1F48" w:rsidRDefault="006E108B" w:rsidP="008A66C8">
            <w:pPr>
              <w:spacing w:line="276" w:lineRule="auto"/>
              <w:jc w:val="center"/>
              <w:rPr>
                <w:rFonts w:ascii="Palatino Linotype" w:hAnsi="Palatino Linotype"/>
                <w:sz w:val="22"/>
                <w:szCs w:val="22"/>
              </w:rPr>
            </w:pPr>
            <w:r w:rsidRPr="008A1F48">
              <w:rPr>
                <w:rFonts w:ascii="Palatino Linotype" w:hAnsi="Palatino Linotype"/>
                <w:sz w:val="22"/>
                <w:szCs w:val="22"/>
              </w:rPr>
              <w:t>Presidente CUS</w:t>
            </w:r>
          </w:p>
        </w:tc>
      </w:tr>
    </w:tbl>
    <w:p w14:paraId="4842CC6F" w14:textId="77777777" w:rsidR="007C32D8" w:rsidRPr="008A1F48" w:rsidRDefault="007C32D8" w:rsidP="00FC0AC2">
      <w:pPr>
        <w:spacing w:line="276" w:lineRule="auto"/>
        <w:jc w:val="both"/>
        <w:rPr>
          <w:rFonts w:ascii="Palatino Linotype" w:hAnsi="Palatino Linotype"/>
          <w:sz w:val="22"/>
          <w:szCs w:val="22"/>
        </w:rPr>
      </w:pPr>
    </w:p>
    <w:p w14:paraId="672C2E59" w14:textId="31C406BA"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Es así que, en sesión ordinaria de Comisión de Uso de Suelo de 22 de abril de 2019, reinstalada el 24 de abril de 2019, se analizaron las peticiones de los 4 casos mencionados y se determinó las asignaciones de uso de suelo, edificación y forma de ocupación, fundamentadas en el análisis urbanístico del entorno y las condiciones físico-ambientales del mismo, presentado por la STHV</w:t>
      </w:r>
      <w:r w:rsidR="00B5586A" w:rsidRPr="008A1F48">
        <w:rPr>
          <w:rFonts w:ascii="Palatino Linotype" w:hAnsi="Palatino Linotype"/>
          <w:sz w:val="22"/>
          <w:szCs w:val="22"/>
        </w:rPr>
        <w:t xml:space="preserve"> en las respectivas mesas de trabajo a través de la herramienta digital del PUOS</w:t>
      </w:r>
      <w:r w:rsidRPr="008A1F48">
        <w:rPr>
          <w:rFonts w:ascii="Palatino Linotype" w:hAnsi="Palatino Linotype"/>
          <w:sz w:val="22"/>
          <w:szCs w:val="22"/>
        </w:rPr>
        <w:t>. Dichos casos se incorporan, como 8 polígonos nuevos, en la Matriz de Cambios 2019.</w:t>
      </w:r>
    </w:p>
    <w:p w14:paraId="24FAF2F3" w14:textId="77777777" w:rsidR="00FC0AC2" w:rsidRPr="008A1F48" w:rsidRDefault="00FC0AC2" w:rsidP="00FC0AC2">
      <w:pPr>
        <w:spacing w:line="276" w:lineRule="auto"/>
        <w:jc w:val="both"/>
        <w:rPr>
          <w:rFonts w:ascii="Palatino Linotype" w:hAnsi="Palatino Linotype" w:cs="Arial"/>
          <w:sz w:val="22"/>
          <w:szCs w:val="22"/>
        </w:rPr>
      </w:pPr>
    </w:p>
    <w:p w14:paraId="4A471192" w14:textId="1AA5B653"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De igual manera, se incorpora dentro de la Matriz de Cambios 2019, un (1) polígono que comprende el predio </w:t>
      </w:r>
      <w:r w:rsidR="0042745E">
        <w:rPr>
          <w:rFonts w:ascii="Palatino Linotype" w:hAnsi="Palatino Linotype"/>
          <w:sz w:val="22"/>
          <w:szCs w:val="22"/>
        </w:rPr>
        <w:t>N</w:t>
      </w:r>
      <w:r w:rsidRPr="008A1F48">
        <w:rPr>
          <w:rFonts w:ascii="Palatino Linotype" w:hAnsi="Palatino Linotype"/>
          <w:sz w:val="22"/>
          <w:szCs w:val="22"/>
        </w:rPr>
        <w:t xml:space="preserve">º 1355039, en el que el Municipio del Distrito Metropolitano de Quito, por medio de la Administración General, y a través del </w:t>
      </w:r>
      <w:r w:rsidRPr="008A1F48">
        <w:rPr>
          <w:rFonts w:ascii="Palatino Linotype" w:hAnsi="Palatino Linotype"/>
          <w:i/>
          <w:iCs/>
          <w:sz w:val="22"/>
          <w:szCs w:val="22"/>
        </w:rPr>
        <w:t xml:space="preserve">“Convenio de Ocupación del Predio No. 1355039 de Propiedad de la Compañía Construcciones y Servicios de Minería </w:t>
      </w:r>
      <w:proofErr w:type="spellStart"/>
      <w:r w:rsidRPr="008A1F48">
        <w:rPr>
          <w:rFonts w:ascii="Palatino Linotype" w:hAnsi="Palatino Linotype"/>
          <w:i/>
          <w:iCs/>
          <w:sz w:val="22"/>
          <w:szCs w:val="22"/>
        </w:rPr>
        <w:t>Consermin</w:t>
      </w:r>
      <w:proofErr w:type="spellEnd"/>
      <w:r w:rsidRPr="008A1F48">
        <w:rPr>
          <w:rFonts w:ascii="Palatino Linotype" w:hAnsi="Palatino Linotype"/>
          <w:i/>
          <w:iCs/>
          <w:sz w:val="22"/>
          <w:szCs w:val="22"/>
        </w:rPr>
        <w:t xml:space="preserve"> S.A.”, </w:t>
      </w:r>
      <w:r w:rsidRPr="00074FFB">
        <w:rPr>
          <w:rFonts w:ascii="Palatino Linotype" w:hAnsi="Palatino Linotype"/>
          <w:sz w:val="22"/>
          <w:szCs w:val="22"/>
        </w:rPr>
        <w:t xml:space="preserve">suscrito por el </w:t>
      </w:r>
      <w:r w:rsidR="0042745E" w:rsidRPr="00074FFB">
        <w:rPr>
          <w:rFonts w:ascii="Palatino Linotype" w:hAnsi="Palatino Linotype"/>
          <w:sz w:val="22"/>
          <w:szCs w:val="22"/>
        </w:rPr>
        <w:t>Econ.</w:t>
      </w:r>
      <w:r w:rsidRPr="00074FFB">
        <w:rPr>
          <w:rFonts w:ascii="Palatino Linotype" w:hAnsi="Palatino Linotype"/>
          <w:sz w:val="22"/>
          <w:szCs w:val="22"/>
        </w:rPr>
        <w:t xml:space="preserve"> Rubén Flores Agreda, Administrador General del MDMQ y el Sr. Édgar Salas León, Gerente General </w:t>
      </w:r>
      <w:proofErr w:type="spellStart"/>
      <w:r w:rsidRPr="00074FFB">
        <w:rPr>
          <w:rFonts w:ascii="Palatino Linotype" w:hAnsi="Palatino Linotype"/>
          <w:sz w:val="22"/>
          <w:szCs w:val="22"/>
        </w:rPr>
        <w:t>Consermin</w:t>
      </w:r>
      <w:proofErr w:type="spellEnd"/>
      <w:r w:rsidRPr="00074FFB">
        <w:rPr>
          <w:rFonts w:ascii="Palatino Linotype" w:hAnsi="Palatino Linotype"/>
          <w:sz w:val="22"/>
          <w:szCs w:val="22"/>
        </w:rPr>
        <w:t xml:space="preserve"> S.A., </w:t>
      </w:r>
      <w:r w:rsidRPr="008A1F48">
        <w:rPr>
          <w:rFonts w:ascii="Palatino Linotype" w:hAnsi="Palatino Linotype"/>
          <w:sz w:val="22"/>
          <w:szCs w:val="22"/>
        </w:rPr>
        <w:t>se compromete al cambio de zonificación del predio en mención, codificado en la Matriz de Cambios 2019 como 009CUS, en compensación por el valor de expropiación al inmueble en mención, ocasionado por la construcción de la infraestructura vial “Ruta Viva”.</w:t>
      </w:r>
      <w:r w:rsidR="000F6C90" w:rsidRPr="008A1F48">
        <w:rPr>
          <w:rFonts w:ascii="Palatino Linotype" w:hAnsi="Palatino Linotype"/>
          <w:sz w:val="22"/>
          <w:szCs w:val="22"/>
        </w:rPr>
        <w:t xml:space="preserve"> Dicho caso adici</w:t>
      </w:r>
      <w:r w:rsidR="00141E7F" w:rsidRPr="008A1F48">
        <w:rPr>
          <w:rFonts w:ascii="Palatino Linotype" w:hAnsi="Palatino Linotype"/>
          <w:sz w:val="22"/>
          <w:szCs w:val="22"/>
        </w:rPr>
        <w:t>ona</w:t>
      </w:r>
      <w:r w:rsidR="000F6C90" w:rsidRPr="008A1F48">
        <w:rPr>
          <w:rFonts w:ascii="Palatino Linotype" w:hAnsi="Palatino Linotype"/>
          <w:sz w:val="22"/>
          <w:szCs w:val="22"/>
        </w:rPr>
        <w:t>l es:</w:t>
      </w:r>
    </w:p>
    <w:tbl>
      <w:tblPr>
        <w:tblStyle w:val="Tablaconcuadrcula"/>
        <w:tblW w:w="0" w:type="auto"/>
        <w:tblLook w:val="04A0" w:firstRow="1" w:lastRow="0" w:firstColumn="1" w:lastColumn="0" w:noHBand="0" w:noVBand="1"/>
      </w:tblPr>
      <w:tblGrid>
        <w:gridCol w:w="704"/>
        <w:gridCol w:w="3260"/>
        <w:gridCol w:w="2407"/>
        <w:gridCol w:w="2124"/>
      </w:tblGrid>
      <w:tr w:rsidR="000F6C90" w:rsidRPr="008A1F48" w14:paraId="3FDE850E" w14:textId="77777777" w:rsidTr="00E540A0">
        <w:tc>
          <w:tcPr>
            <w:tcW w:w="704" w:type="dxa"/>
          </w:tcPr>
          <w:p w14:paraId="50F70014" w14:textId="77777777" w:rsidR="000F6C90" w:rsidRPr="008A1F48" w:rsidRDefault="000F6C90" w:rsidP="00E540A0">
            <w:pPr>
              <w:spacing w:line="276" w:lineRule="auto"/>
              <w:jc w:val="center"/>
              <w:rPr>
                <w:rFonts w:ascii="Palatino Linotype" w:hAnsi="Palatino Linotype"/>
                <w:b/>
                <w:sz w:val="22"/>
                <w:szCs w:val="22"/>
              </w:rPr>
            </w:pPr>
            <w:r w:rsidRPr="008A1F48">
              <w:rPr>
                <w:rFonts w:ascii="Palatino Linotype" w:hAnsi="Palatino Linotype"/>
                <w:b/>
                <w:sz w:val="22"/>
                <w:szCs w:val="22"/>
              </w:rPr>
              <w:t>No.</w:t>
            </w:r>
          </w:p>
        </w:tc>
        <w:tc>
          <w:tcPr>
            <w:tcW w:w="3260" w:type="dxa"/>
          </w:tcPr>
          <w:p w14:paraId="2ECAF235" w14:textId="77777777" w:rsidR="000F6C90" w:rsidRPr="008A1F48" w:rsidRDefault="000F6C90" w:rsidP="00E540A0">
            <w:pPr>
              <w:spacing w:line="276" w:lineRule="auto"/>
              <w:jc w:val="center"/>
              <w:rPr>
                <w:rFonts w:ascii="Palatino Linotype" w:hAnsi="Palatino Linotype"/>
                <w:b/>
                <w:sz w:val="22"/>
                <w:szCs w:val="22"/>
              </w:rPr>
            </w:pPr>
            <w:r w:rsidRPr="008A1F48">
              <w:rPr>
                <w:rFonts w:ascii="Palatino Linotype" w:hAnsi="Palatino Linotype"/>
                <w:b/>
                <w:sz w:val="22"/>
                <w:szCs w:val="22"/>
              </w:rPr>
              <w:t>Caso</w:t>
            </w:r>
          </w:p>
        </w:tc>
        <w:tc>
          <w:tcPr>
            <w:tcW w:w="2407" w:type="dxa"/>
          </w:tcPr>
          <w:p w14:paraId="3ABAA728" w14:textId="77777777" w:rsidR="000F6C90" w:rsidRPr="008A1F48" w:rsidRDefault="000F6C90" w:rsidP="00E540A0">
            <w:pPr>
              <w:spacing w:line="276" w:lineRule="auto"/>
              <w:jc w:val="center"/>
              <w:rPr>
                <w:rFonts w:ascii="Palatino Linotype" w:hAnsi="Palatino Linotype"/>
                <w:b/>
                <w:sz w:val="22"/>
                <w:szCs w:val="22"/>
              </w:rPr>
            </w:pPr>
            <w:r w:rsidRPr="008A1F48">
              <w:rPr>
                <w:rFonts w:ascii="Palatino Linotype" w:hAnsi="Palatino Linotype"/>
                <w:b/>
                <w:sz w:val="22"/>
                <w:szCs w:val="22"/>
              </w:rPr>
              <w:t>Oficio de petición</w:t>
            </w:r>
          </w:p>
        </w:tc>
        <w:tc>
          <w:tcPr>
            <w:tcW w:w="2124" w:type="dxa"/>
          </w:tcPr>
          <w:p w14:paraId="25AB8372" w14:textId="6004CFEC" w:rsidR="000F6C90" w:rsidRPr="008A1F48" w:rsidRDefault="000F6C90" w:rsidP="00E540A0">
            <w:pPr>
              <w:spacing w:line="276" w:lineRule="auto"/>
              <w:jc w:val="center"/>
              <w:rPr>
                <w:rFonts w:ascii="Palatino Linotype" w:hAnsi="Palatino Linotype"/>
                <w:b/>
                <w:sz w:val="22"/>
                <w:szCs w:val="22"/>
              </w:rPr>
            </w:pPr>
            <w:r w:rsidRPr="008A1F48">
              <w:rPr>
                <w:rFonts w:ascii="Palatino Linotype" w:hAnsi="Palatino Linotype"/>
                <w:b/>
                <w:sz w:val="22"/>
                <w:szCs w:val="22"/>
              </w:rPr>
              <w:t>Petición edilicia</w:t>
            </w:r>
          </w:p>
        </w:tc>
      </w:tr>
      <w:tr w:rsidR="000F6C90" w:rsidRPr="008A1F48" w14:paraId="096ADADD" w14:textId="77777777" w:rsidTr="00E540A0">
        <w:tc>
          <w:tcPr>
            <w:tcW w:w="704" w:type="dxa"/>
          </w:tcPr>
          <w:p w14:paraId="56A33F5A" w14:textId="77777777" w:rsidR="000F6C90" w:rsidRPr="008A1F48" w:rsidRDefault="000F6C90" w:rsidP="00E540A0">
            <w:pPr>
              <w:spacing w:line="276" w:lineRule="auto"/>
              <w:jc w:val="center"/>
              <w:rPr>
                <w:rFonts w:ascii="Palatino Linotype" w:hAnsi="Palatino Linotype"/>
                <w:sz w:val="22"/>
                <w:szCs w:val="22"/>
              </w:rPr>
            </w:pPr>
            <w:r w:rsidRPr="008A1F48">
              <w:rPr>
                <w:rFonts w:ascii="Palatino Linotype" w:hAnsi="Palatino Linotype"/>
                <w:sz w:val="22"/>
                <w:szCs w:val="22"/>
              </w:rPr>
              <w:t>1</w:t>
            </w:r>
          </w:p>
        </w:tc>
        <w:tc>
          <w:tcPr>
            <w:tcW w:w="3260" w:type="dxa"/>
          </w:tcPr>
          <w:p w14:paraId="4FC254A8" w14:textId="05961198" w:rsidR="000F6C90" w:rsidRPr="008A1F48" w:rsidRDefault="000F6C90" w:rsidP="00E540A0">
            <w:pPr>
              <w:spacing w:line="276" w:lineRule="auto"/>
              <w:jc w:val="center"/>
              <w:rPr>
                <w:rFonts w:ascii="Palatino Linotype" w:hAnsi="Palatino Linotype"/>
                <w:sz w:val="22"/>
                <w:szCs w:val="22"/>
              </w:rPr>
            </w:pPr>
            <w:r w:rsidRPr="008A1F48">
              <w:rPr>
                <w:rFonts w:ascii="Palatino Linotype" w:eastAsia="Times New Roman" w:hAnsi="Palatino Linotype" w:cstheme="minorHAnsi"/>
                <w:sz w:val="22"/>
                <w:szCs w:val="22"/>
                <w:lang w:val="es-ES"/>
              </w:rPr>
              <w:t xml:space="preserve">Predio Convenio Ruta Viva </w:t>
            </w:r>
            <w:proofErr w:type="spellStart"/>
            <w:r w:rsidRPr="008A1F48">
              <w:rPr>
                <w:rFonts w:ascii="Palatino Linotype" w:hAnsi="Palatino Linotype"/>
                <w:sz w:val="22"/>
                <w:szCs w:val="22"/>
              </w:rPr>
              <w:t>Consermín</w:t>
            </w:r>
            <w:proofErr w:type="spellEnd"/>
          </w:p>
        </w:tc>
        <w:tc>
          <w:tcPr>
            <w:tcW w:w="2407" w:type="dxa"/>
          </w:tcPr>
          <w:p w14:paraId="19FCAD04" w14:textId="77777777" w:rsidR="000F6C90" w:rsidRPr="008A1F48" w:rsidRDefault="000F6C90" w:rsidP="000F6C90">
            <w:pPr>
              <w:spacing w:line="276" w:lineRule="auto"/>
              <w:jc w:val="center"/>
              <w:rPr>
                <w:rFonts w:ascii="Palatino Linotype" w:hAnsi="Palatino Linotype"/>
                <w:sz w:val="22"/>
                <w:szCs w:val="22"/>
              </w:rPr>
            </w:pPr>
            <w:r w:rsidRPr="008A1F48">
              <w:rPr>
                <w:rFonts w:ascii="Palatino Linotype" w:hAnsi="Palatino Linotype"/>
                <w:sz w:val="22"/>
                <w:szCs w:val="22"/>
              </w:rPr>
              <w:t>SGC-2019-1384</w:t>
            </w:r>
          </w:p>
          <w:p w14:paraId="23BFCCC1" w14:textId="07EB12D5" w:rsidR="000F6C90" w:rsidRPr="008A1F48" w:rsidRDefault="000F6C90" w:rsidP="000F6C90">
            <w:pPr>
              <w:spacing w:line="276" w:lineRule="auto"/>
              <w:jc w:val="center"/>
              <w:rPr>
                <w:rFonts w:ascii="Palatino Linotype" w:hAnsi="Palatino Linotype"/>
                <w:sz w:val="22"/>
                <w:szCs w:val="22"/>
              </w:rPr>
            </w:pPr>
            <w:proofErr w:type="spellStart"/>
            <w:r w:rsidRPr="008A1F48">
              <w:rPr>
                <w:rFonts w:ascii="Palatino Linotype" w:hAnsi="Palatino Linotype"/>
                <w:sz w:val="22"/>
                <w:szCs w:val="22"/>
              </w:rPr>
              <w:t>Gdoc</w:t>
            </w:r>
            <w:proofErr w:type="spellEnd"/>
            <w:r w:rsidRPr="008A1F48">
              <w:rPr>
                <w:rFonts w:ascii="Palatino Linotype" w:hAnsi="Palatino Linotype"/>
                <w:sz w:val="22"/>
                <w:szCs w:val="22"/>
              </w:rPr>
              <w:t>: 2019-051057</w:t>
            </w:r>
          </w:p>
        </w:tc>
        <w:tc>
          <w:tcPr>
            <w:tcW w:w="2124" w:type="dxa"/>
          </w:tcPr>
          <w:p w14:paraId="101ED1FF" w14:textId="7B6A8170" w:rsidR="000F6C90" w:rsidRPr="008A1F48" w:rsidRDefault="000F6C90" w:rsidP="00E540A0">
            <w:pPr>
              <w:spacing w:line="276" w:lineRule="auto"/>
              <w:jc w:val="center"/>
              <w:rPr>
                <w:rFonts w:ascii="Palatino Linotype" w:hAnsi="Palatino Linotype"/>
                <w:sz w:val="22"/>
                <w:szCs w:val="22"/>
              </w:rPr>
            </w:pPr>
            <w:r w:rsidRPr="008A1F48">
              <w:rPr>
                <w:rFonts w:ascii="Palatino Linotype" w:hAnsi="Palatino Linotype"/>
                <w:sz w:val="22"/>
                <w:szCs w:val="22"/>
              </w:rPr>
              <w:t>Resolución CUS</w:t>
            </w:r>
          </w:p>
        </w:tc>
      </w:tr>
    </w:tbl>
    <w:p w14:paraId="2940927B" w14:textId="0D8637B1" w:rsidR="000F6C90" w:rsidRPr="008A1F48" w:rsidRDefault="000F6C90" w:rsidP="000F6C90">
      <w:pPr>
        <w:spacing w:line="276" w:lineRule="auto"/>
        <w:jc w:val="both"/>
        <w:rPr>
          <w:rFonts w:ascii="Palatino Linotype" w:hAnsi="Palatino Linotype"/>
          <w:sz w:val="22"/>
          <w:szCs w:val="22"/>
        </w:rPr>
      </w:pPr>
    </w:p>
    <w:p w14:paraId="677F294D" w14:textId="77777777" w:rsidR="000F6C90" w:rsidRPr="008A1F48" w:rsidRDefault="000F6C90" w:rsidP="00FC0AC2">
      <w:pPr>
        <w:spacing w:line="276" w:lineRule="auto"/>
        <w:jc w:val="both"/>
        <w:rPr>
          <w:rFonts w:ascii="Palatino Linotype" w:hAnsi="Palatino Linotype"/>
          <w:sz w:val="22"/>
          <w:szCs w:val="22"/>
        </w:rPr>
      </w:pPr>
    </w:p>
    <w:p w14:paraId="2379D7D8" w14:textId="77777777" w:rsidR="00FC0AC2" w:rsidRPr="008A1F48" w:rsidRDefault="00FC0AC2" w:rsidP="00FC0AC2">
      <w:pPr>
        <w:spacing w:line="276" w:lineRule="auto"/>
        <w:jc w:val="both"/>
        <w:rPr>
          <w:rFonts w:ascii="Palatino Linotype" w:hAnsi="Palatino Linotype"/>
          <w:sz w:val="22"/>
          <w:szCs w:val="22"/>
        </w:rPr>
      </w:pPr>
    </w:p>
    <w:p w14:paraId="145A5017" w14:textId="085A4B8C"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lastRenderedPageBreak/>
        <w:t xml:space="preserve">Consecuentemente, el 06 de mayo de 2019 el Concejo Metropolitano de Quito conoció en </w:t>
      </w:r>
      <w:r w:rsidR="0042745E">
        <w:rPr>
          <w:rFonts w:ascii="Palatino Linotype" w:hAnsi="Palatino Linotype"/>
          <w:sz w:val="22"/>
          <w:szCs w:val="22"/>
        </w:rPr>
        <w:t>p</w:t>
      </w:r>
      <w:r w:rsidRPr="008A1F48">
        <w:rPr>
          <w:rFonts w:ascii="Palatino Linotype" w:hAnsi="Palatino Linotype"/>
          <w:sz w:val="22"/>
          <w:szCs w:val="22"/>
        </w:rPr>
        <w:t xml:space="preserve">rimer </w:t>
      </w:r>
      <w:r w:rsidR="0042745E">
        <w:rPr>
          <w:rFonts w:ascii="Palatino Linotype" w:hAnsi="Palatino Linotype"/>
          <w:sz w:val="22"/>
          <w:szCs w:val="22"/>
        </w:rPr>
        <w:t>d</w:t>
      </w:r>
      <w:r w:rsidRPr="008A1F48">
        <w:rPr>
          <w:rFonts w:ascii="Palatino Linotype" w:hAnsi="Palatino Linotype"/>
          <w:sz w:val="22"/>
          <w:szCs w:val="22"/>
        </w:rPr>
        <w:t xml:space="preserve">ebate el proyecto de </w:t>
      </w:r>
      <w:r w:rsidR="0042745E">
        <w:rPr>
          <w:rFonts w:ascii="Palatino Linotype" w:hAnsi="Palatino Linotype"/>
          <w:sz w:val="22"/>
          <w:szCs w:val="22"/>
        </w:rPr>
        <w:t>o</w:t>
      </w:r>
      <w:r w:rsidRPr="008A1F48">
        <w:rPr>
          <w:rFonts w:ascii="Palatino Linotype" w:hAnsi="Palatino Linotype"/>
          <w:sz w:val="22"/>
          <w:szCs w:val="22"/>
        </w:rPr>
        <w:t xml:space="preserve">rdenanza </w:t>
      </w:r>
      <w:r w:rsidR="0042745E">
        <w:rPr>
          <w:rFonts w:ascii="Palatino Linotype" w:hAnsi="Palatino Linotype"/>
          <w:sz w:val="22"/>
          <w:szCs w:val="22"/>
        </w:rPr>
        <w:t>m</w:t>
      </w:r>
      <w:r w:rsidRPr="008A1F48">
        <w:rPr>
          <w:rFonts w:ascii="Palatino Linotype" w:hAnsi="Palatino Linotype"/>
          <w:sz w:val="22"/>
          <w:szCs w:val="22"/>
        </w:rPr>
        <w:t xml:space="preserve">odificatoria de la Ordenanza Metropolitana No. 0127 de julio de 2016 que contiene el Plan de Uso y Ocupación de Suelo (PUOS), reformada por la Ordenanza Metropolitana No. 0192 de 20 de Diciembre de 2017 y No. 210 de 12 de Abril de 2018. La Matriz de Cambios 2019 anexada a dicha propuesta de </w:t>
      </w:r>
      <w:r w:rsidR="0042745E">
        <w:rPr>
          <w:rFonts w:ascii="Palatino Linotype" w:hAnsi="Palatino Linotype"/>
          <w:sz w:val="22"/>
          <w:szCs w:val="22"/>
        </w:rPr>
        <w:t>o</w:t>
      </w:r>
      <w:r w:rsidRPr="008A1F48">
        <w:rPr>
          <w:rFonts w:ascii="Palatino Linotype" w:hAnsi="Palatino Linotype"/>
          <w:sz w:val="22"/>
          <w:szCs w:val="22"/>
        </w:rPr>
        <w:t xml:space="preserve">rdenanza </w:t>
      </w:r>
      <w:r w:rsidR="0042745E">
        <w:rPr>
          <w:rFonts w:ascii="Palatino Linotype" w:hAnsi="Palatino Linotype"/>
          <w:sz w:val="22"/>
          <w:szCs w:val="22"/>
        </w:rPr>
        <w:t>m</w:t>
      </w:r>
      <w:r w:rsidRPr="008A1F48">
        <w:rPr>
          <w:rFonts w:ascii="Palatino Linotype" w:hAnsi="Palatino Linotype"/>
          <w:sz w:val="22"/>
          <w:szCs w:val="22"/>
        </w:rPr>
        <w:t>odificatoria contenía 109 polígonos de cambio organizados de la siguiente manera: a) 100 polígonos que formaban parte de los 354 casos que no se registraron en la Matriz de Cambios 2016 y; b) 9 polígonos de los 5 casos adicionales que se incorporaron a la Matriz de Cambios 2019 en virtud de la facultad edilicia contenida en el artículo IV.1.18 del Libro IV del Código Municipal para el Distrito Metropolitano de Quito.</w:t>
      </w:r>
    </w:p>
    <w:p w14:paraId="67BF34EE" w14:textId="77777777" w:rsidR="00FC0AC2" w:rsidRPr="008A1F48" w:rsidRDefault="00FC0AC2" w:rsidP="00FC0AC2">
      <w:pPr>
        <w:spacing w:line="276" w:lineRule="auto"/>
        <w:jc w:val="both"/>
        <w:rPr>
          <w:rFonts w:ascii="Palatino Linotype" w:hAnsi="Palatino Linotype"/>
          <w:sz w:val="22"/>
          <w:szCs w:val="22"/>
        </w:rPr>
      </w:pPr>
    </w:p>
    <w:p w14:paraId="2D5E7F9B" w14:textId="531D8A7E"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Posteriormente, en sesión extraordinaria de la Comisión de Uso de Suelo del 08 de mayo de 2019, incorporaron al proceso de actualización del PUOS y a la Matriz de Cambios 2019, en virtud de la facultad edilicia contenida en el artículo IV.1.18 del Libro IV del Código Municipal para el Distrito Metropolitano de Quito, 5 casos adicionales que, por petición expresa de los propietarios, la Comisión de Uso de Suelo</w:t>
      </w:r>
      <w:r w:rsidR="006E108B" w:rsidRPr="008A1F48">
        <w:rPr>
          <w:rFonts w:ascii="Palatino Linotype" w:hAnsi="Palatino Linotype"/>
          <w:sz w:val="22"/>
          <w:szCs w:val="22"/>
        </w:rPr>
        <w:t xml:space="preserve"> (CUS)</w:t>
      </w:r>
      <w:r w:rsidRPr="008A1F48">
        <w:rPr>
          <w:rFonts w:ascii="Palatino Linotype" w:hAnsi="Palatino Linotype"/>
          <w:sz w:val="22"/>
          <w:szCs w:val="22"/>
        </w:rPr>
        <w:t xml:space="preserve"> dispuso poner a consideración del Concejo Metropolitano la viabilidad de los cambios de asignaciones de uso de suelo, edificación y forma de ocupación de los lotes en mención. Dichos casos se incorporan, como 10 polígonos nuevos, en la Matriz de Cambios 2019.</w:t>
      </w:r>
      <w:r w:rsidR="000F6C90" w:rsidRPr="008A1F48">
        <w:rPr>
          <w:rFonts w:ascii="Palatino Linotype" w:hAnsi="Palatino Linotype"/>
          <w:sz w:val="22"/>
          <w:szCs w:val="22"/>
        </w:rPr>
        <w:t xml:space="preserve"> Los 5 casos previamente mencionados son:</w:t>
      </w:r>
    </w:p>
    <w:p w14:paraId="41E11106" w14:textId="77777777" w:rsidR="006C11AC" w:rsidRPr="008A1F48" w:rsidRDefault="006C11AC" w:rsidP="00FC0AC2">
      <w:pPr>
        <w:spacing w:line="276" w:lineRule="auto"/>
        <w:jc w:val="both"/>
        <w:rPr>
          <w:rFonts w:ascii="Palatino Linotype" w:hAnsi="Palatino Linotype"/>
          <w:sz w:val="22"/>
          <w:szCs w:val="22"/>
        </w:rPr>
      </w:pPr>
    </w:p>
    <w:tbl>
      <w:tblPr>
        <w:tblStyle w:val="Tablaconcuadrcula"/>
        <w:tblW w:w="8500" w:type="dxa"/>
        <w:tblLook w:val="04A0" w:firstRow="1" w:lastRow="0" w:firstColumn="1" w:lastColumn="0" w:noHBand="0" w:noVBand="1"/>
      </w:tblPr>
      <w:tblGrid>
        <w:gridCol w:w="652"/>
        <w:gridCol w:w="2536"/>
        <w:gridCol w:w="3470"/>
        <w:gridCol w:w="1842"/>
      </w:tblGrid>
      <w:tr w:rsidR="006C11AC" w:rsidRPr="008A1F48" w14:paraId="1C9362DA" w14:textId="35755633" w:rsidTr="006C11AC">
        <w:tc>
          <w:tcPr>
            <w:tcW w:w="652" w:type="dxa"/>
          </w:tcPr>
          <w:p w14:paraId="39EF5FA1" w14:textId="77777777" w:rsidR="006C11AC" w:rsidRPr="008A1F48" w:rsidRDefault="006C11AC" w:rsidP="000F6C90">
            <w:pPr>
              <w:spacing w:line="276" w:lineRule="auto"/>
              <w:jc w:val="center"/>
              <w:rPr>
                <w:rFonts w:ascii="Palatino Linotype" w:hAnsi="Palatino Linotype"/>
                <w:b/>
                <w:sz w:val="22"/>
                <w:szCs w:val="22"/>
              </w:rPr>
            </w:pPr>
            <w:r w:rsidRPr="008A1F48">
              <w:rPr>
                <w:rFonts w:ascii="Palatino Linotype" w:hAnsi="Palatino Linotype"/>
                <w:b/>
                <w:sz w:val="22"/>
                <w:szCs w:val="22"/>
              </w:rPr>
              <w:t>No.</w:t>
            </w:r>
          </w:p>
        </w:tc>
        <w:tc>
          <w:tcPr>
            <w:tcW w:w="2536" w:type="dxa"/>
          </w:tcPr>
          <w:p w14:paraId="2F347B9B" w14:textId="77777777" w:rsidR="006C11AC" w:rsidRPr="008A1F48" w:rsidRDefault="006C11AC" w:rsidP="000F6C90">
            <w:pPr>
              <w:spacing w:line="276" w:lineRule="auto"/>
              <w:jc w:val="center"/>
              <w:rPr>
                <w:rFonts w:ascii="Palatino Linotype" w:hAnsi="Palatino Linotype"/>
                <w:b/>
                <w:sz w:val="22"/>
                <w:szCs w:val="22"/>
              </w:rPr>
            </w:pPr>
            <w:r w:rsidRPr="008A1F48">
              <w:rPr>
                <w:rFonts w:ascii="Palatino Linotype" w:hAnsi="Palatino Linotype"/>
                <w:b/>
                <w:sz w:val="22"/>
                <w:szCs w:val="22"/>
              </w:rPr>
              <w:t>Caso</w:t>
            </w:r>
          </w:p>
        </w:tc>
        <w:tc>
          <w:tcPr>
            <w:tcW w:w="3470" w:type="dxa"/>
          </w:tcPr>
          <w:p w14:paraId="0B76BFA1" w14:textId="77777777" w:rsidR="006C11AC" w:rsidRPr="008A1F48" w:rsidRDefault="006C11AC" w:rsidP="000F6C90">
            <w:pPr>
              <w:spacing w:line="276" w:lineRule="auto"/>
              <w:jc w:val="center"/>
              <w:rPr>
                <w:rFonts w:ascii="Palatino Linotype" w:hAnsi="Palatino Linotype"/>
                <w:b/>
                <w:sz w:val="22"/>
                <w:szCs w:val="22"/>
              </w:rPr>
            </w:pPr>
            <w:r w:rsidRPr="008A1F48">
              <w:rPr>
                <w:rFonts w:ascii="Palatino Linotype" w:hAnsi="Palatino Linotype"/>
                <w:b/>
                <w:sz w:val="22"/>
                <w:szCs w:val="22"/>
              </w:rPr>
              <w:t>Oficio de petición</w:t>
            </w:r>
          </w:p>
        </w:tc>
        <w:tc>
          <w:tcPr>
            <w:tcW w:w="1842" w:type="dxa"/>
          </w:tcPr>
          <w:p w14:paraId="7178ACC8" w14:textId="2B358BA4" w:rsidR="006C11AC" w:rsidRPr="008A1F48" w:rsidRDefault="006C11AC" w:rsidP="000F6C90">
            <w:pPr>
              <w:spacing w:line="276" w:lineRule="auto"/>
              <w:jc w:val="center"/>
              <w:rPr>
                <w:rFonts w:ascii="Palatino Linotype" w:hAnsi="Palatino Linotype"/>
                <w:b/>
                <w:sz w:val="22"/>
                <w:szCs w:val="22"/>
              </w:rPr>
            </w:pPr>
            <w:r w:rsidRPr="008A1F48">
              <w:rPr>
                <w:rFonts w:ascii="Palatino Linotype" w:hAnsi="Palatino Linotype"/>
                <w:b/>
                <w:sz w:val="22"/>
                <w:szCs w:val="22"/>
              </w:rPr>
              <w:t>Observación</w:t>
            </w:r>
          </w:p>
        </w:tc>
      </w:tr>
      <w:tr w:rsidR="006C11AC" w:rsidRPr="008A1F48" w14:paraId="6AC1A3E2" w14:textId="3D895A2F" w:rsidTr="006C11AC">
        <w:tc>
          <w:tcPr>
            <w:tcW w:w="652" w:type="dxa"/>
          </w:tcPr>
          <w:p w14:paraId="5D4401D0" w14:textId="77777777" w:rsidR="006C11AC" w:rsidRPr="008A1F48" w:rsidRDefault="006C11AC" w:rsidP="00E540A0">
            <w:pPr>
              <w:spacing w:line="276" w:lineRule="auto"/>
              <w:jc w:val="center"/>
              <w:rPr>
                <w:rFonts w:ascii="Palatino Linotype" w:hAnsi="Palatino Linotype"/>
                <w:sz w:val="22"/>
                <w:szCs w:val="22"/>
              </w:rPr>
            </w:pPr>
            <w:r w:rsidRPr="008A1F48">
              <w:rPr>
                <w:rFonts w:ascii="Palatino Linotype" w:hAnsi="Palatino Linotype"/>
                <w:sz w:val="22"/>
                <w:szCs w:val="22"/>
              </w:rPr>
              <w:t>1</w:t>
            </w:r>
          </w:p>
        </w:tc>
        <w:tc>
          <w:tcPr>
            <w:tcW w:w="2536" w:type="dxa"/>
          </w:tcPr>
          <w:p w14:paraId="15066062" w14:textId="23B2CAD0" w:rsidR="006C11AC" w:rsidRPr="008A1F48" w:rsidRDefault="006C11AC" w:rsidP="00E540A0">
            <w:pPr>
              <w:spacing w:line="276" w:lineRule="auto"/>
              <w:jc w:val="center"/>
              <w:rPr>
                <w:rFonts w:ascii="Palatino Linotype" w:hAnsi="Palatino Linotype"/>
                <w:sz w:val="22"/>
                <w:szCs w:val="22"/>
              </w:rPr>
            </w:pPr>
            <w:r w:rsidRPr="008A1F48">
              <w:rPr>
                <w:rFonts w:ascii="Palatino Linotype" w:eastAsia="Times New Roman" w:hAnsi="Palatino Linotype" w:cstheme="minorHAnsi"/>
                <w:sz w:val="22"/>
                <w:szCs w:val="22"/>
                <w:lang w:val="es-ES"/>
              </w:rPr>
              <w:t xml:space="preserve">Predios </w:t>
            </w:r>
            <w:r w:rsidR="0042745E">
              <w:rPr>
                <w:rFonts w:ascii="Palatino Linotype" w:eastAsia="Times New Roman" w:hAnsi="Palatino Linotype" w:cstheme="minorHAnsi"/>
                <w:sz w:val="22"/>
                <w:szCs w:val="22"/>
                <w:lang w:val="es-ES"/>
              </w:rPr>
              <w:t>a</w:t>
            </w:r>
            <w:r w:rsidRPr="008A1F48">
              <w:rPr>
                <w:rFonts w:ascii="Palatino Linotype" w:eastAsia="Times New Roman" w:hAnsi="Palatino Linotype" w:cstheme="minorHAnsi"/>
                <w:sz w:val="22"/>
                <w:szCs w:val="22"/>
                <w:lang w:val="es-ES"/>
              </w:rPr>
              <w:t xml:space="preserve">dyacentes a la industria </w:t>
            </w:r>
            <w:proofErr w:type="spellStart"/>
            <w:r w:rsidRPr="008A1F48">
              <w:rPr>
                <w:rFonts w:ascii="Palatino Linotype" w:eastAsia="Times New Roman" w:hAnsi="Palatino Linotype" w:cstheme="minorHAnsi"/>
                <w:sz w:val="22"/>
                <w:szCs w:val="22"/>
                <w:lang w:val="es-ES"/>
              </w:rPr>
              <w:t>Zaimella</w:t>
            </w:r>
            <w:proofErr w:type="spellEnd"/>
          </w:p>
        </w:tc>
        <w:tc>
          <w:tcPr>
            <w:tcW w:w="3470" w:type="dxa"/>
          </w:tcPr>
          <w:p w14:paraId="52062A23" w14:textId="7A5D1B60" w:rsidR="006C11AC" w:rsidRPr="008A1F48" w:rsidRDefault="006C11AC" w:rsidP="006C11AC">
            <w:pPr>
              <w:spacing w:line="276" w:lineRule="auto"/>
              <w:jc w:val="center"/>
              <w:rPr>
                <w:rFonts w:ascii="Palatino Linotype" w:hAnsi="Palatino Linotype"/>
                <w:sz w:val="22"/>
                <w:szCs w:val="22"/>
              </w:rPr>
            </w:pPr>
            <w:r w:rsidRPr="008A1F48">
              <w:rPr>
                <w:rFonts w:ascii="Palatino Linotype" w:hAnsi="Palatino Linotype"/>
                <w:sz w:val="22"/>
                <w:szCs w:val="22"/>
              </w:rPr>
              <w:t xml:space="preserve">Oficio s/n del 8 de abril de 2019, suscrito por el Sr. Luis Augusto Reyes Acosta, dirigido al </w:t>
            </w:r>
            <w:r w:rsidR="0042745E">
              <w:rPr>
                <w:rFonts w:ascii="Palatino Linotype" w:hAnsi="Palatino Linotype"/>
                <w:sz w:val="22"/>
                <w:szCs w:val="22"/>
              </w:rPr>
              <w:t>c</w:t>
            </w:r>
            <w:r w:rsidRPr="008A1F48">
              <w:rPr>
                <w:rFonts w:ascii="Palatino Linotype" w:hAnsi="Palatino Linotype"/>
                <w:sz w:val="22"/>
                <w:szCs w:val="22"/>
              </w:rPr>
              <w:t xml:space="preserve">oncejal </w:t>
            </w:r>
            <w:r w:rsidR="0042745E">
              <w:rPr>
                <w:rFonts w:ascii="Palatino Linotype" w:hAnsi="Palatino Linotype"/>
                <w:sz w:val="22"/>
                <w:szCs w:val="22"/>
              </w:rPr>
              <w:t>m</w:t>
            </w:r>
            <w:r w:rsidRPr="008A1F48">
              <w:rPr>
                <w:rFonts w:ascii="Palatino Linotype" w:hAnsi="Palatino Linotype"/>
                <w:sz w:val="22"/>
                <w:szCs w:val="22"/>
              </w:rPr>
              <w:t>etropolitano Sergio Garnica</w:t>
            </w:r>
          </w:p>
        </w:tc>
        <w:tc>
          <w:tcPr>
            <w:tcW w:w="1842" w:type="dxa"/>
            <w:vMerge w:val="restart"/>
          </w:tcPr>
          <w:p w14:paraId="59559BB5" w14:textId="04C9F35A" w:rsidR="006C11AC" w:rsidRPr="008A1F48" w:rsidRDefault="006C11AC" w:rsidP="000F6C90">
            <w:pPr>
              <w:spacing w:line="276" w:lineRule="auto"/>
              <w:jc w:val="center"/>
              <w:rPr>
                <w:rFonts w:ascii="Palatino Linotype" w:hAnsi="Palatino Linotype"/>
                <w:sz w:val="22"/>
                <w:szCs w:val="22"/>
              </w:rPr>
            </w:pPr>
            <w:r w:rsidRPr="008A1F48">
              <w:rPr>
                <w:rFonts w:ascii="Palatino Linotype" w:hAnsi="Palatino Linotype"/>
                <w:sz w:val="22"/>
                <w:szCs w:val="22"/>
              </w:rPr>
              <w:t>Casos a consideración y ratificación por parte del Concejo Metropolitano de Quito para su incorporación a la Matriz de Cambios 2019</w:t>
            </w:r>
          </w:p>
        </w:tc>
      </w:tr>
      <w:tr w:rsidR="006C11AC" w:rsidRPr="008A1F48" w14:paraId="46CDEDD2" w14:textId="44435867" w:rsidTr="006C11AC">
        <w:tc>
          <w:tcPr>
            <w:tcW w:w="652" w:type="dxa"/>
          </w:tcPr>
          <w:p w14:paraId="21B91023" w14:textId="77777777" w:rsidR="006C11AC" w:rsidRPr="008A1F48" w:rsidRDefault="006C11AC" w:rsidP="00E540A0">
            <w:pPr>
              <w:spacing w:line="276" w:lineRule="auto"/>
              <w:jc w:val="center"/>
              <w:rPr>
                <w:rFonts w:ascii="Palatino Linotype" w:hAnsi="Palatino Linotype"/>
                <w:sz w:val="22"/>
                <w:szCs w:val="22"/>
              </w:rPr>
            </w:pPr>
            <w:r w:rsidRPr="008A1F48">
              <w:rPr>
                <w:rFonts w:ascii="Palatino Linotype" w:hAnsi="Palatino Linotype"/>
                <w:sz w:val="22"/>
                <w:szCs w:val="22"/>
              </w:rPr>
              <w:t>2</w:t>
            </w:r>
          </w:p>
        </w:tc>
        <w:tc>
          <w:tcPr>
            <w:tcW w:w="2536" w:type="dxa"/>
          </w:tcPr>
          <w:p w14:paraId="53ACCBEE" w14:textId="05ED4F90" w:rsidR="006C11AC" w:rsidRPr="008A1F48" w:rsidRDefault="006C11AC" w:rsidP="00E540A0">
            <w:pPr>
              <w:spacing w:line="276" w:lineRule="auto"/>
              <w:jc w:val="center"/>
              <w:rPr>
                <w:rFonts w:ascii="Palatino Linotype" w:hAnsi="Palatino Linotype"/>
                <w:sz w:val="22"/>
                <w:szCs w:val="22"/>
              </w:rPr>
            </w:pPr>
            <w:r w:rsidRPr="008A1F48">
              <w:rPr>
                <w:rFonts w:ascii="Palatino Linotype" w:eastAsia="Times New Roman" w:hAnsi="Palatino Linotype" w:cstheme="minorHAnsi"/>
                <w:sz w:val="22"/>
                <w:szCs w:val="22"/>
                <w:lang w:val="es-ES"/>
              </w:rPr>
              <w:t xml:space="preserve">Proyecto </w:t>
            </w:r>
            <w:proofErr w:type="spellStart"/>
            <w:r w:rsidRPr="008A1F48">
              <w:rPr>
                <w:rFonts w:ascii="Palatino Linotype" w:eastAsia="Times New Roman" w:hAnsi="Palatino Linotype" w:cstheme="minorHAnsi"/>
                <w:sz w:val="22"/>
                <w:szCs w:val="22"/>
                <w:lang w:val="es-ES"/>
              </w:rPr>
              <w:t>Citival</w:t>
            </w:r>
            <w:proofErr w:type="spellEnd"/>
          </w:p>
        </w:tc>
        <w:tc>
          <w:tcPr>
            <w:tcW w:w="3470" w:type="dxa"/>
          </w:tcPr>
          <w:p w14:paraId="6B27F821" w14:textId="4CF97D86" w:rsidR="006C11AC" w:rsidRPr="008A1F48" w:rsidRDefault="006C11AC" w:rsidP="00E540A0">
            <w:pPr>
              <w:spacing w:line="276" w:lineRule="auto"/>
              <w:jc w:val="center"/>
              <w:rPr>
                <w:rFonts w:ascii="Palatino Linotype" w:hAnsi="Palatino Linotype"/>
                <w:sz w:val="22"/>
                <w:szCs w:val="22"/>
              </w:rPr>
            </w:pPr>
            <w:r w:rsidRPr="008A1F48">
              <w:rPr>
                <w:rFonts w:ascii="Palatino Linotype" w:hAnsi="Palatino Linotype"/>
                <w:sz w:val="22"/>
                <w:szCs w:val="22"/>
              </w:rPr>
              <w:t xml:space="preserve">Oficio s/n del 25 de abril de 2019, suscrito por el Ing. Ignacio Barra dirigido al </w:t>
            </w:r>
            <w:r w:rsidR="0042745E">
              <w:rPr>
                <w:rFonts w:ascii="Palatino Linotype" w:hAnsi="Palatino Linotype"/>
                <w:sz w:val="22"/>
                <w:szCs w:val="22"/>
              </w:rPr>
              <w:t>c</w:t>
            </w:r>
            <w:r w:rsidRPr="008A1F48">
              <w:rPr>
                <w:rFonts w:ascii="Palatino Linotype" w:hAnsi="Palatino Linotype"/>
                <w:sz w:val="22"/>
                <w:szCs w:val="22"/>
              </w:rPr>
              <w:t xml:space="preserve">oncejal </w:t>
            </w:r>
            <w:r w:rsidR="0042745E">
              <w:rPr>
                <w:rFonts w:ascii="Palatino Linotype" w:hAnsi="Palatino Linotype"/>
                <w:sz w:val="22"/>
                <w:szCs w:val="22"/>
              </w:rPr>
              <w:t>m</w:t>
            </w:r>
            <w:r w:rsidRPr="008A1F48">
              <w:rPr>
                <w:rFonts w:ascii="Palatino Linotype" w:hAnsi="Palatino Linotype"/>
                <w:sz w:val="22"/>
                <w:szCs w:val="22"/>
              </w:rPr>
              <w:t>etropolitano Marco Ponce</w:t>
            </w:r>
          </w:p>
        </w:tc>
        <w:tc>
          <w:tcPr>
            <w:tcW w:w="1842" w:type="dxa"/>
            <w:vMerge/>
          </w:tcPr>
          <w:p w14:paraId="66A3459A" w14:textId="77777777" w:rsidR="006C11AC" w:rsidRPr="008A1F48" w:rsidRDefault="006C11AC" w:rsidP="00E540A0">
            <w:pPr>
              <w:spacing w:line="276" w:lineRule="auto"/>
              <w:jc w:val="center"/>
              <w:rPr>
                <w:rFonts w:ascii="Palatino Linotype" w:hAnsi="Palatino Linotype"/>
                <w:sz w:val="22"/>
                <w:szCs w:val="22"/>
              </w:rPr>
            </w:pPr>
          </w:p>
        </w:tc>
      </w:tr>
      <w:tr w:rsidR="006C11AC" w:rsidRPr="008A1F48" w14:paraId="29008646" w14:textId="20B20B26" w:rsidTr="006C11AC">
        <w:tc>
          <w:tcPr>
            <w:tcW w:w="652" w:type="dxa"/>
          </w:tcPr>
          <w:p w14:paraId="65297205" w14:textId="77777777" w:rsidR="006C11AC" w:rsidRPr="008A1F48" w:rsidRDefault="006C11AC" w:rsidP="00E540A0">
            <w:pPr>
              <w:spacing w:line="276" w:lineRule="auto"/>
              <w:jc w:val="center"/>
              <w:rPr>
                <w:rFonts w:ascii="Palatino Linotype" w:hAnsi="Palatino Linotype"/>
                <w:sz w:val="22"/>
                <w:szCs w:val="22"/>
              </w:rPr>
            </w:pPr>
            <w:r w:rsidRPr="008A1F48">
              <w:rPr>
                <w:rFonts w:ascii="Palatino Linotype" w:hAnsi="Palatino Linotype"/>
                <w:sz w:val="22"/>
                <w:szCs w:val="22"/>
              </w:rPr>
              <w:t>3</w:t>
            </w:r>
          </w:p>
        </w:tc>
        <w:tc>
          <w:tcPr>
            <w:tcW w:w="2536" w:type="dxa"/>
          </w:tcPr>
          <w:p w14:paraId="020816C4" w14:textId="225B7B51" w:rsidR="006C11AC" w:rsidRPr="008A1F48" w:rsidRDefault="006C11AC" w:rsidP="00E540A0">
            <w:pPr>
              <w:spacing w:line="276" w:lineRule="auto"/>
              <w:jc w:val="center"/>
              <w:rPr>
                <w:rFonts w:ascii="Palatino Linotype" w:hAnsi="Palatino Linotype"/>
                <w:sz w:val="22"/>
                <w:szCs w:val="22"/>
              </w:rPr>
            </w:pPr>
            <w:r w:rsidRPr="008A1F48">
              <w:rPr>
                <w:rFonts w:ascii="Palatino Linotype" w:eastAsia="Times New Roman" w:hAnsi="Palatino Linotype" w:cstheme="minorHAnsi"/>
                <w:sz w:val="22"/>
                <w:szCs w:val="22"/>
                <w:lang w:val="es-ES"/>
              </w:rPr>
              <w:t>Centro Comercial San Miguel</w:t>
            </w:r>
          </w:p>
        </w:tc>
        <w:tc>
          <w:tcPr>
            <w:tcW w:w="3470" w:type="dxa"/>
          </w:tcPr>
          <w:p w14:paraId="4AFCB42E" w14:textId="77777777" w:rsidR="006C11AC" w:rsidRPr="008A1F48" w:rsidRDefault="006C11AC" w:rsidP="00E540A0">
            <w:pPr>
              <w:spacing w:line="276" w:lineRule="auto"/>
              <w:jc w:val="center"/>
              <w:rPr>
                <w:rFonts w:ascii="Palatino Linotype" w:hAnsi="Palatino Linotype"/>
                <w:sz w:val="22"/>
                <w:szCs w:val="22"/>
              </w:rPr>
            </w:pPr>
            <w:r w:rsidRPr="008A1F48">
              <w:rPr>
                <w:rFonts w:ascii="Palatino Linotype" w:hAnsi="Palatino Linotype"/>
                <w:sz w:val="22"/>
                <w:szCs w:val="22"/>
              </w:rPr>
              <w:t>SG-1186</w:t>
            </w:r>
          </w:p>
          <w:p w14:paraId="334DEDE7" w14:textId="424B81CC" w:rsidR="006C11AC" w:rsidRPr="008A1F48" w:rsidRDefault="006C11AC" w:rsidP="00E540A0">
            <w:pPr>
              <w:spacing w:line="276" w:lineRule="auto"/>
              <w:jc w:val="center"/>
              <w:rPr>
                <w:rFonts w:ascii="Palatino Linotype" w:hAnsi="Palatino Linotype"/>
                <w:sz w:val="22"/>
                <w:szCs w:val="22"/>
              </w:rPr>
            </w:pPr>
            <w:proofErr w:type="spellStart"/>
            <w:r w:rsidRPr="008A1F48">
              <w:rPr>
                <w:rFonts w:ascii="Palatino Linotype" w:hAnsi="Palatino Linotype"/>
                <w:sz w:val="22"/>
                <w:szCs w:val="22"/>
              </w:rPr>
              <w:t>Gdoc</w:t>
            </w:r>
            <w:proofErr w:type="spellEnd"/>
            <w:r w:rsidRPr="008A1F48">
              <w:rPr>
                <w:rFonts w:ascii="Palatino Linotype" w:hAnsi="Palatino Linotype"/>
                <w:sz w:val="22"/>
                <w:szCs w:val="22"/>
              </w:rPr>
              <w:t>: 2018-173259</w:t>
            </w:r>
            <w:r w:rsidR="006E108B" w:rsidRPr="008A1F48">
              <w:rPr>
                <w:rFonts w:ascii="Palatino Linotype" w:hAnsi="Palatino Linotype"/>
                <w:sz w:val="22"/>
                <w:szCs w:val="22"/>
              </w:rPr>
              <w:t>, dirigido al Ab. Sergio Garnica, Presidente de la CUS</w:t>
            </w:r>
          </w:p>
        </w:tc>
        <w:tc>
          <w:tcPr>
            <w:tcW w:w="1842" w:type="dxa"/>
            <w:vMerge/>
          </w:tcPr>
          <w:p w14:paraId="6962815A" w14:textId="77777777" w:rsidR="006C11AC" w:rsidRPr="008A1F48" w:rsidRDefault="006C11AC" w:rsidP="00E540A0">
            <w:pPr>
              <w:spacing w:line="276" w:lineRule="auto"/>
              <w:jc w:val="center"/>
              <w:rPr>
                <w:rFonts w:ascii="Palatino Linotype" w:hAnsi="Palatino Linotype"/>
                <w:sz w:val="22"/>
                <w:szCs w:val="22"/>
              </w:rPr>
            </w:pPr>
          </w:p>
        </w:tc>
      </w:tr>
      <w:tr w:rsidR="006C11AC" w:rsidRPr="008A1F48" w14:paraId="6498BF03" w14:textId="03093DA7" w:rsidTr="006C11AC">
        <w:tc>
          <w:tcPr>
            <w:tcW w:w="652" w:type="dxa"/>
          </w:tcPr>
          <w:p w14:paraId="142BE7D3" w14:textId="5B992BD7" w:rsidR="006C11AC" w:rsidRPr="008A1F48" w:rsidRDefault="006C11AC" w:rsidP="000F6C90">
            <w:pPr>
              <w:spacing w:line="276" w:lineRule="auto"/>
              <w:jc w:val="center"/>
              <w:rPr>
                <w:rFonts w:ascii="Palatino Linotype" w:hAnsi="Palatino Linotype"/>
                <w:sz w:val="22"/>
                <w:szCs w:val="22"/>
              </w:rPr>
            </w:pPr>
            <w:r w:rsidRPr="008A1F48">
              <w:rPr>
                <w:rFonts w:ascii="Palatino Linotype" w:hAnsi="Palatino Linotype"/>
                <w:sz w:val="22"/>
                <w:szCs w:val="22"/>
              </w:rPr>
              <w:t>4</w:t>
            </w:r>
          </w:p>
        </w:tc>
        <w:tc>
          <w:tcPr>
            <w:tcW w:w="2536" w:type="dxa"/>
          </w:tcPr>
          <w:p w14:paraId="73694C8F" w14:textId="3E40F35C" w:rsidR="006C11AC" w:rsidRPr="008A1F48" w:rsidRDefault="006C11AC" w:rsidP="000F6C90">
            <w:pPr>
              <w:spacing w:line="276" w:lineRule="auto"/>
              <w:jc w:val="center"/>
              <w:rPr>
                <w:rFonts w:ascii="Palatino Linotype" w:hAnsi="Palatino Linotype"/>
                <w:sz w:val="22"/>
                <w:szCs w:val="22"/>
              </w:rPr>
            </w:pPr>
            <w:r w:rsidRPr="008A1F48">
              <w:rPr>
                <w:rFonts w:ascii="Palatino Linotype" w:eastAsia="Times New Roman" w:hAnsi="Palatino Linotype" w:cstheme="minorHAnsi"/>
                <w:sz w:val="22"/>
                <w:szCs w:val="22"/>
                <w:lang w:val="es-ES"/>
              </w:rPr>
              <w:t xml:space="preserve">Predio Solicitado por la </w:t>
            </w:r>
            <w:r w:rsidR="0042745E">
              <w:rPr>
                <w:rFonts w:ascii="Palatino Linotype" w:eastAsia="Times New Roman" w:hAnsi="Palatino Linotype" w:cstheme="minorHAnsi"/>
                <w:sz w:val="22"/>
                <w:szCs w:val="22"/>
                <w:lang w:val="es-ES"/>
              </w:rPr>
              <w:t>c</w:t>
            </w:r>
            <w:r w:rsidRPr="008A1F48">
              <w:rPr>
                <w:rFonts w:ascii="Palatino Linotype" w:eastAsia="Times New Roman" w:hAnsi="Palatino Linotype" w:cstheme="minorHAnsi"/>
                <w:sz w:val="22"/>
                <w:szCs w:val="22"/>
                <w:lang w:val="es-ES"/>
              </w:rPr>
              <w:t xml:space="preserve">oncejala Ivonne </w:t>
            </w:r>
            <w:proofErr w:type="spellStart"/>
            <w:r w:rsidRPr="008A1F48">
              <w:rPr>
                <w:rFonts w:ascii="Palatino Linotype" w:eastAsia="Times New Roman" w:hAnsi="Palatino Linotype" w:cstheme="minorHAnsi"/>
                <w:sz w:val="22"/>
                <w:szCs w:val="22"/>
                <w:lang w:val="es-ES"/>
              </w:rPr>
              <w:t>VonLipkke</w:t>
            </w:r>
            <w:proofErr w:type="spellEnd"/>
          </w:p>
        </w:tc>
        <w:tc>
          <w:tcPr>
            <w:tcW w:w="3470" w:type="dxa"/>
          </w:tcPr>
          <w:p w14:paraId="29AB1205" w14:textId="67E7129D" w:rsidR="006C11AC" w:rsidRPr="008A1F48" w:rsidRDefault="006C11AC" w:rsidP="006C11AC">
            <w:pPr>
              <w:spacing w:line="276" w:lineRule="auto"/>
              <w:jc w:val="center"/>
              <w:rPr>
                <w:rFonts w:ascii="Palatino Linotype" w:hAnsi="Palatino Linotype"/>
                <w:sz w:val="22"/>
                <w:szCs w:val="22"/>
              </w:rPr>
            </w:pPr>
            <w:r w:rsidRPr="008A1F48">
              <w:rPr>
                <w:rFonts w:ascii="Palatino Linotype" w:hAnsi="Palatino Linotype"/>
                <w:sz w:val="22"/>
                <w:szCs w:val="22"/>
              </w:rPr>
              <w:t xml:space="preserve">Oficio No. CMQ-IVL-AE-2019-0144, suscrito por la </w:t>
            </w:r>
            <w:r w:rsidR="0042745E">
              <w:rPr>
                <w:rFonts w:ascii="Palatino Linotype" w:hAnsi="Palatino Linotype"/>
                <w:sz w:val="22"/>
                <w:szCs w:val="22"/>
              </w:rPr>
              <w:t>c</w:t>
            </w:r>
            <w:r w:rsidRPr="008A1F48">
              <w:rPr>
                <w:rFonts w:ascii="Palatino Linotype" w:hAnsi="Palatino Linotype"/>
                <w:sz w:val="22"/>
                <w:szCs w:val="22"/>
              </w:rPr>
              <w:t xml:space="preserve">oncejala </w:t>
            </w:r>
            <w:r w:rsidR="0042745E">
              <w:rPr>
                <w:rFonts w:ascii="Palatino Linotype" w:hAnsi="Palatino Linotype"/>
                <w:sz w:val="22"/>
                <w:szCs w:val="22"/>
              </w:rPr>
              <w:t>m</w:t>
            </w:r>
            <w:r w:rsidRPr="008A1F48">
              <w:rPr>
                <w:rFonts w:ascii="Palatino Linotype" w:hAnsi="Palatino Linotype"/>
                <w:sz w:val="22"/>
                <w:szCs w:val="22"/>
              </w:rPr>
              <w:t>etropolitana Ivone Von Lippke</w:t>
            </w:r>
          </w:p>
        </w:tc>
        <w:tc>
          <w:tcPr>
            <w:tcW w:w="1842" w:type="dxa"/>
            <w:vMerge/>
          </w:tcPr>
          <w:p w14:paraId="148EEEFC" w14:textId="77777777" w:rsidR="006C11AC" w:rsidRPr="008A1F48" w:rsidRDefault="006C11AC" w:rsidP="000F6C90">
            <w:pPr>
              <w:spacing w:line="276" w:lineRule="auto"/>
              <w:jc w:val="center"/>
              <w:rPr>
                <w:rFonts w:ascii="Palatino Linotype" w:hAnsi="Palatino Linotype"/>
                <w:sz w:val="22"/>
                <w:szCs w:val="22"/>
              </w:rPr>
            </w:pPr>
          </w:p>
        </w:tc>
      </w:tr>
      <w:tr w:rsidR="006C11AC" w:rsidRPr="008A1F48" w14:paraId="34EB168C" w14:textId="4A72FFAF" w:rsidTr="006C11AC">
        <w:tc>
          <w:tcPr>
            <w:tcW w:w="652" w:type="dxa"/>
          </w:tcPr>
          <w:p w14:paraId="43A513CA" w14:textId="41643746" w:rsidR="006C11AC" w:rsidRPr="008A1F48" w:rsidRDefault="006C11AC" w:rsidP="000F6C90">
            <w:pPr>
              <w:spacing w:line="276" w:lineRule="auto"/>
              <w:jc w:val="center"/>
              <w:rPr>
                <w:rFonts w:ascii="Palatino Linotype" w:hAnsi="Palatino Linotype"/>
                <w:sz w:val="22"/>
                <w:szCs w:val="22"/>
              </w:rPr>
            </w:pPr>
            <w:r w:rsidRPr="008A1F48">
              <w:rPr>
                <w:rFonts w:ascii="Palatino Linotype" w:hAnsi="Palatino Linotype"/>
                <w:sz w:val="22"/>
                <w:szCs w:val="22"/>
              </w:rPr>
              <w:t>5</w:t>
            </w:r>
          </w:p>
        </w:tc>
        <w:tc>
          <w:tcPr>
            <w:tcW w:w="2536" w:type="dxa"/>
          </w:tcPr>
          <w:p w14:paraId="2EF501BA" w14:textId="2D9ED528" w:rsidR="006C11AC" w:rsidRPr="008A1F48" w:rsidRDefault="006C11AC" w:rsidP="000F6C90">
            <w:pPr>
              <w:spacing w:line="276" w:lineRule="auto"/>
              <w:jc w:val="center"/>
              <w:rPr>
                <w:rFonts w:ascii="Palatino Linotype" w:hAnsi="Palatino Linotype"/>
                <w:sz w:val="22"/>
                <w:szCs w:val="22"/>
              </w:rPr>
            </w:pPr>
            <w:r w:rsidRPr="008A1F48">
              <w:rPr>
                <w:rFonts w:ascii="Palatino Linotype" w:eastAsia="Times New Roman" w:hAnsi="Palatino Linotype" w:cstheme="minorHAnsi"/>
                <w:sz w:val="22"/>
                <w:szCs w:val="22"/>
                <w:lang w:val="es-ES"/>
              </w:rPr>
              <w:t xml:space="preserve">Predio </w:t>
            </w:r>
            <w:proofErr w:type="spellStart"/>
            <w:r w:rsidRPr="008A1F48">
              <w:rPr>
                <w:rFonts w:ascii="Palatino Linotype" w:eastAsia="Times New Roman" w:hAnsi="Palatino Linotype" w:cstheme="minorHAnsi"/>
                <w:sz w:val="22"/>
                <w:szCs w:val="22"/>
                <w:lang w:val="es-ES"/>
              </w:rPr>
              <w:t>Smartfactory</w:t>
            </w:r>
            <w:proofErr w:type="spellEnd"/>
            <w:r w:rsidRPr="008A1F48">
              <w:rPr>
                <w:rFonts w:ascii="Palatino Linotype" w:eastAsia="Times New Roman" w:hAnsi="Palatino Linotype" w:cstheme="minorHAnsi"/>
                <w:sz w:val="22"/>
                <w:szCs w:val="22"/>
                <w:lang w:val="es-ES"/>
              </w:rPr>
              <w:t xml:space="preserve"> negocios corporativos</w:t>
            </w:r>
          </w:p>
        </w:tc>
        <w:tc>
          <w:tcPr>
            <w:tcW w:w="3470" w:type="dxa"/>
          </w:tcPr>
          <w:p w14:paraId="08501224" w14:textId="1AEC28D2" w:rsidR="006C11AC" w:rsidRPr="008A1F48" w:rsidRDefault="006C11AC" w:rsidP="000F6C90">
            <w:pPr>
              <w:spacing w:line="276" w:lineRule="auto"/>
              <w:jc w:val="center"/>
              <w:rPr>
                <w:rFonts w:ascii="Palatino Linotype" w:hAnsi="Palatino Linotype"/>
                <w:sz w:val="22"/>
                <w:szCs w:val="22"/>
              </w:rPr>
            </w:pPr>
            <w:r w:rsidRPr="008A1F48">
              <w:rPr>
                <w:rFonts w:ascii="Palatino Linotype" w:hAnsi="Palatino Linotype"/>
                <w:sz w:val="22"/>
                <w:szCs w:val="22"/>
              </w:rPr>
              <w:t xml:space="preserve">Oficio s/n del 10 de octubre de 2018, suscrito por el Ab. </w:t>
            </w:r>
            <w:r w:rsidRPr="008A1F48">
              <w:rPr>
                <w:rFonts w:ascii="Palatino Linotype" w:hAnsi="Palatino Linotype"/>
                <w:sz w:val="22"/>
                <w:szCs w:val="22"/>
              </w:rPr>
              <w:lastRenderedPageBreak/>
              <w:t xml:space="preserve">Alejandro Villavicencio Yela, dirigido al </w:t>
            </w:r>
            <w:r w:rsidR="0042745E">
              <w:rPr>
                <w:rFonts w:ascii="Palatino Linotype" w:hAnsi="Palatino Linotype"/>
                <w:sz w:val="22"/>
                <w:szCs w:val="22"/>
              </w:rPr>
              <w:t>c</w:t>
            </w:r>
            <w:r w:rsidRPr="008A1F48">
              <w:rPr>
                <w:rFonts w:ascii="Palatino Linotype" w:hAnsi="Palatino Linotype"/>
                <w:sz w:val="22"/>
                <w:szCs w:val="22"/>
              </w:rPr>
              <w:t xml:space="preserve">oncejal </w:t>
            </w:r>
            <w:r w:rsidR="0042745E">
              <w:rPr>
                <w:rFonts w:ascii="Palatino Linotype" w:hAnsi="Palatino Linotype"/>
                <w:sz w:val="22"/>
                <w:szCs w:val="22"/>
              </w:rPr>
              <w:t>m</w:t>
            </w:r>
            <w:r w:rsidRPr="008A1F48">
              <w:rPr>
                <w:rFonts w:ascii="Palatino Linotype" w:hAnsi="Palatino Linotype"/>
                <w:sz w:val="22"/>
                <w:szCs w:val="22"/>
              </w:rPr>
              <w:t>etropolitano Sergio Garnica.</w:t>
            </w:r>
          </w:p>
        </w:tc>
        <w:tc>
          <w:tcPr>
            <w:tcW w:w="1842" w:type="dxa"/>
            <w:vMerge/>
          </w:tcPr>
          <w:p w14:paraId="38C7A7A7" w14:textId="77777777" w:rsidR="006C11AC" w:rsidRPr="008A1F48" w:rsidRDefault="006C11AC" w:rsidP="000F6C90">
            <w:pPr>
              <w:spacing w:line="276" w:lineRule="auto"/>
              <w:jc w:val="center"/>
              <w:rPr>
                <w:rFonts w:ascii="Palatino Linotype" w:hAnsi="Palatino Linotype"/>
                <w:sz w:val="22"/>
                <w:szCs w:val="22"/>
              </w:rPr>
            </w:pPr>
          </w:p>
        </w:tc>
      </w:tr>
    </w:tbl>
    <w:p w14:paraId="52E4CBA7" w14:textId="77777777" w:rsidR="000F6C90" w:rsidRPr="008A1F48" w:rsidRDefault="000F6C90" w:rsidP="000F6C90">
      <w:pPr>
        <w:spacing w:line="276" w:lineRule="auto"/>
        <w:jc w:val="both"/>
        <w:rPr>
          <w:rFonts w:ascii="Palatino Linotype" w:hAnsi="Palatino Linotype"/>
          <w:sz w:val="22"/>
          <w:szCs w:val="22"/>
        </w:rPr>
      </w:pPr>
    </w:p>
    <w:p w14:paraId="71F2EE53" w14:textId="4C352610"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Consecuentemente, el </w:t>
      </w:r>
      <w:r w:rsidR="0070283B" w:rsidRPr="008A1F48">
        <w:rPr>
          <w:rFonts w:ascii="Palatino Linotype" w:hAnsi="Palatino Linotype"/>
          <w:color w:val="000000" w:themeColor="text1"/>
          <w:sz w:val="22"/>
          <w:szCs w:val="22"/>
        </w:rPr>
        <w:t>8</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mayo de 2019, la Comisión de Uso de Suelo emitió informe favorable para </w:t>
      </w:r>
      <w:r w:rsidR="0070283B" w:rsidRPr="008A1F48">
        <w:rPr>
          <w:rFonts w:ascii="Palatino Linotype" w:hAnsi="Palatino Linotype"/>
          <w:sz w:val="22"/>
          <w:szCs w:val="22"/>
        </w:rPr>
        <w:t xml:space="preserve">que el Concejo Metropolitano </w:t>
      </w:r>
      <w:r w:rsidRPr="008A1F48">
        <w:rPr>
          <w:rFonts w:ascii="Palatino Linotype" w:hAnsi="Palatino Linotype"/>
          <w:sz w:val="22"/>
          <w:szCs w:val="22"/>
        </w:rPr>
        <w:t>cono</w:t>
      </w:r>
      <w:r w:rsidR="0070283B" w:rsidRPr="008A1F48">
        <w:rPr>
          <w:rFonts w:ascii="Palatino Linotype" w:hAnsi="Palatino Linotype"/>
          <w:sz w:val="22"/>
          <w:szCs w:val="22"/>
        </w:rPr>
        <w:t>zca</w:t>
      </w:r>
      <w:r w:rsidRPr="008A1F48">
        <w:rPr>
          <w:rFonts w:ascii="Palatino Linotype" w:hAnsi="Palatino Linotype"/>
          <w:sz w:val="22"/>
          <w:szCs w:val="22"/>
        </w:rPr>
        <w:t xml:space="preserve"> en Segundo Debate el proyecto de ordenanza en mención, incorporando la Matriz de Cambios 2019 con ciento die</w:t>
      </w:r>
      <w:r w:rsidR="00A16F55" w:rsidRPr="008A1F48">
        <w:rPr>
          <w:rFonts w:ascii="Palatino Linotype" w:hAnsi="Palatino Linotype"/>
          <w:sz w:val="22"/>
          <w:szCs w:val="22"/>
        </w:rPr>
        <w:t>ci</w:t>
      </w:r>
      <w:r w:rsidRPr="008A1F48">
        <w:rPr>
          <w:rFonts w:ascii="Palatino Linotype" w:hAnsi="Palatino Linotype"/>
          <w:sz w:val="22"/>
          <w:szCs w:val="22"/>
        </w:rPr>
        <w:t>nueve (119) polígonos, de los cuales, los 10 polígonos incorporados en la sesión extraordinaria de la Comisión de Uso de Suelo del 08 de mayo de 2019, quedan a consideración y ratificación por parte del Concejo Metropolitano para ser incluidos en la Matriz de Cambios 2019.</w:t>
      </w:r>
    </w:p>
    <w:p w14:paraId="0FADDC2B" w14:textId="77777777" w:rsidR="00FC0AC2" w:rsidRPr="008A1F48" w:rsidRDefault="00FC0AC2" w:rsidP="00FC0AC2">
      <w:pPr>
        <w:spacing w:line="276" w:lineRule="auto"/>
        <w:jc w:val="both"/>
        <w:rPr>
          <w:rFonts w:ascii="Palatino Linotype" w:hAnsi="Palatino Linotype"/>
          <w:sz w:val="22"/>
          <w:szCs w:val="22"/>
        </w:rPr>
      </w:pPr>
    </w:p>
    <w:p w14:paraId="1BE41465" w14:textId="699D6ADA"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 xml:space="preserve">El 16 de mayo de 2019 se llevó a cabo la </w:t>
      </w:r>
      <w:r w:rsidR="0042745E">
        <w:rPr>
          <w:rFonts w:ascii="Palatino Linotype" w:hAnsi="Palatino Linotype"/>
          <w:sz w:val="22"/>
          <w:szCs w:val="22"/>
        </w:rPr>
        <w:t>s</w:t>
      </w:r>
      <w:r w:rsidRPr="008A1F48">
        <w:rPr>
          <w:rFonts w:ascii="Palatino Linotype" w:hAnsi="Palatino Linotype"/>
          <w:sz w:val="22"/>
          <w:szCs w:val="22"/>
        </w:rPr>
        <w:t xml:space="preserve">esión </w:t>
      </w:r>
      <w:r w:rsidR="0042745E">
        <w:rPr>
          <w:rFonts w:ascii="Palatino Linotype" w:hAnsi="Palatino Linotype"/>
          <w:sz w:val="22"/>
          <w:szCs w:val="22"/>
        </w:rPr>
        <w:t>i</w:t>
      </w:r>
      <w:r w:rsidRPr="008A1F48">
        <w:rPr>
          <w:rFonts w:ascii="Palatino Linotype" w:hAnsi="Palatino Linotype"/>
          <w:sz w:val="22"/>
          <w:szCs w:val="22"/>
        </w:rPr>
        <w:t xml:space="preserve">naugural en la que se posesionaron los nuevos miembros del Concejo Metropolitano de Quito y se conformaron las comisiones de acuerdo al ordenamiento jurídico vigente. </w:t>
      </w:r>
    </w:p>
    <w:p w14:paraId="17EF3811" w14:textId="77777777" w:rsidR="00FC0AC2" w:rsidRPr="008A1F48" w:rsidRDefault="00FC0AC2" w:rsidP="00FC0AC2">
      <w:pPr>
        <w:spacing w:line="276" w:lineRule="auto"/>
        <w:jc w:val="both"/>
        <w:rPr>
          <w:rFonts w:ascii="Palatino Linotype" w:hAnsi="Palatino Linotype"/>
          <w:sz w:val="22"/>
          <w:szCs w:val="22"/>
        </w:rPr>
      </w:pPr>
    </w:p>
    <w:p w14:paraId="4F46A1B1" w14:textId="76AE303F"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Para continuar con el tratamiento de este proyecto, el Alcalde del Distrito Metropolitano de Quito convocó a todos los miembros del Concejo Metropolitano</w:t>
      </w:r>
      <w:r w:rsidR="00D43734" w:rsidRPr="008A1F48">
        <w:rPr>
          <w:rFonts w:ascii="Palatino Linotype" w:hAnsi="Palatino Linotype"/>
          <w:sz w:val="22"/>
          <w:szCs w:val="22"/>
        </w:rPr>
        <w:t>,</w:t>
      </w:r>
      <w:r w:rsidRPr="008A1F48">
        <w:rPr>
          <w:rFonts w:ascii="Palatino Linotype" w:hAnsi="Palatino Linotype"/>
          <w:sz w:val="22"/>
          <w:szCs w:val="22"/>
        </w:rPr>
        <w:t xml:space="preserve"> a dos mesas de trabajo</w:t>
      </w:r>
      <w:r w:rsidR="00A16F55" w:rsidRPr="008A1F48">
        <w:rPr>
          <w:rFonts w:ascii="Palatino Linotype" w:hAnsi="Palatino Linotype"/>
          <w:sz w:val="22"/>
          <w:szCs w:val="22"/>
        </w:rPr>
        <w:t xml:space="preserve">. La primera </w:t>
      </w:r>
      <w:r w:rsidR="001E4D5C" w:rsidRPr="008A1F48">
        <w:rPr>
          <w:rFonts w:ascii="Palatino Linotype" w:hAnsi="Palatino Linotype"/>
          <w:sz w:val="22"/>
          <w:szCs w:val="22"/>
        </w:rPr>
        <w:t>se realizó el</w:t>
      </w:r>
      <w:r w:rsidRPr="008A1F48">
        <w:rPr>
          <w:rFonts w:ascii="Palatino Linotype" w:hAnsi="Palatino Linotype"/>
          <w:sz w:val="22"/>
          <w:szCs w:val="22"/>
        </w:rPr>
        <w:t xml:space="preserve"> </w:t>
      </w:r>
      <w:r w:rsidR="005E639B" w:rsidRPr="008A1F48">
        <w:rPr>
          <w:rFonts w:ascii="Palatino Linotype" w:hAnsi="Palatino Linotype"/>
          <w:sz w:val="22"/>
          <w:szCs w:val="22"/>
        </w:rPr>
        <w:t>martes 13</w:t>
      </w:r>
      <w:r w:rsidRPr="008A1F48">
        <w:rPr>
          <w:rFonts w:ascii="Palatino Linotype" w:hAnsi="Palatino Linotype"/>
          <w:sz w:val="22"/>
          <w:szCs w:val="22"/>
        </w:rPr>
        <w:t xml:space="preserve"> de agosto de 2019 </w:t>
      </w:r>
      <w:r w:rsidR="001E4D5C" w:rsidRPr="008A1F48">
        <w:rPr>
          <w:rFonts w:ascii="Palatino Linotype" w:hAnsi="Palatino Linotype"/>
          <w:sz w:val="22"/>
          <w:szCs w:val="22"/>
        </w:rPr>
        <w:t>en la cual el Arq. Vladimir Tap</w:t>
      </w:r>
      <w:r w:rsidR="00141E7F" w:rsidRPr="008A1F48">
        <w:rPr>
          <w:rFonts w:ascii="Palatino Linotype" w:hAnsi="Palatino Linotype"/>
          <w:sz w:val="22"/>
          <w:szCs w:val="22"/>
        </w:rPr>
        <w:t>i</w:t>
      </w:r>
      <w:r w:rsidR="001E4D5C" w:rsidRPr="008A1F48">
        <w:rPr>
          <w:rFonts w:ascii="Palatino Linotype" w:hAnsi="Palatino Linotype"/>
          <w:sz w:val="22"/>
          <w:szCs w:val="22"/>
        </w:rPr>
        <w:t xml:space="preserve">a, Director Metropolitano de Políticas de Planeamiento del Suelo de </w:t>
      </w:r>
      <w:r w:rsidRPr="008A1F48">
        <w:rPr>
          <w:rFonts w:ascii="Palatino Linotype" w:hAnsi="Palatino Linotype"/>
          <w:sz w:val="22"/>
          <w:szCs w:val="22"/>
        </w:rPr>
        <w:t>la Secretaría de Territorio, Hábitat y Vivienda</w:t>
      </w:r>
      <w:r w:rsidR="0036091A" w:rsidRPr="008A1F48">
        <w:rPr>
          <w:rFonts w:ascii="Palatino Linotype" w:hAnsi="Palatino Linotype"/>
          <w:sz w:val="22"/>
          <w:szCs w:val="22"/>
        </w:rPr>
        <w:t>,</w:t>
      </w:r>
      <w:r w:rsidRPr="008A1F48">
        <w:rPr>
          <w:rFonts w:ascii="Palatino Linotype" w:hAnsi="Palatino Linotype"/>
          <w:sz w:val="22"/>
          <w:szCs w:val="22"/>
        </w:rPr>
        <w:t xml:space="preserve"> presentó técnicamente la cronología de todo el proceso y la conformación de la Matriz de Cambios 2019</w:t>
      </w:r>
      <w:r w:rsidR="0036091A" w:rsidRPr="008A1F48">
        <w:rPr>
          <w:rFonts w:ascii="Palatino Linotype" w:hAnsi="Palatino Linotype"/>
          <w:sz w:val="22"/>
          <w:szCs w:val="22"/>
        </w:rPr>
        <w:t xml:space="preserve">. Asimismo, </w:t>
      </w:r>
      <w:r w:rsidR="001E4D5C" w:rsidRPr="008A1F48">
        <w:rPr>
          <w:rFonts w:ascii="Palatino Linotype" w:hAnsi="Palatino Linotype"/>
          <w:sz w:val="22"/>
          <w:szCs w:val="22"/>
        </w:rPr>
        <w:t xml:space="preserve">se conocieron a detalle </w:t>
      </w:r>
      <w:r w:rsidR="0036091A" w:rsidRPr="008A1F48">
        <w:rPr>
          <w:rFonts w:ascii="Palatino Linotype" w:hAnsi="Palatino Linotype"/>
          <w:sz w:val="22"/>
          <w:szCs w:val="22"/>
        </w:rPr>
        <w:t xml:space="preserve">los </w:t>
      </w:r>
      <w:r w:rsidR="001E4D5C" w:rsidRPr="008A1F48">
        <w:rPr>
          <w:rFonts w:ascii="Palatino Linotype" w:hAnsi="Palatino Linotype"/>
          <w:sz w:val="22"/>
          <w:szCs w:val="22"/>
        </w:rPr>
        <w:t xml:space="preserve">cinco primeros casos, </w:t>
      </w:r>
      <w:r w:rsidR="0036091A" w:rsidRPr="008A1F48">
        <w:rPr>
          <w:rFonts w:ascii="Palatino Linotype" w:hAnsi="Palatino Linotype"/>
          <w:sz w:val="22"/>
          <w:szCs w:val="22"/>
        </w:rPr>
        <w:t xml:space="preserve">perteneciente a los diez casos adicionales que no forman parte de los 354 casos que no se registraron en la Matriz de </w:t>
      </w:r>
      <w:r w:rsidR="0042745E">
        <w:rPr>
          <w:rFonts w:ascii="Palatino Linotype" w:hAnsi="Palatino Linotype"/>
          <w:sz w:val="22"/>
          <w:szCs w:val="22"/>
        </w:rPr>
        <w:t>C</w:t>
      </w:r>
      <w:r w:rsidR="0036091A" w:rsidRPr="008A1F48">
        <w:rPr>
          <w:rFonts w:ascii="Palatino Linotype" w:hAnsi="Palatino Linotype"/>
          <w:sz w:val="22"/>
          <w:szCs w:val="22"/>
        </w:rPr>
        <w:t xml:space="preserve">ambios 2016 y que fueron incorporados en la Matriz de Cambios 2019, </w:t>
      </w:r>
      <w:r w:rsidR="001E4D5C" w:rsidRPr="008A1F48">
        <w:rPr>
          <w:rFonts w:ascii="Palatino Linotype" w:hAnsi="Palatino Linotype"/>
          <w:sz w:val="22"/>
          <w:szCs w:val="22"/>
        </w:rPr>
        <w:t xml:space="preserve">los cuales son: Familia Arroyo Acosta, Fábrica </w:t>
      </w:r>
      <w:proofErr w:type="spellStart"/>
      <w:r w:rsidR="001E4D5C" w:rsidRPr="008A1F48">
        <w:rPr>
          <w:rFonts w:ascii="Palatino Linotype" w:hAnsi="Palatino Linotype"/>
          <w:sz w:val="22"/>
          <w:szCs w:val="22"/>
        </w:rPr>
        <w:t>Zaimella</w:t>
      </w:r>
      <w:proofErr w:type="spellEnd"/>
      <w:r w:rsidR="001E4D5C" w:rsidRPr="008A1F48">
        <w:rPr>
          <w:rFonts w:ascii="Palatino Linotype" w:hAnsi="Palatino Linotype"/>
          <w:sz w:val="22"/>
          <w:szCs w:val="22"/>
        </w:rPr>
        <w:t>, Avenida Interoceánica, Convenio Ruta Viva, Hacienda Nápoles</w:t>
      </w:r>
    </w:p>
    <w:p w14:paraId="63B5E202" w14:textId="77777777" w:rsidR="00FC0AC2" w:rsidRPr="008A1F48" w:rsidRDefault="00FC0AC2" w:rsidP="00FC0AC2">
      <w:pPr>
        <w:spacing w:line="276" w:lineRule="auto"/>
        <w:jc w:val="both"/>
        <w:rPr>
          <w:rFonts w:ascii="Palatino Linotype" w:hAnsi="Palatino Linotype"/>
          <w:sz w:val="22"/>
          <w:szCs w:val="22"/>
        </w:rPr>
      </w:pPr>
    </w:p>
    <w:p w14:paraId="53AC5758" w14:textId="60B22FC5"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Mediante oficio No. STHV-2019-0058-O del 09 de septiembre de 2019, el Arq. Rafael Carrasco, en su calidad de Secretario de Territorio, Hábitat y Vivienda</w:t>
      </w:r>
      <w:r w:rsidR="0036091A" w:rsidRPr="008A1F48">
        <w:rPr>
          <w:rFonts w:ascii="Palatino Linotype" w:hAnsi="Palatino Linotype"/>
          <w:sz w:val="22"/>
          <w:szCs w:val="22"/>
        </w:rPr>
        <w:t>,</w:t>
      </w:r>
      <w:r w:rsidRPr="008A1F48">
        <w:rPr>
          <w:rFonts w:ascii="Palatino Linotype" w:hAnsi="Palatino Linotype"/>
          <w:sz w:val="22"/>
          <w:szCs w:val="22"/>
        </w:rPr>
        <w:t xml:space="preserve"> remite el informe técnico respecto a los diez (10) casos adicionales que no forman parte de los 354 casos que no se registraron en la Matriz de </w:t>
      </w:r>
      <w:r w:rsidR="0042745E">
        <w:rPr>
          <w:rFonts w:ascii="Palatino Linotype" w:hAnsi="Palatino Linotype"/>
          <w:sz w:val="22"/>
          <w:szCs w:val="22"/>
        </w:rPr>
        <w:t>C</w:t>
      </w:r>
      <w:r w:rsidRPr="008A1F48">
        <w:rPr>
          <w:rFonts w:ascii="Palatino Linotype" w:hAnsi="Palatino Linotype"/>
          <w:sz w:val="22"/>
          <w:szCs w:val="22"/>
        </w:rPr>
        <w:t>ambios 2016 y que fueron incorporados en la Matriz de Cambios 2019 del proyecto de Ordenanza Modificatoria de la Ordenanza Metropolitana No. 0127 de julio de 2016 que contiene el Plan de Uso y Ocupación de Suelo (PUOS), en virtud de la facultad edilicia contenida en el artículo IV.1.18 del Libro IV del Código Municipal para el Distrito Metropolitano de Quito. Dicho informe técnico contiene las recomendaciones y criterio técnico de la Secretaría de Territorio, Hábitat y Vivienda para cada uno de los casos en mención.</w:t>
      </w:r>
      <w:r w:rsidR="00A23EFF" w:rsidRPr="008A1F48">
        <w:rPr>
          <w:rFonts w:ascii="Palatino Linotype" w:hAnsi="Palatino Linotype"/>
          <w:sz w:val="22"/>
          <w:szCs w:val="22"/>
        </w:rPr>
        <w:t xml:space="preserve"> </w:t>
      </w:r>
    </w:p>
    <w:p w14:paraId="3C8B5ABE" w14:textId="1E26449D" w:rsidR="00FC0AC2" w:rsidRPr="008A1F48" w:rsidRDefault="00FC0AC2" w:rsidP="00FC0AC2">
      <w:pPr>
        <w:spacing w:line="276" w:lineRule="auto"/>
        <w:jc w:val="both"/>
        <w:rPr>
          <w:rFonts w:ascii="Palatino Linotype" w:hAnsi="Palatino Linotype"/>
          <w:sz w:val="22"/>
          <w:szCs w:val="22"/>
        </w:rPr>
      </w:pPr>
    </w:p>
    <w:p w14:paraId="3D22EE49" w14:textId="091BC091" w:rsidR="00A16F55" w:rsidRPr="008A1F48" w:rsidRDefault="001E4D5C" w:rsidP="00FC0AC2">
      <w:pPr>
        <w:spacing w:line="276" w:lineRule="auto"/>
        <w:jc w:val="both"/>
        <w:rPr>
          <w:rFonts w:ascii="Palatino Linotype" w:hAnsi="Palatino Linotype"/>
          <w:sz w:val="22"/>
          <w:szCs w:val="22"/>
        </w:rPr>
      </w:pPr>
      <w:r w:rsidRPr="008A1F48">
        <w:rPr>
          <w:rFonts w:ascii="Palatino Linotype" w:hAnsi="Palatino Linotype"/>
          <w:sz w:val="22"/>
          <w:szCs w:val="22"/>
        </w:rPr>
        <w:t>La segunda</w:t>
      </w:r>
      <w:r w:rsidR="00A16F55" w:rsidRPr="008A1F48">
        <w:rPr>
          <w:rFonts w:ascii="Palatino Linotype" w:hAnsi="Palatino Linotype"/>
          <w:sz w:val="22"/>
          <w:szCs w:val="22"/>
        </w:rPr>
        <w:t xml:space="preserve"> mesa de trabajo</w:t>
      </w:r>
      <w:r w:rsidRPr="008A1F48">
        <w:rPr>
          <w:rFonts w:ascii="Palatino Linotype" w:hAnsi="Palatino Linotype"/>
          <w:sz w:val="22"/>
          <w:szCs w:val="22"/>
        </w:rPr>
        <w:t xml:space="preserve"> se</w:t>
      </w:r>
      <w:r w:rsidR="00A16F55" w:rsidRPr="008A1F48">
        <w:rPr>
          <w:rFonts w:ascii="Palatino Linotype" w:hAnsi="Palatino Linotype"/>
          <w:sz w:val="22"/>
          <w:szCs w:val="22"/>
        </w:rPr>
        <w:t xml:space="preserve"> realiz</w:t>
      </w:r>
      <w:r w:rsidRPr="008A1F48">
        <w:rPr>
          <w:rFonts w:ascii="Palatino Linotype" w:hAnsi="Palatino Linotype"/>
          <w:sz w:val="22"/>
          <w:szCs w:val="22"/>
        </w:rPr>
        <w:t xml:space="preserve">ó </w:t>
      </w:r>
      <w:r w:rsidR="00A16F55" w:rsidRPr="008A1F48">
        <w:rPr>
          <w:rFonts w:ascii="Palatino Linotype" w:hAnsi="Palatino Linotype"/>
          <w:sz w:val="22"/>
          <w:szCs w:val="22"/>
        </w:rPr>
        <w:t xml:space="preserve">el </w:t>
      </w:r>
      <w:r w:rsidR="00320CE2" w:rsidRPr="008A1F48">
        <w:rPr>
          <w:rFonts w:ascii="Palatino Linotype" w:hAnsi="Palatino Linotype"/>
          <w:sz w:val="22"/>
          <w:szCs w:val="22"/>
        </w:rPr>
        <w:t>jueves</w:t>
      </w:r>
      <w:r w:rsidR="00A16F55" w:rsidRPr="008A1F48">
        <w:rPr>
          <w:rFonts w:ascii="Palatino Linotype" w:hAnsi="Palatino Linotype"/>
          <w:sz w:val="22"/>
          <w:szCs w:val="22"/>
        </w:rPr>
        <w:t xml:space="preserve"> 1</w:t>
      </w:r>
      <w:r w:rsidR="00320CE2" w:rsidRPr="008A1F48">
        <w:rPr>
          <w:rFonts w:ascii="Palatino Linotype" w:hAnsi="Palatino Linotype"/>
          <w:sz w:val="22"/>
          <w:szCs w:val="22"/>
        </w:rPr>
        <w:t>2</w:t>
      </w:r>
      <w:r w:rsidR="00A16F55" w:rsidRPr="008A1F48">
        <w:rPr>
          <w:rFonts w:ascii="Palatino Linotype" w:hAnsi="Palatino Linotype"/>
          <w:sz w:val="22"/>
          <w:szCs w:val="22"/>
        </w:rPr>
        <w:t xml:space="preserve"> de septiembre de 2019 en la </w:t>
      </w:r>
      <w:r w:rsidRPr="008A1F48">
        <w:rPr>
          <w:rFonts w:ascii="Palatino Linotype" w:hAnsi="Palatino Linotype"/>
          <w:sz w:val="22"/>
          <w:szCs w:val="22"/>
        </w:rPr>
        <w:t>que el Arq. Vladimir Tap</w:t>
      </w:r>
      <w:r w:rsidR="00141E7F" w:rsidRPr="008A1F48">
        <w:rPr>
          <w:rFonts w:ascii="Palatino Linotype" w:hAnsi="Palatino Linotype"/>
          <w:sz w:val="22"/>
          <w:szCs w:val="22"/>
        </w:rPr>
        <w:t>i</w:t>
      </w:r>
      <w:r w:rsidRPr="008A1F48">
        <w:rPr>
          <w:rFonts w:ascii="Palatino Linotype" w:hAnsi="Palatino Linotype"/>
          <w:sz w:val="22"/>
          <w:szCs w:val="22"/>
        </w:rPr>
        <w:t xml:space="preserve">a, Director Metropolitano de Políticas de Planeamiento del Suelo de </w:t>
      </w:r>
      <w:r w:rsidR="00A16F55" w:rsidRPr="008A1F48">
        <w:rPr>
          <w:rFonts w:ascii="Palatino Linotype" w:hAnsi="Palatino Linotype"/>
          <w:sz w:val="22"/>
          <w:szCs w:val="22"/>
        </w:rPr>
        <w:t>la Secretaría de Territorio, Hábitat y Vivienda</w:t>
      </w:r>
      <w:r w:rsidR="0036091A" w:rsidRPr="008A1F48">
        <w:rPr>
          <w:rFonts w:ascii="Palatino Linotype" w:hAnsi="Palatino Linotype"/>
          <w:sz w:val="22"/>
          <w:szCs w:val="22"/>
        </w:rPr>
        <w:t>,</w:t>
      </w:r>
      <w:r w:rsidR="00A16F55" w:rsidRPr="008A1F48">
        <w:rPr>
          <w:rFonts w:ascii="Palatino Linotype" w:hAnsi="Palatino Linotype"/>
          <w:sz w:val="22"/>
          <w:szCs w:val="22"/>
        </w:rPr>
        <w:t xml:space="preserve"> </w:t>
      </w:r>
      <w:r w:rsidRPr="008A1F48">
        <w:rPr>
          <w:rFonts w:ascii="Palatino Linotype" w:hAnsi="Palatino Linotype"/>
          <w:sz w:val="22"/>
          <w:szCs w:val="22"/>
        </w:rPr>
        <w:t xml:space="preserve">expuso acerca de los cinco casos restantes, </w:t>
      </w:r>
      <w:r w:rsidRPr="008A1F48">
        <w:rPr>
          <w:rFonts w:ascii="Palatino Linotype" w:hAnsi="Palatino Linotype"/>
          <w:sz w:val="22"/>
          <w:szCs w:val="22"/>
        </w:rPr>
        <w:lastRenderedPageBreak/>
        <w:t xml:space="preserve">los cuales son:  </w:t>
      </w:r>
      <w:r w:rsidR="0042745E">
        <w:rPr>
          <w:rFonts w:ascii="Palatino Linotype" w:hAnsi="Palatino Linotype"/>
          <w:sz w:val="22"/>
          <w:szCs w:val="22"/>
        </w:rPr>
        <w:t>p</w:t>
      </w:r>
      <w:r w:rsidRPr="008A1F48">
        <w:rPr>
          <w:rFonts w:ascii="Palatino Linotype" w:hAnsi="Palatino Linotype"/>
          <w:sz w:val="22"/>
          <w:szCs w:val="22"/>
        </w:rPr>
        <w:t xml:space="preserve">redios adyacentes a la industria </w:t>
      </w:r>
      <w:proofErr w:type="spellStart"/>
      <w:r w:rsidRPr="008A1F48">
        <w:rPr>
          <w:rFonts w:ascii="Palatino Linotype" w:hAnsi="Palatino Linotype"/>
          <w:sz w:val="22"/>
          <w:szCs w:val="22"/>
        </w:rPr>
        <w:t>Zaimella</w:t>
      </w:r>
      <w:proofErr w:type="spellEnd"/>
      <w:r w:rsidRPr="008A1F48">
        <w:rPr>
          <w:rFonts w:ascii="Palatino Linotype" w:hAnsi="Palatino Linotype"/>
          <w:sz w:val="22"/>
          <w:szCs w:val="22"/>
        </w:rPr>
        <w:t xml:space="preserve">, </w:t>
      </w:r>
      <w:proofErr w:type="spellStart"/>
      <w:r w:rsidRPr="008A1F48">
        <w:rPr>
          <w:rFonts w:ascii="Palatino Linotype" w:hAnsi="Palatino Linotype"/>
          <w:sz w:val="22"/>
          <w:szCs w:val="22"/>
        </w:rPr>
        <w:t>Citival</w:t>
      </w:r>
      <w:proofErr w:type="spellEnd"/>
      <w:r w:rsidRPr="008A1F48">
        <w:rPr>
          <w:rFonts w:ascii="Palatino Linotype" w:hAnsi="Palatino Linotype"/>
          <w:sz w:val="22"/>
          <w:szCs w:val="22"/>
        </w:rPr>
        <w:t xml:space="preserve">, Centro Comercial San Miguel, </w:t>
      </w:r>
      <w:r w:rsidR="0042745E">
        <w:rPr>
          <w:rFonts w:ascii="Palatino Linotype" w:hAnsi="Palatino Linotype"/>
          <w:sz w:val="22"/>
          <w:szCs w:val="22"/>
        </w:rPr>
        <w:t>p</w:t>
      </w:r>
      <w:r w:rsidRPr="008A1F48">
        <w:rPr>
          <w:rFonts w:ascii="Palatino Linotype" w:hAnsi="Palatino Linotype"/>
          <w:sz w:val="22"/>
          <w:szCs w:val="22"/>
        </w:rPr>
        <w:t xml:space="preserve">redio </w:t>
      </w:r>
      <w:r w:rsidR="0042745E">
        <w:rPr>
          <w:rFonts w:ascii="Palatino Linotype" w:hAnsi="Palatino Linotype"/>
          <w:sz w:val="22"/>
          <w:szCs w:val="22"/>
        </w:rPr>
        <w:t>s</w:t>
      </w:r>
      <w:r w:rsidRPr="008A1F48">
        <w:rPr>
          <w:rFonts w:ascii="Palatino Linotype" w:hAnsi="Palatino Linotype"/>
          <w:sz w:val="22"/>
          <w:szCs w:val="22"/>
        </w:rPr>
        <w:t xml:space="preserve">olicitado por la </w:t>
      </w:r>
      <w:r w:rsidR="0042745E">
        <w:rPr>
          <w:rFonts w:ascii="Palatino Linotype" w:hAnsi="Palatino Linotype"/>
          <w:sz w:val="22"/>
          <w:szCs w:val="22"/>
        </w:rPr>
        <w:t>c</w:t>
      </w:r>
      <w:r w:rsidRPr="008A1F48">
        <w:rPr>
          <w:rFonts w:ascii="Palatino Linotype" w:hAnsi="Palatino Linotype"/>
          <w:sz w:val="22"/>
          <w:szCs w:val="22"/>
        </w:rPr>
        <w:t xml:space="preserve">oncejala Ivonne </w:t>
      </w:r>
      <w:proofErr w:type="spellStart"/>
      <w:r w:rsidRPr="008A1F48">
        <w:rPr>
          <w:rFonts w:ascii="Palatino Linotype" w:hAnsi="Palatino Linotype"/>
          <w:sz w:val="22"/>
          <w:szCs w:val="22"/>
        </w:rPr>
        <w:t>VonLipkke</w:t>
      </w:r>
      <w:proofErr w:type="spellEnd"/>
      <w:r w:rsidRPr="008A1F48">
        <w:rPr>
          <w:rFonts w:ascii="Palatino Linotype" w:hAnsi="Palatino Linotype"/>
          <w:sz w:val="22"/>
          <w:szCs w:val="22"/>
        </w:rPr>
        <w:t xml:space="preserve">. </w:t>
      </w:r>
    </w:p>
    <w:p w14:paraId="38B72D13" w14:textId="77777777" w:rsidR="001E4D5C" w:rsidRPr="008A1F48" w:rsidRDefault="001E4D5C" w:rsidP="00FC0AC2">
      <w:pPr>
        <w:spacing w:line="276" w:lineRule="auto"/>
        <w:jc w:val="both"/>
        <w:rPr>
          <w:rFonts w:ascii="Palatino Linotype" w:hAnsi="Palatino Linotype"/>
          <w:sz w:val="22"/>
          <w:szCs w:val="22"/>
        </w:rPr>
      </w:pPr>
    </w:p>
    <w:p w14:paraId="4924FB45" w14:textId="7495354E"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Mediante oficio No. STHV-2019-</w:t>
      </w:r>
      <w:r w:rsidR="00E90B4A" w:rsidRPr="008A1F48">
        <w:rPr>
          <w:rFonts w:ascii="Palatino Linotype" w:hAnsi="Palatino Linotype"/>
          <w:color w:val="000000" w:themeColor="text1"/>
          <w:sz w:val="22"/>
          <w:szCs w:val="22"/>
        </w:rPr>
        <w:t>0123</w:t>
      </w:r>
      <w:r w:rsidRPr="008A1F48">
        <w:rPr>
          <w:rFonts w:ascii="Palatino Linotype" w:hAnsi="Palatino Linotype"/>
          <w:color w:val="000000" w:themeColor="text1"/>
          <w:sz w:val="22"/>
          <w:szCs w:val="22"/>
        </w:rPr>
        <w:t xml:space="preserve">-O </w:t>
      </w:r>
      <w:r w:rsidRPr="008A1F48">
        <w:rPr>
          <w:rFonts w:ascii="Palatino Linotype" w:hAnsi="Palatino Linotype"/>
          <w:sz w:val="22"/>
          <w:szCs w:val="22"/>
        </w:rPr>
        <w:t xml:space="preserve">del </w:t>
      </w:r>
      <w:r w:rsidRPr="008A1F48">
        <w:rPr>
          <w:rFonts w:ascii="Palatino Linotype" w:hAnsi="Palatino Linotype"/>
          <w:color w:val="000000" w:themeColor="text1"/>
          <w:sz w:val="22"/>
          <w:szCs w:val="22"/>
        </w:rPr>
        <w:t>1</w:t>
      </w:r>
      <w:r w:rsidR="00E90B4A" w:rsidRPr="008A1F48">
        <w:rPr>
          <w:rFonts w:ascii="Palatino Linotype" w:hAnsi="Palatino Linotype"/>
          <w:color w:val="000000" w:themeColor="text1"/>
          <w:sz w:val="22"/>
          <w:szCs w:val="22"/>
        </w:rPr>
        <w:t>6</w:t>
      </w:r>
      <w:r w:rsidRPr="008A1F48">
        <w:rPr>
          <w:rFonts w:ascii="Palatino Linotype" w:hAnsi="Palatino Linotype"/>
          <w:color w:val="FF0000"/>
          <w:sz w:val="22"/>
          <w:szCs w:val="22"/>
        </w:rPr>
        <w:t xml:space="preserve"> </w:t>
      </w:r>
      <w:r w:rsidRPr="008A1F48">
        <w:rPr>
          <w:rFonts w:ascii="Palatino Linotype" w:hAnsi="Palatino Linotype"/>
          <w:sz w:val="22"/>
          <w:szCs w:val="22"/>
        </w:rPr>
        <w:t>de octubre de 2019, el Arq. Rafael Carrasco, en su calidad de Secretario de Territorio, Hábitat y Vivienda</w:t>
      </w:r>
      <w:r w:rsidR="00E90B4A" w:rsidRPr="008A1F48">
        <w:rPr>
          <w:rFonts w:ascii="Palatino Linotype" w:hAnsi="Palatino Linotype"/>
          <w:sz w:val="22"/>
          <w:szCs w:val="22"/>
        </w:rPr>
        <w:t>,</w:t>
      </w:r>
      <w:r w:rsidRPr="008A1F48">
        <w:rPr>
          <w:rFonts w:ascii="Palatino Linotype" w:hAnsi="Palatino Linotype"/>
          <w:sz w:val="22"/>
          <w:szCs w:val="22"/>
        </w:rPr>
        <w:t xml:space="preserve"> remite el alcance al informe técnico </w:t>
      </w:r>
      <w:r w:rsidR="00E90B4A" w:rsidRPr="008A1F48">
        <w:rPr>
          <w:rFonts w:ascii="Palatino Linotype" w:hAnsi="Palatino Linotype"/>
          <w:sz w:val="22"/>
          <w:szCs w:val="22"/>
        </w:rPr>
        <w:t xml:space="preserve">No. STHV-2019-0058-O  del 09 de septiembre de 2019, en virtud de la disposición </w:t>
      </w:r>
      <w:r w:rsidR="00B40983" w:rsidRPr="008A1F48">
        <w:rPr>
          <w:rFonts w:ascii="Palatino Linotype" w:hAnsi="Palatino Linotype"/>
          <w:sz w:val="22"/>
          <w:szCs w:val="22"/>
        </w:rPr>
        <w:t>del cuerpo edilicio del Concejo Metropolitano de Quito en</w:t>
      </w:r>
      <w:r w:rsidR="00255595" w:rsidRPr="008A1F48">
        <w:rPr>
          <w:rFonts w:ascii="Palatino Linotype" w:hAnsi="Palatino Linotype"/>
          <w:sz w:val="22"/>
          <w:szCs w:val="22"/>
        </w:rPr>
        <w:t xml:space="preserve"> la mesa de trabajo del día </w:t>
      </w:r>
      <w:r w:rsidR="00320CE2" w:rsidRPr="008A1F48">
        <w:rPr>
          <w:rFonts w:ascii="Palatino Linotype" w:hAnsi="Palatino Linotype"/>
          <w:sz w:val="22"/>
          <w:szCs w:val="22"/>
        </w:rPr>
        <w:t>jueves 12</w:t>
      </w:r>
      <w:r w:rsidR="00255595" w:rsidRPr="008A1F48">
        <w:rPr>
          <w:rFonts w:ascii="Palatino Linotype" w:hAnsi="Palatino Linotype"/>
          <w:sz w:val="22"/>
          <w:szCs w:val="22"/>
        </w:rPr>
        <w:t xml:space="preserve"> de septiembre de 2019</w:t>
      </w:r>
      <w:r w:rsidR="00B61D0B" w:rsidRPr="008A1F48">
        <w:rPr>
          <w:rFonts w:ascii="Palatino Linotype" w:hAnsi="Palatino Linotype"/>
          <w:sz w:val="22"/>
          <w:szCs w:val="22"/>
        </w:rPr>
        <w:t xml:space="preserve"> </w:t>
      </w:r>
      <w:r w:rsidR="00E90B4A" w:rsidRPr="008A1F48">
        <w:rPr>
          <w:rFonts w:ascii="Palatino Linotype" w:hAnsi="Palatino Linotype"/>
          <w:sz w:val="22"/>
          <w:szCs w:val="22"/>
        </w:rPr>
        <w:t xml:space="preserve">de </w:t>
      </w:r>
      <w:r w:rsidR="00255595" w:rsidRPr="008A1F48">
        <w:rPr>
          <w:rFonts w:ascii="Palatino Linotype" w:hAnsi="Palatino Linotype"/>
          <w:sz w:val="22"/>
          <w:szCs w:val="22"/>
        </w:rPr>
        <w:t>elaborar el respectivo análisis económico</w:t>
      </w:r>
      <w:r w:rsidR="00B61D0B" w:rsidRPr="008A1F48">
        <w:rPr>
          <w:rFonts w:ascii="Palatino Linotype" w:hAnsi="Palatino Linotype"/>
          <w:sz w:val="22"/>
          <w:szCs w:val="22"/>
        </w:rPr>
        <w:t xml:space="preserve"> sobre los montos de concesión onerosa de derechos que cada uno de los casos mencionados debería pagar a favor del Distrito Metropolitano de Quito en compensación del cambio normativo propuesto</w:t>
      </w:r>
      <w:r w:rsidR="00255595" w:rsidRPr="008A1F48">
        <w:rPr>
          <w:rFonts w:ascii="Palatino Linotype" w:hAnsi="Palatino Linotype"/>
          <w:sz w:val="22"/>
          <w:szCs w:val="22"/>
        </w:rPr>
        <w:t xml:space="preserve">. </w:t>
      </w:r>
      <w:r w:rsidRPr="008A1F48">
        <w:rPr>
          <w:rFonts w:ascii="Palatino Linotype" w:hAnsi="Palatino Linotype"/>
          <w:sz w:val="22"/>
          <w:szCs w:val="22"/>
        </w:rPr>
        <w:t xml:space="preserve">Adicionalmente </w:t>
      </w:r>
      <w:r w:rsidR="00B40983" w:rsidRPr="008A1F48">
        <w:rPr>
          <w:rFonts w:ascii="Palatino Linotype" w:hAnsi="Palatino Linotype"/>
          <w:sz w:val="22"/>
          <w:szCs w:val="22"/>
        </w:rPr>
        <w:t>s</w:t>
      </w:r>
      <w:r w:rsidRPr="008A1F48">
        <w:rPr>
          <w:rFonts w:ascii="Palatino Linotype" w:hAnsi="Palatino Linotype"/>
          <w:sz w:val="22"/>
          <w:szCs w:val="22"/>
        </w:rPr>
        <w:t>e incorpora el criterio técnico sobre el cambio de uso de suelo del lote con número predial 3697579 de propiedad municipal, donde se proyecta implantar la Estación Intermodal Cumbayá</w:t>
      </w:r>
      <w:r w:rsidR="00D43734" w:rsidRPr="008A1F48">
        <w:rPr>
          <w:rFonts w:ascii="Palatino Linotype" w:hAnsi="Palatino Linotype"/>
          <w:sz w:val="22"/>
          <w:szCs w:val="22"/>
        </w:rPr>
        <w:t xml:space="preserve">, solicitado por el </w:t>
      </w:r>
      <w:r w:rsidR="0042745E">
        <w:rPr>
          <w:rFonts w:ascii="Palatino Linotype" w:hAnsi="Palatino Linotype"/>
          <w:sz w:val="22"/>
          <w:szCs w:val="22"/>
        </w:rPr>
        <w:t>c</w:t>
      </w:r>
      <w:r w:rsidR="00D43734" w:rsidRPr="008A1F48">
        <w:rPr>
          <w:rFonts w:ascii="Palatino Linotype" w:hAnsi="Palatino Linotype"/>
          <w:sz w:val="22"/>
          <w:szCs w:val="22"/>
        </w:rPr>
        <w:t>oncejal Eduardo del Pozo.</w:t>
      </w:r>
    </w:p>
    <w:p w14:paraId="2AC87483" w14:textId="6CD28219" w:rsidR="00FC0AC2" w:rsidRPr="008A1F48" w:rsidRDefault="00FC0AC2" w:rsidP="00FC0AC2">
      <w:pPr>
        <w:spacing w:line="276" w:lineRule="auto"/>
        <w:jc w:val="both"/>
        <w:rPr>
          <w:rFonts w:ascii="Palatino Linotype" w:hAnsi="Palatino Linotype"/>
          <w:sz w:val="22"/>
          <w:szCs w:val="22"/>
        </w:rPr>
      </w:pPr>
    </w:p>
    <w:p w14:paraId="19C0C689" w14:textId="1B2AEAA6" w:rsidR="00FC0AC2" w:rsidRPr="008A1F48" w:rsidRDefault="00A60DA7" w:rsidP="0036091A">
      <w:pPr>
        <w:shd w:val="clear" w:color="auto" w:fill="FFFFFF" w:themeFill="background1"/>
        <w:spacing w:after="120" w:line="276" w:lineRule="auto"/>
        <w:jc w:val="both"/>
        <w:outlineLvl w:val="0"/>
        <w:rPr>
          <w:rFonts w:ascii="Palatino Linotype" w:eastAsia="Times New Roman" w:hAnsi="Palatino Linotype" w:cs="Times New Roman"/>
          <w:sz w:val="22"/>
          <w:szCs w:val="22"/>
          <w:lang w:val="es-ES"/>
        </w:rPr>
      </w:pPr>
      <w:r w:rsidRPr="008A1F48">
        <w:rPr>
          <w:rFonts w:ascii="Palatino Linotype" w:hAnsi="Palatino Linotype" w:cs="Arial"/>
          <w:sz w:val="22"/>
          <w:szCs w:val="22"/>
        </w:rPr>
        <w:t>M</w:t>
      </w:r>
      <w:proofErr w:type="spellStart"/>
      <w:r w:rsidRPr="008A1F48">
        <w:rPr>
          <w:rFonts w:ascii="Palatino Linotype" w:eastAsia="Times New Roman" w:hAnsi="Palatino Linotype" w:cs="Times New Roman"/>
          <w:sz w:val="22"/>
          <w:szCs w:val="22"/>
          <w:lang w:val="es-ES"/>
        </w:rPr>
        <w:t>ediante</w:t>
      </w:r>
      <w:proofErr w:type="spellEnd"/>
      <w:r w:rsidRPr="008A1F48">
        <w:rPr>
          <w:rFonts w:ascii="Palatino Linotype" w:eastAsia="Times New Roman" w:hAnsi="Palatino Linotype" w:cs="Times New Roman"/>
          <w:sz w:val="22"/>
          <w:szCs w:val="22"/>
          <w:lang w:val="es-ES"/>
        </w:rPr>
        <w:t xml:space="preserve"> oficio No. GADDMQ-DC-RBG-2019-0038-O de 19 octubre de 2019, el Subprocurador Metropolitano, Dr. Edison Yépez Vinueza, emite criterio legal y en su parte pertinente manifiesta: </w:t>
      </w:r>
      <w:r w:rsidRPr="008A1F48">
        <w:rPr>
          <w:rFonts w:ascii="Palatino Linotype" w:eastAsia="Times New Roman" w:hAnsi="Palatino Linotype" w:cs="Times New Roman"/>
          <w:i/>
          <w:iCs/>
          <w:sz w:val="22"/>
          <w:szCs w:val="22"/>
          <w:lang w:val="es-ES"/>
        </w:rPr>
        <w:t xml:space="preserve">“(…) En conclusión, la Procuraduría Metropolitana </w:t>
      </w:r>
      <w:r w:rsidR="0036091A" w:rsidRPr="008A1F48">
        <w:rPr>
          <w:rFonts w:ascii="Palatino Linotype" w:eastAsia="Times New Roman" w:hAnsi="Palatino Linotype" w:cs="Times New Roman"/>
          <w:i/>
          <w:iCs/>
          <w:sz w:val="22"/>
          <w:szCs w:val="22"/>
          <w:lang w:val="es-ES"/>
        </w:rPr>
        <w:t xml:space="preserve">señala </w:t>
      </w:r>
      <w:r w:rsidRPr="008A1F48">
        <w:rPr>
          <w:rFonts w:ascii="Palatino Linotype" w:eastAsia="Times New Roman" w:hAnsi="Palatino Linotype" w:cs="Times New Roman"/>
          <w:i/>
          <w:iCs/>
          <w:sz w:val="22"/>
          <w:szCs w:val="22"/>
          <w:lang w:val="es-ES"/>
        </w:rPr>
        <w:t>que: (i) El Concejo Metropolitano es el órgano competente para emitir una ordenanza reformatoria a la Ordenanza Metropolitana No. 127 y su reforma contenida en ordenanza Metropolitana No. 192 y (ii) El procedimiento para la formulación de esa ordenanza se regula por las disposiciones del artículo 322 del COOTAD y la Resolución C-074 de 8 de marzo de 2016 del Concejo Metropolitano, que contiene el procedimiento legislativo. El pronunciamiento de la Procuraduría Metropolitana no se refiere al contenido y los aspectos de carácter técnico, los cuales son, en razón de la competencia, de exclusiva responsabilidad del organismo técnico que los genere”.</w:t>
      </w:r>
    </w:p>
    <w:p w14:paraId="1D51BF4E" w14:textId="2589E628" w:rsidR="006C31ED" w:rsidRPr="008A1F48" w:rsidRDefault="006C31ED" w:rsidP="006C31ED">
      <w:pPr>
        <w:shd w:val="clear" w:color="auto" w:fill="FFFFFF" w:themeFill="background1"/>
        <w:spacing w:after="120" w:line="276" w:lineRule="auto"/>
        <w:jc w:val="both"/>
        <w:outlineLvl w:val="0"/>
        <w:rPr>
          <w:rFonts w:ascii="Palatino Linotype" w:eastAsia="Times New Roman" w:hAnsi="Palatino Linotype" w:cs="Times New Roman"/>
          <w:sz w:val="22"/>
          <w:szCs w:val="22"/>
          <w:lang w:val="es-ES"/>
        </w:rPr>
      </w:pPr>
      <w:r w:rsidRPr="008A1F48">
        <w:rPr>
          <w:rFonts w:ascii="Palatino Linotype" w:hAnsi="Palatino Linotype" w:cs="Arial"/>
          <w:sz w:val="22"/>
          <w:szCs w:val="22"/>
        </w:rPr>
        <w:t xml:space="preserve">De lo conocido en las mesas de trabajo sobre los 119 polígonos contenidos en la Matriz de </w:t>
      </w:r>
      <w:r w:rsidR="0042745E">
        <w:rPr>
          <w:rFonts w:ascii="Palatino Linotype" w:hAnsi="Palatino Linotype" w:cs="Arial"/>
          <w:sz w:val="22"/>
          <w:szCs w:val="22"/>
        </w:rPr>
        <w:t>C</w:t>
      </w:r>
      <w:r w:rsidRPr="008A1F48">
        <w:rPr>
          <w:rFonts w:ascii="Palatino Linotype" w:hAnsi="Palatino Linotype" w:cs="Arial"/>
          <w:sz w:val="22"/>
          <w:szCs w:val="22"/>
        </w:rPr>
        <w:t>ambios 2019, los cuales contienen los 100 polígonos que son parte de los 354 casos incluidos en la Matriz de Cambios 2016 y que no fueron conocidos por el Concejo Metropolitano, se concluyó que los mencionados 100 polígonos, serán analizados técnicamente por la Secretaría de Territorio, Hábitat y Vivienda y de ser pertinente serán incluidos en el Plan de Uso y Gestión del Suelo previsto para el año 2020.</w:t>
      </w:r>
    </w:p>
    <w:p w14:paraId="6424D01A" w14:textId="2B8A3F95" w:rsidR="006C31ED" w:rsidRPr="008A1F48" w:rsidRDefault="006C31ED" w:rsidP="006C31ED">
      <w:pPr>
        <w:spacing w:line="276" w:lineRule="auto"/>
        <w:jc w:val="both"/>
        <w:rPr>
          <w:rFonts w:ascii="Palatino Linotype" w:hAnsi="Palatino Linotype"/>
          <w:sz w:val="22"/>
          <w:szCs w:val="22"/>
        </w:rPr>
      </w:pPr>
      <w:r w:rsidRPr="008A1F48">
        <w:rPr>
          <w:rFonts w:ascii="Palatino Linotype" w:hAnsi="Palatino Linotype"/>
          <w:bCs/>
          <w:sz w:val="22"/>
          <w:szCs w:val="22"/>
        </w:rPr>
        <w:t>Por otro lado,</w:t>
      </w:r>
      <w:r w:rsidRPr="008A1F48">
        <w:rPr>
          <w:rFonts w:ascii="Palatino Linotype" w:hAnsi="Palatino Linotype"/>
          <w:sz w:val="22"/>
          <w:szCs w:val="22"/>
        </w:rPr>
        <w:t xml:space="preserve"> a través de los criterios y observaciones emitidas en las dos mesas de trabajo, el criterio técnico de la Secretaría de Territorio Hábitat y Vivienda, contenido en los </w:t>
      </w:r>
      <w:r w:rsidRPr="008A1F48">
        <w:rPr>
          <w:rFonts w:ascii="Palatino Linotype" w:eastAsia="Times New Roman" w:hAnsi="Palatino Linotype" w:cs="Times New Roman"/>
          <w:sz w:val="22"/>
          <w:szCs w:val="22"/>
          <w:lang w:val="es-ES"/>
        </w:rPr>
        <w:t>oficios No. STHV-2019-0058-O del 09 de septiembre de 2019 y</w:t>
      </w:r>
      <w:r w:rsidRPr="008A1F48">
        <w:rPr>
          <w:rFonts w:ascii="Palatino Linotype" w:hAnsi="Palatino Linotype"/>
          <w:sz w:val="22"/>
          <w:szCs w:val="22"/>
        </w:rPr>
        <w:t xml:space="preserve"> No. STHV-2019-</w:t>
      </w:r>
      <w:r w:rsidRPr="008A1F48">
        <w:rPr>
          <w:rFonts w:ascii="Palatino Linotype" w:hAnsi="Palatino Linotype"/>
          <w:color w:val="000000" w:themeColor="text1"/>
          <w:sz w:val="22"/>
          <w:szCs w:val="22"/>
        </w:rPr>
        <w:t xml:space="preserve">0123-O </w:t>
      </w:r>
      <w:r w:rsidRPr="008A1F48">
        <w:rPr>
          <w:rFonts w:ascii="Palatino Linotype" w:hAnsi="Palatino Linotype"/>
          <w:sz w:val="22"/>
          <w:szCs w:val="22"/>
        </w:rPr>
        <w:t xml:space="preserve">del </w:t>
      </w:r>
      <w:r w:rsidRPr="008A1F48">
        <w:rPr>
          <w:rFonts w:ascii="Palatino Linotype" w:hAnsi="Palatino Linotype"/>
          <w:color w:val="000000" w:themeColor="text1"/>
          <w:sz w:val="22"/>
          <w:szCs w:val="22"/>
        </w:rPr>
        <w:t>16</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octubre de 2019, y con el criterio legal emitido por </w:t>
      </w:r>
      <w:r w:rsidR="0042745E">
        <w:rPr>
          <w:rFonts w:ascii="Palatino Linotype" w:hAnsi="Palatino Linotype"/>
          <w:sz w:val="22"/>
          <w:szCs w:val="22"/>
        </w:rPr>
        <w:t xml:space="preserve">la </w:t>
      </w:r>
      <w:r w:rsidRPr="008A1F48">
        <w:rPr>
          <w:rFonts w:ascii="Palatino Linotype" w:hAnsi="Palatino Linotype"/>
          <w:sz w:val="22"/>
          <w:szCs w:val="22"/>
        </w:rPr>
        <w:t>Procurad</w:t>
      </w:r>
      <w:r w:rsidR="0042745E">
        <w:rPr>
          <w:rFonts w:ascii="Palatino Linotype" w:hAnsi="Palatino Linotype"/>
          <w:sz w:val="22"/>
          <w:szCs w:val="22"/>
        </w:rPr>
        <w:t xml:space="preserve">uría </w:t>
      </w:r>
      <w:r w:rsidRPr="008A1F48">
        <w:rPr>
          <w:rFonts w:ascii="Palatino Linotype" w:hAnsi="Palatino Linotype"/>
          <w:sz w:val="22"/>
          <w:szCs w:val="22"/>
        </w:rPr>
        <w:t xml:space="preserve">Metropolitana mediante </w:t>
      </w:r>
      <w:r w:rsidRPr="008A1F48">
        <w:rPr>
          <w:rFonts w:ascii="Palatino Linotype" w:eastAsia="Times New Roman" w:hAnsi="Palatino Linotype" w:cs="Times New Roman"/>
          <w:sz w:val="22"/>
          <w:szCs w:val="22"/>
          <w:lang w:val="es-ES"/>
        </w:rPr>
        <w:t>oficio No. GADDMQ-DC-RBG-2019-0038-O</w:t>
      </w:r>
      <w:r w:rsidRPr="008A1F48">
        <w:rPr>
          <w:rFonts w:ascii="Palatino Linotype" w:eastAsia="Times New Roman" w:hAnsi="Palatino Linotype" w:cs="Times New Roman"/>
          <w:color w:val="FF0000"/>
          <w:sz w:val="22"/>
          <w:szCs w:val="22"/>
          <w:lang w:val="es-ES"/>
        </w:rPr>
        <w:t xml:space="preserve"> </w:t>
      </w:r>
      <w:r w:rsidRPr="008A1F48">
        <w:rPr>
          <w:rFonts w:ascii="Palatino Linotype" w:eastAsia="Times New Roman" w:hAnsi="Palatino Linotype" w:cs="Times New Roman"/>
          <w:sz w:val="22"/>
          <w:szCs w:val="22"/>
          <w:lang w:val="es-ES"/>
        </w:rPr>
        <w:t xml:space="preserve">de 19 octubre de 2019, </w:t>
      </w:r>
      <w:r w:rsidRPr="008A1F48">
        <w:rPr>
          <w:rFonts w:ascii="Palatino Linotype" w:hAnsi="Palatino Linotype"/>
          <w:sz w:val="22"/>
          <w:szCs w:val="22"/>
        </w:rPr>
        <w:t xml:space="preserve">se concluyó que cinco son los casos que se incluirán en la presente ordenanza: caso Familia Arroyo Acosta, caso </w:t>
      </w:r>
      <w:r w:rsidRPr="008A1F48">
        <w:rPr>
          <w:rFonts w:ascii="Palatino Linotype" w:eastAsia="Times New Roman" w:hAnsi="Palatino Linotype" w:cs="Calibri"/>
          <w:sz w:val="22"/>
          <w:szCs w:val="22"/>
          <w:lang w:val="es-EC" w:eastAsia="es-ES_tradnl"/>
        </w:rPr>
        <w:t xml:space="preserve">predio Fábrica </w:t>
      </w:r>
      <w:r w:rsidR="0042745E" w:rsidRPr="008A1F48">
        <w:rPr>
          <w:rFonts w:ascii="Palatino Linotype" w:eastAsia="Times New Roman" w:hAnsi="Palatino Linotype" w:cs="Calibri"/>
          <w:sz w:val="22"/>
          <w:szCs w:val="22"/>
          <w:lang w:val="es-EC" w:eastAsia="es-ES_tradnl"/>
        </w:rPr>
        <w:t>Zaimell</w:t>
      </w:r>
      <w:r w:rsidR="0042745E">
        <w:rPr>
          <w:rFonts w:ascii="Palatino Linotype" w:eastAsia="Times New Roman" w:hAnsi="Palatino Linotype" w:cs="Calibri"/>
          <w:sz w:val="22"/>
          <w:szCs w:val="22"/>
          <w:lang w:val="es-EC" w:eastAsia="es-ES_tradnl"/>
        </w:rPr>
        <w:t>a</w:t>
      </w:r>
      <w:r w:rsidR="0042745E" w:rsidRPr="008A1F48">
        <w:rPr>
          <w:rFonts w:ascii="Palatino Linotype" w:eastAsia="Times New Roman" w:hAnsi="Palatino Linotype" w:cs="Calibri"/>
          <w:sz w:val="22"/>
          <w:szCs w:val="22"/>
          <w:lang w:val="es-EC" w:eastAsia="es-ES_tradnl"/>
        </w:rPr>
        <w:t>,</w:t>
      </w:r>
      <w:r w:rsidRPr="008A1F48">
        <w:rPr>
          <w:rFonts w:ascii="Palatino Linotype" w:eastAsia="Times New Roman" w:hAnsi="Palatino Linotype" w:cs="Calibri"/>
          <w:sz w:val="22"/>
          <w:szCs w:val="22"/>
          <w:lang w:val="es-EC" w:eastAsia="es-ES_tradnl"/>
        </w:rPr>
        <w:t xml:space="preserve"> caso predio </w:t>
      </w:r>
      <w:r w:rsidRPr="008A1F48">
        <w:rPr>
          <w:rFonts w:ascii="Palatino Linotype" w:hAnsi="Palatino Linotype"/>
          <w:sz w:val="22"/>
          <w:szCs w:val="22"/>
        </w:rPr>
        <w:t xml:space="preserve">de la </w:t>
      </w:r>
      <w:r w:rsidR="0042745E">
        <w:rPr>
          <w:rFonts w:ascii="Palatino Linotype" w:hAnsi="Palatino Linotype"/>
          <w:sz w:val="22"/>
          <w:szCs w:val="22"/>
        </w:rPr>
        <w:t>A</w:t>
      </w:r>
      <w:r w:rsidRPr="008A1F48">
        <w:rPr>
          <w:rFonts w:ascii="Palatino Linotype" w:hAnsi="Palatino Linotype"/>
          <w:sz w:val="22"/>
          <w:szCs w:val="22"/>
        </w:rPr>
        <w:t xml:space="preserve">venida </w:t>
      </w:r>
      <w:r w:rsidR="0042745E">
        <w:rPr>
          <w:rFonts w:ascii="Palatino Linotype" w:hAnsi="Palatino Linotype"/>
          <w:sz w:val="22"/>
          <w:szCs w:val="22"/>
        </w:rPr>
        <w:t>I</w:t>
      </w:r>
      <w:r w:rsidRPr="008A1F48">
        <w:rPr>
          <w:rFonts w:ascii="Palatino Linotype" w:hAnsi="Palatino Linotype"/>
          <w:sz w:val="22"/>
          <w:szCs w:val="22"/>
        </w:rPr>
        <w:t>nteroceánica</w:t>
      </w:r>
      <w:r w:rsidRPr="008A1F48">
        <w:rPr>
          <w:rFonts w:ascii="Palatino Linotype" w:eastAsia="Times New Roman" w:hAnsi="Palatino Linotype" w:cs="Calibri"/>
          <w:sz w:val="22"/>
          <w:szCs w:val="22"/>
          <w:lang w:val="es-EC" w:eastAsia="es-ES_tradnl"/>
        </w:rPr>
        <w:t>, caso del Proyecto Citival</w:t>
      </w:r>
      <w:r w:rsidRPr="008A1F48">
        <w:rPr>
          <w:rFonts w:ascii="Palatino Linotype" w:eastAsia="Times New Roman" w:hAnsi="Palatino Linotype" w:cs="Calibri"/>
          <w:b/>
          <w:bCs/>
          <w:sz w:val="22"/>
          <w:szCs w:val="22"/>
          <w:lang w:val="es-EC" w:eastAsia="es-ES_tradnl"/>
        </w:rPr>
        <w:t xml:space="preserve"> </w:t>
      </w:r>
      <w:r w:rsidRPr="008A1F48">
        <w:rPr>
          <w:rFonts w:ascii="Palatino Linotype" w:eastAsia="Times New Roman" w:hAnsi="Palatino Linotype" w:cs="Calibri"/>
          <w:bCs/>
          <w:sz w:val="22"/>
          <w:szCs w:val="22"/>
          <w:lang w:val="es-EC" w:eastAsia="es-ES_tradnl"/>
        </w:rPr>
        <w:t>y caso de la Estación Intermodal Cumbayá.</w:t>
      </w:r>
    </w:p>
    <w:p w14:paraId="63E886D0" w14:textId="77777777" w:rsidR="00141E7F" w:rsidRPr="008A1F48" w:rsidRDefault="00141E7F" w:rsidP="00FC0AC2">
      <w:pPr>
        <w:spacing w:line="276" w:lineRule="auto"/>
        <w:jc w:val="both"/>
        <w:rPr>
          <w:rFonts w:ascii="Palatino Linotype" w:hAnsi="Palatino Linotype"/>
          <w:sz w:val="22"/>
          <w:szCs w:val="22"/>
        </w:rPr>
      </w:pPr>
    </w:p>
    <w:p w14:paraId="1554686A" w14:textId="51A71BA7" w:rsidR="00141E7F" w:rsidRPr="008A1F48" w:rsidRDefault="00141E7F" w:rsidP="00141E7F">
      <w:pPr>
        <w:spacing w:line="276" w:lineRule="auto"/>
        <w:jc w:val="both"/>
        <w:rPr>
          <w:rFonts w:ascii="Palatino Linotype" w:eastAsia="Times New Roman" w:hAnsi="Palatino Linotype" w:cs="Times New Roman"/>
          <w:sz w:val="22"/>
          <w:szCs w:val="22"/>
          <w:lang w:val="es-EC" w:eastAsia="es-ES_tradnl"/>
        </w:rPr>
      </w:pPr>
      <w:r w:rsidRPr="008A1F48">
        <w:rPr>
          <w:rFonts w:ascii="Palatino Linotype" w:hAnsi="Palatino Linotype"/>
          <w:sz w:val="22"/>
          <w:szCs w:val="22"/>
        </w:rPr>
        <w:lastRenderedPageBreak/>
        <w:t>En el mismo sentido, el día 25 de octubre de 2019</w:t>
      </w:r>
      <w:r w:rsidR="0042745E">
        <w:rPr>
          <w:rFonts w:ascii="Palatino Linotype" w:hAnsi="Palatino Linotype"/>
          <w:sz w:val="22"/>
          <w:szCs w:val="22"/>
        </w:rPr>
        <w:t>,</w:t>
      </w:r>
      <w:r w:rsidRPr="008A1F48">
        <w:rPr>
          <w:rFonts w:ascii="Palatino Linotype" w:hAnsi="Palatino Linotype"/>
          <w:sz w:val="22"/>
          <w:szCs w:val="22"/>
        </w:rPr>
        <w:t xml:space="preserve">  tuvo lugar una reunión  entre un delegado de la  Secretaría de Territorio Hábitat y Vivienda y  el  Sr. Ramiro Galarza, Gerente General de la compañía </w:t>
      </w:r>
      <w:proofErr w:type="spellStart"/>
      <w:r w:rsidRPr="008A1F48">
        <w:rPr>
          <w:rFonts w:ascii="Palatino Linotype" w:hAnsi="Palatino Linotype"/>
          <w:sz w:val="22"/>
          <w:szCs w:val="22"/>
        </w:rPr>
        <w:t>Consermin</w:t>
      </w:r>
      <w:proofErr w:type="spellEnd"/>
      <w:r w:rsidRPr="008A1F48">
        <w:rPr>
          <w:rFonts w:ascii="Palatino Linotype" w:hAnsi="Palatino Linotype"/>
          <w:sz w:val="22"/>
          <w:szCs w:val="22"/>
        </w:rPr>
        <w:t xml:space="preserve"> S.A., para tratar el caso del predio del convenio de la Ruta Viva, denominado “</w:t>
      </w:r>
      <w:r w:rsidRPr="008A1F48">
        <w:rPr>
          <w:rFonts w:ascii="Palatino Linotype" w:eastAsia="Times New Roman" w:hAnsi="Palatino Linotype" w:cs="Times New Roman"/>
          <w:i/>
          <w:iCs/>
          <w:sz w:val="22"/>
          <w:szCs w:val="22"/>
          <w:lang w:val="es-EC" w:eastAsia="es-ES_tradnl"/>
        </w:rPr>
        <w:t>c</w:t>
      </w:r>
      <w:r w:rsidRPr="00141E7F">
        <w:rPr>
          <w:rFonts w:ascii="Palatino Linotype" w:eastAsia="Times New Roman" w:hAnsi="Palatino Linotype" w:cs="Times New Roman"/>
          <w:i/>
          <w:iCs/>
          <w:sz w:val="22"/>
          <w:szCs w:val="22"/>
          <w:lang w:val="es-EC" w:eastAsia="es-ES_tradnl"/>
        </w:rPr>
        <w:t>onvenio de Ocupación del Predio No. 1355039 de Propiedad de la Compañía Construcciones y Servicios de Minería Consermin S.A.</w:t>
      </w:r>
      <w:r w:rsidRPr="008A1F48">
        <w:rPr>
          <w:rFonts w:ascii="Palatino Linotype" w:eastAsia="Times New Roman" w:hAnsi="Palatino Linotype" w:cs="Times New Roman"/>
          <w:i/>
          <w:iCs/>
          <w:sz w:val="22"/>
          <w:szCs w:val="22"/>
          <w:lang w:val="es-EC" w:eastAsia="es-ES_tradnl"/>
        </w:rPr>
        <w:t>”.</w:t>
      </w:r>
      <w:r w:rsidRPr="008A1F48">
        <w:rPr>
          <w:rFonts w:ascii="Palatino Linotype" w:eastAsia="Times New Roman" w:hAnsi="Palatino Linotype" w:cs="Times New Roman"/>
          <w:sz w:val="22"/>
          <w:szCs w:val="22"/>
          <w:lang w:val="es-EC" w:eastAsia="es-ES_tradnl"/>
        </w:rPr>
        <w:t xml:space="preserve"> En dicha reunión </w:t>
      </w:r>
      <w:r w:rsidRPr="008A1F48">
        <w:rPr>
          <w:rFonts w:ascii="Palatino Linotype" w:hAnsi="Palatino Linotype"/>
          <w:sz w:val="22"/>
          <w:szCs w:val="22"/>
        </w:rPr>
        <w:t xml:space="preserve"> se   explicó que si bien existe un acuerdo firmado entre el </w:t>
      </w:r>
      <w:r w:rsidRPr="00141E7F">
        <w:rPr>
          <w:rFonts w:ascii="Palatino Linotype" w:eastAsia="Times New Roman" w:hAnsi="Palatino Linotype" w:cs="Times New Roman"/>
          <w:sz w:val="22"/>
          <w:szCs w:val="22"/>
          <w:lang w:val="es-EC" w:eastAsia="es-ES_tradnl"/>
        </w:rPr>
        <w:t>Municipio del Distrito Metropolitano de Quito, por medio de</w:t>
      </w:r>
      <w:r w:rsidRPr="008A1F48">
        <w:rPr>
          <w:rFonts w:ascii="Palatino Linotype" w:eastAsia="Times New Roman" w:hAnsi="Palatino Linotype" w:cs="Times New Roman"/>
          <w:sz w:val="22"/>
          <w:szCs w:val="22"/>
          <w:lang w:val="es-EC" w:eastAsia="es-ES_tradnl"/>
        </w:rPr>
        <w:t>l</w:t>
      </w:r>
      <w:r w:rsidRPr="00141E7F">
        <w:rPr>
          <w:rFonts w:ascii="Palatino Linotype" w:eastAsia="Times New Roman" w:hAnsi="Palatino Linotype" w:cs="Times New Roman"/>
          <w:sz w:val="22"/>
          <w:szCs w:val="22"/>
          <w:lang w:val="es-EC" w:eastAsia="es-ES_tradnl"/>
        </w:rPr>
        <w:t xml:space="preserve"> Administra</w:t>
      </w:r>
      <w:r w:rsidRPr="008A1F48">
        <w:rPr>
          <w:rFonts w:ascii="Palatino Linotype" w:eastAsia="Times New Roman" w:hAnsi="Palatino Linotype" w:cs="Times New Roman"/>
          <w:sz w:val="22"/>
          <w:szCs w:val="22"/>
          <w:lang w:val="es-EC" w:eastAsia="es-ES_tradnl"/>
        </w:rPr>
        <w:t>dor</w:t>
      </w:r>
      <w:r w:rsidRPr="00141E7F">
        <w:rPr>
          <w:rFonts w:ascii="Palatino Linotype" w:eastAsia="Times New Roman" w:hAnsi="Palatino Linotype" w:cs="Times New Roman"/>
          <w:sz w:val="22"/>
          <w:szCs w:val="22"/>
          <w:lang w:val="es-EC" w:eastAsia="es-ES_tradnl"/>
        </w:rPr>
        <w:t xml:space="preserve"> General,</w:t>
      </w:r>
      <w:r w:rsidRPr="008A1F48">
        <w:rPr>
          <w:rFonts w:ascii="Palatino Linotype" w:eastAsia="Times New Roman" w:hAnsi="Palatino Linotype" w:cs="Times New Roman"/>
          <w:sz w:val="22"/>
          <w:szCs w:val="22"/>
          <w:lang w:val="es-EC" w:eastAsia="es-ES_tradnl"/>
        </w:rPr>
        <w:t xml:space="preserve"> </w:t>
      </w:r>
      <w:r w:rsidRPr="00141E7F">
        <w:rPr>
          <w:rFonts w:ascii="Palatino Linotype" w:eastAsia="Times New Roman" w:hAnsi="Palatino Linotype" w:cs="Times New Roman"/>
          <w:sz w:val="22"/>
          <w:szCs w:val="22"/>
          <w:lang w:val="es-EC" w:eastAsia="es-ES_tradnl"/>
        </w:rPr>
        <w:t>Sr. Rubén Flores Agreda, y el Sr. Édgar Salas León, Gerente General Consermin S.A</w:t>
      </w:r>
      <w:r w:rsidR="0042745E">
        <w:rPr>
          <w:rFonts w:ascii="Palatino Linotype" w:eastAsia="Times New Roman" w:hAnsi="Palatino Linotype" w:cs="Times New Roman"/>
          <w:sz w:val="22"/>
          <w:szCs w:val="22"/>
          <w:lang w:val="es-EC" w:eastAsia="es-ES_tradnl"/>
        </w:rPr>
        <w:t>.</w:t>
      </w:r>
      <w:r w:rsidRPr="008A1F48">
        <w:rPr>
          <w:rFonts w:ascii="Palatino Linotype" w:eastAsia="Times New Roman" w:hAnsi="Palatino Linotype" w:cs="Times New Roman"/>
          <w:sz w:val="22"/>
          <w:szCs w:val="22"/>
          <w:lang w:val="es-EC" w:eastAsia="es-ES_tradnl"/>
        </w:rPr>
        <w:t xml:space="preserve"> , no es factible cambiar el </w:t>
      </w:r>
      <w:r w:rsidRPr="00141E7F">
        <w:rPr>
          <w:rFonts w:ascii="Palatino Linotype" w:eastAsia="Times New Roman" w:hAnsi="Palatino Linotype" w:cs="Times New Roman"/>
          <w:sz w:val="22"/>
          <w:szCs w:val="22"/>
          <w:lang w:val="es-EC" w:eastAsia="es-ES_tradnl"/>
        </w:rPr>
        <w:t xml:space="preserve">uso de suelo </w:t>
      </w:r>
      <w:r w:rsidRPr="008A1F48">
        <w:rPr>
          <w:rFonts w:ascii="Palatino Linotype" w:eastAsia="Times New Roman" w:hAnsi="Palatino Linotype" w:cs="Times New Roman"/>
          <w:sz w:val="22"/>
          <w:szCs w:val="22"/>
          <w:lang w:val="es-EC" w:eastAsia="es-ES_tradnl"/>
        </w:rPr>
        <w:t>a</w:t>
      </w:r>
      <w:r w:rsidRPr="00141E7F">
        <w:rPr>
          <w:rFonts w:ascii="Palatino Linotype" w:eastAsia="Times New Roman" w:hAnsi="Palatino Linotype" w:cs="Times New Roman"/>
          <w:sz w:val="22"/>
          <w:szCs w:val="22"/>
          <w:lang w:val="es-EC" w:eastAsia="es-ES_tradnl"/>
        </w:rPr>
        <w:t xml:space="preserve"> múltiple </w:t>
      </w:r>
      <w:r w:rsidRPr="008A1F48">
        <w:rPr>
          <w:rFonts w:ascii="Palatino Linotype" w:eastAsia="Times New Roman" w:hAnsi="Palatino Linotype" w:cs="Times New Roman"/>
          <w:sz w:val="22"/>
          <w:szCs w:val="22"/>
          <w:lang w:val="es-EC" w:eastAsia="es-ES_tradnl"/>
        </w:rPr>
        <w:t>dado que e</w:t>
      </w:r>
      <w:r w:rsidR="0042745E">
        <w:rPr>
          <w:rFonts w:ascii="Palatino Linotype" w:eastAsia="Times New Roman" w:hAnsi="Palatino Linotype" w:cs="Times New Roman"/>
          <w:sz w:val="22"/>
          <w:szCs w:val="22"/>
          <w:lang w:val="es-EC" w:eastAsia="es-ES_tradnl"/>
        </w:rPr>
        <w:t>l</w:t>
      </w:r>
      <w:r w:rsidRPr="008A1F48">
        <w:rPr>
          <w:rFonts w:ascii="Palatino Linotype" w:eastAsia="Times New Roman" w:hAnsi="Palatino Linotype" w:cs="Times New Roman"/>
          <w:sz w:val="22"/>
          <w:szCs w:val="22"/>
          <w:lang w:val="es-EC" w:eastAsia="es-ES_tradnl"/>
        </w:rPr>
        <w:t xml:space="preserve"> uso de suelo acordado</w:t>
      </w:r>
      <w:r w:rsidR="0042745E">
        <w:rPr>
          <w:rFonts w:ascii="Palatino Linotype" w:eastAsia="Times New Roman" w:hAnsi="Palatino Linotype" w:cs="Times New Roman"/>
          <w:sz w:val="22"/>
          <w:szCs w:val="22"/>
          <w:lang w:val="es-EC" w:eastAsia="es-ES_tradnl"/>
        </w:rPr>
        <w:t xml:space="preserve"> en el convenio suscrito </w:t>
      </w:r>
      <w:r w:rsidR="00074FFB">
        <w:rPr>
          <w:rFonts w:ascii="Palatino Linotype" w:eastAsia="Times New Roman" w:hAnsi="Palatino Linotype" w:cs="Times New Roman"/>
          <w:sz w:val="22"/>
          <w:szCs w:val="22"/>
          <w:lang w:val="es-EC" w:eastAsia="es-ES_tradnl"/>
        </w:rPr>
        <w:t>por las mencionadas partes, no</w:t>
      </w:r>
      <w:r w:rsidRPr="00141E7F">
        <w:rPr>
          <w:rFonts w:ascii="Palatino Linotype" w:eastAsia="Times New Roman" w:hAnsi="Palatino Linotype" w:cs="Times New Roman"/>
          <w:sz w:val="22"/>
          <w:szCs w:val="22"/>
          <w:lang w:val="es-EC" w:eastAsia="es-ES_tradnl"/>
        </w:rPr>
        <w:t xml:space="preserve"> se alinea a las estrategias de planificación urbana</w:t>
      </w:r>
      <w:r w:rsidR="0042745E">
        <w:rPr>
          <w:rFonts w:ascii="Palatino Linotype" w:eastAsia="Times New Roman" w:hAnsi="Palatino Linotype" w:cs="Times New Roman"/>
          <w:sz w:val="22"/>
          <w:szCs w:val="22"/>
          <w:lang w:val="es-EC" w:eastAsia="es-ES_tradnl"/>
        </w:rPr>
        <w:t xml:space="preserve"> del sector</w:t>
      </w:r>
    </w:p>
    <w:p w14:paraId="13EB1825" w14:textId="77777777" w:rsidR="00074FFB" w:rsidRDefault="00074FFB" w:rsidP="00FC0AC2">
      <w:pPr>
        <w:spacing w:line="276" w:lineRule="auto"/>
        <w:jc w:val="both"/>
        <w:rPr>
          <w:rFonts w:ascii="Palatino Linotype" w:hAnsi="Palatino Linotype"/>
          <w:sz w:val="22"/>
          <w:szCs w:val="22"/>
        </w:rPr>
      </w:pPr>
    </w:p>
    <w:p w14:paraId="1666014F" w14:textId="6C5BA884" w:rsidR="00074FFB" w:rsidRPr="00074FFB" w:rsidRDefault="00074FFB" w:rsidP="00074FFB">
      <w:pPr>
        <w:spacing w:line="276" w:lineRule="auto"/>
        <w:jc w:val="both"/>
        <w:rPr>
          <w:rFonts w:ascii="Palatino Linotype" w:hAnsi="Palatino Linotype"/>
          <w:i/>
          <w:iCs/>
          <w:sz w:val="22"/>
          <w:szCs w:val="22"/>
        </w:rPr>
      </w:pPr>
      <w:r w:rsidRPr="008A1F48">
        <w:rPr>
          <w:rFonts w:ascii="Palatino Linotype" w:hAnsi="Palatino Linotype"/>
          <w:sz w:val="22"/>
          <w:szCs w:val="22"/>
        </w:rPr>
        <w:t>Mediante oficio No. STHV-2019-</w:t>
      </w:r>
      <w:r>
        <w:rPr>
          <w:rFonts w:ascii="Palatino Linotype" w:hAnsi="Palatino Linotype"/>
          <w:color w:val="000000" w:themeColor="text1"/>
          <w:sz w:val="22"/>
          <w:szCs w:val="22"/>
        </w:rPr>
        <w:t>0144</w:t>
      </w:r>
      <w:r w:rsidRPr="008A1F48">
        <w:rPr>
          <w:rFonts w:ascii="Palatino Linotype" w:hAnsi="Palatino Linotype"/>
          <w:color w:val="000000" w:themeColor="text1"/>
          <w:sz w:val="22"/>
          <w:szCs w:val="22"/>
        </w:rPr>
        <w:t xml:space="preserve"> </w:t>
      </w:r>
      <w:r w:rsidRPr="008A1F48">
        <w:rPr>
          <w:rFonts w:ascii="Palatino Linotype" w:hAnsi="Palatino Linotype"/>
          <w:sz w:val="22"/>
          <w:szCs w:val="22"/>
        </w:rPr>
        <w:t xml:space="preserve">del </w:t>
      </w:r>
      <w:r>
        <w:rPr>
          <w:rFonts w:ascii="Palatino Linotype" w:hAnsi="Palatino Linotype"/>
          <w:color w:val="000000" w:themeColor="text1"/>
          <w:sz w:val="22"/>
          <w:szCs w:val="22"/>
        </w:rPr>
        <w:t>25</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octubre de 2019, el Arq. Rafael Carrasco, en su calidad de Secretario de Territorio, Hábitat y Vivienda, remite el </w:t>
      </w:r>
      <w:r>
        <w:rPr>
          <w:rFonts w:ascii="Palatino Linotype" w:hAnsi="Palatino Linotype"/>
          <w:sz w:val="22"/>
          <w:szCs w:val="22"/>
        </w:rPr>
        <w:t xml:space="preserve">segundo </w:t>
      </w:r>
      <w:r w:rsidRPr="008A1F48">
        <w:rPr>
          <w:rFonts w:ascii="Palatino Linotype" w:hAnsi="Palatino Linotype"/>
          <w:sz w:val="22"/>
          <w:szCs w:val="22"/>
        </w:rPr>
        <w:t xml:space="preserve">alcance al informe técnico No. </w:t>
      </w:r>
      <w:r w:rsidRPr="00074FFB">
        <w:rPr>
          <w:rFonts w:ascii="Palatino Linotype" w:hAnsi="Palatino Linotype"/>
          <w:sz w:val="22"/>
          <w:szCs w:val="22"/>
        </w:rPr>
        <w:t>STHV-2019-0058-O  del 09 de septiembre de 2019,</w:t>
      </w:r>
      <w:r>
        <w:rPr>
          <w:rFonts w:ascii="Palatino Linotype" w:hAnsi="Palatino Linotype"/>
          <w:sz w:val="22"/>
          <w:szCs w:val="22"/>
        </w:rPr>
        <w:t xml:space="preserve"> señalando en el criterio técnico: “(…) </w:t>
      </w:r>
      <w:r w:rsidRPr="00074FFB">
        <w:rPr>
          <w:rFonts w:ascii="Palatino Linotype" w:hAnsi="Palatino Linotype"/>
          <w:i/>
          <w:iCs/>
          <w:sz w:val="22"/>
          <w:szCs w:val="22"/>
        </w:rPr>
        <w:t>una vez ratificado el criterio técnico desfavorable para la asignación de uso</w:t>
      </w:r>
      <w:r>
        <w:rPr>
          <w:rFonts w:ascii="Palatino Linotype" w:hAnsi="Palatino Linotype"/>
          <w:i/>
          <w:iCs/>
          <w:sz w:val="22"/>
          <w:szCs w:val="22"/>
        </w:rPr>
        <w:t xml:space="preserve"> </w:t>
      </w:r>
      <w:r w:rsidRPr="00074FFB">
        <w:rPr>
          <w:rFonts w:ascii="Palatino Linotype" w:hAnsi="Palatino Linotype"/>
          <w:i/>
          <w:iCs/>
          <w:sz w:val="22"/>
          <w:szCs w:val="22"/>
        </w:rPr>
        <w:t>Múltiple y en atención a lo manifestado en el oficio No. STHV-2019-0058-O sobre la dinámica</w:t>
      </w:r>
      <w:r>
        <w:rPr>
          <w:rFonts w:ascii="Palatino Linotype" w:hAnsi="Palatino Linotype"/>
          <w:i/>
          <w:iCs/>
          <w:sz w:val="22"/>
          <w:szCs w:val="22"/>
        </w:rPr>
        <w:t xml:space="preserve"> </w:t>
      </w:r>
      <w:r w:rsidRPr="00074FFB">
        <w:rPr>
          <w:rFonts w:ascii="Palatino Linotype" w:hAnsi="Palatino Linotype"/>
          <w:i/>
          <w:iCs/>
          <w:sz w:val="22"/>
          <w:szCs w:val="22"/>
        </w:rPr>
        <w:t>urbana que se generará a partir de la implementación del Proyecto San Patricio, la STHV</w:t>
      </w:r>
      <w:r>
        <w:rPr>
          <w:rFonts w:ascii="Palatino Linotype" w:hAnsi="Palatino Linotype"/>
          <w:i/>
          <w:iCs/>
          <w:sz w:val="22"/>
          <w:szCs w:val="22"/>
        </w:rPr>
        <w:t xml:space="preserve"> </w:t>
      </w:r>
      <w:r w:rsidRPr="00074FFB">
        <w:rPr>
          <w:rFonts w:ascii="Palatino Linotype" w:hAnsi="Palatino Linotype"/>
          <w:i/>
          <w:iCs/>
          <w:sz w:val="22"/>
          <w:szCs w:val="22"/>
        </w:rPr>
        <w:t>recomienda que, en virtud de una justa compensación por el valor de expropiación al</w:t>
      </w:r>
      <w:r>
        <w:rPr>
          <w:rFonts w:ascii="Palatino Linotype" w:hAnsi="Palatino Linotype"/>
          <w:i/>
          <w:iCs/>
          <w:sz w:val="22"/>
          <w:szCs w:val="22"/>
        </w:rPr>
        <w:t xml:space="preserve"> </w:t>
      </w:r>
      <w:r w:rsidRPr="00074FFB">
        <w:rPr>
          <w:rFonts w:ascii="Palatino Linotype" w:hAnsi="Palatino Linotype"/>
          <w:i/>
          <w:iCs/>
          <w:sz w:val="22"/>
          <w:szCs w:val="22"/>
        </w:rPr>
        <w:t>inmueble en mención y la seguridad jurídica al usuario, el cambio normativo de</w:t>
      </w:r>
      <w:r>
        <w:rPr>
          <w:rFonts w:ascii="Palatino Linotype" w:hAnsi="Palatino Linotype"/>
          <w:i/>
          <w:iCs/>
          <w:sz w:val="22"/>
          <w:szCs w:val="22"/>
        </w:rPr>
        <w:t xml:space="preserve"> </w:t>
      </w:r>
      <w:r w:rsidRPr="00074FFB">
        <w:rPr>
          <w:rFonts w:ascii="Palatino Linotype" w:hAnsi="Palatino Linotype"/>
          <w:i/>
          <w:iCs/>
          <w:sz w:val="22"/>
          <w:szCs w:val="22"/>
        </w:rPr>
        <w:t>asignaciones de aprovechamiento urbanístico en compensación por el proceso de</w:t>
      </w:r>
      <w:r>
        <w:rPr>
          <w:rFonts w:ascii="Palatino Linotype" w:hAnsi="Palatino Linotype"/>
          <w:i/>
          <w:iCs/>
          <w:sz w:val="22"/>
          <w:szCs w:val="22"/>
        </w:rPr>
        <w:t xml:space="preserve"> </w:t>
      </w:r>
      <w:r w:rsidRPr="00074FFB">
        <w:rPr>
          <w:rFonts w:ascii="Palatino Linotype" w:hAnsi="Palatino Linotype"/>
          <w:i/>
          <w:iCs/>
          <w:sz w:val="22"/>
          <w:szCs w:val="22"/>
        </w:rPr>
        <w:t>expropiación y con el objetivo de no generar distorsiones en la planificación urbano territorial,</w:t>
      </w:r>
      <w:r>
        <w:rPr>
          <w:rFonts w:ascii="Palatino Linotype" w:hAnsi="Palatino Linotype"/>
          <w:i/>
          <w:iCs/>
          <w:sz w:val="22"/>
          <w:szCs w:val="22"/>
        </w:rPr>
        <w:t xml:space="preserve"> </w:t>
      </w:r>
      <w:r w:rsidRPr="00074FFB">
        <w:rPr>
          <w:rFonts w:ascii="Palatino Linotype" w:hAnsi="Palatino Linotype"/>
          <w:i/>
          <w:iCs/>
          <w:sz w:val="22"/>
          <w:szCs w:val="22"/>
        </w:rPr>
        <w:t>se acoja asignaciones del entorno urbano del predio, las mismas que pueden ser:</w:t>
      </w:r>
      <w:r>
        <w:rPr>
          <w:rFonts w:ascii="Palatino Linotype" w:hAnsi="Palatino Linotype"/>
          <w:i/>
          <w:iCs/>
          <w:sz w:val="22"/>
          <w:szCs w:val="22"/>
        </w:rPr>
        <w:t xml:space="preserve"> </w:t>
      </w:r>
      <w:r w:rsidRPr="00074FFB">
        <w:rPr>
          <w:rFonts w:ascii="Palatino Linotype" w:hAnsi="Palatino Linotype"/>
          <w:i/>
          <w:iCs/>
          <w:sz w:val="22"/>
          <w:szCs w:val="22"/>
        </w:rPr>
        <w:t>Clasificación: Urbano</w:t>
      </w:r>
      <w:r>
        <w:rPr>
          <w:rFonts w:ascii="Palatino Linotype" w:hAnsi="Palatino Linotype"/>
          <w:i/>
          <w:iCs/>
          <w:sz w:val="22"/>
          <w:szCs w:val="22"/>
        </w:rPr>
        <w:t xml:space="preserve"> </w:t>
      </w:r>
      <w:r w:rsidRPr="00074FFB">
        <w:rPr>
          <w:rFonts w:ascii="Palatino Linotype" w:hAnsi="Palatino Linotype"/>
          <w:i/>
          <w:iCs/>
          <w:sz w:val="22"/>
          <w:szCs w:val="22"/>
        </w:rPr>
        <w:t>Uso de Suelo: Residencial Urbano 2 (RU2)</w:t>
      </w:r>
      <w:r>
        <w:rPr>
          <w:rFonts w:ascii="Palatino Linotype" w:hAnsi="Palatino Linotype"/>
          <w:i/>
          <w:iCs/>
          <w:sz w:val="22"/>
          <w:szCs w:val="22"/>
        </w:rPr>
        <w:t xml:space="preserve"> </w:t>
      </w:r>
      <w:r w:rsidRPr="00074FFB">
        <w:rPr>
          <w:rFonts w:ascii="Palatino Linotype" w:hAnsi="Palatino Linotype"/>
          <w:i/>
          <w:iCs/>
          <w:sz w:val="22"/>
          <w:szCs w:val="22"/>
        </w:rPr>
        <w:t>Zonificación: A604-50 o A603-35</w:t>
      </w:r>
      <w:r>
        <w:rPr>
          <w:rFonts w:ascii="Palatino Linotype" w:hAnsi="Palatino Linotype"/>
          <w:i/>
          <w:iCs/>
          <w:sz w:val="22"/>
          <w:szCs w:val="22"/>
        </w:rPr>
        <w:t xml:space="preserve"> </w:t>
      </w:r>
      <w:r w:rsidRPr="00074FFB">
        <w:rPr>
          <w:rFonts w:ascii="Palatino Linotype" w:hAnsi="Palatino Linotype"/>
          <w:i/>
          <w:iCs/>
          <w:sz w:val="22"/>
          <w:szCs w:val="22"/>
        </w:rPr>
        <w:t>El cálculo de Concesión Onerosa de Derechos para el cambio propuesto es el $ 0,00 , ya que el</w:t>
      </w:r>
      <w:r>
        <w:rPr>
          <w:rFonts w:ascii="Palatino Linotype" w:hAnsi="Palatino Linotype"/>
          <w:i/>
          <w:iCs/>
          <w:sz w:val="22"/>
          <w:szCs w:val="22"/>
        </w:rPr>
        <w:t xml:space="preserve"> </w:t>
      </w:r>
      <w:r w:rsidRPr="00074FFB">
        <w:rPr>
          <w:rFonts w:ascii="Palatino Linotype" w:hAnsi="Palatino Linotype"/>
          <w:i/>
          <w:iCs/>
          <w:sz w:val="22"/>
          <w:szCs w:val="22"/>
        </w:rPr>
        <w:t>índice de revalorización de cambio de RU1 a RU2 es de 0,97.</w:t>
      </w:r>
      <w:r>
        <w:rPr>
          <w:rFonts w:ascii="Palatino Linotype" w:hAnsi="Palatino Linotype"/>
          <w:i/>
          <w:iCs/>
          <w:sz w:val="22"/>
          <w:szCs w:val="22"/>
        </w:rPr>
        <w:t xml:space="preserve"> </w:t>
      </w:r>
      <w:r w:rsidRPr="00074FFB">
        <w:rPr>
          <w:rFonts w:ascii="Palatino Linotype" w:hAnsi="Palatino Linotype"/>
          <w:i/>
          <w:iCs/>
          <w:sz w:val="22"/>
          <w:szCs w:val="22"/>
        </w:rPr>
        <w:t>Información que remito para los fines consiguientes.”</w:t>
      </w:r>
    </w:p>
    <w:p w14:paraId="0070F756" w14:textId="77777777" w:rsidR="00141E7F" w:rsidRPr="00074FFB" w:rsidRDefault="00141E7F" w:rsidP="00FC0AC2">
      <w:pPr>
        <w:spacing w:line="276" w:lineRule="auto"/>
        <w:jc w:val="both"/>
        <w:rPr>
          <w:rFonts w:ascii="Palatino Linotype" w:hAnsi="Palatino Linotype"/>
          <w:i/>
          <w:iCs/>
          <w:sz w:val="22"/>
          <w:szCs w:val="22"/>
        </w:rPr>
      </w:pPr>
    </w:p>
    <w:p w14:paraId="2E3682E5" w14:textId="1F98146A" w:rsidR="00141E7F" w:rsidRPr="00074FFB" w:rsidRDefault="00141E7F" w:rsidP="00FC0AC2">
      <w:pPr>
        <w:spacing w:line="276" w:lineRule="auto"/>
        <w:jc w:val="both"/>
        <w:rPr>
          <w:rFonts w:ascii="Palatino Linotype" w:hAnsi="Palatino Linotype"/>
          <w:i/>
          <w:iCs/>
          <w:sz w:val="22"/>
          <w:szCs w:val="22"/>
        </w:rPr>
        <w:sectPr w:rsidR="00141E7F" w:rsidRPr="00074FFB" w:rsidSect="00637949">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20" w:footer="720" w:gutter="0"/>
          <w:cols w:space="720"/>
          <w:docGrid w:linePitch="360"/>
        </w:sectPr>
      </w:pPr>
      <w:r w:rsidRPr="008A1F48">
        <w:rPr>
          <w:rFonts w:ascii="Palatino Linotype" w:hAnsi="Palatino Linotype"/>
          <w:sz w:val="22"/>
          <w:szCs w:val="22"/>
        </w:rPr>
        <w:t xml:space="preserve">Mediante oficio s/n ingresado el 25 de octubre de 2019, el  Sr. Ramiro Galarza, Gerente General de la compañía </w:t>
      </w:r>
      <w:proofErr w:type="spellStart"/>
      <w:r w:rsidRPr="008A1F48">
        <w:rPr>
          <w:rFonts w:ascii="Palatino Linotype" w:hAnsi="Palatino Linotype"/>
          <w:sz w:val="22"/>
          <w:szCs w:val="22"/>
        </w:rPr>
        <w:t>Consermin</w:t>
      </w:r>
      <w:proofErr w:type="spellEnd"/>
      <w:r w:rsidRPr="008A1F48">
        <w:rPr>
          <w:rFonts w:ascii="Palatino Linotype" w:hAnsi="Palatino Linotype"/>
          <w:sz w:val="22"/>
          <w:szCs w:val="22"/>
        </w:rPr>
        <w:t xml:space="preserve"> S.A.,  señala  en su parte  pertinente</w:t>
      </w:r>
      <w:proofErr w:type="gramStart"/>
      <w:r w:rsidRPr="008A1F48">
        <w:rPr>
          <w:rFonts w:ascii="Palatino Linotype" w:hAnsi="Palatino Linotype"/>
          <w:sz w:val="22"/>
          <w:szCs w:val="22"/>
        </w:rPr>
        <w:t>:</w:t>
      </w:r>
      <w:r w:rsidRPr="008A1F48">
        <w:rPr>
          <w:rFonts w:ascii="Palatino Linotype" w:hAnsi="Palatino Linotype"/>
          <w:i/>
          <w:iCs/>
          <w:sz w:val="22"/>
          <w:szCs w:val="22"/>
        </w:rPr>
        <w:t xml:space="preserve">  “</w:t>
      </w:r>
      <w:proofErr w:type="gramEnd"/>
      <w:r w:rsidRPr="008A1F48">
        <w:rPr>
          <w:rFonts w:ascii="Palatino Linotype" w:hAnsi="Palatino Linotype"/>
          <w:i/>
          <w:iCs/>
          <w:sz w:val="22"/>
          <w:szCs w:val="22"/>
        </w:rPr>
        <w:t xml:space="preserve">(…) Luego de reuniones mantenidas con los diferentes representantes del municipio de la Secretaría </w:t>
      </w:r>
      <w:r w:rsidR="0042745E">
        <w:rPr>
          <w:rFonts w:ascii="Palatino Linotype" w:hAnsi="Palatino Linotype"/>
          <w:i/>
          <w:iCs/>
          <w:sz w:val="22"/>
          <w:szCs w:val="22"/>
        </w:rPr>
        <w:t>D</w:t>
      </w:r>
      <w:r w:rsidRPr="008A1F48">
        <w:rPr>
          <w:rFonts w:ascii="Palatino Linotype" w:hAnsi="Palatino Linotype"/>
          <w:i/>
          <w:iCs/>
          <w:sz w:val="22"/>
          <w:szCs w:val="22"/>
        </w:rPr>
        <w:t>e Territorio hemos decidido aceptar las asignaciones de aprovechamiento urbanístico con los siguientes datos Uso de suelo urbano 2 y zonificación con A604-50. Una vez que se implemente el cambio normativo, renunciamos a cualquier tipo de indemnización o cambio futuro ya sea por la vía administrativa o legal”</w:t>
      </w:r>
    </w:p>
    <w:p w14:paraId="7C484D93" w14:textId="77777777" w:rsidR="00FC0AC2" w:rsidRPr="008A1F48" w:rsidRDefault="00FC0AC2" w:rsidP="00FC0AC2">
      <w:pPr>
        <w:spacing w:line="276" w:lineRule="auto"/>
        <w:jc w:val="center"/>
        <w:rPr>
          <w:rFonts w:ascii="Palatino Linotype" w:hAnsi="Palatino Linotype"/>
          <w:b/>
          <w:sz w:val="22"/>
          <w:szCs w:val="22"/>
        </w:rPr>
      </w:pPr>
      <w:r w:rsidRPr="008A1F48">
        <w:rPr>
          <w:rFonts w:ascii="Palatino Linotype" w:hAnsi="Palatino Linotype"/>
          <w:b/>
          <w:sz w:val="22"/>
          <w:szCs w:val="22"/>
        </w:rPr>
        <w:lastRenderedPageBreak/>
        <w:t>EL CONCEJO METROPOLITANO DE QUITO</w:t>
      </w:r>
    </w:p>
    <w:p w14:paraId="7CD4FE0E" w14:textId="77777777" w:rsidR="00FC0AC2" w:rsidRPr="008A1F48" w:rsidRDefault="00FC0AC2" w:rsidP="00FC0AC2">
      <w:pPr>
        <w:spacing w:line="276" w:lineRule="auto"/>
        <w:jc w:val="both"/>
        <w:rPr>
          <w:rFonts w:ascii="Palatino Linotype" w:hAnsi="Palatino Linotype"/>
          <w:b/>
          <w:sz w:val="22"/>
          <w:szCs w:val="22"/>
        </w:rPr>
      </w:pPr>
    </w:p>
    <w:p w14:paraId="12235075" w14:textId="77777777" w:rsidR="00FC0AC2" w:rsidRPr="008A1F48" w:rsidRDefault="00FC0AC2" w:rsidP="00FC0AC2">
      <w:pPr>
        <w:spacing w:line="276" w:lineRule="auto"/>
        <w:jc w:val="both"/>
        <w:rPr>
          <w:rFonts w:ascii="Palatino Linotype" w:hAnsi="Palatino Linotype"/>
          <w:sz w:val="22"/>
          <w:szCs w:val="22"/>
        </w:rPr>
      </w:pPr>
      <w:r w:rsidRPr="008A1F48">
        <w:rPr>
          <w:rFonts w:ascii="Palatino Linotype" w:hAnsi="Palatino Linotype"/>
          <w:sz w:val="22"/>
          <w:szCs w:val="22"/>
        </w:rPr>
        <w:t>Vistos los informes Nos. (….), emitidos por la Comisión de Uso de Suelo.</w:t>
      </w:r>
    </w:p>
    <w:p w14:paraId="6FD2453C" w14:textId="77777777" w:rsidR="00FC0AC2" w:rsidRPr="008A1F48" w:rsidRDefault="00FC0AC2" w:rsidP="00FC0AC2">
      <w:pPr>
        <w:spacing w:line="276" w:lineRule="auto"/>
        <w:jc w:val="both"/>
        <w:rPr>
          <w:rFonts w:ascii="Palatino Linotype" w:hAnsi="Palatino Linotype"/>
          <w:sz w:val="22"/>
          <w:szCs w:val="22"/>
        </w:rPr>
      </w:pPr>
    </w:p>
    <w:p w14:paraId="70B6F97E" w14:textId="77777777" w:rsidR="00FC0AC2" w:rsidRPr="008A1F48" w:rsidRDefault="00FC0AC2" w:rsidP="00FC0AC2">
      <w:pPr>
        <w:spacing w:line="276" w:lineRule="auto"/>
        <w:jc w:val="center"/>
        <w:rPr>
          <w:rFonts w:ascii="Palatino Linotype" w:hAnsi="Palatino Linotype"/>
          <w:b/>
          <w:sz w:val="22"/>
          <w:szCs w:val="22"/>
        </w:rPr>
      </w:pPr>
      <w:r w:rsidRPr="008A1F48">
        <w:rPr>
          <w:rFonts w:ascii="Palatino Linotype" w:hAnsi="Palatino Linotype"/>
          <w:b/>
          <w:sz w:val="22"/>
          <w:szCs w:val="22"/>
        </w:rPr>
        <w:t xml:space="preserve">CONSIDERANDO: </w:t>
      </w:r>
    </w:p>
    <w:p w14:paraId="368E49CA" w14:textId="77777777" w:rsidR="00FC0AC2" w:rsidRPr="008A1F48" w:rsidRDefault="00FC0AC2" w:rsidP="00FC0AC2">
      <w:pPr>
        <w:spacing w:line="276" w:lineRule="auto"/>
        <w:jc w:val="center"/>
        <w:rPr>
          <w:rFonts w:ascii="Palatino Linotype" w:hAnsi="Palatino Linotype"/>
          <w:b/>
          <w:sz w:val="22"/>
          <w:szCs w:val="22"/>
        </w:rPr>
      </w:pPr>
    </w:p>
    <w:p w14:paraId="0BB19D55"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sz w:val="22"/>
          <w:szCs w:val="22"/>
        </w:rPr>
      </w:pPr>
      <w:r w:rsidRPr="008A1F48">
        <w:rPr>
          <w:rFonts w:ascii="Palatino Linotype" w:hAnsi="Palatino Linotype" w:cs="Arial"/>
          <w:b/>
          <w:sz w:val="22"/>
          <w:szCs w:val="22"/>
        </w:rPr>
        <w:t>Que</w:t>
      </w:r>
      <w:r w:rsidRPr="008A1F48">
        <w:rPr>
          <w:rFonts w:ascii="Palatino Linotype" w:hAnsi="Palatino Linotype" w:cs="Arial"/>
          <w:sz w:val="22"/>
          <w:szCs w:val="22"/>
        </w:rPr>
        <w:t>,</w:t>
      </w:r>
      <w:r w:rsidRPr="008A1F48">
        <w:rPr>
          <w:rFonts w:ascii="Palatino Linotype" w:hAnsi="Palatino Linotype" w:cs="Arial"/>
          <w:sz w:val="22"/>
          <w:szCs w:val="22"/>
        </w:rPr>
        <w:tab/>
        <w:t>el artículo 241 de la Constitución de la República señala que “La planificación garantizará el ordenamiento territorial y será obligatoria en todos los gobiernos autónomos descentralizados”;</w:t>
      </w:r>
      <w:r w:rsidRPr="008A1F48">
        <w:rPr>
          <w:rFonts w:ascii="Palatino Linotype" w:hAnsi="Palatino Linotype" w:cs="Arial"/>
          <w:sz w:val="22"/>
          <w:szCs w:val="22"/>
        </w:rPr>
        <w:tab/>
      </w:r>
    </w:p>
    <w:p w14:paraId="37ED7C47"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sz w:val="22"/>
          <w:szCs w:val="22"/>
        </w:rPr>
      </w:pPr>
      <w:r w:rsidRPr="008A1F48">
        <w:rPr>
          <w:rFonts w:ascii="Palatino Linotype" w:hAnsi="Palatino Linotype" w:cs="Arial"/>
          <w:b/>
          <w:sz w:val="22"/>
          <w:szCs w:val="22"/>
        </w:rPr>
        <w:t>Que,</w:t>
      </w:r>
      <w:r w:rsidRPr="008A1F48">
        <w:rPr>
          <w:rFonts w:ascii="Palatino Linotype" w:hAnsi="Palatino Linotype" w:cs="Arial"/>
          <w:sz w:val="22"/>
          <w:szCs w:val="22"/>
        </w:rPr>
        <w:t xml:space="preserve"> </w:t>
      </w:r>
      <w:r w:rsidRPr="008A1F48">
        <w:rPr>
          <w:rFonts w:ascii="Palatino Linotype" w:hAnsi="Palatino Linotype" w:cs="Arial"/>
          <w:sz w:val="22"/>
          <w:szCs w:val="22"/>
        </w:rPr>
        <w:tab/>
        <w:t>los numerales 1 y 2 del artículo 264 de la Constitución de la República del Ecuador señalan como competencias exclusivas de los gobiernos municipales las siguientes:</w:t>
      </w:r>
      <w:r w:rsidRPr="008A1F48">
        <w:rPr>
          <w:rFonts w:ascii="Palatino Linotype" w:hAnsi="Palatino Linotype" w:cs="Arial"/>
          <w:i/>
          <w:sz w:val="22"/>
          <w:szCs w:val="22"/>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8A1F48">
        <w:rPr>
          <w:rFonts w:ascii="Palatino Linotype" w:hAnsi="Palatino Linotype" w:cs="Arial"/>
          <w:sz w:val="22"/>
          <w:szCs w:val="22"/>
        </w:rPr>
        <w:t>”;</w:t>
      </w:r>
    </w:p>
    <w:p w14:paraId="2CC584B0" w14:textId="47360605"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sz w:val="22"/>
          <w:szCs w:val="22"/>
        </w:rPr>
      </w:pPr>
      <w:r w:rsidRPr="008A1F48">
        <w:rPr>
          <w:rFonts w:ascii="Palatino Linotype" w:hAnsi="Palatino Linotype" w:cs="Arial"/>
          <w:b/>
          <w:sz w:val="22"/>
          <w:szCs w:val="22"/>
        </w:rPr>
        <w:t>Que,</w:t>
      </w:r>
      <w:r w:rsidRPr="008A1F48">
        <w:rPr>
          <w:rFonts w:ascii="Palatino Linotype" w:hAnsi="Palatino Linotype" w:cs="Arial"/>
          <w:sz w:val="22"/>
          <w:szCs w:val="22"/>
        </w:rPr>
        <w:t xml:space="preserve">  la Constitución de la República del Ecuador en su artículo 266, determina: </w:t>
      </w:r>
      <w:r w:rsidRPr="008A1F48">
        <w:rPr>
          <w:rFonts w:ascii="Palatino Linotype" w:hAnsi="Palatino Linotype" w:cs="Arial"/>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p>
    <w:p w14:paraId="3080260F"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sz w:val="22"/>
          <w:szCs w:val="22"/>
        </w:rPr>
      </w:pPr>
      <w:r w:rsidRPr="008A1F48">
        <w:rPr>
          <w:rFonts w:ascii="Palatino Linotype" w:hAnsi="Palatino Linotype" w:cs="Arial"/>
          <w:b/>
          <w:bCs/>
          <w:sz w:val="22"/>
          <w:szCs w:val="22"/>
        </w:rPr>
        <w:t>Que,</w:t>
      </w:r>
      <w:r w:rsidRPr="008A1F48">
        <w:rPr>
          <w:rFonts w:ascii="Palatino Linotype" w:hAnsi="Palatino Linotype" w:cs="Arial"/>
          <w:bCs/>
          <w:sz w:val="22"/>
          <w:szCs w:val="22"/>
        </w:rPr>
        <w:t xml:space="preserve"> </w:t>
      </w:r>
      <w:r w:rsidRPr="008A1F48">
        <w:rPr>
          <w:rFonts w:ascii="Palatino Linotype" w:hAnsi="Palatino Linotype" w:cs="Arial"/>
          <w:bCs/>
          <w:sz w:val="22"/>
          <w:szCs w:val="22"/>
        </w:rPr>
        <w:tab/>
        <w:t>el literal c) del artículo 84 del COOTAD, determina entre las funciones del gobierno del distrito metropolitano, la de establecer el régimen de uso del suelo y urbanístico, para lo cual debe determinar las condiciones de urbanización, parcelación, lotización, división o cualquier otra forma de fraccionamiento de conformidad con la planificación metropolitana, asegurando porcentajes para áreas verdes y comunales;</w:t>
      </w:r>
    </w:p>
    <w:p w14:paraId="3F40EA49"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sz w:val="22"/>
          <w:szCs w:val="22"/>
        </w:rPr>
      </w:pPr>
      <w:r w:rsidRPr="008A1F48">
        <w:rPr>
          <w:rFonts w:ascii="Palatino Linotype" w:hAnsi="Palatino Linotype" w:cs="Arial"/>
          <w:b/>
          <w:bCs/>
          <w:sz w:val="22"/>
          <w:szCs w:val="22"/>
        </w:rPr>
        <w:t>Que,</w:t>
      </w:r>
      <w:r w:rsidRPr="008A1F48">
        <w:rPr>
          <w:rFonts w:ascii="Palatino Linotype" w:hAnsi="Palatino Linotype" w:cs="Arial"/>
          <w:bCs/>
          <w:sz w:val="22"/>
          <w:szCs w:val="22"/>
        </w:rPr>
        <w:t xml:space="preserve"> </w:t>
      </w:r>
      <w:r w:rsidRPr="008A1F48">
        <w:rPr>
          <w:rFonts w:ascii="Palatino Linotype" w:hAnsi="Palatino Linotype" w:cs="Arial"/>
          <w:bCs/>
          <w:sz w:val="22"/>
          <w:szCs w:val="22"/>
        </w:rPr>
        <w:tab/>
        <w:t>el literal e) del artículo 84 del COOTAD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p>
    <w:p w14:paraId="3868CE62"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sz w:val="22"/>
          <w:szCs w:val="22"/>
        </w:rPr>
      </w:pPr>
    </w:p>
    <w:p w14:paraId="27C2539B" w14:textId="77777777" w:rsidR="00FC0AC2" w:rsidRPr="008A1F48" w:rsidRDefault="00FC0AC2" w:rsidP="00FC0AC2">
      <w:pPr>
        <w:ind w:left="705" w:hanging="705"/>
        <w:jc w:val="both"/>
        <w:rPr>
          <w:rFonts w:ascii="Palatino Linotype" w:hAnsi="Palatino Linotype" w:cs="Arial"/>
          <w:bCs/>
          <w:sz w:val="22"/>
          <w:szCs w:val="22"/>
        </w:rPr>
      </w:pPr>
      <w:r w:rsidRPr="008A1F48">
        <w:rPr>
          <w:rFonts w:ascii="Palatino Linotype" w:hAnsi="Palatino Linotype" w:cs="Arial"/>
          <w:b/>
          <w:bCs/>
          <w:sz w:val="22"/>
          <w:szCs w:val="22"/>
        </w:rPr>
        <w:t>Que,</w:t>
      </w:r>
      <w:r w:rsidRPr="008A1F48">
        <w:rPr>
          <w:rFonts w:ascii="Palatino Linotype" w:hAnsi="Palatino Linotype" w:cs="Arial"/>
          <w:b/>
          <w:bCs/>
          <w:sz w:val="22"/>
          <w:szCs w:val="22"/>
        </w:rPr>
        <w:tab/>
      </w:r>
      <w:r w:rsidRPr="008A1F48">
        <w:rPr>
          <w:rFonts w:ascii="Palatino Linotype" w:hAnsi="Palatino Linotype" w:cs="Arial"/>
          <w:bCs/>
          <w:sz w:val="22"/>
          <w:szCs w:val="22"/>
        </w:rPr>
        <w:t>el literal o) del artículo 84 del COOTAD en cuanto se refiere a las Funciones del gobierno del distrito autónomo metropolitano, establece la de regular, fomentar, autorizar y controlar el ejercicio de actividades económicas, empresariales o profesionales, que se desarrollen en locales ubicados en la circunscripción territorial metropolitana con el objeto de precautelar el desarrollo ordenado de las mismas;</w:t>
      </w:r>
    </w:p>
    <w:p w14:paraId="650E1827" w14:textId="77777777" w:rsidR="00FC0AC2" w:rsidRPr="008A1F48" w:rsidRDefault="00FC0AC2" w:rsidP="00FC0AC2">
      <w:pPr>
        <w:ind w:left="705" w:hanging="705"/>
        <w:jc w:val="both"/>
        <w:rPr>
          <w:rFonts w:ascii="Palatino Linotype" w:hAnsi="Palatino Linotype" w:cs="Arial"/>
          <w:bCs/>
          <w:sz w:val="22"/>
          <w:szCs w:val="22"/>
        </w:rPr>
      </w:pPr>
    </w:p>
    <w:p w14:paraId="68C18EDF"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sz w:val="22"/>
          <w:szCs w:val="22"/>
        </w:rPr>
      </w:pPr>
      <w:r w:rsidRPr="008A1F48">
        <w:rPr>
          <w:rFonts w:ascii="Palatino Linotype" w:hAnsi="Palatino Linotype" w:cs="Arial"/>
          <w:b/>
          <w:bCs/>
          <w:sz w:val="22"/>
          <w:szCs w:val="22"/>
        </w:rPr>
        <w:t>Que,</w:t>
      </w:r>
      <w:r w:rsidRPr="008A1F48">
        <w:rPr>
          <w:rFonts w:ascii="Palatino Linotype" w:hAnsi="Palatino Linotype" w:cs="Arial"/>
          <w:bCs/>
          <w:sz w:val="22"/>
          <w:szCs w:val="22"/>
        </w:rPr>
        <w:t xml:space="preserve"> </w:t>
      </w:r>
      <w:r w:rsidRPr="008A1F48">
        <w:rPr>
          <w:rFonts w:ascii="Palatino Linotype" w:hAnsi="Palatino Linotype" w:cs="Arial"/>
          <w:bCs/>
          <w:sz w:val="22"/>
          <w:szCs w:val="22"/>
        </w:rPr>
        <w:tab/>
        <w:t>el artículo 85 del COOTAD, establece que los gobiernos autónomos descentralizados de los distritos metropolitanos ejercerán las competencias que corresponden a los gobiernos cantonales y todas las asumidas de los gobiernos provinciales y regionales, sin perjuicio de las adicionales que se les asigne;</w:t>
      </w:r>
    </w:p>
    <w:p w14:paraId="6492E0C5"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sz w:val="22"/>
          <w:szCs w:val="22"/>
        </w:rPr>
      </w:pPr>
      <w:r w:rsidRPr="008A1F48">
        <w:rPr>
          <w:rFonts w:ascii="Palatino Linotype" w:hAnsi="Palatino Linotype" w:cs="Arial"/>
          <w:b/>
          <w:bCs/>
          <w:sz w:val="22"/>
          <w:szCs w:val="22"/>
        </w:rPr>
        <w:t>Que,</w:t>
      </w:r>
      <w:r w:rsidRPr="008A1F48">
        <w:rPr>
          <w:rFonts w:ascii="Palatino Linotype" w:hAnsi="Palatino Linotype" w:cs="Arial"/>
          <w:bCs/>
          <w:sz w:val="22"/>
          <w:szCs w:val="22"/>
        </w:rPr>
        <w:t xml:space="preserve"> </w:t>
      </w:r>
      <w:r w:rsidRPr="008A1F48">
        <w:rPr>
          <w:rFonts w:ascii="Palatino Linotype" w:hAnsi="Palatino Linotype" w:cs="Arial"/>
          <w:bCs/>
          <w:sz w:val="22"/>
          <w:szCs w:val="22"/>
        </w:rPr>
        <w:tab/>
        <w:t>el artículo 87 literales a) y d) del COOTAD establece como atribuciones del Concejo Metropolitano: “</w:t>
      </w:r>
      <w:r w:rsidRPr="008A1F48">
        <w:rPr>
          <w:rFonts w:ascii="Palatino Linotype" w:hAnsi="Palatino Linotype" w:cs="Arial"/>
          <w:bCs/>
          <w:i/>
          <w:sz w:val="22"/>
          <w:szCs w:val="22"/>
        </w:rPr>
        <w:t>Ejercer la facultad normativa en las materias de competencia del gobierno autónomo descentralizado metropolitano, mediante la expedición de ordenanzas metropolitanas, acuerdos y resoluciones</w:t>
      </w:r>
      <w:r w:rsidRPr="008A1F48">
        <w:rPr>
          <w:rFonts w:ascii="Palatino Linotype" w:hAnsi="Palatino Linotype" w:cs="Arial"/>
          <w:bCs/>
          <w:sz w:val="22"/>
          <w:szCs w:val="22"/>
        </w:rPr>
        <w:t>”;</w:t>
      </w:r>
    </w:p>
    <w:p w14:paraId="71C5C4A6"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i/>
          <w:sz w:val="22"/>
          <w:szCs w:val="22"/>
        </w:rPr>
      </w:pPr>
      <w:r w:rsidRPr="008A1F48">
        <w:rPr>
          <w:rFonts w:ascii="Palatino Linotype" w:hAnsi="Palatino Linotype" w:cs="Arial"/>
          <w:b/>
          <w:bCs/>
          <w:sz w:val="22"/>
          <w:szCs w:val="22"/>
        </w:rPr>
        <w:t>Que,</w:t>
      </w:r>
      <w:r w:rsidRPr="008A1F48">
        <w:rPr>
          <w:rFonts w:ascii="Palatino Linotype" w:hAnsi="Palatino Linotype" w:cs="Arial"/>
          <w:bCs/>
          <w:sz w:val="22"/>
          <w:szCs w:val="22"/>
        </w:rPr>
        <w:t xml:space="preserve"> conforme lo establece el artículo 87, literal v) del COOTAD, al Concejo Metropolitano le corresponde: </w:t>
      </w:r>
      <w:r w:rsidRPr="008A1F48">
        <w:rPr>
          <w:rFonts w:ascii="Palatino Linotype" w:hAnsi="Palatino Linotype" w:cs="Arial"/>
          <w:bCs/>
          <w:i/>
          <w:sz w:val="22"/>
          <w:szCs w:val="22"/>
        </w:rPr>
        <w:t>“…v) Regular y controlar el uso del suelo en el territorio del distrito metropolitano, de conformidad con las leyes sobre la materia, y establecer el régimen urbanístico de la tierra”;</w:t>
      </w:r>
    </w:p>
    <w:p w14:paraId="4B160166"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bCs/>
          <w:sz w:val="22"/>
          <w:szCs w:val="22"/>
        </w:rPr>
      </w:pPr>
      <w:r w:rsidRPr="008A1F48">
        <w:rPr>
          <w:rFonts w:ascii="Palatino Linotype" w:hAnsi="Palatino Linotype" w:cs="Arial"/>
          <w:b/>
          <w:color w:val="000000"/>
          <w:sz w:val="22"/>
          <w:szCs w:val="22"/>
          <w:shd w:val="clear" w:color="auto" w:fill="FFFFFF"/>
        </w:rPr>
        <w:t>Que</w:t>
      </w:r>
      <w:r w:rsidRPr="008A1F48">
        <w:rPr>
          <w:rFonts w:ascii="Palatino Linotype" w:hAnsi="Palatino Linotype" w:cs="Arial"/>
          <w:color w:val="000000"/>
          <w:sz w:val="22"/>
          <w:szCs w:val="22"/>
          <w:shd w:val="clear" w:color="auto" w:fill="FFFFFF"/>
        </w:rPr>
        <w:t xml:space="preserve">,  </w:t>
      </w:r>
      <w:r w:rsidRPr="008A1F48">
        <w:rPr>
          <w:rFonts w:ascii="Palatino Linotype" w:hAnsi="Palatino Linotype" w:cs="Arial"/>
          <w:bCs/>
          <w:sz w:val="22"/>
          <w:szCs w:val="22"/>
        </w:rPr>
        <w:t xml:space="preserve">el artículo 91 numeral 3 de la </w:t>
      </w:r>
      <w:r w:rsidRPr="008A1F48">
        <w:rPr>
          <w:rFonts w:ascii="Palatino Linotype" w:hAnsi="Palatino Linotype"/>
          <w:sz w:val="22"/>
          <w:szCs w:val="22"/>
        </w:rPr>
        <w:t>Ley Orgánica de Ordenamiento Territorial, Uso y Gestión del Suelo; señala respecto a las a</w:t>
      </w:r>
      <w:r w:rsidRPr="008A1F48">
        <w:rPr>
          <w:rFonts w:ascii="Palatino Linotype" w:hAnsi="Palatino Linotype" w:cs="Arial"/>
          <w:color w:val="000000"/>
          <w:sz w:val="22"/>
          <w:szCs w:val="22"/>
          <w:shd w:val="clear" w:color="auto" w:fill="FFFFFF"/>
        </w:rPr>
        <w:t xml:space="preserve">tribuciones y obligaciones de los Gobiernos Autónomos Descentralizados municipales y metropolitanos para el uso y la gestión del suelo: </w:t>
      </w:r>
      <w:r w:rsidRPr="008A1F48">
        <w:rPr>
          <w:rFonts w:ascii="Palatino Linotype" w:hAnsi="Palatino Linotype" w:cs="Arial"/>
          <w:i/>
          <w:color w:val="000000"/>
          <w:sz w:val="22"/>
          <w:szCs w:val="22"/>
          <w:shd w:val="clear" w:color="auto" w:fill="FFFFFF"/>
        </w:rPr>
        <w:t>“3. Clasificar el suelo en urbano y rural, y establecer las correspondientes subclasificaciones, asignar los tratamientos urbanísticos, usos y las obligaciones correspondientes, de acuerdo con lo establecido en esta Ley</w:t>
      </w:r>
      <w:r w:rsidRPr="008A1F48">
        <w:rPr>
          <w:rFonts w:ascii="Palatino Linotype" w:hAnsi="Palatino Linotype" w:cs="Arial"/>
          <w:color w:val="000000"/>
          <w:sz w:val="22"/>
          <w:szCs w:val="22"/>
          <w:shd w:val="clear" w:color="auto" w:fill="FFFFFF"/>
        </w:rPr>
        <w:t>”.</w:t>
      </w:r>
    </w:p>
    <w:p w14:paraId="264091E1" w14:textId="52B484FA"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sz w:val="22"/>
          <w:szCs w:val="22"/>
        </w:rPr>
      </w:pPr>
      <w:r w:rsidRPr="008A1F48">
        <w:rPr>
          <w:rFonts w:ascii="Palatino Linotype" w:hAnsi="Palatino Linotype" w:cs="Arial"/>
          <w:b/>
          <w:sz w:val="22"/>
          <w:szCs w:val="22"/>
        </w:rPr>
        <w:t>Que,</w:t>
      </w:r>
      <w:r w:rsidRPr="008A1F48">
        <w:rPr>
          <w:rFonts w:ascii="Palatino Linotype" w:hAnsi="Palatino Linotype" w:cs="Arial"/>
          <w:sz w:val="22"/>
          <w:szCs w:val="22"/>
        </w:rPr>
        <w:t xml:space="preserve"> </w:t>
      </w:r>
      <w:r w:rsidRPr="008A1F48">
        <w:rPr>
          <w:rFonts w:ascii="Palatino Linotype" w:hAnsi="Palatino Linotype" w:cs="Arial"/>
          <w:sz w:val="22"/>
          <w:szCs w:val="22"/>
        </w:rPr>
        <w:tab/>
        <w:t xml:space="preserve">el artículo 2 de la Ley Orgánica de Régimen para el Distrito Metropolitano de Quito establece como finalidad del Municipio: </w:t>
      </w:r>
      <w:r w:rsidRPr="008A1F48">
        <w:rPr>
          <w:rFonts w:ascii="Palatino Linotype" w:hAnsi="Palatino Linotype" w:cs="Arial"/>
          <w:i/>
          <w:sz w:val="22"/>
          <w:szCs w:val="22"/>
        </w:rPr>
        <w:t>“1. Regular el uso y la adecuad</w:t>
      </w:r>
      <w:r w:rsidR="0042745E">
        <w:rPr>
          <w:rFonts w:ascii="Palatino Linotype" w:hAnsi="Palatino Linotype" w:cs="Arial"/>
          <w:i/>
          <w:sz w:val="22"/>
          <w:szCs w:val="22"/>
        </w:rPr>
        <w:t xml:space="preserve">a </w:t>
      </w:r>
      <w:r w:rsidRPr="008A1F48">
        <w:rPr>
          <w:rFonts w:ascii="Palatino Linotype" w:hAnsi="Palatino Linotype" w:cs="Arial"/>
          <w:i/>
          <w:sz w:val="22"/>
          <w:szCs w:val="22"/>
        </w:rPr>
        <w:t>ocupación del suelo y ejercer control sobre el mismo con competencia exclusiva y privativa (…)”</w:t>
      </w:r>
      <w:r w:rsidRPr="008A1F48">
        <w:rPr>
          <w:rFonts w:ascii="Palatino Linotype" w:hAnsi="Palatino Linotype" w:cs="Arial"/>
          <w:sz w:val="22"/>
          <w:szCs w:val="22"/>
        </w:rPr>
        <w:t>;</w:t>
      </w:r>
    </w:p>
    <w:p w14:paraId="162926D4" w14:textId="77777777" w:rsidR="00FC0AC2" w:rsidRPr="008A1F48" w:rsidRDefault="00FC0AC2" w:rsidP="00FC0AC2">
      <w:pPr>
        <w:shd w:val="clear" w:color="auto" w:fill="FFFFFF" w:themeFill="background1"/>
        <w:spacing w:after="120" w:line="276" w:lineRule="auto"/>
        <w:ind w:left="705" w:hanging="705"/>
        <w:jc w:val="both"/>
        <w:rPr>
          <w:rFonts w:ascii="Palatino Linotype" w:hAnsi="Palatino Linotype" w:cs="Arial"/>
          <w:sz w:val="22"/>
          <w:szCs w:val="22"/>
        </w:rPr>
      </w:pPr>
      <w:r w:rsidRPr="008A1F48">
        <w:rPr>
          <w:rFonts w:ascii="Palatino Linotype" w:hAnsi="Palatino Linotype"/>
          <w:b/>
          <w:sz w:val="22"/>
          <w:szCs w:val="22"/>
        </w:rPr>
        <w:t>Que,</w:t>
      </w:r>
      <w:r w:rsidRPr="008A1F48">
        <w:rPr>
          <w:rFonts w:ascii="Palatino Linotype" w:hAnsi="Palatino Linotype"/>
          <w:b/>
          <w:sz w:val="22"/>
          <w:szCs w:val="22"/>
        </w:rPr>
        <w:tab/>
      </w:r>
      <w:r w:rsidRPr="008A1F48">
        <w:rPr>
          <w:rFonts w:ascii="Palatino Linotype" w:hAnsi="Palatino Linotype"/>
          <w:sz w:val="22"/>
          <w:szCs w:val="22"/>
        </w:rPr>
        <w:t>el artículo 8, numeral 1 del mismo cuerpo normativo establece que le corresponde al Concejo Metropolitano, decidir mediante ordenanza, sobre los asuntos de interés general, relativos al desarrollo integral y a la ordenación urbanística del distrito;</w:t>
      </w:r>
    </w:p>
    <w:p w14:paraId="43C34E6F" w14:textId="4AAB7B16"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w:t>
      </w:r>
      <w:r w:rsidR="0042745E">
        <w:rPr>
          <w:rFonts w:ascii="Palatino Linotype" w:hAnsi="Palatino Linotype" w:cstheme="minorHAnsi"/>
          <w:sz w:val="22"/>
          <w:szCs w:val="22"/>
          <w:lang w:eastAsia="ar-SA"/>
        </w:rPr>
        <w:t xml:space="preserve">  </w:t>
      </w:r>
      <w:r w:rsidRPr="008A1F48">
        <w:rPr>
          <w:rFonts w:ascii="Palatino Linotype" w:hAnsi="Palatino Linotype" w:cstheme="minorHAnsi"/>
          <w:sz w:val="22"/>
          <w:szCs w:val="22"/>
          <w:lang w:eastAsia="ar-SA"/>
        </w:rPr>
        <w:t xml:space="preserve">el Concejo Metropolitano de Quito mediante Ordenanza Metropolitana No. 0041, </w:t>
      </w:r>
      <w:r w:rsidR="0042745E">
        <w:rPr>
          <w:rFonts w:ascii="Palatino Linotype" w:hAnsi="Palatino Linotype" w:cstheme="minorHAnsi"/>
          <w:sz w:val="22"/>
          <w:szCs w:val="22"/>
          <w:lang w:eastAsia="ar-SA"/>
        </w:rPr>
        <w:t xml:space="preserve">  </w:t>
      </w:r>
      <w:r w:rsidRPr="008A1F48">
        <w:rPr>
          <w:rFonts w:ascii="Palatino Linotype" w:hAnsi="Palatino Linotype" w:cstheme="minorHAnsi"/>
          <w:sz w:val="22"/>
          <w:szCs w:val="22"/>
          <w:lang w:eastAsia="ar-SA"/>
        </w:rPr>
        <w:t>sancionada el 22 de febrero de 2015, aprueba el Plan Metropolitano de Desarrollo y Ordenamiento Territorial  cuyo artículo 3 contiene: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w:t>
      </w:r>
    </w:p>
    <w:p w14:paraId="36A4D3BD" w14:textId="77777777" w:rsidR="00FC0AC2" w:rsidRPr="008A1F48" w:rsidRDefault="00FC0AC2" w:rsidP="00FC0AC2">
      <w:pPr>
        <w:pStyle w:val="Textoindependiente"/>
        <w:spacing w:after="0"/>
        <w:ind w:left="425" w:hanging="425"/>
        <w:jc w:val="both"/>
        <w:rPr>
          <w:rFonts w:ascii="Palatino Linotype" w:hAnsi="Palatino Linotype" w:cstheme="minorHAnsi"/>
          <w:sz w:val="22"/>
          <w:szCs w:val="22"/>
          <w:lang w:eastAsia="ar-SA"/>
        </w:rPr>
      </w:pPr>
    </w:p>
    <w:p w14:paraId="6C5BC436"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la Ordenanza Metropolitana No, 0041, sancionada el 22 de febrero de 2015, en su disposición transitoria única y su reforma contenida en la Ordenanza Metropolitana No.0095, sancionada el 28 de diciembre de 2015, aprueba el Plan Metropolitano de Desarrollo y Ordenamiento Territorial y dispone que la </w:t>
      </w:r>
      <w:r w:rsidRPr="008A1F48">
        <w:rPr>
          <w:rFonts w:ascii="Palatino Linotype" w:hAnsi="Palatino Linotype" w:cstheme="minorHAnsi"/>
          <w:sz w:val="22"/>
          <w:szCs w:val="22"/>
          <w:lang w:eastAsia="ar-SA"/>
        </w:rPr>
        <w:lastRenderedPageBreak/>
        <w:t>Secretaría de Territorio, Hábitat y Vivienda en el plazo máximo de once meses presente para aprobación del  Concejo Metropolitano de Quito el Plan de Uso y Ocupación del Suelo actualizado, como elemento componente del Plan Metropolitano de Desarrollo y Ordenamiento Territorial, que permiten la vigencia de éste y su eficacia jurídica, de conformidad con el artículo 424 de la Constitución;</w:t>
      </w:r>
    </w:p>
    <w:p w14:paraId="1783418F"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2176BAD5" w14:textId="2F9DCA7E"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w:t>
      </w:r>
      <w:r w:rsidR="0042745E">
        <w:rPr>
          <w:rFonts w:ascii="Palatino Linotype" w:hAnsi="Palatino Linotype" w:cstheme="minorHAnsi"/>
          <w:sz w:val="22"/>
          <w:szCs w:val="22"/>
          <w:lang w:eastAsia="ar-SA"/>
        </w:rPr>
        <w:t xml:space="preserve"> </w:t>
      </w:r>
      <w:r w:rsidRPr="008A1F48">
        <w:rPr>
          <w:rFonts w:ascii="Palatino Linotype" w:hAnsi="Palatino Linotype" w:cstheme="minorHAnsi"/>
          <w:sz w:val="22"/>
          <w:szCs w:val="22"/>
          <w:lang w:eastAsia="ar-SA"/>
        </w:rPr>
        <w:t>el Libro IV del Eje Territorial, del Código Municipal para el Distrito Metropolitano de Quito contempla en el artículo</w:t>
      </w:r>
      <w:r w:rsidR="00A60DA7" w:rsidRPr="008A1F48">
        <w:rPr>
          <w:rFonts w:ascii="Palatino Linotype" w:hAnsi="Palatino Linotype" w:cstheme="minorHAnsi"/>
          <w:sz w:val="22"/>
          <w:szCs w:val="22"/>
          <w:lang w:eastAsia="ar-SA"/>
        </w:rPr>
        <w:t xml:space="preserve"> </w:t>
      </w:r>
      <w:r w:rsidRPr="008A1F48">
        <w:rPr>
          <w:rFonts w:ascii="Palatino Linotype" w:hAnsi="Palatino Linotype" w:cstheme="minorHAnsi"/>
          <w:sz w:val="22"/>
          <w:szCs w:val="22"/>
          <w:lang w:eastAsia="ar-SA"/>
        </w:rPr>
        <w:t xml:space="preserve"> IV.1.2 los principios de aplicación normativa; </w:t>
      </w:r>
    </w:p>
    <w:p w14:paraId="62EA337A"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4DC5AEB4" w14:textId="536E12E6"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w:t>
      </w:r>
      <w:r w:rsidR="0042745E">
        <w:rPr>
          <w:rFonts w:ascii="Palatino Linotype" w:hAnsi="Palatino Linotype" w:cstheme="minorHAnsi"/>
          <w:sz w:val="22"/>
          <w:szCs w:val="22"/>
          <w:lang w:eastAsia="ar-SA"/>
        </w:rPr>
        <w:t xml:space="preserve"> </w:t>
      </w:r>
      <w:r w:rsidRPr="008A1F48">
        <w:rPr>
          <w:rFonts w:ascii="Palatino Linotype" w:hAnsi="Palatino Linotype" w:cstheme="minorHAnsi"/>
          <w:sz w:val="22"/>
          <w:szCs w:val="22"/>
          <w:lang w:eastAsia="ar-SA"/>
        </w:rPr>
        <w:t>el artículo IV.1.3. ibídem determina la facultad de resolución de especificaciones de orden técnico administrativo y absolución de consultas por parte de la Secretaría de Territorio, Hábitat y Vivienda.</w:t>
      </w:r>
    </w:p>
    <w:p w14:paraId="33CC11FF"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36DB3EFA" w14:textId="04A34BBC"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sz w:val="22"/>
          <w:szCs w:val="22"/>
          <w:lang w:eastAsia="ar-SA"/>
        </w:rPr>
        <w:t xml:space="preserve">Que, </w:t>
      </w:r>
      <w:r w:rsidR="0042745E">
        <w:rPr>
          <w:rFonts w:ascii="Palatino Linotype" w:hAnsi="Palatino Linotype" w:cstheme="minorHAnsi"/>
          <w:sz w:val="22"/>
          <w:szCs w:val="22"/>
          <w:lang w:eastAsia="ar-SA"/>
        </w:rPr>
        <w:t xml:space="preserve"> </w:t>
      </w:r>
      <w:r w:rsidRPr="008A1F48">
        <w:rPr>
          <w:rFonts w:ascii="Palatino Linotype" w:hAnsi="Palatino Linotype" w:cstheme="minorHAnsi"/>
          <w:sz w:val="22"/>
          <w:szCs w:val="22"/>
          <w:lang w:eastAsia="ar-SA"/>
        </w:rPr>
        <w:t xml:space="preserve">en los artículos </w:t>
      </w:r>
      <w:r w:rsidR="0042745E">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rtículo IV.1.4. y </w:t>
      </w:r>
      <w:r w:rsidR="0042745E">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rtículo IV.1.5. ibídem se establece la protección a las autorizaciones de habilitación de suelo y de edificación licenciadas bajo el imperio de una norma anterior; </w:t>
      </w:r>
    </w:p>
    <w:p w14:paraId="140BC069"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21E1297A" w14:textId="0D6F769C"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sz w:val="22"/>
          <w:szCs w:val="22"/>
          <w:lang w:eastAsia="ar-SA"/>
        </w:rPr>
        <w:t>Que,  el artículo I</w:t>
      </w:r>
      <w:r w:rsidRPr="008A1F48">
        <w:rPr>
          <w:rFonts w:ascii="Palatino Linotype" w:hAnsi="Palatino Linotype" w:cstheme="minorHAnsi"/>
          <w:bCs/>
          <w:sz w:val="22"/>
          <w:szCs w:val="22"/>
          <w:lang w:eastAsia="ar-SA"/>
        </w:rPr>
        <w:t>V.1.147</w:t>
      </w:r>
      <w:r w:rsidRPr="008A1F48">
        <w:rPr>
          <w:rFonts w:ascii="Palatino Linotype" w:hAnsi="Palatino Linotype" w:cstheme="minorHAnsi"/>
          <w:sz w:val="22"/>
          <w:szCs w:val="22"/>
          <w:lang w:eastAsia="ar-SA"/>
        </w:rPr>
        <w:t xml:space="preserve"> señala que las modificatorias a la zonificación aprobada por el Concejo Metropolitano, en aplicación de la presente </w:t>
      </w:r>
      <w:r w:rsidR="0042745E">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sidR="0042745E">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 xml:space="preserve">etropolitana, y los ajustes requeridos por actualización de la cartografía predial, y polígonos de zonificación, sin que esto implique cambios a las asignaciones establecidas en los mapas y demás instrumentos de planificación, deberán estar documentados, incorporados y actualizados de manera permanente por la </w:t>
      </w:r>
      <w:r w:rsidR="0042745E">
        <w:rPr>
          <w:rFonts w:ascii="Palatino Linotype" w:hAnsi="Palatino Linotype" w:cstheme="minorHAnsi"/>
          <w:sz w:val="22"/>
          <w:szCs w:val="22"/>
          <w:lang w:eastAsia="ar-SA"/>
        </w:rPr>
        <w:t>s</w:t>
      </w:r>
      <w:r w:rsidRPr="008A1F48">
        <w:rPr>
          <w:rFonts w:ascii="Palatino Linotype" w:hAnsi="Palatino Linotype" w:cstheme="minorHAnsi"/>
          <w:sz w:val="22"/>
          <w:szCs w:val="22"/>
          <w:lang w:eastAsia="ar-SA"/>
        </w:rPr>
        <w:t xml:space="preserve">ecretaría rectora del territorio, hábitat y  vivienda, en la base de datos georreferenciados, para la correcta emisión de los informes de </w:t>
      </w:r>
      <w:r w:rsidR="0042745E">
        <w:rPr>
          <w:rFonts w:ascii="Palatino Linotype" w:hAnsi="Palatino Linotype" w:cstheme="minorHAnsi"/>
          <w:sz w:val="22"/>
          <w:szCs w:val="22"/>
          <w:lang w:eastAsia="ar-SA"/>
        </w:rPr>
        <w:t>r</w:t>
      </w:r>
      <w:r w:rsidRPr="008A1F48">
        <w:rPr>
          <w:rFonts w:ascii="Palatino Linotype" w:hAnsi="Palatino Linotype" w:cstheme="minorHAnsi"/>
          <w:sz w:val="22"/>
          <w:szCs w:val="22"/>
          <w:lang w:eastAsia="ar-SA"/>
        </w:rPr>
        <w:t xml:space="preserve">egulación </w:t>
      </w:r>
      <w:r w:rsidR="0042745E">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etropolitana;</w:t>
      </w:r>
    </w:p>
    <w:p w14:paraId="5601030A"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7FDE68AD" w14:textId="32F84B4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el Plan de Uso y Ocupación de Suelo (PUOS) es un instrumento de regulación metropolitana que, de acuerdo con el artículo</w:t>
      </w:r>
      <w:r w:rsidRPr="008A1F48">
        <w:rPr>
          <w:rFonts w:ascii="Palatino Linotype" w:hAnsi="Palatino Linotype" w:cs="Arial"/>
          <w:b/>
          <w:bCs/>
          <w:color w:val="000000"/>
          <w:sz w:val="22"/>
          <w:szCs w:val="22"/>
          <w:shd w:val="clear" w:color="auto" w:fill="FFFFFF"/>
        </w:rPr>
        <w:t> </w:t>
      </w:r>
      <w:r w:rsidRPr="008A1F48">
        <w:rPr>
          <w:rFonts w:ascii="Palatino Linotype" w:hAnsi="Palatino Linotype" w:cs="Arial"/>
          <w:bCs/>
          <w:color w:val="000000"/>
          <w:sz w:val="22"/>
          <w:szCs w:val="22"/>
          <w:shd w:val="clear" w:color="auto" w:fill="FFFFFF"/>
        </w:rPr>
        <w:t>IV.1.22</w:t>
      </w:r>
      <w:r w:rsidRPr="008A1F48">
        <w:rPr>
          <w:rFonts w:ascii="Palatino Linotype" w:hAnsi="Palatino Linotype" w:cstheme="minorHAnsi"/>
          <w:sz w:val="22"/>
          <w:szCs w:val="22"/>
          <w:lang w:eastAsia="ar-SA"/>
        </w:rPr>
        <w:t xml:space="preserve"> del Código Municipal para el Distrito Metropolitano de Quito, tiene por objeto la estructuración de la admisibilidad de usos y la edificación mediante la fijación de los parámetros y normas específicas para el uso, ocupación, habilitación del suelo y edificación;</w:t>
      </w:r>
    </w:p>
    <w:p w14:paraId="1262B115"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6F302C65" w14:textId="50F25B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Arial Unicode MS"/>
          <w:sz w:val="22"/>
          <w:szCs w:val="22"/>
          <w:lang w:eastAsia="en-US"/>
        </w:rPr>
        <w:t xml:space="preserve"> </w:t>
      </w:r>
      <w:r w:rsidRPr="008A1F48">
        <w:rPr>
          <w:rFonts w:ascii="Palatino Linotype" w:hAnsi="Palatino Linotype" w:cstheme="minorHAnsi"/>
          <w:sz w:val="22"/>
          <w:szCs w:val="22"/>
          <w:lang w:eastAsia="ar-SA"/>
        </w:rPr>
        <w:t xml:space="preserve">mediante Ordenanza metropolitana No. 127 sancionada el 25 de julio de 2016, fue aprobado el Plan de Uso y Ocupación del Suelo (PUOS) y sus anexos, los cuales se elaboraron en base a la Matriz de Cambios 2016, instrumento de trabajo que sirvió para detallar, identificar y validar los cambios en materia de clasificación, uso de suelo y  zonificación que conoció  tanto la Comisión de Uso de Suelo como el Concejo Metropolitano de Quito y que debían corresponder a los mapas de Uso de Suelo y Forma de Ocupación y Edificabilidad que se anexaron al proyecto de </w:t>
      </w:r>
      <w:r w:rsidR="0042745E">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sidR="0042745E">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etropolitana No. 127;</w:t>
      </w:r>
    </w:p>
    <w:p w14:paraId="2624209E" w14:textId="77777777" w:rsidR="00FC0AC2" w:rsidRPr="008A1F48" w:rsidRDefault="00FC0AC2" w:rsidP="00FC0AC2">
      <w:pPr>
        <w:pStyle w:val="Textoindependiente"/>
        <w:spacing w:after="0"/>
        <w:ind w:left="425" w:hanging="425"/>
        <w:jc w:val="both"/>
        <w:rPr>
          <w:rFonts w:ascii="Palatino Linotype" w:hAnsi="Palatino Linotype" w:cstheme="minorHAnsi"/>
          <w:sz w:val="22"/>
          <w:szCs w:val="22"/>
          <w:lang w:eastAsia="ar-SA"/>
        </w:rPr>
      </w:pPr>
    </w:p>
    <w:p w14:paraId="5304260A" w14:textId="5EA90ED6"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en la sesión extraordinaria del miércoles 31 de mayo de 2017, convocada por la Comisión de Uso de Suelo, se resolvió solicitar a la Secretaría de Territorio, Hábitat y Vivienda realizar un análisis pormenorizado de los cambios de clasificación, uso y zonificación del suelo que fueron realizados por esta Secretaría y que no constan en la Matriz de Cambios 2016, y elabore un proyecto de ordenanza modificatoria de la </w:t>
      </w:r>
      <w:r w:rsidR="0042745E">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sidR="0042745E">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 xml:space="preserve">etropolitana No. 127, en la cual solo consten los cambios que </w:t>
      </w:r>
      <w:r w:rsidRPr="008A1F48">
        <w:rPr>
          <w:rFonts w:ascii="Palatino Linotype" w:hAnsi="Palatino Linotype" w:cstheme="minorHAnsi"/>
          <w:sz w:val="22"/>
          <w:szCs w:val="22"/>
          <w:lang w:eastAsia="ar-SA"/>
        </w:rPr>
        <w:lastRenderedPageBreak/>
        <w:t xml:space="preserve">fueron aprobados por el Concejo Metropolitano y que constan en la citada matriz; </w:t>
      </w:r>
    </w:p>
    <w:p w14:paraId="613422E6" w14:textId="77777777" w:rsidR="00FC0AC2" w:rsidRPr="008A1F48" w:rsidRDefault="00FC0AC2" w:rsidP="00FC0AC2">
      <w:pPr>
        <w:pStyle w:val="Textoindependiente"/>
        <w:spacing w:after="0"/>
        <w:ind w:left="425" w:hanging="425"/>
        <w:jc w:val="both"/>
        <w:rPr>
          <w:rFonts w:ascii="Palatino Linotype" w:hAnsi="Palatino Linotype" w:cstheme="minorHAnsi"/>
          <w:sz w:val="22"/>
          <w:szCs w:val="22"/>
          <w:lang w:eastAsia="ar-SA"/>
        </w:rPr>
      </w:pPr>
    </w:p>
    <w:p w14:paraId="282BC685" w14:textId="64F6A5EC"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la Secretaría de Territorio, Hábitat y Vivienda, realizó el análisis solicitado</w:t>
      </w:r>
      <w:r w:rsidR="0042745E">
        <w:rPr>
          <w:rFonts w:ascii="Palatino Linotype" w:hAnsi="Palatino Linotype" w:cstheme="minorHAnsi"/>
          <w:sz w:val="22"/>
          <w:szCs w:val="22"/>
          <w:lang w:eastAsia="ar-SA"/>
        </w:rPr>
        <w:t>,</w:t>
      </w:r>
      <w:r w:rsidRPr="008A1F48">
        <w:rPr>
          <w:rFonts w:ascii="Palatino Linotype" w:hAnsi="Palatino Linotype" w:cstheme="minorHAnsi"/>
          <w:sz w:val="22"/>
          <w:szCs w:val="22"/>
          <w:lang w:eastAsia="ar-SA"/>
        </w:rPr>
        <w:t xml:space="preserve"> mediante oficio No. STHV-DMPPS-3293 del 23 de junio de 2017, remitió a la Comisión de Uso de Suelo el informe técnico sobre los casos no registrados en la Matriz de Cambios 2016, con los anexos gráficos y técnicos correspondientes; </w:t>
      </w:r>
    </w:p>
    <w:p w14:paraId="326BA48C"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66946C98" w14:textId="0E893D78"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la Comisión de Uso de Suelo en </w:t>
      </w:r>
      <w:r w:rsidR="0042745E">
        <w:rPr>
          <w:rFonts w:ascii="Palatino Linotype" w:hAnsi="Palatino Linotype" w:cstheme="minorHAnsi"/>
          <w:sz w:val="22"/>
          <w:szCs w:val="22"/>
          <w:lang w:eastAsia="ar-SA"/>
        </w:rPr>
        <w:t>s</w:t>
      </w:r>
      <w:r w:rsidRPr="008A1F48">
        <w:rPr>
          <w:rFonts w:ascii="Palatino Linotype" w:hAnsi="Palatino Linotype" w:cstheme="minorHAnsi"/>
          <w:sz w:val="22"/>
          <w:szCs w:val="22"/>
          <w:lang w:eastAsia="ar-SA"/>
        </w:rPr>
        <w:t>esión</w:t>
      </w:r>
      <w:r w:rsidR="0042745E">
        <w:rPr>
          <w:rFonts w:ascii="Palatino Linotype" w:hAnsi="Palatino Linotype" w:cstheme="minorHAnsi"/>
          <w:sz w:val="22"/>
          <w:szCs w:val="22"/>
          <w:lang w:eastAsia="ar-SA"/>
        </w:rPr>
        <w:t xml:space="preserve"> e</w:t>
      </w:r>
      <w:r w:rsidRPr="008A1F48">
        <w:rPr>
          <w:rFonts w:ascii="Palatino Linotype" w:hAnsi="Palatino Linotype" w:cstheme="minorHAnsi"/>
          <w:sz w:val="22"/>
          <w:szCs w:val="22"/>
          <w:lang w:eastAsia="ar-SA"/>
        </w:rPr>
        <w:t xml:space="preserve">xtraordinaria de 13 de julio de 2017, conoció el informe de la Secretaría de Territorio, Hábitat y Vivienda en la cual se identifican y detallan los cambios incorporados en los mapas PUOS-U2 y PUOS-Z2 que no constan en la Matriz de Cambios 2016, instrumento que sirvió de base para la actualización del PUOS aprobada mediante </w:t>
      </w:r>
      <w:r w:rsidR="0042745E">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sidR="0042745E">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etropolitana No. 127;</w:t>
      </w:r>
    </w:p>
    <w:p w14:paraId="6716E5F9"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74816ABA" w14:textId="4207D8BE"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mediante oficio No. STHV-DMPPS-5009 de fecha 5 de septiembre de 2017 la Secretaría de Territorio, Hábitat y Vivienda remitió a la Comisión de Uso de Suelo el análisis pormenorizado de un total de 354 cambios no registrados en la matriz de cambios que se detallan en el informe anexo al citado oficio;</w:t>
      </w:r>
    </w:p>
    <w:p w14:paraId="23E869A4"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26298D06"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7 de noviembre de 2017, mediante oficio No. STHV-DMPPS-6246, suscrito por el Arq. Jacobo Herdoíza, Secretario de Territorio, Hábitat y Vivienda,  dirigido  al Abogado Sergio Garnica, Presidente de la Comisión de Uso de Suelo, se remitió 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que contenía los cambios realizados en el PUOS  sintetizado en  5 carpetas y un cronograma de trabajo propuesto para la revisión de los casos;</w:t>
      </w:r>
    </w:p>
    <w:p w14:paraId="2313EDDB"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4E98B9C2"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el 20 de diciembre de 2017, se sancionó la Ordenanza Metropolitana No. 192  Modificatoria de la Ordenanza Metropolitana No. 127 del 25 de julio de 2016, que contiene el Plan de Uso y Ocupación del Suelo (PUOS); en la que se sustituyeron los mapas de Uso de Suelo Principal y de Ocupación y Edificabilidad y se incorporó la Matriz de Cambios como instrumento de trabajo para la identificación y registro de los polígonos de cambio registrados en los mapas;</w:t>
      </w:r>
    </w:p>
    <w:p w14:paraId="541B2117" w14:textId="77777777" w:rsidR="00FC0AC2" w:rsidRPr="008A1F48" w:rsidRDefault="00FC0AC2" w:rsidP="00FC0AC2">
      <w:pPr>
        <w:pStyle w:val="Textoindependiente"/>
        <w:spacing w:after="0"/>
        <w:ind w:left="567" w:hanging="426"/>
        <w:jc w:val="both"/>
        <w:rPr>
          <w:rFonts w:ascii="Palatino Linotype" w:hAnsi="Palatino Linotype" w:cstheme="minorHAnsi"/>
          <w:sz w:val="22"/>
          <w:szCs w:val="22"/>
          <w:lang w:eastAsia="ar-SA"/>
        </w:rPr>
      </w:pPr>
    </w:p>
    <w:p w14:paraId="2FD1527D" w14:textId="3B208FD4" w:rsidR="00FC0AC2" w:rsidRPr="008A1F48" w:rsidRDefault="00FC0AC2" w:rsidP="00FC0AC2">
      <w:pPr>
        <w:ind w:left="567" w:hanging="567"/>
        <w:jc w:val="both"/>
        <w:rPr>
          <w:rFonts w:ascii="Palatino Linotype" w:eastAsia="Arial Unicode MS" w:hAnsi="Palatino Linotype" w:cstheme="minorHAnsi"/>
          <w:sz w:val="22"/>
          <w:szCs w:val="22"/>
          <w:lang w:eastAsia="ar-SA"/>
        </w:rPr>
      </w:pPr>
      <w:r w:rsidRPr="008A1F48">
        <w:rPr>
          <w:rFonts w:ascii="Palatino Linotype" w:eastAsia="Arial Unicode MS" w:hAnsi="Palatino Linotype" w:cstheme="minorHAnsi"/>
          <w:b/>
          <w:sz w:val="22"/>
          <w:szCs w:val="22"/>
          <w:lang w:eastAsia="ar-SA"/>
        </w:rPr>
        <w:t>Que,</w:t>
      </w:r>
      <w:r w:rsidRPr="008A1F48">
        <w:rPr>
          <w:rFonts w:ascii="Palatino Linotype" w:eastAsia="Arial Unicode MS" w:hAnsi="Palatino Linotype" w:cstheme="minorHAnsi"/>
          <w:sz w:val="22"/>
          <w:szCs w:val="22"/>
          <w:lang w:eastAsia="ar-SA"/>
        </w:rPr>
        <w:t xml:space="preserve"> con fecha 23 de abril de 2018, mediante oficio No. STHV-DMPPS-1845, suscrito por el Arq. Jacobo Herdoíza,</w:t>
      </w:r>
      <w:r w:rsidRPr="008A1F48">
        <w:rPr>
          <w:rFonts w:ascii="Palatino Linotype" w:hAnsi="Palatino Linotype" w:cstheme="minorHAnsi"/>
          <w:sz w:val="22"/>
          <w:szCs w:val="22"/>
          <w:lang w:eastAsia="ar-SA"/>
        </w:rPr>
        <w:t xml:space="preserve"> Secretario de Territorio, Hábitat y Vivienda,</w:t>
      </w:r>
      <w:r w:rsidRPr="008A1F48">
        <w:rPr>
          <w:rFonts w:ascii="Palatino Linotype" w:eastAsia="Arial Unicode MS" w:hAnsi="Palatino Linotype" w:cstheme="minorHAnsi"/>
          <w:sz w:val="22"/>
          <w:szCs w:val="22"/>
          <w:lang w:eastAsia="ar-SA"/>
        </w:rPr>
        <w:t xml:space="preserve"> dirigido al Abogado Sergio Garnica, Presidente de la Comisión de Uso de Suelo, se solicitó se determine por parte de la Comisión de Uso de Suelo la fecha de inicio para la revisión de los casos remitidos en los oficios números, STHV-DMPPS-5821 y STHV-DMPPS-6246, así como las acciones encaminadas a dicho fin, adjuntando un cronograma de trabajo;</w:t>
      </w:r>
    </w:p>
    <w:p w14:paraId="0C5644CE" w14:textId="77777777" w:rsidR="00FC0AC2" w:rsidRPr="008A1F48" w:rsidRDefault="00FC0AC2" w:rsidP="00FC0AC2">
      <w:pPr>
        <w:ind w:left="567" w:hanging="567"/>
        <w:jc w:val="both"/>
        <w:rPr>
          <w:rFonts w:ascii="Palatino Linotype" w:eastAsia="Arial Unicode MS" w:hAnsi="Palatino Linotype" w:cstheme="minorHAnsi"/>
          <w:sz w:val="22"/>
          <w:szCs w:val="22"/>
          <w:lang w:eastAsia="ar-SA"/>
        </w:rPr>
      </w:pPr>
    </w:p>
    <w:p w14:paraId="649A3992" w14:textId="24D6495A" w:rsidR="00FC0AC2" w:rsidRPr="008A1F48" w:rsidRDefault="00FC0AC2" w:rsidP="00FC0AC2">
      <w:pPr>
        <w:ind w:left="567" w:hanging="567"/>
        <w:jc w:val="both"/>
        <w:rPr>
          <w:rFonts w:ascii="Palatino Linotype" w:eastAsia="Arial Unicode MS"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w:t>
      </w:r>
      <w:r w:rsidRPr="008A1F48">
        <w:rPr>
          <w:rFonts w:ascii="Palatino Linotype" w:eastAsia="Arial Unicode MS" w:hAnsi="Palatino Linotype" w:cstheme="minorHAnsi"/>
          <w:sz w:val="22"/>
          <w:szCs w:val="22"/>
          <w:lang w:eastAsia="ar-SA"/>
        </w:rPr>
        <w:t xml:space="preserve">09 de octubre de 2018, se llevó a </w:t>
      </w:r>
      <w:r w:rsidR="007A3B3C">
        <w:rPr>
          <w:rFonts w:ascii="Palatino Linotype" w:eastAsia="Arial Unicode MS" w:hAnsi="Palatino Linotype" w:cstheme="minorHAnsi"/>
          <w:sz w:val="22"/>
          <w:szCs w:val="22"/>
          <w:lang w:eastAsia="ar-SA"/>
        </w:rPr>
        <w:t>efecto</w:t>
      </w:r>
      <w:r w:rsidRPr="008A1F48">
        <w:rPr>
          <w:rFonts w:ascii="Palatino Linotype" w:eastAsia="Arial Unicode MS" w:hAnsi="Palatino Linotype" w:cstheme="minorHAnsi"/>
          <w:sz w:val="22"/>
          <w:szCs w:val="22"/>
          <w:lang w:eastAsia="ar-SA"/>
        </w:rPr>
        <w:t xml:space="preserve"> la primera mesa de trabajo con la Comisión de Uso de Suelo en la que se analizó la carpeta 3, </w:t>
      </w:r>
      <w:r w:rsidR="007A3B3C">
        <w:rPr>
          <w:rFonts w:ascii="Palatino Linotype" w:eastAsia="Arial Unicode MS" w:hAnsi="Palatino Linotype" w:cstheme="minorHAnsi"/>
          <w:sz w:val="22"/>
          <w:szCs w:val="22"/>
          <w:lang w:eastAsia="ar-SA"/>
        </w:rPr>
        <w:t>a</w:t>
      </w:r>
      <w:r w:rsidRPr="008A1F48">
        <w:rPr>
          <w:rFonts w:ascii="Palatino Linotype" w:eastAsia="Arial Unicode MS" w:hAnsi="Palatino Linotype" w:cstheme="minorHAnsi"/>
          <w:sz w:val="22"/>
          <w:szCs w:val="22"/>
          <w:lang w:eastAsia="ar-SA"/>
        </w:rPr>
        <w:t>nexo 2A del denominado “</w:t>
      </w:r>
      <w:r w:rsidRPr="008A1F48">
        <w:rPr>
          <w:rFonts w:ascii="Palatino Linotype" w:eastAsia="Arial Unicode MS" w:hAnsi="Palatino Linotype" w:cstheme="minorHAnsi"/>
          <w:i/>
          <w:sz w:val="22"/>
          <w:szCs w:val="22"/>
          <w:lang w:eastAsia="ar-SA"/>
        </w:rPr>
        <w:t>Informe compilatorio sobre los cambios registrados y no registrados en la Matriz de Cambios 2016 del PUOS</w:t>
      </w:r>
      <w:r w:rsidRPr="008A1F48">
        <w:rPr>
          <w:rFonts w:ascii="Palatino Linotype" w:eastAsia="Arial Unicode MS" w:hAnsi="Palatino Linotype" w:cstheme="minorHAnsi"/>
          <w:sz w:val="22"/>
          <w:szCs w:val="22"/>
          <w:lang w:eastAsia="ar-SA"/>
        </w:rPr>
        <w:t>”, que contiene 99 casos categorizados como “Poseen un Justificativo”, en la que se analizaron la totalidad de los casos;</w:t>
      </w:r>
    </w:p>
    <w:p w14:paraId="0B9F92B9" w14:textId="77777777"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p>
    <w:p w14:paraId="03CC8047" w14:textId="7105C62F" w:rsidR="00FC0AC2" w:rsidRPr="008A1F48" w:rsidRDefault="00FC0AC2" w:rsidP="00FC0AC2">
      <w:pPr>
        <w:ind w:left="567" w:hanging="567"/>
        <w:jc w:val="both"/>
        <w:rPr>
          <w:rFonts w:ascii="Palatino Linotype" w:eastAsia="Arial Unicode MS" w:hAnsi="Palatino Linotype" w:cstheme="minorHAnsi"/>
          <w:sz w:val="22"/>
          <w:szCs w:val="22"/>
          <w:lang w:eastAsia="ar-SA"/>
        </w:rPr>
      </w:pPr>
      <w:r w:rsidRPr="008A1F48">
        <w:rPr>
          <w:rFonts w:ascii="Palatino Linotype" w:hAnsi="Palatino Linotype" w:cstheme="minorHAnsi"/>
          <w:b/>
          <w:sz w:val="22"/>
          <w:szCs w:val="22"/>
          <w:lang w:eastAsia="ar-SA"/>
        </w:rPr>
        <w:lastRenderedPageBreak/>
        <w:t>Que,</w:t>
      </w:r>
      <w:r w:rsidRPr="008A1F48">
        <w:rPr>
          <w:rFonts w:ascii="Palatino Linotype" w:hAnsi="Palatino Linotype" w:cstheme="minorHAnsi"/>
          <w:sz w:val="22"/>
          <w:szCs w:val="22"/>
          <w:lang w:eastAsia="ar-SA"/>
        </w:rPr>
        <w:t xml:space="preserve"> con fecha </w:t>
      </w:r>
      <w:r w:rsidRPr="008A1F48">
        <w:rPr>
          <w:rFonts w:ascii="Palatino Linotype" w:eastAsia="Arial Unicode MS" w:hAnsi="Palatino Linotype" w:cstheme="minorHAnsi"/>
          <w:sz w:val="22"/>
          <w:szCs w:val="22"/>
          <w:lang w:eastAsia="ar-SA"/>
        </w:rPr>
        <w:t xml:space="preserve">11 de octubre de 2018, se llevó a cabo la segunda mesa de trabajo con la Comisión de Uso de Suelo en la que se analizó la carpeta 3, </w:t>
      </w:r>
      <w:r w:rsidR="007A3B3C">
        <w:rPr>
          <w:rFonts w:ascii="Palatino Linotype" w:eastAsia="Arial Unicode MS" w:hAnsi="Palatino Linotype" w:cstheme="minorHAnsi"/>
          <w:sz w:val="22"/>
          <w:szCs w:val="22"/>
          <w:lang w:eastAsia="ar-SA"/>
        </w:rPr>
        <w:t>a</w:t>
      </w:r>
      <w:r w:rsidRPr="008A1F48">
        <w:rPr>
          <w:rFonts w:ascii="Palatino Linotype" w:eastAsia="Arial Unicode MS" w:hAnsi="Palatino Linotype" w:cstheme="minorHAnsi"/>
          <w:sz w:val="22"/>
          <w:szCs w:val="22"/>
          <w:lang w:eastAsia="ar-SA"/>
        </w:rPr>
        <w:t>nexo 2B del denominado “</w:t>
      </w:r>
      <w:r w:rsidRPr="008A1F48">
        <w:rPr>
          <w:rFonts w:ascii="Palatino Linotype" w:eastAsia="Arial Unicode MS" w:hAnsi="Palatino Linotype" w:cstheme="minorHAnsi"/>
          <w:i/>
          <w:sz w:val="22"/>
          <w:szCs w:val="22"/>
          <w:lang w:eastAsia="ar-SA"/>
        </w:rPr>
        <w:t>Informe compilatorio sobre los cambios registrados y no registrados en la Matriz de Cambios 2016 del PUOS</w:t>
      </w:r>
      <w:r w:rsidRPr="008A1F48">
        <w:rPr>
          <w:rFonts w:ascii="Palatino Linotype" w:eastAsia="Arial Unicode MS" w:hAnsi="Palatino Linotype" w:cstheme="minorHAnsi"/>
          <w:sz w:val="22"/>
          <w:szCs w:val="22"/>
          <w:lang w:eastAsia="ar-SA"/>
        </w:rPr>
        <w:t>”, que contiene 170 casos categorizados como “Criterio Técnico”;</w:t>
      </w:r>
    </w:p>
    <w:p w14:paraId="5761D8B1" w14:textId="77777777" w:rsidR="00FC0AC2" w:rsidRPr="008A1F48" w:rsidRDefault="00FC0AC2" w:rsidP="00FC0AC2">
      <w:pPr>
        <w:jc w:val="both"/>
        <w:rPr>
          <w:rFonts w:ascii="Palatino Linotype" w:eastAsia="Arial Unicode MS" w:hAnsi="Palatino Linotype" w:cstheme="minorHAnsi"/>
          <w:sz w:val="22"/>
          <w:szCs w:val="22"/>
          <w:lang w:eastAsia="ar-SA"/>
        </w:rPr>
      </w:pPr>
    </w:p>
    <w:p w14:paraId="5FC2E148" w14:textId="4EEE65F7" w:rsidR="00FC0AC2" w:rsidRPr="008A1F48" w:rsidRDefault="00FC0AC2" w:rsidP="00FC0AC2">
      <w:pPr>
        <w:pStyle w:val="Textoindependiente"/>
        <w:tabs>
          <w:tab w:val="left" w:pos="1830"/>
        </w:tabs>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12 de octubre de 2018, se remitieron consultas a las entidades responsables sobre 12 polígonos localizados en áreas históricas, 15 polígonos en áreas mineras, 40 polígonos categorizados como “dato perdido”, así como la información referida a la Licencia Única de Actividades Económicas (LUAE) emitidas desde diciembre de 2011 a la fecha para 34 polígonos categorizados  como “actividades económicas”.</w:t>
      </w:r>
    </w:p>
    <w:p w14:paraId="2897C06E" w14:textId="77777777" w:rsidR="00D44956" w:rsidRPr="008A1F48" w:rsidRDefault="00D44956" w:rsidP="00FC0AC2">
      <w:pPr>
        <w:pStyle w:val="Textoindependiente"/>
        <w:tabs>
          <w:tab w:val="left" w:pos="1830"/>
        </w:tabs>
        <w:spacing w:after="0"/>
        <w:ind w:left="567" w:hanging="567"/>
        <w:jc w:val="both"/>
        <w:rPr>
          <w:rFonts w:ascii="Palatino Linotype" w:hAnsi="Palatino Linotype" w:cstheme="minorHAnsi"/>
          <w:sz w:val="22"/>
          <w:szCs w:val="22"/>
          <w:lang w:eastAsia="ar-SA"/>
        </w:rPr>
      </w:pPr>
    </w:p>
    <w:p w14:paraId="59EF8427" w14:textId="6B0CC0B6" w:rsidR="00D44956" w:rsidRPr="008A1F48" w:rsidRDefault="00D44956" w:rsidP="00FC0AC2">
      <w:pPr>
        <w:pStyle w:val="Textoindependiente"/>
        <w:tabs>
          <w:tab w:val="left" w:pos="1830"/>
        </w:tabs>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 xml:space="preserve">Que, </w:t>
      </w:r>
      <w:r w:rsidRPr="008A1F48">
        <w:rPr>
          <w:rFonts w:ascii="Palatino Linotype" w:hAnsi="Palatino Linotype" w:cstheme="minorHAnsi"/>
          <w:sz w:val="22"/>
          <w:szCs w:val="22"/>
          <w:lang w:eastAsia="ar-SA"/>
        </w:rPr>
        <w:t xml:space="preserve">con fecha 30 de octubre de 2018, se realizó la tercera mesa de trabajo con la Comisión de Uso de Suelo en la que se analizó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nexo 2B del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en la que se continuó con el análisis de los casos categorizados como “Criterio Técnico”;</w:t>
      </w:r>
    </w:p>
    <w:p w14:paraId="52495EF9" w14:textId="77777777" w:rsidR="00FC0AC2" w:rsidRPr="008A1F48" w:rsidRDefault="00FC0AC2" w:rsidP="00FC0AC2">
      <w:pPr>
        <w:pStyle w:val="Textoindependiente"/>
        <w:tabs>
          <w:tab w:val="left" w:pos="1830"/>
        </w:tabs>
        <w:spacing w:after="0"/>
        <w:ind w:left="567" w:hanging="567"/>
        <w:jc w:val="both"/>
        <w:rPr>
          <w:rFonts w:ascii="Palatino Linotype" w:hAnsi="Palatino Linotype" w:cstheme="minorHAnsi"/>
          <w:sz w:val="22"/>
          <w:szCs w:val="22"/>
          <w:lang w:eastAsia="ar-SA"/>
        </w:rPr>
      </w:pPr>
    </w:p>
    <w:p w14:paraId="63CD4BCC" w14:textId="1D3F1A5F" w:rsidR="00FC0AC2" w:rsidRPr="008A1F48" w:rsidRDefault="00FC0AC2" w:rsidP="00FC0AC2">
      <w:pPr>
        <w:pStyle w:val="Textoindependiente"/>
        <w:spacing w:after="0"/>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12 de febrero de 2019, se realizó la cuarta mesa de trabajo con la Comisión de Uso de Suelo en la que se analizó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nexo 2B del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en la que se continuó con el análisis de los casos categorizados como “Criterio Técnico”;</w:t>
      </w:r>
    </w:p>
    <w:p w14:paraId="55E1CD0A" w14:textId="77777777" w:rsidR="00FC0AC2" w:rsidRPr="008A1F48" w:rsidRDefault="00FC0AC2" w:rsidP="00FC0AC2">
      <w:pPr>
        <w:pStyle w:val="Textoindependiente"/>
        <w:spacing w:after="0"/>
        <w:jc w:val="both"/>
        <w:rPr>
          <w:rFonts w:ascii="Palatino Linotype" w:hAnsi="Palatino Linotype" w:cstheme="minorHAnsi"/>
          <w:sz w:val="22"/>
          <w:szCs w:val="22"/>
          <w:lang w:eastAsia="ar-SA"/>
        </w:rPr>
      </w:pPr>
    </w:p>
    <w:p w14:paraId="5283E31B" w14:textId="6349F648" w:rsidR="00FC0AC2" w:rsidRPr="008A1F48" w:rsidRDefault="00FC0AC2" w:rsidP="00FC0AC2">
      <w:pPr>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19 de marzo de 2019, se realizó la quinta mesa de trabajo con la Comisión de Uso de Suelo en la que se analizó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nexo 2B del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en la que se continuó con el análisis de los casos categorizados como “Criterio Técnico”;</w:t>
      </w:r>
    </w:p>
    <w:p w14:paraId="28AC60EC" w14:textId="77777777" w:rsidR="00FC0AC2" w:rsidRPr="008A1F48" w:rsidRDefault="00FC0AC2" w:rsidP="00FC0AC2">
      <w:pPr>
        <w:pStyle w:val="Textoindependiente"/>
        <w:spacing w:after="0"/>
        <w:jc w:val="both"/>
        <w:rPr>
          <w:rFonts w:ascii="Palatino Linotype" w:hAnsi="Palatino Linotype" w:cstheme="minorHAnsi"/>
          <w:sz w:val="22"/>
          <w:szCs w:val="22"/>
          <w:lang w:eastAsia="ar-SA"/>
        </w:rPr>
      </w:pPr>
    </w:p>
    <w:p w14:paraId="780EF69A" w14:textId="77777777" w:rsidR="00FC0AC2" w:rsidRPr="008A1F48" w:rsidRDefault="00FC0AC2" w:rsidP="00FC0AC2">
      <w:pPr>
        <w:ind w:left="567" w:hanging="567"/>
        <w:contextualSpacing/>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mediante oficio No. SGC-2019-1018 de fecha 26 de marzo de 2019, suscrito por el Abogado Diego Cevallos,  Secretario General del Concejo Metropolitano de Quito solicita: “…</w:t>
      </w:r>
      <w:r w:rsidRPr="008A1F48">
        <w:rPr>
          <w:rFonts w:ascii="Palatino Linotype" w:hAnsi="Palatino Linotype" w:cstheme="minorHAnsi"/>
          <w:i/>
          <w:sz w:val="22"/>
          <w:szCs w:val="22"/>
          <w:lang w:eastAsia="ar-SA"/>
        </w:rPr>
        <w:t>un acta sumaria que recoja todos los antecedentes y aspectos solicitados tanto por los Señores Concejales y funcionarios municipales presentes en las mesas de trabajo realizadas desde su inicio en el citado tema, para lo cual deberá solicitar los informes legales y técnicos que considere pertinentes para la elaboración del referido informe”;</w:t>
      </w:r>
    </w:p>
    <w:p w14:paraId="71176CFA" w14:textId="77777777" w:rsidR="00FC0AC2" w:rsidRPr="008A1F48" w:rsidRDefault="00FC0AC2" w:rsidP="00FC0AC2">
      <w:pPr>
        <w:pStyle w:val="Textoindependiente"/>
        <w:spacing w:after="0"/>
        <w:ind w:left="567" w:hanging="567"/>
        <w:jc w:val="both"/>
        <w:rPr>
          <w:rFonts w:ascii="Palatino Linotype" w:eastAsia="Batang" w:hAnsi="Palatino Linotype" w:cstheme="minorHAnsi"/>
          <w:sz w:val="22"/>
          <w:szCs w:val="22"/>
          <w:lang w:eastAsia="ar-SA"/>
        </w:rPr>
      </w:pPr>
    </w:p>
    <w:p w14:paraId="2ABC968D" w14:textId="6A0C1C3E" w:rsidR="00FC0AC2" w:rsidRPr="008A1F48" w:rsidRDefault="00FC0AC2" w:rsidP="00FC0AC2">
      <w:pPr>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28 de marzo de 2019 se realizó la  sexta mesa de trabajo con la Comisión de Uso de Suelo en la que se analizó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nexo 2B  del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xml:space="preserve">”, en la que se concluyó la revisión de los polígonos de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nexo 2B  que contiene los casos categorizados como “Criterio Técnico”;</w:t>
      </w:r>
    </w:p>
    <w:p w14:paraId="1FE87013" w14:textId="77777777" w:rsidR="00FC0AC2" w:rsidRPr="008A1F48" w:rsidRDefault="00FC0AC2" w:rsidP="00FC0AC2">
      <w:pPr>
        <w:ind w:left="567" w:hanging="567"/>
        <w:jc w:val="both"/>
        <w:rPr>
          <w:rFonts w:ascii="Palatino Linotype" w:hAnsi="Palatino Linotype" w:cstheme="minorHAnsi"/>
          <w:sz w:val="22"/>
          <w:szCs w:val="22"/>
          <w:lang w:eastAsia="ar-SA"/>
        </w:rPr>
      </w:pPr>
    </w:p>
    <w:p w14:paraId="33203C01" w14:textId="1466BCE2" w:rsidR="00FC0AC2" w:rsidRPr="008A1F48" w:rsidRDefault="00FC0AC2" w:rsidP="00FC0AC2">
      <w:pPr>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03 de abril de 2019, se lleva a cabo la séptima mesa de trabajo con la Comisión de Uso de Suelo en la que se analizó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nexo 2C  que contiene  51 casos categorizados como “Por Error”; y la carpeta 3,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nexo 2D  que contiene 34 </w:t>
      </w:r>
      <w:r w:rsidRPr="008A1F48">
        <w:rPr>
          <w:rFonts w:ascii="Palatino Linotype" w:hAnsi="Palatino Linotype" w:cstheme="minorHAnsi"/>
          <w:sz w:val="22"/>
          <w:szCs w:val="22"/>
          <w:lang w:eastAsia="ar-SA"/>
        </w:rPr>
        <w:lastRenderedPageBreak/>
        <w:t>casos categorizados como “Origen no Determinado”, del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en la que se concluyó la revisión de ambos anexos;</w:t>
      </w:r>
    </w:p>
    <w:p w14:paraId="76AAC78E" w14:textId="77777777" w:rsidR="00FC0AC2" w:rsidRPr="008A1F48" w:rsidRDefault="00FC0AC2" w:rsidP="00FC0AC2">
      <w:pPr>
        <w:ind w:left="567" w:hanging="567"/>
        <w:jc w:val="both"/>
        <w:rPr>
          <w:rFonts w:ascii="Palatino Linotype" w:hAnsi="Palatino Linotype" w:cstheme="minorHAnsi"/>
          <w:sz w:val="22"/>
          <w:szCs w:val="22"/>
          <w:lang w:eastAsia="ar-SA"/>
        </w:rPr>
      </w:pPr>
    </w:p>
    <w:p w14:paraId="10B68095" w14:textId="179F1DA2" w:rsidR="00FC0AC2" w:rsidRPr="008A1F48" w:rsidRDefault="00FC0AC2" w:rsidP="00FC0AC2">
      <w:pPr>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con fecha 05 de abril de 2019, mediante oficio No. STHV-DMPPS-01633, suscrito por el Arq. Jacobo Herdoíza, Secretario de Territorio, Hábitat y Vivienda, dirigido al Abg. Diego Cevallos, Secretario General del Concejo Metropolitano, se remitió el </w:t>
      </w:r>
      <w:r w:rsidR="007A3B3C">
        <w:rPr>
          <w:rFonts w:ascii="Palatino Linotype" w:hAnsi="Palatino Linotype" w:cstheme="minorHAnsi"/>
          <w:sz w:val="22"/>
          <w:szCs w:val="22"/>
          <w:lang w:eastAsia="ar-SA"/>
        </w:rPr>
        <w:t>i</w:t>
      </w:r>
      <w:r w:rsidRPr="008A1F48">
        <w:rPr>
          <w:rFonts w:ascii="Palatino Linotype" w:hAnsi="Palatino Linotype" w:cstheme="minorHAnsi"/>
          <w:sz w:val="22"/>
          <w:szCs w:val="22"/>
          <w:lang w:eastAsia="ar-SA"/>
        </w:rPr>
        <w:t xml:space="preserve">nforme que contiene las matrices de sistematización de las mesas de trabajo realizadas respecto de los 354 polígonos no previstos en el PUOS, oficio en el cual se recomienda además la revisión de la </w:t>
      </w:r>
      <w:r w:rsidR="007A3B3C">
        <w:rPr>
          <w:rFonts w:ascii="Palatino Linotype" w:hAnsi="Palatino Linotype" w:cstheme="minorHAnsi"/>
          <w:sz w:val="22"/>
          <w:szCs w:val="22"/>
          <w:lang w:eastAsia="ar-SA"/>
        </w:rPr>
        <w:t>c</w:t>
      </w:r>
      <w:r w:rsidRPr="008A1F48">
        <w:rPr>
          <w:rFonts w:ascii="Palatino Linotype" w:hAnsi="Palatino Linotype" w:cstheme="minorHAnsi"/>
          <w:sz w:val="22"/>
          <w:szCs w:val="22"/>
          <w:lang w:eastAsia="ar-SA"/>
        </w:rPr>
        <w:t xml:space="preserve">arpeta 5, </w:t>
      </w:r>
      <w:r w:rsidR="007A3B3C">
        <w:rPr>
          <w:rFonts w:ascii="Palatino Linotype" w:hAnsi="Palatino Linotype" w:cstheme="minorHAnsi"/>
          <w:sz w:val="22"/>
          <w:szCs w:val="22"/>
          <w:lang w:eastAsia="ar-SA"/>
        </w:rPr>
        <w:t>a</w:t>
      </w:r>
      <w:r w:rsidRPr="008A1F48">
        <w:rPr>
          <w:rFonts w:ascii="Palatino Linotype" w:hAnsi="Palatino Linotype" w:cstheme="minorHAnsi"/>
          <w:sz w:val="22"/>
          <w:szCs w:val="22"/>
          <w:lang w:eastAsia="ar-SA"/>
        </w:rPr>
        <w:t xml:space="preserve">nexo 2 del denominado </w:t>
      </w:r>
      <w:r w:rsidRPr="008A1F48">
        <w:rPr>
          <w:rFonts w:ascii="Palatino Linotype" w:hAnsi="Palatino Linotype" w:cstheme="minorHAnsi"/>
          <w:i/>
          <w:sz w:val="22"/>
          <w:szCs w:val="22"/>
          <w:lang w:eastAsia="ar-SA"/>
        </w:rPr>
        <w:t>“Informe compilatorio sobre los cambios registrados y no registrados en la Matriz de Cambios 2016 del PUOS</w:t>
      </w:r>
      <w:r w:rsidRPr="008A1F48">
        <w:rPr>
          <w:rFonts w:ascii="Palatino Linotype" w:hAnsi="Palatino Linotype" w:cstheme="minorHAnsi"/>
          <w:sz w:val="22"/>
          <w:szCs w:val="22"/>
          <w:lang w:eastAsia="ar-SA"/>
        </w:rPr>
        <w:t>”, que contiene 18 casos con errores en la Matriz de Cambios 2016, adjuntando la documentación referida;</w:t>
      </w:r>
    </w:p>
    <w:p w14:paraId="446FA07B" w14:textId="77777777" w:rsidR="00FC0AC2" w:rsidRPr="008A1F48" w:rsidRDefault="00FC0AC2" w:rsidP="00FC0AC2">
      <w:pPr>
        <w:ind w:left="567" w:hanging="567"/>
        <w:jc w:val="both"/>
        <w:rPr>
          <w:rFonts w:ascii="Palatino Linotype" w:hAnsi="Palatino Linotype" w:cstheme="minorHAnsi"/>
          <w:sz w:val="22"/>
          <w:szCs w:val="22"/>
          <w:lang w:eastAsia="ar-SA"/>
        </w:rPr>
      </w:pPr>
    </w:p>
    <w:p w14:paraId="096C6C0C" w14:textId="01066888" w:rsidR="00FC0AC2" w:rsidRPr="008A1F48" w:rsidRDefault="00FC0AC2" w:rsidP="00FC0AC2">
      <w:pPr>
        <w:ind w:left="567" w:hanging="567"/>
        <w:jc w:val="both"/>
        <w:rPr>
          <w:rFonts w:ascii="Palatino Linotype" w:hAnsi="Palatino Linotype" w:cstheme="minorHAnsi"/>
          <w:sz w:val="22"/>
          <w:szCs w:val="22"/>
          <w:lang w:eastAsia="ar-SA"/>
        </w:rPr>
      </w:pPr>
      <w:r w:rsidRPr="008A1F48">
        <w:rPr>
          <w:rFonts w:ascii="Palatino Linotype" w:hAnsi="Palatino Linotype" w:cstheme="minorHAnsi"/>
          <w:b/>
          <w:sz w:val="22"/>
          <w:szCs w:val="22"/>
          <w:lang w:eastAsia="ar-SA"/>
        </w:rPr>
        <w:t>Que,</w:t>
      </w:r>
      <w:r w:rsidRPr="008A1F48">
        <w:rPr>
          <w:rFonts w:ascii="Palatino Linotype" w:hAnsi="Palatino Linotype" w:cstheme="minorHAnsi"/>
          <w:sz w:val="22"/>
          <w:szCs w:val="22"/>
          <w:lang w:eastAsia="ar-SA"/>
        </w:rPr>
        <w:t xml:space="preserve"> </w:t>
      </w:r>
      <w:r w:rsidR="007A3B3C">
        <w:rPr>
          <w:rFonts w:ascii="Palatino Linotype" w:hAnsi="Palatino Linotype" w:cstheme="minorHAnsi"/>
          <w:sz w:val="22"/>
          <w:szCs w:val="22"/>
          <w:lang w:eastAsia="ar-SA"/>
        </w:rPr>
        <w:t>e</w:t>
      </w:r>
      <w:r w:rsidRPr="008A1F48">
        <w:rPr>
          <w:rFonts w:ascii="Palatino Linotype" w:hAnsi="Palatino Linotype" w:cstheme="minorHAnsi"/>
          <w:sz w:val="22"/>
          <w:szCs w:val="22"/>
          <w:lang w:eastAsia="ar-SA"/>
        </w:rPr>
        <w:t xml:space="preserve">l 12 de abril de 2019, mediante oficio No. STHV-DMPPS-01688, suscrito por el Arq. Jacobo Herdoíza, Secretario de Territorio, Hábitat y Vivienda, dirigido al Abg. Diego Cevallos, Secretario General del Concejo Metropolitano, se remite el </w:t>
      </w:r>
      <w:r w:rsidR="007A3B3C">
        <w:rPr>
          <w:rFonts w:ascii="Palatino Linotype" w:hAnsi="Palatino Linotype" w:cstheme="minorHAnsi"/>
          <w:sz w:val="22"/>
          <w:szCs w:val="22"/>
          <w:lang w:eastAsia="ar-SA"/>
        </w:rPr>
        <w:t>i</w:t>
      </w:r>
      <w:r w:rsidRPr="008A1F48">
        <w:rPr>
          <w:rFonts w:ascii="Palatino Linotype" w:hAnsi="Palatino Linotype" w:cstheme="minorHAnsi"/>
          <w:sz w:val="22"/>
          <w:szCs w:val="22"/>
          <w:lang w:eastAsia="ar-SA"/>
        </w:rPr>
        <w:t xml:space="preserve">nforme que contiene las matrices reorganizadas conforme lo dispuesto por la Comisión de Uso de Suelo, organizando los casos en 3 grupos: 1) Aquellos que acogen lo constante en la Ordenanza No. 127, b) Aquellos que acogen lo constante en la Ordenanza No. 192, y c) Aquellos que tienen asignaciones de uso de suelo, forma de ocupación y edificabilidad distintos a los constantes en las </w:t>
      </w:r>
      <w:r w:rsidR="007A3B3C">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rdenanzas </w:t>
      </w:r>
      <w:r w:rsidR="007A3B3C">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etropolitanas Nos.  127 y 192;</w:t>
      </w:r>
    </w:p>
    <w:p w14:paraId="1F79C847" w14:textId="77777777" w:rsidR="00FC0AC2" w:rsidRPr="008A1F48" w:rsidRDefault="00FC0AC2" w:rsidP="00FC0AC2">
      <w:pPr>
        <w:ind w:left="567" w:hanging="567"/>
        <w:jc w:val="both"/>
        <w:rPr>
          <w:rFonts w:ascii="Palatino Linotype" w:hAnsi="Palatino Linotype" w:cstheme="minorHAnsi"/>
          <w:sz w:val="22"/>
          <w:szCs w:val="22"/>
          <w:lang w:eastAsia="ar-SA"/>
        </w:rPr>
      </w:pPr>
    </w:p>
    <w:p w14:paraId="1E04FCF3" w14:textId="3E12F4F0" w:rsidR="00FC0AC2" w:rsidRPr="008A1F48" w:rsidRDefault="00FC0AC2" w:rsidP="00FC0AC2">
      <w:pPr>
        <w:ind w:left="567" w:hanging="567"/>
        <w:jc w:val="both"/>
        <w:rPr>
          <w:rFonts w:ascii="Palatino Linotype" w:eastAsia="Times New Roman" w:hAnsi="Palatino Linotype" w:cs="Times New Roman"/>
          <w:sz w:val="22"/>
          <w:szCs w:val="22"/>
          <w:lang w:val="es-ES"/>
        </w:rPr>
      </w:pPr>
      <w:r w:rsidRPr="008A1F48">
        <w:rPr>
          <w:rFonts w:ascii="Palatino Linotype" w:hAnsi="Palatino Linotype" w:cstheme="minorHAnsi"/>
          <w:b/>
          <w:sz w:val="22"/>
          <w:szCs w:val="22"/>
          <w:lang w:eastAsia="ar-SA"/>
        </w:rPr>
        <w:t xml:space="preserve">Que, </w:t>
      </w:r>
      <w:r w:rsidR="007A3B3C">
        <w:rPr>
          <w:rFonts w:ascii="Palatino Linotype" w:hAnsi="Palatino Linotype" w:cstheme="minorHAnsi"/>
          <w:sz w:val="22"/>
          <w:szCs w:val="22"/>
          <w:lang w:eastAsia="ar-SA"/>
        </w:rPr>
        <w:t>e</w:t>
      </w:r>
      <w:r w:rsidRPr="008A1F48">
        <w:rPr>
          <w:rFonts w:ascii="Palatino Linotype" w:hAnsi="Palatino Linotype" w:cstheme="minorHAnsi"/>
          <w:sz w:val="22"/>
          <w:szCs w:val="22"/>
          <w:lang w:eastAsia="ar-SA"/>
        </w:rPr>
        <w:t xml:space="preserve">l 26 de abril de 2019, mediante oficio No. STHV-DMPPS-2019-1877, suscrito por el Arq. Jacobo Herdoíza, Secretario de Territorio, Hábitat y Vivienda, dirigido al Abg. Diego Cevallos, Secretario General del Concejo Metropolitano, se remite el </w:t>
      </w:r>
      <w:r w:rsidR="007A3B3C">
        <w:rPr>
          <w:rFonts w:ascii="Palatino Linotype" w:hAnsi="Palatino Linotype" w:cstheme="minorHAnsi"/>
          <w:sz w:val="22"/>
          <w:szCs w:val="22"/>
          <w:lang w:eastAsia="ar-SA"/>
        </w:rPr>
        <w:t>i</w:t>
      </w:r>
      <w:r w:rsidRPr="008A1F48">
        <w:rPr>
          <w:rFonts w:ascii="Palatino Linotype" w:hAnsi="Palatino Linotype" w:cstheme="minorHAnsi"/>
          <w:sz w:val="22"/>
          <w:szCs w:val="22"/>
          <w:lang w:eastAsia="ar-SA"/>
        </w:rPr>
        <w:t xml:space="preserve">nforme que contiene las matrices reorganizadas conforme lo dispuesto por la Comisión de Uso de Suelo, organizando los casos en 5 </w:t>
      </w:r>
      <w:r w:rsidR="007A3B3C">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 xml:space="preserve">atrices categorizadas de la siguiente manera: : </w:t>
      </w:r>
      <w:r w:rsidRPr="008A1F48">
        <w:rPr>
          <w:rFonts w:ascii="Palatino Linotype" w:hAnsi="Palatino Linotype"/>
          <w:sz w:val="22"/>
          <w:szCs w:val="22"/>
        </w:rPr>
        <w:t xml:space="preserve">a) </w:t>
      </w:r>
      <w:r w:rsidRPr="008A1F48">
        <w:rPr>
          <w:rFonts w:ascii="Palatino Linotype" w:eastAsia="Times New Roman" w:hAnsi="Palatino Linotype" w:cs="Times New Roman"/>
          <w:sz w:val="22"/>
          <w:szCs w:val="22"/>
          <w:lang w:val="es-ES"/>
        </w:rPr>
        <w:t xml:space="preserve">Matriz 1: Polígonos que se incorporan en la Matriz de Cambios 2019; b) Matriz 2: Polígonos que corresponden a procesos administrativos para su incorporación al PUOS sustentados en ordenanzas o competencias administrativas de la STHV; c) Matriz 3: Polígonos en espera de verificación de información, relacionada a licencias metropolitanas urbanísticas, actividades económicas y concesiones mineras, que sustente su cambio en el PUOS; d) Matriz 4: Polígonos que deberán considerarse en las reformas de las </w:t>
      </w:r>
      <w:r w:rsidR="007A3B3C">
        <w:rPr>
          <w:rFonts w:ascii="Palatino Linotype" w:eastAsia="Times New Roman" w:hAnsi="Palatino Linotype" w:cs="Times New Roman"/>
          <w:sz w:val="22"/>
          <w:szCs w:val="22"/>
          <w:lang w:val="es-ES"/>
        </w:rPr>
        <w:t>o</w:t>
      </w:r>
      <w:r w:rsidRPr="008A1F48">
        <w:rPr>
          <w:rFonts w:ascii="Palatino Linotype" w:eastAsia="Times New Roman" w:hAnsi="Palatino Linotype" w:cs="Times New Roman"/>
          <w:sz w:val="22"/>
          <w:szCs w:val="22"/>
          <w:lang w:val="es-ES"/>
        </w:rPr>
        <w:t xml:space="preserve">rdenanzas de connotación </w:t>
      </w:r>
      <w:r w:rsidR="007A3B3C">
        <w:rPr>
          <w:rFonts w:ascii="Palatino Linotype" w:eastAsia="Times New Roman" w:hAnsi="Palatino Linotype" w:cs="Times New Roman"/>
          <w:sz w:val="22"/>
          <w:szCs w:val="22"/>
          <w:lang w:val="es-ES"/>
        </w:rPr>
        <w:t>a</w:t>
      </w:r>
      <w:r w:rsidRPr="008A1F48">
        <w:rPr>
          <w:rFonts w:ascii="Palatino Linotype" w:eastAsia="Times New Roman" w:hAnsi="Palatino Linotype" w:cs="Times New Roman"/>
          <w:sz w:val="22"/>
          <w:szCs w:val="22"/>
          <w:lang w:val="es-ES"/>
        </w:rPr>
        <w:t>mbiental correspondientes y; e) Matriz 5: Polígonos que ratifican la reversión de asignaciones.</w:t>
      </w:r>
    </w:p>
    <w:p w14:paraId="4068AFBF" w14:textId="77777777" w:rsidR="00FC0AC2" w:rsidRPr="008A1F48" w:rsidRDefault="00FC0AC2" w:rsidP="00FC0AC2">
      <w:pPr>
        <w:ind w:left="567" w:hanging="567"/>
        <w:jc w:val="both"/>
        <w:rPr>
          <w:rFonts w:ascii="Palatino Linotype" w:eastAsia="Times New Roman" w:hAnsi="Palatino Linotype" w:cs="Times New Roman"/>
          <w:sz w:val="22"/>
          <w:szCs w:val="22"/>
          <w:lang w:val="es-ES"/>
        </w:rPr>
      </w:pPr>
    </w:p>
    <w:p w14:paraId="0B2B1871" w14:textId="0771475D" w:rsidR="00FC0AC2" w:rsidRPr="008A1F48" w:rsidRDefault="00FC0AC2" w:rsidP="00FC0AC2">
      <w:pPr>
        <w:ind w:left="567" w:hanging="567"/>
        <w:jc w:val="both"/>
        <w:rPr>
          <w:rFonts w:ascii="Palatino Linotype" w:eastAsia="Times New Roman" w:hAnsi="Palatino Linotype" w:cs="Times New Roman"/>
          <w:sz w:val="22"/>
          <w:szCs w:val="22"/>
          <w:lang w:val="es-ES"/>
        </w:rPr>
      </w:pPr>
      <w:r w:rsidRPr="008A1F48">
        <w:rPr>
          <w:rFonts w:ascii="Palatino Linotype" w:hAnsi="Palatino Linotype" w:cstheme="minorHAnsi"/>
          <w:b/>
          <w:sz w:val="22"/>
          <w:szCs w:val="22"/>
          <w:lang w:eastAsia="ar-SA"/>
        </w:rPr>
        <w:t xml:space="preserve">Que, </w:t>
      </w:r>
      <w:r w:rsidRPr="008A1F48">
        <w:rPr>
          <w:rFonts w:ascii="Palatino Linotype" w:eastAsia="Times New Roman" w:hAnsi="Palatino Linotype" w:cs="Times New Roman"/>
          <w:sz w:val="22"/>
          <w:szCs w:val="22"/>
          <w:lang w:val="es-ES"/>
        </w:rPr>
        <w:t xml:space="preserve">el 06 de mayo de 2019 el Concejo Metropolitano de Quito conoció en </w:t>
      </w:r>
      <w:r w:rsidR="007A3B3C">
        <w:rPr>
          <w:rFonts w:ascii="Palatino Linotype" w:eastAsia="Times New Roman" w:hAnsi="Palatino Linotype" w:cs="Times New Roman"/>
          <w:sz w:val="22"/>
          <w:szCs w:val="22"/>
          <w:lang w:val="es-ES"/>
        </w:rPr>
        <w:t>p</w:t>
      </w:r>
      <w:r w:rsidRPr="008A1F48">
        <w:rPr>
          <w:rFonts w:ascii="Palatino Linotype" w:eastAsia="Times New Roman" w:hAnsi="Palatino Linotype" w:cs="Times New Roman"/>
          <w:sz w:val="22"/>
          <w:szCs w:val="22"/>
          <w:lang w:val="es-ES"/>
        </w:rPr>
        <w:t xml:space="preserve">rimer </w:t>
      </w:r>
      <w:r w:rsidR="007A3B3C">
        <w:rPr>
          <w:rFonts w:ascii="Palatino Linotype" w:eastAsia="Times New Roman" w:hAnsi="Palatino Linotype" w:cs="Times New Roman"/>
          <w:sz w:val="22"/>
          <w:szCs w:val="22"/>
          <w:lang w:val="es-ES"/>
        </w:rPr>
        <w:t>d</w:t>
      </w:r>
      <w:r w:rsidRPr="008A1F48">
        <w:rPr>
          <w:rFonts w:ascii="Palatino Linotype" w:eastAsia="Times New Roman" w:hAnsi="Palatino Linotype" w:cs="Times New Roman"/>
          <w:sz w:val="22"/>
          <w:szCs w:val="22"/>
          <w:lang w:val="es-ES"/>
        </w:rPr>
        <w:t xml:space="preserve">ebate el proyecto de </w:t>
      </w:r>
      <w:r w:rsidR="007A3B3C">
        <w:rPr>
          <w:rFonts w:ascii="Palatino Linotype" w:eastAsia="Times New Roman" w:hAnsi="Palatino Linotype" w:cs="Times New Roman"/>
          <w:sz w:val="22"/>
          <w:szCs w:val="22"/>
          <w:lang w:val="es-ES"/>
        </w:rPr>
        <w:t>o</w:t>
      </w:r>
      <w:r w:rsidRPr="008A1F48">
        <w:rPr>
          <w:rFonts w:ascii="Palatino Linotype" w:eastAsia="Times New Roman" w:hAnsi="Palatino Linotype" w:cs="Times New Roman"/>
          <w:sz w:val="22"/>
          <w:szCs w:val="22"/>
          <w:lang w:val="es-ES"/>
        </w:rPr>
        <w:t xml:space="preserve">rdenanza </w:t>
      </w:r>
      <w:r w:rsidR="007A3B3C">
        <w:rPr>
          <w:rFonts w:ascii="Palatino Linotype" w:eastAsia="Times New Roman" w:hAnsi="Palatino Linotype" w:cs="Times New Roman"/>
          <w:sz w:val="22"/>
          <w:szCs w:val="22"/>
          <w:lang w:val="es-ES"/>
        </w:rPr>
        <w:t>m</w:t>
      </w:r>
      <w:r w:rsidRPr="008A1F48">
        <w:rPr>
          <w:rFonts w:ascii="Palatino Linotype" w:eastAsia="Times New Roman" w:hAnsi="Palatino Linotype" w:cs="Times New Roman"/>
          <w:sz w:val="22"/>
          <w:szCs w:val="22"/>
          <w:lang w:val="es-ES"/>
        </w:rPr>
        <w:t xml:space="preserve">odificatoria de la </w:t>
      </w:r>
      <w:r w:rsidR="007A3B3C">
        <w:rPr>
          <w:rFonts w:ascii="Palatino Linotype" w:eastAsia="Times New Roman" w:hAnsi="Palatino Linotype" w:cs="Times New Roman"/>
          <w:sz w:val="22"/>
          <w:szCs w:val="22"/>
          <w:lang w:val="es-ES"/>
        </w:rPr>
        <w:t>o</w:t>
      </w:r>
      <w:r w:rsidRPr="008A1F48">
        <w:rPr>
          <w:rFonts w:ascii="Palatino Linotype" w:eastAsia="Times New Roman" w:hAnsi="Palatino Linotype" w:cs="Times New Roman"/>
          <w:sz w:val="22"/>
          <w:szCs w:val="22"/>
          <w:lang w:val="es-ES"/>
        </w:rPr>
        <w:t xml:space="preserve">rdenanza </w:t>
      </w:r>
      <w:r w:rsidR="007A3B3C">
        <w:rPr>
          <w:rFonts w:ascii="Palatino Linotype" w:eastAsia="Times New Roman" w:hAnsi="Palatino Linotype" w:cs="Times New Roman"/>
          <w:sz w:val="22"/>
          <w:szCs w:val="22"/>
          <w:lang w:val="es-ES"/>
        </w:rPr>
        <w:t>m</w:t>
      </w:r>
      <w:r w:rsidRPr="008A1F48">
        <w:rPr>
          <w:rFonts w:ascii="Palatino Linotype" w:eastAsia="Times New Roman" w:hAnsi="Palatino Linotype" w:cs="Times New Roman"/>
          <w:sz w:val="22"/>
          <w:szCs w:val="22"/>
          <w:lang w:val="es-ES"/>
        </w:rPr>
        <w:t xml:space="preserve">etropolitana No. 0127 de julio de 2016 que contiene el Plan de Uso y Ocupación de Suelo (PUOS), reformada por la </w:t>
      </w:r>
      <w:r w:rsidR="007A3B3C">
        <w:rPr>
          <w:rFonts w:ascii="Palatino Linotype" w:eastAsia="Times New Roman" w:hAnsi="Palatino Linotype" w:cs="Times New Roman"/>
          <w:sz w:val="22"/>
          <w:szCs w:val="22"/>
          <w:lang w:val="es-ES"/>
        </w:rPr>
        <w:t>o</w:t>
      </w:r>
      <w:r w:rsidRPr="008A1F48">
        <w:rPr>
          <w:rFonts w:ascii="Palatino Linotype" w:eastAsia="Times New Roman" w:hAnsi="Palatino Linotype" w:cs="Times New Roman"/>
          <w:sz w:val="22"/>
          <w:szCs w:val="22"/>
          <w:lang w:val="es-ES"/>
        </w:rPr>
        <w:t xml:space="preserve">rdenanza </w:t>
      </w:r>
      <w:r w:rsidR="007A3B3C">
        <w:rPr>
          <w:rFonts w:ascii="Palatino Linotype" w:eastAsia="Times New Roman" w:hAnsi="Palatino Linotype" w:cs="Times New Roman"/>
          <w:sz w:val="22"/>
          <w:szCs w:val="22"/>
          <w:lang w:val="es-ES"/>
        </w:rPr>
        <w:t>m</w:t>
      </w:r>
      <w:r w:rsidRPr="008A1F48">
        <w:rPr>
          <w:rFonts w:ascii="Palatino Linotype" w:eastAsia="Times New Roman" w:hAnsi="Palatino Linotype" w:cs="Times New Roman"/>
          <w:sz w:val="22"/>
          <w:szCs w:val="22"/>
          <w:lang w:val="es-ES"/>
        </w:rPr>
        <w:t xml:space="preserve">etropolitana No. 0192 de 20 de </w:t>
      </w:r>
      <w:r w:rsidR="007A3B3C">
        <w:rPr>
          <w:rFonts w:ascii="Palatino Linotype" w:eastAsia="Times New Roman" w:hAnsi="Palatino Linotype" w:cs="Times New Roman"/>
          <w:sz w:val="22"/>
          <w:szCs w:val="22"/>
          <w:lang w:val="es-ES"/>
        </w:rPr>
        <w:t>d</w:t>
      </w:r>
      <w:r w:rsidRPr="008A1F48">
        <w:rPr>
          <w:rFonts w:ascii="Palatino Linotype" w:eastAsia="Times New Roman" w:hAnsi="Palatino Linotype" w:cs="Times New Roman"/>
          <w:sz w:val="22"/>
          <w:szCs w:val="22"/>
          <w:lang w:val="es-ES"/>
        </w:rPr>
        <w:t xml:space="preserve">iciembre de 2017 y No. 210 de 12 de </w:t>
      </w:r>
      <w:r w:rsidR="007A3B3C">
        <w:rPr>
          <w:rFonts w:ascii="Palatino Linotype" w:eastAsia="Times New Roman" w:hAnsi="Palatino Linotype" w:cs="Times New Roman"/>
          <w:sz w:val="22"/>
          <w:szCs w:val="22"/>
          <w:lang w:val="es-ES"/>
        </w:rPr>
        <w:t>a</w:t>
      </w:r>
      <w:r w:rsidRPr="008A1F48">
        <w:rPr>
          <w:rFonts w:ascii="Palatino Linotype" w:eastAsia="Times New Roman" w:hAnsi="Palatino Linotype" w:cs="Times New Roman"/>
          <w:sz w:val="22"/>
          <w:szCs w:val="22"/>
          <w:lang w:val="es-ES"/>
        </w:rPr>
        <w:t>bril de 2018.</w:t>
      </w:r>
    </w:p>
    <w:p w14:paraId="0F5569AA" w14:textId="5F2D7A30" w:rsidR="00FC0AC2" w:rsidRPr="008A1F48" w:rsidRDefault="00FC0AC2" w:rsidP="00FC0AC2">
      <w:pPr>
        <w:ind w:left="567" w:hanging="567"/>
        <w:jc w:val="both"/>
        <w:rPr>
          <w:rFonts w:ascii="Palatino Linotype" w:eastAsia="Times New Roman" w:hAnsi="Palatino Linotype" w:cs="Times New Roman"/>
          <w:sz w:val="22"/>
          <w:szCs w:val="22"/>
          <w:lang w:val="es-ES"/>
        </w:rPr>
      </w:pPr>
    </w:p>
    <w:p w14:paraId="6EB56FB5" w14:textId="7A41BBBC" w:rsidR="00A60DA7" w:rsidRPr="008A1F48" w:rsidRDefault="00A60DA7" w:rsidP="00FC0AC2">
      <w:pPr>
        <w:ind w:left="567" w:hanging="567"/>
        <w:jc w:val="both"/>
        <w:rPr>
          <w:rFonts w:ascii="Palatino Linotype" w:hAnsi="Palatino Linotype"/>
          <w:sz w:val="22"/>
          <w:szCs w:val="22"/>
        </w:rPr>
      </w:pPr>
      <w:r w:rsidRPr="008A1F48">
        <w:rPr>
          <w:rFonts w:ascii="Palatino Linotype" w:hAnsi="Palatino Linotype"/>
          <w:b/>
          <w:bCs/>
          <w:sz w:val="22"/>
          <w:szCs w:val="22"/>
        </w:rPr>
        <w:t>Que,</w:t>
      </w:r>
      <w:r w:rsidRPr="008A1F48">
        <w:rPr>
          <w:rFonts w:ascii="Palatino Linotype" w:hAnsi="Palatino Linotype"/>
          <w:sz w:val="22"/>
          <w:szCs w:val="22"/>
        </w:rPr>
        <w:t xml:space="preserve"> el </w:t>
      </w:r>
      <w:r w:rsidRPr="008A1F48">
        <w:rPr>
          <w:rFonts w:ascii="Palatino Linotype" w:hAnsi="Palatino Linotype"/>
          <w:color w:val="000000" w:themeColor="text1"/>
          <w:sz w:val="22"/>
          <w:szCs w:val="22"/>
        </w:rPr>
        <w:t>8</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mayo de 2019, la Comisión de Uso de Suelo emitió informe favorable para que el Concejo Metropolitano conozca en </w:t>
      </w:r>
      <w:r w:rsidR="007A3B3C">
        <w:rPr>
          <w:rFonts w:ascii="Palatino Linotype" w:hAnsi="Palatino Linotype"/>
          <w:sz w:val="22"/>
          <w:szCs w:val="22"/>
        </w:rPr>
        <w:t>s</w:t>
      </w:r>
      <w:r w:rsidRPr="008A1F48">
        <w:rPr>
          <w:rFonts w:ascii="Palatino Linotype" w:hAnsi="Palatino Linotype"/>
          <w:sz w:val="22"/>
          <w:szCs w:val="22"/>
        </w:rPr>
        <w:t xml:space="preserve">egundo </w:t>
      </w:r>
      <w:r w:rsidR="007A3B3C">
        <w:rPr>
          <w:rFonts w:ascii="Palatino Linotype" w:hAnsi="Palatino Linotype"/>
          <w:sz w:val="22"/>
          <w:szCs w:val="22"/>
        </w:rPr>
        <w:t>d</w:t>
      </w:r>
      <w:r w:rsidRPr="008A1F48">
        <w:rPr>
          <w:rFonts w:ascii="Palatino Linotype" w:hAnsi="Palatino Linotype"/>
          <w:sz w:val="22"/>
          <w:szCs w:val="22"/>
        </w:rPr>
        <w:t xml:space="preserve">ebate el proyecto de </w:t>
      </w:r>
      <w:r w:rsidRPr="008A1F48">
        <w:rPr>
          <w:rFonts w:ascii="Palatino Linotype" w:hAnsi="Palatino Linotype"/>
          <w:sz w:val="22"/>
          <w:szCs w:val="22"/>
        </w:rPr>
        <w:lastRenderedPageBreak/>
        <w:t>ordenanza en mención, incorporando la Matriz de Cambios 2019 con ciento diez y nueve (119) polígonos, de los cuales, los 10 polígonos incorporados en la sesión extraordinaria de la Comisión de Uso de Suelo del 08 de mayo de 2019, quedan a consideración y ratificación por parte del Concejo Metropolitano para ser incluidos en la Matriz de Cambios 2019.</w:t>
      </w:r>
    </w:p>
    <w:p w14:paraId="0D0F93F7" w14:textId="77777777" w:rsidR="00A60DA7" w:rsidRPr="008A1F48" w:rsidRDefault="00A60DA7" w:rsidP="00A60DA7">
      <w:pPr>
        <w:jc w:val="both"/>
        <w:rPr>
          <w:rFonts w:ascii="Palatino Linotype" w:eastAsia="Times New Roman" w:hAnsi="Palatino Linotype" w:cs="Times New Roman"/>
          <w:sz w:val="22"/>
          <w:szCs w:val="22"/>
          <w:lang w:val="es-ES"/>
        </w:rPr>
      </w:pPr>
    </w:p>
    <w:p w14:paraId="7E9EDDF3" w14:textId="4BCBC940" w:rsidR="001E4D5C" w:rsidRPr="008A1F48" w:rsidRDefault="00A60DA7" w:rsidP="001E4D5C">
      <w:pPr>
        <w:spacing w:line="276" w:lineRule="auto"/>
        <w:ind w:left="567" w:hanging="567"/>
        <w:jc w:val="both"/>
        <w:rPr>
          <w:rFonts w:ascii="Palatino Linotype" w:hAnsi="Palatino Linotype"/>
          <w:sz w:val="22"/>
          <w:szCs w:val="22"/>
        </w:rPr>
      </w:pPr>
      <w:r w:rsidRPr="008A1F48">
        <w:rPr>
          <w:rFonts w:ascii="Palatino Linotype" w:eastAsia="Times New Roman" w:hAnsi="Palatino Linotype" w:cs="Times New Roman"/>
          <w:b/>
          <w:sz w:val="22"/>
          <w:szCs w:val="22"/>
          <w:lang w:val="es-ES"/>
        </w:rPr>
        <w:t>Que,</w:t>
      </w:r>
      <w:r w:rsidRPr="008A1F48">
        <w:rPr>
          <w:rFonts w:ascii="Palatino Linotype" w:eastAsia="Times New Roman" w:hAnsi="Palatino Linotype" w:cs="Times New Roman"/>
          <w:sz w:val="22"/>
          <w:szCs w:val="22"/>
          <w:lang w:val="es-ES"/>
        </w:rPr>
        <w:t xml:space="preserve"> </w:t>
      </w:r>
      <w:r w:rsidRPr="008A1F48">
        <w:rPr>
          <w:rFonts w:ascii="Palatino Linotype" w:hAnsi="Palatino Linotype"/>
          <w:sz w:val="22"/>
          <w:szCs w:val="22"/>
        </w:rPr>
        <w:t>para continuar con el tratamiento de este proyecto de ordenanza, el Alcalde del Distrito Metropolitano de Quito convocó a todos los miembros del Concejo Metropolitano a dos mesas de trabajo, celebradas los dí</w:t>
      </w:r>
      <w:r w:rsidR="007A3B3C">
        <w:rPr>
          <w:rFonts w:ascii="Palatino Linotype" w:hAnsi="Palatino Linotype"/>
          <w:sz w:val="22"/>
          <w:szCs w:val="22"/>
        </w:rPr>
        <w:t>as</w:t>
      </w:r>
      <w:r w:rsidRPr="008A1F48">
        <w:rPr>
          <w:rFonts w:ascii="Palatino Linotype" w:hAnsi="Palatino Linotype"/>
          <w:sz w:val="22"/>
          <w:szCs w:val="22"/>
        </w:rPr>
        <w:t xml:space="preserve"> martes </w:t>
      </w:r>
      <w:r w:rsidR="005E639B" w:rsidRPr="008A1F48">
        <w:rPr>
          <w:rFonts w:ascii="Palatino Linotype" w:hAnsi="Palatino Linotype"/>
          <w:sz w:val="22"/>
          <w:szCs w:val="22"/>
        </w:rPr>
        <w:t>13</w:t>
      </w:r>
      <w:r w:rsidRPr="008A1F48">
        <w:rPr>
          <w:rFonts w:ascii="Palatino Linotype" w:hAnsi="Palatino Linotype"/>
          <w:sz w:val="22"/>
          <w:szCs w:val="22"/>
        </w:rPr>
        <w:t xml:space="preserve"> de agosto de 2019 y </w:t>
      </w:r>
      <w:r w:rsidR="00320CE2" w:rsidRPr="008A1F48">
        <w:rPr>
          <w:rFonts w:ascii="Palatino Linotype" w:hAnsi="Palatino Linotype"/>
          <w:sz w:val="22"/>
          <w:szCs w:val="22"/>
        </w:rPr>
        <w:t>jueves</w:t>
      </w:r>
      <w:r w:rsidRPr="008A1F48">
        <w:rPr>
          <w:rFonts w:ascii="Palatino Linotype" w:hAnsi="Palatino Linotype"/>
          <w:sz w:val="22"/>
          <w:szCs w:val="22"/>
        </w:rPr>
        <w:t xml:space="preserve"> 1</w:t>
      </w:r>
      <w:r w:rsidR="00320CE2" w:rsidRPr="008A1F48">
        <w:rPr>
          <w:rFonts w:ascii="Palatino Linotype" w:hAnsi="Palatino Linotype"/>
          <w:sz w:val="22"/>
          <w:szCs w:val="22"/>
        </w:rPr>
        <w:t>2</w:t>
      </w:r>
      <w:r w:rsidRPr="008A1F48">
        <w:rPr>
          <w:rFonts w:ascii="Palatino Linotype" w:hAnsi="Palatino Linotype"/>
          <w:sz w:val="22"/>
          <w:szCs w:val="22"/>
        </w:rPr>
        <w:t xml:space="preserve"> de septiembre de 2019 respectivamente, en las que, </w:t>
      </w:r>
      <w:r w:rsidR="0036091A" w:rsidRPr="008A1F48">
        <w:rPr>
          <w:rFonts w:ascii="Palatino Linotype" w:hAnsi="Palatino Linotype"/>
          <w:sz w:val="22"/>
          <w:szCs w:val="22"/>
        </w:rPr>
        <w:t xml:space="preserve">el Arq. Vladimir Tapa, Director Metropolitano de Políticas de Planeamiento del Suelo de la Secretaría de Territorio, Hábitat y Vivienda, </w:t>
      </w:r>
      <w:r w:rsidRPr="008A1F48">
        <w:rPr>
          <w:rFonts w:ascii="Palatino Linotype" w:hAnsi="Palatino Linotype"/>
          <w:sz w:val="22"/>
          <w:szCs w:val="22"/>
        </w:rPr>
        <w:t xml:space="preserve"> presentó técnicamente la cronología de todo el proceso y la conformación de la Matriz de Cambios 2019</w:t>
      </w:r>
      <w:r w:rsidR="001E4D5C" w:rsidRPr="008A1F48">
        <w:rPr>
          <w:rFonts w:ascii="Palatino Linotype" w:hAnsi="Palatino Linotype"/>
          <w:sz w:val="22"/>
          <w:szCs w:val="22"/>
        </w:rPr>
        <w:t xml:space="preserve">. La primera mesa de trabajo se realizó el martes </w:t>
      </w:r>
      <w:r w:rsidR="005E639B" w:rsidRPr="008A1F48">
        <w:rPr>
          <w:rFonts w:ascii="Palatino Linotype" w:hAnsi="Palatino Linotype"/>
          <w:sz w:val="22"/>
          <w:szCs w:val="22"/>
        </w:rPr>
        <w:t>13</w:t>
      </w:r>
      <w:r w:rsidR="001E4D5C" w:rsidRPr="008A1F48">
        <w:rPr>
          <w:rFonts w:ascii="Palatino Linotype" w:hAnsi="Palatino Linotype"/>
          <w:sz w:val="22"/>
          <w:szCs w:val="22"/>
        </w:rPr>
        <w:t xml:space="preserve"> de agosto de 2019 en la</w:t>
      </w:r>
      <w:r w:rsidR="0036091A" w:rsidRPr="008A1F48">
        <w:rPr>
          <w:rFonts w:ascii="Palatino Linotype" w:hAnsi="Palatino Linotype"/>
          <w:sz w:val="22"/>
          <w:szCs w:val="22"/>
        </w:rPr>
        <w:t xml:space="preserve"> cual se</w:t>
      </w:r>
      <w:r w:rsidR="001E4D5C" w:rsidRPr="008A1F48">
        <w:rPr>
          <w:rFonts w:ascii="Palatino Linotype" w:hAnsi="Palatino Linotype"/>
          <w:sz w:val="22"/>
          <w:szCs w:val="22"/>
        </w:rPr>
        <w:t xml:space="preserve"> presentó técnicamente la cronología de todo el proceso y la conformación de la Matriz de Cambios 2019 y se conocieron a detalle los cinco primeros casos, los cuales son: Familia Arroyo Acosta, Fábrica </w:t>
      </w:r>
      <w:proofErr w:type="spellStart"/>
      <w:r w:rsidR="001E4D5C" w:rsidRPr="008A1F48">
        <w:rPr>
          <w:rFonts w:ascii="Palatino Linotype" w:hAnsi="Palatino Linotype"/>
          <w:sz w:val="22"/>
          <w:szCs w:val="22"/>
        </w:rPr>
        <w:t>Zaimella</w:t>
      </w:r>
      <w:proofErr w:type="spellEnd"/>
      <w:r w:rsidR="001E4D5C" w:rsidRPr="008A1F48">
        <w:rPr>
          <w:rFonts w:ascii="Palatino Linotype" w:hAnsi="Palatino Linotype"/>
          <w:sz w:val="22"/>
          <w:szCs w:val="22"/>
        </w:rPr>
        <w:t>, Avenida Interoceánica, Convenio Ruta Viva, Hacienda Nápoles</w:t>
      </w:r>
    </w:p>
    <w:p w14:paraId="121D6746" w14:textId="77777777" w:rsidR="00A60DA7" w:rsidRPr="008A1F48" w:rsidRDefault="00A60DA7" w:rsidP="00FC0AC2">
      <w:pPr>
        <w:ind w:left="567" w:hanging="567"/>
        <w:jc w:val="both"/>
        <w:rPr>
          <w:rFonts w:ascii="Palatino Linotype" w:eastAsia="Times New Roman" w:hAnsi="Palatino Linotype" w:cs="Times New Roman"/>
          <w:sz w:val="22"/>
          <w:szCs w:val="22"/>
          <w:lang w:val="es-ES"/>
        </w:rPr>
      </w:pPr>
    </w:p>
    <w:p w14:paraId="5AC36497" w14:textId="35EFD02E" w:rsidR="00FC0AC2" w:rsidRPr="008A1F48" w:rsidRDefault="00FC0AC2" w:rsidP="00FC0AC2">
      <w:pPr>
        <w:ind w:left="567" w:hanging="567"/>
        <w:jc w:val="both"/>
        <w:rPr>
          <w:rFonts w:ascii="Palatino Linotype" w:eastAsia="Times New Roman" w:hAnsi="Palatino Linotype" w:cs="Times New Roman"/>
          <w:sz w:val="22"/>
          <w:szCs w:val="22"/>
          <w:lang w:val="es-ES"/>
        </w:rPr>
      </w:pPr>
      <w:r w:rsidRPr="008A1F48">
        <w:rPr>
          <w:rFonts w:ascii="Palatino Linotype" w:hAnsi="Palatino Linotype" w:cstheme="minorHAnsi"/>
          <w:b/>
          <w:sz w:val="22"/>
          <w:szCs w:val="22"/>
          <w:lang w:eastAsia="ar-SA"/>
        </w:rPr>
        <w:t xml:space="preserve">Que, </w:t>
      </w:r>
      <w:r w:rsidRPr="008A1F48">
        <w:rPr>
          <w:rFonts w:ascii="Palatino Linotype" w:eastAsia="Times New Roman" w:hAnsi="Palatino Linotype" w:cs="Times New Roman"/>
          <w:sz w:val="22"/>
          <w:szCs w:val="22"/>
          <w:lang w:val="es-ES"/>
        </w:rPr>
        <w:t xml:space="preserve">mediante oficio No. STHV-2019-0058-O del 09 de septiembre de 2019, el Arq. Rafael Carrasco, en su calidad de Secretario de Territorio, Hábitat y Vivienda remite el informe técnico respecto a los diez (10) casos adicionales que no forman parte de los 354 casos que no se registraron en la Matriz de </w:t>
      </w:r>
      <w:r w:rsidR="007A3B3C">
        <w:rPr>
          <w:rFonts w:ascii="Palatino Linotype" w:eastAsia="Times New Roman" w:hAnsi="Palatino Linotype" w:cs="Times New Roman"/>
          <w:sz w:val="22"/>
          <w:szCs w:val="22"/>
          <w:lang w:val="es-ES"/>
        </w:rPr>
        <w:t>C</w:t>
      </w:r>
      <w:r w:rsidRPr="008A1F48">
        <w:rPr>
          <w:rFonts w:ascii="Palatino Linotype" w:eastAsia="Times New Roman" w:hAnsi="Palatino Linotype" w:cs="Times New Roman"/>
          <w:sz w:val="22"/>
          <w:szCs w:val="22"/>
          <w:lang w:val="es-ES"/>
        </w:rPr>
        <w:t>ambios 2016 y que fueron incorporados en la Matriz de Cambios 2019 del proyecto de Ordenanza Modificatoria de la Ordenanza Metropolitana No. 0127 de julio de 2016 que contiene el Plan de Uso y Ocupación de Suelo (PUOS), en virtud de la facultad edilicia contenida en el artículo IV.1.18 del Libro IV del Código Municipal para el Distrito Metropolitano de Quito.</w:t>
      </w:r>
    </w:p>
    <w:p w14:paraId="573B60C8" w14:textId="1BFCCEAC" w:rsidR="001E4D5C" w:rsidRPr="008A1F48" w:rsidRDefault="001E4D5C" w:rsidP="00FC0AC2">
      <w:pPr>
        <w:ind w:left="567" w:hanging="567"/>
        <w:jc w:val="both"/>
        <w:rPr>
          <w:rFonts w:ascii="Palatino Linotype" w:eastAsia="Times New Roman" w:hAnsi="Palatino Linotype" w:cs="Times New Roman"/>
          <w:sz w:val="22"/>
          <w:szCs w:val="22"/>
          <w:lang w:val="es-ES"/>
        </w:rPr>
      </w:pPr>
    </w:p>
    <w:p w14:paraId="4C91532E" w14:textId="1CA89793" w:rsidR="001E4D5C" w:rsidRPr="008A1F48" w:rsidRDefault="001E4D5C" w:rsidP="001E4D5C">
      <w:pPr>
        <w:spacing w:line="276" w:lineRule="auto"/>
        <w:ind w:left="567" w:hanging="567"/>
        <w:jc w:val="both"/>
        <w:rPr>
          <w:rFonts w:ascii="Palatino Linotype" w:hAnsi="Palatino Linotype"/>
          <w:sz w:val="22"/>
          <w:szCs w:val="22"/>
        </w:rPr>
      </w:pPr>
      <w:r w:rsidRPr="008A1F48">
        <w:rPr>
          <w:rFonts w:ascii="Palatino Linotype" w:hAnsi="Palatino Linotype"/>
          <w:sz w:val="22"/>
          <w:szCs w:val="22"/>
        </w:rPr>
        <w:t xml:space="preserve">Que, la segunda mesa de trabajo se realizó el </w:t>
      </w:r>
      <w:r w:rsidR="00320CE2" w:rsidRPr="008A1F48">
        <w:rPr>
          <w:rFonts w:ascii="Palatino Linotype" w:hAnsi="Palatino Linotype"/>
          <w:sz w:val="22"/>
          <w:szCs w:val="22"/>
        </w:rPr>
        <w:t>jueves 12</w:t>
      </w:r>
      <w:r w:rsidRPr="008A1F48">
        <w:rPr>
          <w:rFonts w:ascii="Palatino Linotype" w:hAnsi="Palatino Linotype"/>
          <w:sz w:val="22"/>
          <w:szCs w:val="22"/>
        </w:rPr>
        <w:t xml:space="preserve"> de septiembre de 2019 en la que el Arq. Vladimir Tap</w:t>
      </w:r>
      <w:r w:rsidR="00141E7F" w:rsidRPr="008A1F48">
        <w:rPr>
          <w:rFonts w:ascii="Palatino Linotype" w:hAnsi="Palatino Linotype"/>
          <w:sz w:val="22"/>
          <w:szCs w:val="22"/>
        </w:rPr>
        <w:t>i</w:t>
      </w:r>
      <w:r w:rsidRPr="008A1F48">
        <w:rPr>
          <w:rFonts w:ascii="Palatino Linotype" w:hAnsi="Palatino Linotype"/>
          <w:sz w:val="22"/>
          <w:szCs w:val="22"/>
        </w:rPr>
        <w:t xml:space="preserve">a, Director Metropolitano de Políticas de Planeamiento del Suelo de la Secretaría de Territorio, Hábitat y Vivienda, expuso acerca de los cinco casos restantes, los cuales son:  Predios adyacentes a la industria </w:t>
      </w:r>
      <w:proofErr w:type="spellStart"/>
      <w:r w:rsidRPr="008A1F48">
        <w:rPr>
          <w:rFonts w:ascii="Palatino Linotype" w:hAnsi="Palatino Linotype"/>
          <w:sz w:val="22"/>
          <w:szCs w:val="22"/>
        </w:rPr>
        <w:t>Zaimella</w:t>
      </w:r>
      <w:proofErr w:type="spellEnd"/>
      <w:r w:rsidRPr="008A1F48">
        <w:rPr>
          <w:rFonts w:ascii="Palatino Linotype" w:hAnsi="Palatino Linotype"/>
          <w:sz w:val="22"/>
          <w:szCs w:val="22"/>
        </w:rPr>
        <w:t xml:space="preserve">, </w:t>
      </w:r>
      <w:proofErr w:type="spellStart"/>
      <w:r w:rsidRPr="008A1F48">
        <w:rPr>
          <w:rFonts w:ascii="Palatino Linotype" w:hAnsi="Palatino Linotype"/>
          <w:sz w:val="22"/>
          <w:szCs w:val="22"/>
        </w:rPr>
        <w:t>Citival</w:t>
      </w:r>
      <w:proofErr w:type="spellEnd"/>
      <w:r w:rsidRPr="008A1F48">
        <w:rPr>
          <w:rFonts w:ascii="Palatino Linotype" w:hAnsi="Palatino Linotype"/>
          <w:sz w:val="22"/>
          <w:szCs w:val="22"/>
        </w:rPr>
        <w:t xml:space="preserve">, Centro Comercial San Miguel, </w:t>
      </w:r>
      <w:r w:rsidR="007A3B3C">
        <w:rPr>
          <w:rFonts w:ascii="Palatino Linotype" w:hAnsi="Palatino Linotype"/>
          <w:sz w:val="22"/>
          <w:szCs w:val="22"/>
        </w:rPr>
        <w:t>p</w:t>
      </w:r>
      <w:r w:rsidRPr="008A1F48">
        <w:rPr>
          <w:rFonts w:ascii="Palatino Linotype" w:hAnsi="Palatino Linotype"/>
          <w:sz w:val="22"/>
          <w:szCs w:val="22"/>
        </w:rPr>
        <w:t xml:space="preserve">redio </w:t>
      </w:r>
      <w:r w:rsidR="007A3B3C">
        <w:rPr>
          <w:rFonts w:ascii="Palatino Linotype" w:hAnsi="Palatino Linotype"/>
          <w:sz w:val="22"/>
          <w:szCs w:val="22"/>
        </w:rPr>
        <w:t>s</w:t>
      </w:r>
      <w:r w:rsidRPr="008A1F48">
        <w:rPr>
          <w:rFonts w:ascii="Palatino Linotype" w:hAnsi="Palatino Linotype"/>
          <w:sz w:val="22"/>
          <w:szCs w:val="22"/>
        </w:rPr>
        <w:t xml:space="preserve">olicitado por la </w:t>
      </w:r>
      <w:r w:rsidR="007A3B3C">
        <w:rPr>
          <w:rFonts w:ascii="Palatino Linotype" w:hAnsi="Palatino Linotype"/>
          <w:sz w:val="22"/>
          <w:szCs w:val="22"/>
        </w:rPr>
        <w:t>c</w:t>
      </w:r>
      <w:r w:rsidRPr="008A1F48">
        <w:rPr>
          <w:rFonts w:ascii="Palatino Linotype" w:hAnsi="Palatino Linotype"/>
          <w:sz w:val="22"/>
          <w:szCs w:val="22"/>
        </w:rPr>
        <w:t xml:space="preserve">oncejala Ivonne </w:t>
      </w:r>
      <w:proofErr w:type="spellStart"/>
      <w:r w:rsidRPr="008A1F48">
        <w:rPr>
          <w:rFonts w:ascii="Palatino Linotype" w:hAnsi="Palatino Linotype"/>
          <w:sz w:val="22"/>
          <w:szCs w:val="22"/>
        </w:rPr>
        <w:t>VonLipkke</w:t>
      </w:r>
      <w:proofErr w:type="spellEnd"/>
      <w:r w:rsidRPr="008A1F48">
        <w:rPr>
          <w:rFonts w:ascii="Palatino Linotype" w:hAnsi="Palatino Linotype"/>
          <w:sz w:val="22"/>
          <w:szCs w:val="22"/>
        </w:rPr>
        <w:t xml:space="preserve">. </w:t>
      </w:r>
    </w:p>
    <w:p w14:paraId="12723515" w14:textId="77777777" w:rsidR="00D43734" w:rsidRPr="008A1F48" w:rsidRDefault="00D43734" w:rsidP="00D43734">
      <w:pPr>
        <w:spacing w:line="276" w:lineRule="auto"/>
        <w:jc w:val="both"/>
        <w:rPr>
          <w:rFonts w:ascii="Palatino Linotype" w:hAnsi="Palatino Linotype"/>
          <w:sz w:val="22"/>
          <w:szCs w:val="22"/>
        </w:rPr>
      </w:pPr>
    </w:p>
    <w:p w14:paraId="426827B2" w14:textId="669DD28A" w:rsidR="00D43734" w:rsidRPr="008A1F48" w:rsidRDefault="00D43734" w:rsidP="00BB65D3">
      <w:pPr>
        <w:spacing w:line="276" w:lineRule="auto"/>
        <w:ind w:left="567" w:hanging="567"/>
        <w:jc w:val="both"/>
        <w:rPr>
          <w:rFonts w:ascii="Palatino Linotype" w:hAnsi="Palatino Linotype"/>
          <w:sz w:val="22"/>
          <w:szCs w:val="22"/>
        </w:rPr>
      </w:pPr>
      <w:r w:rsidRPr="008A1F48">
        <w:rPr>
          <w:rFonts w:ascii="Palatino Linotype" w:hAnsi="Palatino Linotype"/>
          <w:b/>
          <w:bCs/>
          <w:sz w:val="22"/>
          <w:szCs w:val="22"/>
        </w:rPr>
        <w:t>Que,</w:t>
      </w:r>
      <w:r w:rsidRPr="008A1F48">
        <w:rPr>
          <w:rFonts w:ascii="Palatino Linotype" w:hAnsi="Palatino Linotype"/>
          <w:sz w:val="22"/>
          <w:szCs w:val="22"/>
        </w:rPr>
        <w:t xml:space="preserve"> mediante oficio No. STHV-2019-</w:t>
      </w:r>
      <w:r w:rsidRPr="008A1F48">
        <w:rPr>
          <w:rFonts w:ascii="Palatino Linotype" w:hAnsi="Palatino Linotype"/>
          <w:color w:val="000000" w:themeColor="text1"/>
          <w:sz w:val="22"/>
          <w:szCs w:val="22"/>
        </w:rPr>
        <w:t xml:space="preserve">0123-O </w:t>
      </w:r>
      <w:r w:rsidRPr="008A1F48">
        <w:rPr>
          <w:rFonts w:ascii="Palatino Linotype" w:hAnsi="Palatino Linotype"/>
          <w:sz w:val="22"/>
          <w:szCs w:val="22"/>
        </w:rPr>
        <w:t xml:space="preserve">del </w:t>
      </w:r>
      <w:r w:rsidRPr="008A1F48">
        <w:rPr>
          <w:rFonts w:ascii="Palatino Linotype" w:hAnsi="Palatino Linotype"/>
          <w:color w:val="000000" w:themeColor="text1"/>
          <w:sz w:val="22"/>
          <w:szCs w:val="22"/>
        </w:rPr>
        <w:t>16</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octubre de 2019, el Arq. Rafael Carrasco, en su calidad de Secretario de Territorio, Hábitat y Vivienda, remite el alcance al informe técnico No. STHV-2019-0058-O del 09 de septiembre de 2019, en virtud de la disposición del cuerpo edilicio del Concejo Metropolitano de Quito en la mesa de trabajo del </w:t>
      </w:r>
      <w:r w:rsidR="00320CE2" w:rsidRPr="008A1F48">
        <w:rPr>
          <w:rFonts w:ascii="Palatino Linotype" w:hAnsi="Palatino Linotype"/>
          <w:sz w:val="22"/>
          <w:szCs w:val="22"/>
        </w:rPr>
        <w:t>jueves 12</w:t>
      </w:r>
      <w:r w:rsidRPr="008A1F48">
        <w:rPr>
          <w:rFonts w:ascii="Palatino Linotype" w:hAnsi="Palatino Linotype"/>
          <w:sz w:val="22"/>
          <w:szCs w:val="22"/>
        </w:rPr>
        <w:t xml:space="preserve"> de septiembre de 2019 de elaborar el respectivo análisis económico sobre los montos de concesión onerosa de derechos que cada uno de los casos mencionados debería pagar a favor del Distrito Metropolitano de </w:t>
      </w:r>
      <w:r w:rsidRPr="008A1F48">
        <w:rPr>
          <w:rFonts w:ascii="Palatino Linotype" w:hAnsi="Palatino Linotype"/>
          <w:sz w:val="22"/>
          <w:szCs w:val="22"/>
        </w:rPr>
        <w:lastRenderedPageBreak/>
        <w:t xml:space="preserve">Quito en compensación del cambio normativo propuesto. Adicionalmente se incorpora el criterio técnico sobre el cambio de uso de suelo del lote con número predial 3697579 de propiedad municipal, donde se proyecta implantar la Estación Intermodal Cumbayá, solicitado por el </w:t>
      </w:r>
      <w:r w:rsidR="007A3B3C">
        <w:rPr>
          <w:rFonts w:ascii="Palatino Linotype" w:hAnsi="Palatino Linotype"/>
          <w:sz w:val="22"/>
          <w:szCs w:val="22"/>
        </w:rPr>
        <w:t>c</w:t>
      </w:r>
      <w:r w:rsidRPr="008A1F48">
        <w:rPr>
          <w:rFonts w:ascii="Palatino Linotype" w:hAnsi="Palatino Linotype"/>
          <w:sz w:val="22"/>
          <w:szCs w:val="22"/>
        </w:rPr>
        <w:t>oncejal Eduardo del Pozo.</w:t>
      </w:r>
    </w:p>
    <w:p w14:paraId="6ABB22D0" w14:textId="77777777" w:rsidR="00B61D0B" w:rsidRPr="008A1F48" w:rsidRDefault="00B61D0B" w:rsidP="00B61D0B">
      <w:pPr>
        <w:spacing w:line="276" w:lineRule="auto"/>
        <w:ind w:left="567" w:hanging="567"/>
        <w:jc w:val="both"/>
        <w:rPr>
          <w:rFonts w:ascii="Palatino Linotype" w:hAnsi="Palatino Linotype"/>
          <w:sz w:val="22"/>
          <w:szCs w:val="22"/>
        </w:rPr>
      </w:pPr>
    </w:p>
    <w:p w14:paraId="303CE747" w14:textId="7D49D70C" w:rsidR="00B61D0B" w:rsidRPr="008A1F48" w:rsidRDefault="00B61D0B" w:rsidP="00B61D0B">
      <w:pPr>
        <w:shd w:val="clear" w:color="auto" w:fill="FFFFFF" w:themeFill="background1"/>
        <w:spacing w:after="120" w:line="276" w:lineRule="auto"/>
        <w:ind w:left="705" w:hanging="705"/>
        <w:jc w:val="both"/>
        <w:outlineLvl w:val="0"/>
        <w:rPr>
          <w:rFonts w:ascii="Palatino Linotype" w:eastAsia="Times New Roman" w:hAnsi="Palatino Linotype" w:cs="Times New Roman"/>
          <w:i/>
          <w:iCs/>
          <w:sz w:val="22"/>
          <w:szCs w:val="22"/>
          <w:lang w:val="es-ES"/>
        </w:rPr>
      </w:pPr>
      <w:r w:rsidRPr="008A1F48">
        <w:rPr>
          <w:rFonts w:ascii="Palatino Linotype" w:hAnsi="Palatino Linotype" w:cs="Arial"/>
          <w:b/>
          <w:bCs/>
          <w:sz w:val="22"/>
          <w:szCs w:val="22"/>
        </w:rPr>
        <w:t>Que,</w:t>
      </w:r>
      <w:r w:rsidRPr="008A1F48">
        <w:rPr>
          <w:rFonts w:ascii="Palatino Linotype" w:hAnsi="Palatino Linotype" w:cs="Arial"/>
          <w:bCs/>
          <w:sz w:val="22"/>
          <w:szCs w:val="22"/>
        </w:rPr>
        <w:t xml:space="preserve"> </w:t>
      </w:r>
      <w:r w:rsidRPr="008A1F48">
        <w:rPr>
          <w:rFonts w:ascii="Palatino Linotype" w:hAnsi="Palatino Linotype" w:cs="Arial"/>
          <w:bCs/>
          <w:sz w:val="22"/>
          <w:szCs w:val="22"/>
        </w:rPr>
        <w:tab/>
      </w:r>
      <w:r w:rsidR="00A60DA7" w:rsidRPr="008A1F48">
        <w:rPr>
          <w:rFonts w:ascii="Palatino Linotype" w:eastAsia="Times New Roman" w:hAnsi="Palatino Linotype" w:cs="Times New Roman"/>
          <w:sz w:val="22"/>
          <w:szCs w:val="22"/>
          <w:lang w:val="es-ES"/>
        </w:rPr>
        <w:t>mediante oficio</w:t>
      </w:r>
      <w:r w:rsidRPr="008A1F48">
        <w:rPr>
          <w:rFonts w:ascii="Palatino Linotype" w:eastAsia="Times New Roman" w:hAnsi="Palatino Linotype" w:cs="Times New Roman"/>
          <w:sz w:val="22"/>
          <w:szCs w:val="22"/>
          <w:lang w:val="es-ES"/>
        </w:rPr>
        <w:t xml:space="preserve"> No.</w:t>
      </w:r>
      <w:r w:rsidR="00A60DA7" w:rsidRPr="008A1F48">
        <w:rPr>
          <w:rFonts w:ascii="Palatino Linotype" w:eastAsia="Times New Roman" w:hAnsi="Palatino Linotype" w:cs="Times New Roman"/>
          <w:sz w:val="22"/>
          <w:szCs w:val="22"/>
          <w:lang w:val="es-ES"/>
        </w:rPr>
        <w:t xml:space="preserve"> GADDMQ-DC-RBG-2019-0038-O</w:t>
      </w:r>
      <w:r w:rsidRPr="008A1F48">
        <w:rPr>
          <w:rFonts w:ascii="Palatino Linotype" w:eastAsia="Times New Roman" w:hAnsi="Palatino Linotype" w:cs="Times New Roman"/>
          <w:sz w:val="22"/>
          <w:szCs w:val="22"/>
          <w:lang w:val="es-ES"/>
        </w:rPr>
        <w:t xml:space="preserve"> </w:t>
      </w:r>
      <w:r w:rsidRPr="008A1F48">
        <w:rPr>
          <w:rFonts w:ascii="Palatino Linotype" w:eastAsia="Times New Roman" w:hAnsi="Palatino Linotype" w:cs="Times New Roman"/>
          <w:color w:val="FF0000"/>
          <w:sz w:val="22"/>
          <w:szCs w:val="22"/>
          <w:lang w:val="es-ES"/>
        </w:rPr>
        <w:t xml:space="preserve"> </w:t>
      </w:r>
      <w:r w:rsidRPr="008A1F48">
        <w:rPr>
          <w:rFonts w:ascii="Palatino Linotype" w:eastAsia="Times New Roman" w:hAnsi="Palatino Linotype" w:cs="Times New Roman"/>
          <w:sz w:val="22"/>
          <w:szCs w:val="22"/>
          <w:lang w:val="es-ES"/>
        </w:rPr>
        <w:t>de</w:t>
      </w:r>
      <w:r w:rsidR="00A60DA7" w:rsidRPr="008A1F48">
        <w:rPr>
          <w:rFonts w:ascii="Palatino Linotype" w:eastAsia="Times New Roman" w:hAnsi="Palatino Linotype" w:cs="Times New Roman"/>
          <w:sz w:val="22"/>
          <w:szCs w:val="22"/>
          <w:lang w:val="es-ES"/>
        </w:rPr>
        <w:t xml:space="preserve"> 19</w:t>
      </w:r>
      <w:r w:rsidRPr="008A1F48">
        <w:rPr>
          <w:rFonts w:ascii="Palatino Linotype" w:eastAsia="Times New Roman" w:hAnsi="Palatino Linotype" w:cs="Times New Roman"/>
          <w:sz w:val="22"/>
          <w:szCs w:val="22"/>
          <w:lang w:val="es-ES"/>
        </w:rPr>
        <w:t xml:space="preserve"> octubre  de 2019, el </w:t>
      </w:r>
      <w:r w:rsidR="00A60DA7" w:rsidRPr="008A1F48">
        <w:rPr>
          <w:rFonts w:ascii="Palatino Linotype" w:eastAsia="Times New Roman" w:hAnsi="Palatino Linotype" w:cs="Times New Roman"/>
          <w:sz w:val="22"/>
          <w:szCs w:val="22"/>
          <w:lang w:val="es-ES"/>
        </w:rPr>
        <w:t>Subp</w:t>
      </w:r>
      <w:r w:rsidRPr="008A1F48">
        <w:rPr>
          <w:rFonts w:ascii="Palatino Linotype" w:eastAsia="Times New Roman" w:hAnsi="Palatino Linotype" w:cs="Times New Roman"/>
          <w:sz w:val="22"/>
          <w:szCs w:val="22"/>
          <w:lang w:val="es-ES"/>
        </w:rPr>
        <w:t>rocurador Metropolitano,</w:t>
      </w:r>
      <w:r w:rsidR="00A60DA7" w:rsidRPr="008A1F48">
        <w:rPr>
          <w:rFonts w:ascii="Palatino Linotype" w:eastAsia="Times New Roman" w:hAnsi="Palatino Linotype" w:cs="Times New Roman"/>
          <w:sz w:val="22"/>
          <w:szCs w:val="22"/>
          <w:lang w:val="es-ES"/>
        </w:rPr>
        <w:t xml:space="preserve"> Dr. Edison Yépez Vinueza,</w:t>
      </w:r>
      <w:r w:rsidRPr="008A1F48">
        <w:rPr>
          <w:rFonts w:ascii="Palatino Linotype" w:eastAsia="Times New Roman" w:hAnsi="Palatino Linotype" w:cs="Times New Roman"/>
          <w:sz w:val="22"/>
          <w:szCs w:val="22"/>
          <w:lang w:val="es-ES"/>
        </w:rPr>
        <w:t xml:space="preserve"> emite criterio legal y en su parte pertinente manifiesta: </w:t>
      </w:r>
      <w:r w:rsidRPr="008A1F48">
        <w:rPr>
          <w:rFonts w:ascii="Palatino Linotype" w:eastAsia="Times New Roman" w:hAnsi="Palatino Linotype" w:cs="Times New Roman"/>
          <w:i/>
          <w:iCs/>
          <w:sz w:val="22"/>
          <w:szCs w:val="22"/>
          <w:lang w:val="es-ES"/>
        </w:rPr>
        <w:t>“(…)</w:t>
      </w:r>
      <w:r w:rsidR="00A60DA7" w:rsidRPr="008A1F48">
        <w:rPr>
          <w:rFonts w:ascii="Palatino Linotype" w:eastAsia="Times New Roman" w:hAnsi="Palatino Linotype" w:cs="Times New Roman"/>
          <w:i/>
          <w:iCs/>
          <w:sz w:val="22"/>
          <w:szCs w:val="22"/>
          <w:lang w:val="es-ES"/>
        </w:rPr>
        <w:t xml:space="preserve"> En conclusión, la Procuraduría Metropolitana </w:t>
      </w:r>
      <w:r w:rsidR="0036091A" w:rsidRPr="008A1F48">
        <w:rPr>
          <w:rFonts w:ascii="Palatino Linotype" w:eastAsia="Times New Roman" w:hAnsi="Palatino Linotype" w:cs="Times New Roman"/>
          <w:i/>
          <w:iCs/>
          <w:sz w:val="22"/>
          <w:szCs w:val="22"/>
          <w:lang w:val="es-ES"/>
        </w:rPr>
        <w:t xml:space="preserve">señala </w:t>
      </w:r>
      <w:r w:rsidR="00A60DA7" w:rsidRPr="008A1F48">
        <w:rPr>
          <w:rFonts w:ascii="Palatino Linotype" w:eastAsia="Times New Roman" w:hAnsi="Palatino Linotype" w:cs="Times New Roman"/>
          <w:i/>
          <w:iCs/>
          <w:sz w:val="22"/>
          <w:szCs w:val="22"/>
          <w:lang w:val="es-ES"/>
        </w:rPr>
        <w:t xml:space="preserve">que: (i) El Concejo Metropolitano es el órgano competente para emitir una ordenanza reformatoria a la </w:t>
      </w:r>
      <w:r w:rsidR="007A3B3C">
        <w:rPr>
          <w:rFonts w:ascii="Palatino Linotype" w:eastAsia="Times New Roman" w:hAnsi="Palatino Linotype" w:cs="Times New Roman"/>
          <w:i/>
          <w:iCs/>
          <w:sz w:val="22"/>
          <w:szCs w:val="22"/>
          <w:lang w:val="es-ES"/>
        </w:rPr>
        <w:t>o</w:t>
      </w:r>
      <w:r w:rsidR="00A60DA7" w:rsidRPr="008A1F48">
        <w:rPr>
          <w:rFonts w:ascii="Palatino Linotype" w:eastAsia="Times New Roman" w:hAnsi="Palatino Linotype" w:cs="Times New Roman"/>
          <w:i/>
          <w:iCs/>
          <w:sz w:val="22"/>
          <w:szCs w:val="22"/>
          <w:lang w:val="es-ES"/>
        </w:rPr>
        <w:t xml:space="preserve">rdenanza </w:t>
      </w:r>
      <w:r w:rsidR="007A3B3C">
        <w:rPr>
          <w:rFonts w:ascii="Palatino Linotype" w:eastAsia="Times New Roman" w:hAnsi="Palatino Linotype" w:cs="Times New Roman"/>
          <w:i/>
          <w:iCs/>
          <w:sz w:val="22"/>
          <w:szCs w:val="22"/>
          <w:lang w:val="es-ES"/>
        </w:rPr>
        <w:t>m</w:t>
      </w:r>
      <w:r w:rsidR="00A60DA7" w:rsidRPr="008A1F48">
        <w:rPr>
          <w:rFonts w:ascii="Palatino Linotype" w:eastAsia="Times New Roman" w:hAnsi="Palatino Linotype" w:cs="Times New Roman"/>
          <w:i/>
          <w:iCs/>
          <w:sz w:val="22"/>
          <w:szCs w:val="22"/>
          <w:lang w:val="es-ES"/>
        </w:rPr>
        <w:t>etropolitana No. 127 y su reforma contenida en ordenanza Metropolitana No. 192 y (ii) El procedimiento para la formulación de esa ordenanza se regula por las disposiciones del artículo. 322 del COOTAD y la Resolución C-074 de 8 de marzo de 2016 del Concejo Metropolitano, que contiene el procedimiento legislativo. El pronunciamiento de la Procuraduría Metropolitana no se refiere al contenido y los aspectos de carácter técnico, los cuales son, en razón de la competencia, de exclusiva responsabilidad del organismo técnico que los genere</w:t>
      </w:r>
      <w:r w:rsidRPr="008A1F48">
        <w:rPr>
          <w:rFonts w:ascii="Palatino Linotype" w:eastAsia="Times New Roman" w:hAnsi="Palatino Linotype" w:cs="Times New Roman"/>
          <w:i/>
          <w:iCs/>
          <w:sz w:val="22"/>
          <w:szCs w:val="22"/>
          <w:lang w:val="es-ES"/>
        </w:rPr>
        <w:t>”.</w:t>
      </w:r>
    </w:p>
    <w:p w14:paraId="39A4CAB4" w14:textId="6AFB6E07" w:rsidR="00E749AB" w:rsidRPr="008A1F48" w:rsidRDefault="00E749AB" w:rsidP="00B61D0B">
      <w:pPr>
        <w:shd w:val="clear" w:color="auto" w:fill="FFFFFF" w:themeFill="background1"/>
        <w:spacing w:after="120" w:line="276" w:lineRule="auto"/>
        <w:ind w:left="705" w:hanging="705"/>
        <w:jc w:val="both"/>
        <w:outlineLvl w:val="0"/>
        <w:rPr>
          <w:rFonts w:ascii="Palatino Linotype" w:eastAsia="Times New Roman" w:hAnsi="Palatino Linotype" w:cs="Times New Roman"/>
          <w:sz w:val="22"/>
          <w:szCs w:val="22"/>
          <w:lang w:val="es-ES"/>
        </w:rPr>
      </w:pPr>
      <w:r w:rsidRPr="008A1F48">
        <w:rPr>
          <w:rFonts w:ascii="Palatino Linotype" w:hAnsi="Palatino Linotype" w:cs="Arial"/>
          <w:b/>
          <w:bCs/>
          <w:sz w:val="22"/>
          <w:szCs w:val="22"/>
        </w:rPr>
        <w:t xml:space="preserve">Que, </w:t>
      </w:r>
      <w:r w:rsidRPr="008A1F48">
        <w:rPr>
          <w:rFonts w:ascii="Palatino Linotype" w:hAnsi="Palatino Linotype" w:cs="Arial"/>
          <w:sz w:val="22"/>
          <w:szCs w:val="22"/>
        </w:rPr>
        <w:t xml:space="preserve">de lo conocido en las mesas de trabajo sobre los 119 polígonos contenidos en la Matriz de </w:t>
      </w:r>
      <w:r w:rsidR="007A3B3C">
        <w:rPr>
          <w:rFonts w:ascii="Palatino Linotype" w:hAnsi="Palatino Linotype" w:cs="Arial"/>
          <w:sz w:val="22"/>
          <w:szCs w:val="22"/>
        </w:rPr>
        <w:t>C</w:t>
      </w:r>
      <w:r w:rsidRPr="008A1F48">
        <w:rPr>
          <w:rFonts w:ascii="Palatino Linotype" w:hAnsi="Palatino Linotype" w:cs="Arial"/>
          <w:sz w:val="22"/>
          <w:szCs w:val="22"/>
        </w:rPr>
        <w:t>ambios 2019, los cuales contienen los 100 polígonos que son parte de los 354 casos incluidos en la Matriz de Cambios 2016 y que no fueron conocidos por el Concejo Metropolitano, se concluyó que los</w:t>
      </w:r>
      <w:r w:rsidR="00641E52" w:rsidRPr="008A1F48">
        <w:rPr>
          <w:rFonts w:ascii="Palatino Linotype" w:hAnsi="Palatino Linotype" w:cs="Arial"/>
          <w:sz w:val="22"/>
          <w:szCs w:val="22"/>
        </w:rPr>
        <w:t xml:space="preserve"> mencionados</w:t>
      </w:r>
      <w:r w:rsidRPr="008A1F48">
        <w:rPr>
          <w:rFonts w:ascii="Palatino Linotype" w:hAnsi="Palatino Linotype" w:cs="Arial"/>
          <w:sz w:val="22"/>
          <w:szCs w:val="22"/>
        </w:rPr>
        <w:t xml:space="preserve"> 100 polígonos, se</w:t>
      </w:r>
      <w:r w:rsidR="00641E52" w:rsidRPr="008A1F48">
        <w:rPr>
          <w:rFonts w:ascii="Palatino Linotype" w:hAnsi="Palatino Linotype" w:cs="Arial"/>
          <w:sz w:val="22"/>
          <w:szCs w:val="22"/>
        </w:rPr>
        <w:t>rá</w:t>
      </w:r>
      <w:r w:rsidRPr="008A1F48">
        <w:rPr>
          <w:rFonts w:ascii="Palatino Linotype" w:hAnsi="Palatino Linotype" w:cs="Arial"/>
          <w:sz w:val="22"/>
          <w:szCs w:val="22"/>
        </w:rPr>
        <w:t>n analizados técnicamente</w:t>
      </w:r>
      <w:r w:rsidR="00641E52" w:rsidRPr="008A1F48">
        <w:rPr>
          <w:rFonts w:ascii="Palatino Linotype" w:hAnsi="Palatino Linotype" w:cs="Arial"/>
          <w:sz w:val="22"/>
          <w:szCs w:val="22"/>
        </w:rPr>
        <w:t xml:space="preserve"> por la Secretaría de Territorio, Hábitat y Vivienda</w:t>
      </w:r>
      <w:r w:rsidRPr="008A1F48">
        <w:rPr>
          <w:rFonts w:ascii="Palatino Linotype" w:hAnsi="Palatino Linotype" w:cs="Arial"/>
          <w:sz w:val="22"/>
          <w:szCs w:val="22"/>
        </w:rPr>
        <w:t xml:space="preserve"> y de ser pertinente</w:t>
      </w:r>
      <w:r w:rsidR="00641E52" w:rsidRPr="008A1F48">
        <w:rPr>
          <w:rFonts w:ascii="Palatino Linotype" w:hAnsi="Palatino Linotype" w:cs="Arial"/>
          <w:sz w:val="22"/>
          <w:szCs w:val="22"/>
        </w:rPr>
        <w:t xml:space="preserve"> serán</w:t>
      </w:r>
      <w:r w:rsidRPr="008A1F48">
        <w:rPr>
          <w:rFonts w:ascii="Palatino Linotype" w:hAnsi="Palatino Linotype" w:cs="Arial"/>
          <w:sz w:val="22"/>
          <w:szCs w:val="22"/>
        </w:rPr>
        <w:t xml:space="preserve"> incluidos en el Plan de Uso y Gestión del Suelo</w:t>
      </w:r>
      <w:r w:rsidR="00641E52" w:rsidRPr="008A1F48">
        <w:rPr>
          <w:rFonts w:ascii="Palatino Linotype" w:hAnsi="Palatino Linotype" w:cs="Arial"/>
          <w:sz w:val="22"/>
          <w:szCs w:val="22"/>
        </w:rPr>
        <w:t xml:space="preserve"> previsto para el año 2020.</w:t>
      </w:r>
    </w:p>
    <w:p w14:paraId="2256EE7D" w14:textId="74954F31" w:rsidR="00FC0AC2" w:rsidRPr="008A1F48" w:rsidRDefault="00FC0AC2" w:rsidP="00E749AB">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w:t>
      </w:r>
      <w:r w:rsidR="00E749AB" w:rsidRPr="008A1F48">
        <w:rPr>
          <w:rFonts w:ascii="Palatino Linotype" w:hAnsi="Palatino Linotype"/>
          <w:sz w:val="22"/>
          <w:szCs w:val="22"/>
        </w:rPr>
        <w:t>con l</w:t>
      </w:r>
      <w:r w:rsidR="007A3B3C">
        <w:rPr>
          <w:rFonts w:ascii="Palatino Linotype" w:hAnsi="Palatino Linotype"/>
          <w:sz w:val="22"/>
          <w:szCs w:val="22"/>
        </w:rPr>
        <w:t>as exposiciones</w:t>
      </w:r>
      <w:r w:rsidR="00E749AB" w:rsidRPr="008A1F48">
        <w:rPr>
          <w:rFonts w:ascii="Palatino Linotype" w:hAnsi="Palatino Linotype"/>
          <w:sz w:val="22"/>
          <w:szCs w:val="22"/>
        </w:rPr>
        <w:t xml:space="preserve"> y observaciones emitidas en las</w:t>
      </w:r>
      <w:r w:rsidRPr="008A1F48">
        <w:rPr>
          <w:rFonts w:ascii="Palatino Linotype" w:hAnsi="Palatino Linotype"/>
          <w:sz w:val="22"/>
          <w:szCs w:val="22"/>
        </w:rPr>
        <w:t xml:space="preserve"> </w:t>
      </w:r>
      <w:r w:rsidR="00E749AB" w:rsidRPr="008A1F48">
        <w:rPr>
          <w:rFonts w:ascii="Palatino Linotype" w:hAnsi="Palatino Linotype"/>
          <w:sz w:val="22"/>
          <w:szCs w:val="22"/>
        </w:rPr>
        <w:t xml:space="preserve">dos </w:t>
      </w:r>
      <w:r w:rsidRPr="008A1F48">
        <w:rPr>
          <w:rFonts w:ascii="Palatino Linotype" w:hAnsi="Palatino Linotype"/>
          <w:sz w:val="22"/>
          <w:szCs w:val="22"/>
        </w:rPr>
        <w:t>mesas de trabaj</w:t>
      </w:r>
      <w:r w:rsidR="00E749AB" w:rsidRPr="008A1F48">
        <w:rPr>
          <w:rFonts w:ascii="Palatino Linotype" w:hAnsi="Palatino Linotype"/>
          <w:sz w:val="22"/>
          <w:szCs w:val="22"/>
        </w:rPr>
        <w:t xml:space="preserve">o, el </w:t>
      </w:r>
      <w:r w:rsidRPr="008A1F48">
        <w:rPr>
          <w:rFonts w:ascii="Palatino Linotype" w:hAnsi="Palatino Linotype"/>
          <w:sz w:val="22"/>
          <w:szCs w:val="22"/>
        </w:rPr>
        <w:t xml:space="preserve">criterio técnico de la Secretaría de Territorio Hábitat y Vivienda, </w:t>
      </w:r>
      <w:r w:rsidR="00E749AB" w:rsidRPr="008A1F48">
        <w:rPr>
          <w:rFonts w:ascii="Palatino Linotype" w:hAnsi="Palatino Linotype"/>
          <w:sz w:val="22"/>
          <w:szCs w:val="22"/>
        </w:rPr>
        <w:t xml:space="preserve">contenido en los </w:t>
      </w:r>
      <w:r w:rsidR="00E749AB" w:rsidRPr="008A1F48">
        <w:rPr>
          <w:rFonts w:ascii="Palatino Linotype" w:eastAsia="Times New Roman" w:hAnsi="Palatino Linotype" w:cs="Times New Roman"/>
          <w:sz w:val="22"/>
          <w:szCs w:val="22"/>
          <w:lang w:val="es-ES"/>
        </w:rPr>
        <w:t>oficios No. STHV-2019-0058-O del 09 de septiembre de 2019 y</w:t>
      </w:r>
      <w:r w:rsidR="00E749AB" w:rsidRPr="008A1F48">
        <w:rPr>
          <w:rFonts w:ascii="Palatino Linotype" w:hAnsi="Palatino Linotype"/>
          <w:sz w:val="22"/>
          <w:szCs w:val="22"/>
        </w:rPr>
        <w:t xml:space="preserve"> No. STHV-2019-</w:t>
      </w:r>
      <w:r w:rsidR="00E749AB" w:rsidRPr="008A1F48">
        <w:rPr>
          <w:rFonts w:ascii="Palatino Linotype" w:hAnsi="Palatino Linotype"/>
          <w:color w:val="000000" w:themeColor="text1"/>
          <w:sz w:val="22"/>
          <w:szCs w:val="22"/>
        </w:rPr>
        <w:t xml:space="preserve">0123-O </w:t>
      </w:r>
      <w:r w:rsidR="00E749AB" w:rsidRPr="008A1F48">
        <w:rPr>
          <w:rFonts w:ascii="Palatino Linotype" w:hAnsi="Palatino Linotype"/>
          <w:sz w:val="22"/>
          <w:szCs w:val="22"/>
        </w:rPr>
        <w:t xml:space="preserve">del </w:t>
      </w:r>
      <w:r w:rsidR="00E749AB" w:rsidRPr="008A1F48">
        <w:rPr>
          <w:rFonts w:ascii="Palatino Linotype" w:hAnsi="Palatino Linotype"/>
          <w:color w:val="000000" w:themeColor="text1"/>
          <w:sz w:val="22"/>
          <w:szCs w:val="22"/>
        </w:rPr>
        <w:t>16</w:t>
      </w:r>
      <w:r w:rsidR="00E749AB" w:rsidRPr="008A1F48">
        <w:rPr>
          <w:rFonts w:ascii="Palatino Linotype" w:hAnsi="Palatino Linotype"/>
          <w:color w:val="FF0000"/>
          <w:sz w:val="22"/>
          <w:szCs w:val="22"/>
        </w:rPr>
        <w:t xml:space="preserve"> </w:t>
      </w:r>
      <w:r w:rsidR="00E749AB" w:rsidRPr="008A1F48">
        <w:rPr>
          <w:rFonts w:ascii="Palatino Linotype" w:hAnsi="Palatino Linotype"/>
          <w:sz w:val="22"/>
          <w:szCs w:val="22"/>
        </w:rPr>
        <w:t>de octubre de 2019, y con el criterio legal emitido por Procurad</w:t>
      </w:r>
      <w:r w:rsidR="00E0314D" w:rsidRPr="008A1F48">
        <w:rPr>
          <w:rFonts w:ascii="Palatino Linotype" w:hAnsi="Palatino Linotype"/>
          <w:sz w:val="22"/>
          <w:szCs w:val="22"/>
        </w:rPr>
        <w:t>u</w:t>
      </w:r>
      <w:r w:rsidR="00E749AB" w:rsidRPr="008A1F48">
        <w:rPr>
          <w:rFonts w:ascii="Palatino Linotype" w:hAnsi="Palatino Linotype"/>
          <w:sz w:val="22"/>
          <w:szCs w:val="22"/>
        </w:rPr>
        <w:t>r</w:t>
      </w:r>
      <w:r w:rsidR="00320CE2" w:rsidRPr="008A1F48">
        <w:rPr>
          <w:rFonts w:ascii="Palatino Linotype" w:hAnsi="Palatino Linotype"/>
          <w:sz w:val="22"/>
          <w:szCs w:val="22"/>
        </w:rPr>
        <w:t>í</w:t>
      </w:r>
      <w:r w:rsidR="00E749AB" w:rsidRPr="008A1F48">
        <w:rPr>
          <w:rFonts w:ascii="Palatino Linotype" w:hAnsi="Palatino Linotype"/>
          <w:sz w:val="22"/>
          <w:szCs w:val="22"/>
        </w:rPr>
        <w:t xml:space="preserve">a Metropolitana mediante </w:t>
      </w:r>
      <w:r w:rsidR="00E749AB" w:rsidRPr="008A1F48">
        <w:rPr>
          <w:rFonts w:ascii="Palatino Linotype" w:eastAsia="Times New Roman" w:hAnsi="Palatino Linotype" w:cs="Times New Roman"/>
          <w:sz w:val="22"/>
          <w:szCs w:val="22"/>
          <w:lang w:val="es-ES"/>
        </w:rPr>
        <w:t>oficio No. GADDMQ-DC-RBG-2019-0038-O</w:t>
      </w:r>
      <w:r w:rsidR="00E749AB" w:rsidRPr="008A1F48">
        <w:rPr>
          <w:rFonts w:ascii="Palatino Linotype" w:eastAsia="Times New Roman" w:hAnsi="Palatino Linotype" w:cs="Times New Roman"/>
          <w:color w:val="FF0000"/>
          <w:sz w:val="22"/>
          <w:szCs w:val="22"/>
          <w:lang w:val="es-ES"/>
        </w:rPr>
        <w:t xml:space="preserve"> </w:t>
      </w:r>
      <w:r w:rsidR="00E749AB" w:rsidRPr="008A1F48">
        <w:rPr>
          <w:rFonts w:ascii="Palatino Linotype" w:eastAsia="Times New Roman" w:hAnsi="Palatino Linotype" w:cs="Times New Roman"/>
          <w:sz w:val="22"/>
          <w:szCs w:val="22"/>
          <w:lang w:val="es-ES"/>
        </w:rPr>
        <w:t xml:space="preserve">de 19 octubre de 2019, </w:t>
      </w:r>
      <w:r w:rsidR="00E749AB" w:rsidRPr="008A1F48">
        <w:rPr>
          <w:rFonts w:ascii="Palatino Linotype" w:hAnsi="Palatino Linotype"/>
          <w:sz w:val="22"/>
          <w:szCs w:val="22"/>
        </w:rPr>
        <w:t>se concluyó que cinco son los casos que se incluirán en la presente ordenanza</w:t>
      </w:r>
      <w:r w:rsidRPr="008A1F48">
        <w:rPr>
          <w:rFonts w:ascii="Palatino Linotype" w:hAnsi="Palatino Linotype"/>
          <w:sz w:val="22"/>
          <w:szCs w:val="22"/>
        </w:rPr>
        <w:t xml:space="preserve">: caso Familia Arroyo Acosta, caso </w:t>
      </w:r>
      <w:r w:rsidRPr="008A1F48">
        <w:rPr>
          <w:rFonts w:ascii="Palatino Linotype" w:eastAsia="Times New Roman" w:hAnsi="Palatino Linotype" w:cs="Calibri"/>
          <w:sz w:val="22"/>
          <w:szCs w:val="22"/>
          <w:lang w:val="es-EC" w:eastAsia="es-ES_tradnl"/>
        </w:rPr>
        <w:t xml:space="preserve">predio Fábrica </w:t>
      </w:r>
      <w:proofErr w:type="gramStart"/>
      <w:r w:rsidRPr="008A1F48">
        <w:rPr>
          <w:rFonts w:ascii="Palatino Linotype" w:eastAsia="Times New Roman" w:hAnsi="Palatino Linotype" w:cs="Calibri"/>
          <w:sz w:val="22"/>
          <w:szCs w:val="22"/>
          <w:lang w:val="es-EC" w:eastAsia="es-ES_tradnl"/>
        </w:rPr>
        <w:t>Zaimella ,</w:t>
      </w:r>
      <w:proofErr w:type="gramEnd"/>
      <w:r w:rsidRPr="008A1F48">
        <w:rPr>
          <w:rFonts w:ascii="Palatino Linotype" w:eastAsia="Times New Roman" w:hAnsi="Palatino Linotype" w:cs="Calibri"/>
          <w:sz w:val="22"/>
          <w:szCs w:val="22"/>
          <w:lang w:val="es-EC" w:eastAsia="es-ES_tradnl"/>
        </w:rPr>
        <w:t xml:space="preserve"> caso predio </w:t>
      </w:r>
      <w:r w:rsidRPr="008A1F48">
        <w:rPr>
          <w:rFonts w:ascii="Palatino Linotype" w:hAnsi="Palatino Linotype"/>
          <w:sz w:val="22"/>
          <w:szCs w:val="22"/>
        </w:rPr>
        <w:t>de la avenida interoceánica</w:t>
      </w:r>
      <w:r w:rsidRPr="008A1F48">
        <w:rPr>
          <w:rFonts w:ascii="Palatino Linotype" w:eastAsia="Times New Roman" w:hAnsi="Palatino Linotype" w:cs="Calibri"/>
          <w:sz w:val="22"/>
          <w:szCs w:val="22"/>
          <w:lang w:val="es-EC" w:eastAsia="es-ES_tradnl"/>
        </w:rPr>
        <w:t>, caso del Proyecto Citival</w:t>
      </w:r>
      <w:r w:rsidRPr="008A1F48">
        <w:rPr>
          <w:rFonts w:ascii="Palatino Linotype" w:eastAsia="Times New Roman" w:hAnsi="Palatino Linotype" w:cs="Calibri"/>
          <w:b/>
          <w:bCs/>
          <w:sz w:val="22"/>
          <w:szCs w:val="22"/>
          <w:lang w:val="es-EC" w:eastAsia="es-ES_tradnl"/>
        </w:rPr>
        <w:t xml:space="preserve"> </w:t>
      </w:r>
      <w:r w:rsidRPr="008A1F48">
        <w:rPr>
          <w:rFonts w:ascii="Palatino Linotype" w:eastAsia="Times New Roman" w:hAnsi="Palatino Linotype" w:cs="Calibri"/>
          <w:bCs/>
          <w:sz w:val="22"/>
          <w:szCs w:val="22"/>
          <w:lang w:val="es-EC" w:eastAsia="es-ES_tradnl"/>
        </w:rPr>
        <w:t>y caso de la Estación Intermodal Cumbayá.</w:t>
      </w:r>
    </w:p>
    <w:p w14:paraId="00A8DFAA" w14:textId="77777777" w:rsidR="00E749AB" w:rsidRPr="008A1F48" w:rsidRDefault="00E749AB" w:rsidP="006C31ED">
      <w:pPr>
        <w:spacing w:line="276" w:lineRule="auto"/>
        <w:jc w:val="both"/>
        <w:rPr>
          <w:rFonts w:ascii="Palatino Linotype" w:hAnsi="Palatino Linotype"/>
          <w:sz w:val="22"/>
          <w:szCs w:val="22"/>
        </w:rPr>
      </w:pPr>
    </w:p>
    <w:p w14:paraId="5B3FCC72" w14:textId="66B3FCFC"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en el caso del predio de la Familia Arroyo Acosta, el administrado ha solicitado al Municipio del Distrito Metropolitano de Quito, que en compensación por la ocupación, por parte de dos entidades municipales de dos fracciones del terreno de propiedad de la familia Arroyo Acosta</w:t>
      </w:r>
      <w:r w:rsidR="007A3B3C">
        <w:rPr>
          <w:rFonts w:ascii="Palatino Linotype" w:hAnsi="Palatino Linotype"/>
          <w:sz w:val="22"/>
          <w:szCs w:val="22"/>
        </w:rPr>
        <w:t xml:space="preserve">, </w:t>
      </w:r>
      <w:r w:rsidRPr="008A1F48">
        <w:rPr>
          <w:rFonts w:ascii="Palatino Linotype" w:hAnsi="Palatino Linotype"/>
          <w:sz w:val="22"/>
          <w:szCs w:val="22"/>
        </w:rPr>
        <w:t xml:space="preserve">la primera por parte de EMASEO en relación al relleno de </w:t>
      </w:r>
      <w:proofErr w:type="spellStart"/>
      <w:r w:rsidRPr="008A1F48">
        <w:rPr>
          <w:rFonts w:ascii="Palatino Linotype" w:hAnsi="Palatino Linotype"/>
          <w:sz w:val="22"/>
          <w:szCs w:val="22"/>
        </w:rPr>
        <w:t>Zámbiza</w:t>
      </w:r>
      <w:proofErr w:type="spellEnd"/>
      <w:r w:rsidRPr="008A1F48">
        <w:rPr>
          <w:rFonts w:ascii="Palatino Linotype" w:hAnsi="Palatino Linotype"/>
          <w:sz w:val="22"/>
          <w:szCs w:val="22"/>
        </w:rPr>
        <w:t xml:space="preserve">, en un área de 9.6 ha de terreno y la segunda por parte de la EPMMOP en la prolongación de la Avenida Simón Bolívar, en un área </w:t>
      </w:r>
      <w:r w:rsidRPr="008A1F48">
        <w:rPr>
          <w:rFonts w:ascii="Palatino Linotype" w:hAnsi="Palatino Linotype"/>
          <w:sz w:val="22"/>
          <w:szCs w:val="22"/>
        </w:rPr>
        <w:lastRenderedPageBreak/>
        <w:t>de 7.3 ha de terreno, se autorice el cambio de uso de suelo y de zonificación, para el lote con número de predio 5786586, pasando de Área de Promoción (Z) y Protección Ecológica con zonificación A25002-1.5, a Residencial Urbano 2 (RU2) con zonificación A604-50.</w:t>
      </w:r>
    </w:p>
    <w:p w14:paraId="39932807" w14:textId="77777777" w:rsidR="00FC0AC2" w:rsidRPr="008A1F48" w:rsidRDefault="00FC0AC2" w:rsidP="00FC0AC2">
      <w:pPr>
        <w:spacing w:line="276" w:lineRule="auto"/>
        <w:ind w:left="567" w:hanging="567"/>
        <w:jc w:val="both"/>
        <w:rPr>
          <w:rFonts w:ascii="Palatino Linotype" w:hAnsi="Palatino Linotype"/>
          <w:b/>
          <w:sz w:val="22"/>
          <w:szCs w:val="22"/>
        </w:rPr>
      </w:pPr>
    </w:p>
    <w:p w14:paraId="2DB535ED" w14:textId="76181AC3" w:rsidR="00FC0AC2" w:rsidRPr="008A1F48" w:rsidRDefault="00FC0AC2" w:rsidP="001507BD">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es importante señalar que el lote en análisis tiene dos tipos de zonificación, A6 (A25002-1.5) que se encuentra intersecado por el Polígono del Bloque No. 5 del Bosque</w:t>
      </w:r>
      <w:r w:rsidR="001507BD" w:rsidRPr="008A1F48">
        <w:rPr>
          <w:rFonts w:ascii="Palatino Linotype" w:hAnsi="Palatino Linotype"/>
          <w:sz w:val="22"/>
          <w:szCs w:val="22"/>
        </w:rPr>
        <w:t xml:space="preserve"> </w:t>
      </w:r>
      <w:r w:rsidRPr="008A1F48">
        <w:rPr>
          <w:rFonts w:ascii="Palatino Linotype" w:hAnsi="Palatino Linotype"/>
          <w:sz w:val="22"/>
          <w:szCs w:val="22"/>
        </w:rPr>
        <w:t>Protector Nacional Cinturón Verde de Quito. Por lo que de acuerdo a las observaciones de la Matriz de Cambios 2019, se podrá realizar la asignación de datos una vez que se obtenga el pronunciamiento favorable de la autoridad ambiental nacional y el ZC, que significa que el lote tiene ausencia de datos, el cual si podría pasar a Residencial Urbano 2 (RU2) con zonificación A604-50.</w:t>
      </w:r>
    </w:p>
    <w:p w14:paraId="1BE289BC" w14:textId="77777777" w:rsidR="00FC0AC2" w:rsidRPr="008A1F48" w:rsidRDefault="00FC0AC2" w:rsidP="00FC0AC2">
      <w:pPr>
        <w:spacing w:line="276" w:lineRule="auto"/>
        <w:ind w:left="567"/>
        <w:jc w:val="both"/>
        <w:rPr>
          <w:rFonts w:ascii="Palatino Linotype" w:hAnsi="Palatino Linotype"/>
          <w:sz w:val="22"/>
          <w:szCs w:val="22"/>
        </w:rPr>
      </w:pPr>
    </w:p>
    <w:p w14:paraId="5CCAB375" w14:textId="5C38DC3B"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en sesión ordinaria de Comisión de Uso de Suelo </w:t>
      </w:r>
      <w:r w:rsidR="007A3B3C">
        <w:rPr>
          <w:rFonts w:ascii="Palatino Linotype" w:hAnsi="Palatino Linotype"/>
          <w:sz w:val="22"/>
          <w:szCs w:val="22"/>
        </w:rPr>
        <w:t>realizada</w:t>
      </w:r>
      <w:r w:rsidRPr="008A1F48">
        <w:rPr>
          <w:rFonts w:ascii="Palatino Linotype" w:hAnsi="Palatino Linotype"/>
          <w:sz w:val="22"/>
          <w:szCs w:val="22"/>
        </w:rPr>
        <w:t xml:space="preserve"> el 22 de abril de 2019 y reinstalada el 24 de abril de 2019, la Comisión de Uso de Suelo, después de analizar las condiciones urbanísticas del entorno y las condiciones físico- ambientales del mismo y en compensación por las afectaciones mencionadas en el párrafo anterior, dispuso que se incorpore a la propuesta de Matriz de Cambios 2019, para el predio número 5789586 las siguientes asignaciones urbanísticas: Uso de Suelo Residencial Rural 1 (RR1) con zonificaciones A1(A602-50)y A10(A604-50).</w:t>
      </w:r>
    </w:p>
    <w:p w14:paraId="67537840" w14:textId="77777777" w:rsidR="00FC0AC2" w:rsidRPr="008A1F48" w:rsidRDefault="00FC0AC2" w:rsidP="00FC0AC2">
      <w:pPr>
        <w:spacing w:line="276" w:lineRule="auto"/>
        <w:ind w:left="567" w:hanging="567"/>
        <w:jc w:val="both"/>
        <w:rPr>
          <w:rFonts w:ascii="Palatino Linotype" w:hAnsi="Palatino Linotype"/>
          <w:sz w:val="22"/>
          <w:szCs w:val="22"/>
        </w:rPr>
      </w:pPr>
    </w:p>
    <w:p w14:paraId="2F0438B9" w14:textId="184076D4" w:rsidR="007C0454" w:rsidRPr="008A1F48" w:rsidRDefault="00FC0AC2" w:rsidP="00BB65D3">
      <w:pPr>
        <w:spacing w:line="276" w:lineRule="auto"/>
        <w:ind w:left="567" w:hanging="567"/>
        <w:jc w:val="both"/>
        <w:rPr>
          <w:rFonts w:ascii="Palatino Linotype" w:hAnsi="Palatino Linotype"/>
          <w:i/>
          <w:iCs/>
          <w:color w:val="FF0000"/>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mediante oficio </w:t>
      </w:r>
      <w:r w:rsidR="00F81319" w:rsidRPr="008A1F48">
        <w:rPr>
          <w:rFonts w:ascii="Palatino Linotype" w:hAnsi="Palatino Linotype"/>
          <w:sz w:val="22"/>
          <w:szCs w:val="22"/>
        </w:rPr>
        <w:t>s/n ingresado</w:t>
      </w:r>
      <w:r w:rsidR="004D4988" w:rsidRPr="008A1F48">
        <w:rPr>
          <w:rFonts w:ascii="Palatino Linotype" w:hAnsi="Palatino Linotype"/>
          <w:sz w:val="22"/>
          <w:szCs w:val="22"/>
        </w:rPr>
        <w:t xml:space="preserve"> el</w:t>
      </w:r>
      <w:r w:rsidR="00F81319" w:rsidRPr="008A1F48">
        <w:rPr>
          <w:rFonts w:ascii="Palatino Linotype" w:hAnsi="Palatino Linotype"/>
          <w:sz w:val="22"/>
          <w:szCs w:val="22"/>
        </w:rPr>
        <w:t xml:space="preserve"> 02 </w:t>
      </w:r>
      <w:r w:rsidRPr="008A1F48">
        <w:rPr>
          <w:rFonts w:ascii="Palatino Linotype" w:hAnsi="Palatino Linotype"/>
          <w:sz w:val="22"/>
          <w:szCs w:val="22"/>
        </w:rPr>
        <w:t xml:space="preserve">de octubre de 2019, el Señor Marcelo Martínez Arroyo, Representante de la familia Arroyo Acosta, manifiesta lo siguiente: </w:t>
      </w:r>
      <w:r w:rsidR="00F81319" w:rsidRPr="008A1F48">
        <w:rPr>
          <w:rFonts w:ascii="Palatino Linotype" w:hAnsi="Palatino Linotype"/>
          <w:i/>
          <w:iCs/>
          <w:sz w:val="22"/>
          <w:szCs w:val="22"/>
        </w:rPr>
        <w:t>“Luego de la exposición de criterios de las dos partes, se llegó a un acuerdo entre las mismas y este no es otro que, respetar lo actuado por la Comisión de Uso de Suelo de la Administración anterior; y por lo tanto, me ratifico en lo manifestado en mi carta del 26 de abril de 2019; y a nombre de la familia Arroyo Acosta me mantengo en la aceptación de las nuevas zonificaciones asignadas a nuestro predio el 24 de abril de 2019; y además, dejo expresa con</w:t>
      </w:r>
      <w:r w:rsidR="0036091A" w:rsidRPr="008A1F48">
        <w:rPr>
          <w:rFonts w:ascii="Palatino Linotype" w:hAnsi="Palatino Linotype"/>
          <w:i/>
          <w:iCs/>
          <w:sz w:val="22"/>
          <w:szCs w:val="22"/>
        </w:rPr>
        <w:t>s</w:t>
      </w:r>
      <w:r w:rsidR="00F81319" w:rsidRPr="008A1F48">
        <w:rPr>
          <w:rFonts w:ascii="Palatino Linotype" w:hAnsi="Palatino Linotype"/>
          <w:i/>
          <w:iCs/>
          <w:sz w:val="22"/>
          <w:szCs w:val="22"/>
        </w:rPr>
        <w:t>tancia que estamos prestos a firmar con el Municipio de Quito un instrumento legal que recoja este acuerdo entre las partes y en cuanto se haya realizado-vía ordenanza- el cambio de zonificación antes manifestado, procederemos a transferir a favor del Municipio de Quito, el dominio de las áreas afectadas (16.2 ha) mediante escrituras públicas, así como, solicitaremos al Juez Décimo de lo Civil de Pichincha que, para nuestro juicio de expropiación No. 422-2004, señale día y hora con el fin de presentar formalmente el desistimiento de dicho juicio; renunciando además a cualquier reclamo de indemnización a fututo.”</w:t>
      </w:r>
      <w:r w:rsidR="007C0454" w:rsidRPr="008A1F48">
        <w:rPr>
          <w:rFonts w:ascii="Palatino Linotype" w:hAnsi="Palatino Linotype"/>
          <w:i/>
          <w:iCs/>
          <w:color w:val="FF0000"/>
          <w:sz w:val="22"/>
          <w:szCs w:val="22"/>
        </w:rPr>
        <w:t xml:space="preserve"> </w:t>
      </w:r>
    </w:p>
    <w:p w14:paraId="7C1B6C24" w14:textId="77777777" w:rsidR="00320CE2" w:rsidRPr="008A1F48" w:rsidRDefault="00320CE2" w:rsidP="00BB65D3">
      <w:pPr>
        <w:spacing w:line="276" w:lineRule="auto"/>
        <w:ind w:left="567" w:hanging="567"/>
        <w:jc w:val="both"/>
        <w:rPr>
          <w:rFonts w:ascii="Palatino Linotype" w:hAnsi="Palatino Linotype"/>
          <w:i/>
          <w:iCs/>
          <w:color w:val="FF0000"/>
          <w:sz w:val="22"/>
          <w:szCs w:val="22"/>
        </w:rPr>
      </w:pPr>
    </w:p>
    <w:p w14:paraId="3BE94085" w14:textId="29FE517D" w:rsidR="004D4988" w:rsidRPr="008A1F48" w:rsidRDefault="004D4988" w:rsidP="00BB65D3">
      <w:pPr>
        <w:spacing w:line="276" w:lineRule="auto"/>
        <w:ind w:left="567" w:hanging="567"/>
        <w:jc w:val="both"/>
        <w:rPr>
          <w:rFonts w:ascii="Palatino Linotype" w:hAnsi="Palatino Linotype"/>
          <w:color w:val="FF0000"/>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mediante oficio s/n ingresado el 17 de octubre de 2019, el </w:t>
      </w:r>
      <w:r w:rsidR="007A3B3C">
        <w:rPr>
          <w:rFonts w:ascii="Palatino Linotype" w:hAnsi="Palatino Linotype"/>
          <w:sz w:val="22"/>
          <w:szCs w:val="22"/>
        </w:rPr>
        <w:t>s</w:t>
      </w:r>
      <w:r w:rsidRPr="008A1F48">
        <w:rPr>
          <w:rFonts w:ascii="Palatino Linotype" w:hAnsi="Palatino Linotype"/>
          <w:sz w:val="22"/>
          <w:szCs w:val="22"/>
        </w:rPr>
        <w:t xml:space="preserve">eñor Marcelo Martínez Arroyo, </w:t>
      </w:r>
      <w:r w:rsidR="007A3B3C">
        <w:rPr>
          <w:rFonts w:ascii="Palatino Linotype" w:hAnsi="Palatino Linotype"/>
          <w:sz w:val="22"/>
          <w:szCs w:val="22"/>
        </w:rPr>
        <w:t>r</w:t>
      </w:r>
      <w:r w:rsidRPr="008A1F48">
        <w:rPr>
          <w:rFonts w:ascii="Palatino Linotype" w:hAnsi="Palatino Linotype"/>
          <w:sz w:val="22"/>
          <w:szCs w:val="22"/>
        </w:rPr>
        <w:t>epresentante de la familia Arroyo Acosta,  manifiesta que se corrija ciertos errores de forma contenidos en el oficio s/n ingresado el 02 de octubre de 2019.</w:t>
      </w:r>
    </w:p>
    <w:p w14:paraId="147C8B36" w14:textId="2654E502" w:rsidR="00FC0AC2" w:rsidRPr="008A1F48" w:rsidRDefault="007C0454" w:rsidP="00A553F4">
      <w:pPr>
        <w:pStyle w:val="NormalWeb"/>
        <w:ind w:left="567" w:hanging="567"/>
        <w:jc w:val="both"/>
        <w:rPr>
          <w:rFonts w:ascii="Palatino Linotype" w:hAnsi="Palatino Linotype"/>
          <w:sz w:val="22"/>
          <w:szCs w:val="22"/>
        </w:rPr>
      </w:pPr>
      <w:r w:rsidRPr="008A1F48">
        <w:rPr>
          <w:rFonts w:ascii="Palatino Linotype" w:hAnsi="Palatino Linotype"/>
          <w:b/>
          <w:bCs/>
          <w:sz w:val="22"/>
          <w:szCs w:val="22"/>
        </w:rPr>
        <w:lastRenderedPageBreak/>
        <w:t>Que</w:t>
      </w:r>
      <w:r w:rsidRPr="008A1F48">
        <w:rPr>
          <w:rFonts w:ascii="Palatino Linotype" w:hAnsi="Palatino Linotype"/>
          <w:sz w:val="22"/>
          <w:szCs w:val="22"/>
        </w:rPr>
        <w:t xml:space="preserve">, </w:t>
      </w:r>
      <w:r w:rsidR="00BB65D3" w:rsidRPr="008A1F48">
        <w:rPr>
          <w:rFonts w:ascii="Palatino Linotype" w:hAnsi="Palatino Linotype"/>
          <w:sz w:val="22"/>
          <w:szCs w:val="22"/>
        </w:rPr>
        <w:t>en el oficio No. STHV-2019-</w:t>
      </w:r>
      <w:r w:rsidR="00BB65D3" w:rsidRPr="008A1F48">
        <w:rPr>
          <w:rFonts w:ascii="Palatino Linotype" w:hAnsi="Palatino Linotype"/>
          <w:color w:val="000000" w:themeColor="text1"/>
          <w:sz w:val="22"/>
          <w:szCs w:val="22"/>
        </w:rPr>
        <w:t xml:space="preserve">0123-O </w:t>
      </w:r>
      <w:r w:rsidR="00BB65D3" w:rsidRPr="008A1F48">
        <w:rPr>
          <w:rFonts w:ascii="Palatino Linotype" w:hAnsi="Palatino Linotype"/>
          <w:sz w:val="22"/>
          <w:szCs w:val="22"/>
        </w:rPr>
        <w:t xml:space="preserve">del </w:t>
      </w:r>
      <w:r w:rsidR="00BB65D3" w:rsidRPr="008A1F48">
        <w:rPr>
          <w:rFonts w:ascii="Palatino Linotype" w:hAnsi="Palatino Linotype"/>
          <w:color w:val="000000" w:themeColor="text1"/>
          <w:sz w:val="22"/>
          <w:szCs w:val="22"/>
        </w:rPr>
        <w:t>16</w:t>
      </w:r>
      <w:r w:rsidR="00BB65D3" w:rsidRPr="008A1F48">
        <w:rPr>
          <w:rFonts w:ascii="Palatino Linotype" w:hAnsi="Palatino Linotype"/>
          <w:color w:val="FF0000"/>
          <w:sz w:val="22"/>
          <w:szCs w:val="22"/>
        </w:rPr>
        <w:t xml:space="preserve"> </w:t>
      </w:r>
      <w:r w:rsidR="00BB65D3" w:rsidRPr="008A1F48">
        <w:rPr>
          <w:rFonts w:ascii="Palatino Linotype" w:hAnsi="Palatino Linotype"/>
          <w:sz w:val="22"/>
          <w:szCs w:val="22"/>
        </w:rPr>
        <w:t xml:space="preserve">de octubre de 2019, suscrito por el Arq. Rafael Carrasco, en su calidad de Secretario de Territorio, Hábitat y Vivienda, el cual contiene el análisis económico </w:t>
      </w:r>
      <w:r w:rsidRPr="008A1F48">
        <w:rPr>
          <w:rFonts w:ascii="Palatino Linotype" w:hAnsi="Palatino Linotype"/>
          <w:sz w:val="22"/>
          <w:szCs w:val="22"/>
        </w:rPr>
        <w:t xml:space="preserve">sobre </w:t>
      </w:r>
      <w:r w:rsidR="00BB65D3" w:rsidRPr="008A1F48">
        <w:rPr>
          <w:rFonts w:ascii="Palatino Linotype" w:hAnsi="Palatino Linotype"/>
          <w:sz w:val="22"/>
          <w:szCs w:val="22"/>
        </w:rPr>
        <w:t>e</w:t>
      </w:r>
      <w:r w:rsidRPr="008A1F48">
        <w:rPr>
          <w:rFonts w:ascii="Palatino Linotype" w:hAnsi="Palatino Linotype"/>
          <w:sz w:val="22"/>
          <w:szCs w:val="22"/>
        </w:rPr>
        <w:t>l monto de concesión onerosa de derechos que debería pagar a favor del Distrito Metropolitano de Quito en compensación del cambio normativo propuesto</w:t>
      </w:r>
      <w:r w:rsidR="00A553F4" w:rsidRPr="008A1F48">
        <w:rPr>
          <w:rFonts w:ascii="Palatino Linotype" w:hAnsi="Palatino Linotype"/>
          <w:sz w:val="22"/>
          <w:szCs w:val="22"/>
        </w:rPr>
        <w:t>,</w:t>
      </w:r>
      <w:r w:rsidR="00BB65D3" w:rsidRPr="008A1F48">
        <w:rPr>
          <w:rFonts w:ascii="Palatino Linotype" w:hAnsi="Palatino Linotype"/>
          <w:sz w:val="22"/>
          <w:szCs w:val="22"/>
        </w:rPr>
        <w:t xml:space="preserve"> señalan que el valor a pagar en  sería de </w:t>
      </w:r>
      <w:r w:rsidRPr="008A1F48">
        <w:rPr>
          <w:rFonts w:ascii="Palatino Linotype" w:hAnsi="Palatino Linotype"/>
          <w:sz w:val="22"/>
          <w:szCs w:val="22"/>
        </w:rPr>
        <w:t xml:space="preserve">$1.058.252,27 </w:t>
      </w:r>
      <w:r w:rsidR="00BB65D3" w:rsidRPr="008A1F48">
        <w:rPr>
          <w:rFonts w:ascii="Palatino Linotype" w:hAnsi="Palatino Linotype"/>
          <w:sz w:val="22"/>
          <w:szCs w:val="22"/>
        </w:rPr>
        <w:t xml:space="preserve">; sin embargo, es preciso destacar que </w:t>
      </w:r>
      <w:r w:rsidR="00A553F4" w:rsidRPr="008A1F48">
        <w:rPr>
          <w:rFonts w:ascii="Palatino Linotype" w:hAnsi="Palatino Linotype"/>
          <w:sz w:val="22"/>
          <w:szCs w:val="22"/>
        </w:rPr>
        <w:t>en este caso e</w:t>
      </w:r>
      <w:r w:rsidR="00BB65D3" w:rsidRPr="008A1F48">
        <w:rPr>
          <w:rFonts w:ascii="Palatino Linotype" w:hAnsi="Palatino Linotype"/>
          <w:sz w:val="22"/>
          <w:szCs w:val="22"/>
        </w:rPr>
        <w:t>l cambio de uso de suelo se lo hace a través de la presente ordenanza en compensación a la ocupación, por parte de EMASEO en relación al relleno de Zámbiza, en un área de 9.6 ha de terreno y la la EPMMOP en la prolongación de la Avenida Simón Bolívar, en un área de 7.3 ha de terreno</w:t>
      </w:r>
      <w:r w:rsidR="00A553F4" w:rsidRPr="008A1F48">
        <w:rPr>
          <w:rFonts w:ascii="Palatino Linotype" w:hAnsi="Palatino Linotype"/>
          <w:sz w:val="22"/>
          <w:szCs w:val="22"/>
        </w:rPr>
        <w:t>, y considerando el desestimiento del juicio de expropiación señalado en líneas anteriores.</w:t>
      </w:r>
    </w:p>
    <w:p w14:paraId="08F562AC" w14:textId="37123977"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en el caso de la industria </w:t>
      </w:r>
      <w:proofErr w:type="spellStart"/>
      <w:r w:rsidRPr="008A1F48">
        <w:rPr>
          <w:rFonts w:ascii="Palatino Linotype" w:hAnsi="Palatino Linotype"/>
          <w:sz w:val="22"/>
          <w:szCs w:val="22"/>
        </w:rPr>
        <w:t>Zaimella</w:t>
      </w:r>
      <w:proofErr w:type="spellEnd"/>
      <w:r w:rsidR="00A23EFF" w:rsidRPr="008A1F48">
        <w:rPr>
          <w:rFonts w:ascii="Palatino Linotype" w:hAnsi="Palatino Linotype"/>
          <w:sz w:val="22"/>
          <w:szCs w:val="22"/>
        </w:rPr>
        <w:t>, ésta</w:t>
      </w:r>
      <w:r w:rsidRPr="008A1F48">
        <w:rPr>
          <w:rFonts w:ascii="Palatino Linotype" w:hAnsi="Palatino Linotype"/>
          <w:sz w:val="22"/>
          <w:szCs w:val="22"/>
        </w:rPr>
        <w:t xml:space="preserve"> </w:t>
      </w:r>
      <w:proofErr w:type="spellStart"/>
      <w:r w:rsidRPr="008A1F48">
        <w:rPr>
          <w:rFonts w:ascii="Palatino Linotype" w:hAnsi="Palatino Linotype"/>
          <w:sz w:val="22"/>
          <w:szCs w:val="22"/>
        </w:rPr>
        <w:t>opera</w:t>
      </w:r>
      <w:proofErr w:type="spellEnd"/>
      <w:r w:rsidRPr="008A1F48">
        <w:rPr>
          <w:rFonts w:ascii="Palatino Linotype" w:hAnsi="Palatino Linotype"/>
          <w:sz w:val="22"/>
          <w:szCs w:val="22"/>
        </w:rPr>
        <w:t xml:space="preserve"> dentro de los límites del Distrito Metropolitano de Quito, desde el año 1995, iniciando su funcionamiento en el norte de la ciudad. En el año 20</w:t>
      </w:r>
      <w:r w:rsidR="00141E7F" w:rsidRPr="008A1F48">
        <w:rPr>
          <w:rFonts w:ascii="Palatino Linotype" w:hAnsi="Palatino Linotype"/>
          <w:sz w:val="22"/>
          <w:szCs w:val="22"/>
        </w:rPr>
        <w:t>09</w:t>
      </w:r>
      <w:r w:rsidRPr="008A1F48">
        <w:rPr>
          <w:rFonts w:ascii="Palatino Linotype" w:hAnsi="Palatino Linotype"/>
          <w:sz w:val="22"/>
          <w:szCs w:val="22"/>
        </w:rPr>
        <w:t xml:space="preserve">, la industria traslada sus instalaciones al sur oriente de Quito en la parroquia de Amaguaña y se implanta sobre el predio número 5097027, con el objetivo de consolidar un solo tejido industrial conjuntamente con el polígono industrial del cantón Rumiñahui. </w:t>
      </w:r>
    </w:p>
    <w:p w14:paraId="48D721F9" w14:textId="77777777" w:rsidR="00FC0AC2" w:rsidRPr="008A1F48" w:rsidRDefault="00FC0AC2" w:rsidP="009F368E">
      <w:pPr>
        <w:spacing w:line="276" w:lineRule="auto"/>
        <w:ind w:left="567" w:hanging="567"/>
        <w:jc w:val="both"/>
        <w:rPr>
          <w:rFonts w:ascii="Palatino Linotype" w:hAnsi="Palatino Linotype"/>
          <w:sz w:val="22"/>
          <w:szCs w:val="22"/>
        </w:rPr>
      </w:pPr>
    </w:p>
    <w:p w14:paraId="003F1DDC" w14:textId="77777777" w:rsidR="00FC0AC2" w:rsidRPr="008A1F48" w:rsidRDefault="00FC0AC2" w:rsidP="009F368E">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en virtud de que la empresa ha realizado inversiones por lo menos de cuarenta (40) millones de dólares desde el año 2009 hasta el año 2019, además que emplea directamente a 537 personas, y planifica invertir hasta el año 2020, diez (10) millones de dólares adicionales, se genera un gran beneficio al Distrito Metropolitano de Quito en la generación de fuentes de empleo; en este sentido, se considera factible que en el predio número 5097027, se efectúe el cambio de  Uso de Suelo Agrícola Residencial zonificación A37 (A1002-35) a Uso de suelo Recurso Natural Producción Sostenible (RN/PS) con zonificación A29 (A604-60 (PA)).</w:t>
      </w:r>
    </w:p>
    <w:p w14:paraId="10693094" w14:textId="77777777" w:rsidR="00FC0AC2" w:rsidRPr="008A1F48" w:rsidRDefault="00FC0AC2" w:rsidP="009F368E">
      <w:pPr>
        <w:spacing w:line="276" w:lineRule="auto"/>
        <w:ind w:left="567" w:hanging="567"/>
        <w:jc w:val="both"/>
        <w:rPr>
          <w:rFonts w:ascii="Palatino Linotype" w:eastAsia="Times New Roman" w:hAnsi="Palatino Linotype" w:cs="Times New Roman"/>
          <w:sz w:val="22"/>
          <w:szCs w:val="22"/>
        </w:rPr>
      </w:pPr>
    </w:p>
    <w:p w14:paraId="0230F4E8" w14:textId="3C39C44C" w:rsidR="00FC0AC2" w:rsidRPr="008A1F48" w:rsidRDefault="00A553F4" w:rsidP="00556559">
      <w:pPr>
        <w:pStyle w:val="NormalWeb"/>
        <w:ind w:left="567" w:hanging="567"/>
        <w:jc w:val="both"/>
        <w:rPr>
          <w:rFonts w:ascii="Palatino Linotype" w:hAnsi="Palatino Linotype"/>
          <w:sz w:val="22"/>
          <w:szCs w:val="22"/>
        </w:rPr>
      </w:pPr>
      <w:r w:rsidRPr="008A1F48">
        <w:rPr>
          <w:rFonts w:ascii="Palatino Linotype" w:hAnsi="Palatino Linotype"/>
          <w:b/>
          <w:bCs/>
          <w:sz w:val="22"/>
          <w:szCs w:val="22"/>
        </w:rPr>
        <w:t>Que</w:t>
      </w:r>
      <w:r w:rsidRPr="008A1F48">
        <w:rPr>
          <w:rFonts w:ascii="Palatino Linotype" w:hAnsi="Palatino Linotype"/>
          <w:sz w:val="22"/>
          <w:szCs w:val="22"/>
        </w:rPr>
        <w:t>, en el oficio No. STHV-2019-</w:t>
      </w:r>
      <w:r w:rsidRPr="008A1F48">
        <w:rPr>
          <w:rFonts w:ascii="Palatino Linotype" w:hAnsi="Palatino Linotype"/>
          <w:color w:val="000000" w:themeColor="text1"/>
          <w:sz w:val="22"/>
          <w:szCs w:val="22"/>
        </w:rPr>
        <w:t xml:space="preserve">0123-O </w:t>
      </w:r>
      <w:r w:rsidRPr="008A1F48">
        <w:rPr>
          <w:rFonts w:ascii="Palatino Linotype" w:hAnsi="Palatino Linotype"/>
          <w:sz w:val="22"/>
          <w:szCs w:val="22"/>
        </w:rPr>
        <w:t xml:space="preserve">del </w:t>
      </w:r>
      <w:r w:rsidRPr="008A1F48">
        <w:rPr>
          <w:rFonts w:ascii="Palatino Linotype" w:hAnsi="Palatino Linotype"/>
          <w:color w:val="000000" w:themeColor="text1"/>
          <w:sz w:val="22"/>
          <w:szCs w:val="22"/>
        </w:rPr>
        <w:t>16</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octubre de 2019, suscrito por el Arq. Rafael Carrasco, en su calidad de Secretario de Territorio, Hábitat y Vivienda, el cual contiene el análisis económico sobre el monto de concesión onerosa de derechos que debería pagar a favor del Distrito Metropolitano de Quito en compensación del cambio normativo propuesto, señalan que el valor a pagar en este caso sería de $ 0,00; sin embargo, es preciso destacar que en este caso el cambio de uso de suelo se lo hace </w:t>
      </w:r>
      <w:r w:rsidR="00556559" w:rsidRPr="008A1F48">
        <w:rPr>
          <w:rFonts w:ascii="Palatino Linotype" w:hAnsi="Palatino Linotype"/>
          <w:sz w:val="22"/>
          <w:szCs w:val="22"/>
        </w:rPr>
        <w:t>en virtud de la inversión que representa este caso para el Distrito Metropolitano de Quito.</w:t>
      </w:r>
    </w:p>
    <w:p w14:paraId="2B302679" w14:textId="37E2D052"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en el caso de los predios de la avenida interoceánica se ha considerado el pedido realizado por </w:t>
      </w:r>
      <w:r w:rsidR="00DD0AEB" w:rsidRPr="008A1F48">
        <w:rPr>
          <w:rFonts w:ascii="Palatino Linotype" w:hAnsi="Palatino Linotype"/>
          <w:sz w:val="22"/>
          <w:szCs w:val="22"/>
        </w:rPr>
        <w:t xml:space="preserve">la </w:t>
      </w:r>
      <w:r w:rsidR="00141E7F" w:rsidRPr="008A1F48">
        <w:rPr>
          <w:rFonts w:ascii="Palatino Linotype" w:hAnsi="Palatino Linotype"/>
          <w:sz w:val="22"/>
          <w:szCs w:val="22"/>
        </w:rPr>
        <w:t xml:space="preserve">Comercial </w:t>
      </w:r>
      <w:proofErr w:type="spellStart"/>
      <w:r w:rsidR="00141E7F" w:rsidRPr="008A1F48">
        <w:rPr>
          <w:rFonts w:ascii="Palatino Linotype" w:hAnsi="Palatino Linotype"/>
          <w:sz w:val="22"/>
          <w:szCs w:val="22"/>
        </w:rPr>
        <w:t>Kywi</w:t>
      </w:r>
      <w:proofErr w:type="spellEnd"/>
      <w:r w:rsidR="00141E7F" w:rsidRPr="008A1F48">
        <w:rPr>
          <w:rFonts w:ascii="Palatino Linotype" w:hAnsi="Palatino Linotype"/>
          <w:sz w:val="22"/>
          <w:szCs w:val="22"/>
        </w:rPr>
        <w:t xml:space="preserve"> S.A., </w:t>
      </w:r>
      <w:r w:rsidRPr="008A1F48">
        <w:rPr>
          <w:rFonts w:ascii="Palatino Linotype" w:hAnsi="Palatino Linotype"/>
          <w:sz w:val="22"/>
          <w:szCs w:val="22"/>
        </w:rPr>
        <w:t xml:space="preserve">para la homologación de usos de suelo del sector del predio No. 281644, ya que casi todo el eje de la Av. Interoceánica tiene el Uso de </w:t>
      </w:r>
      <w:r w:rsidR="007A3B3C">
        <w:rPr>
          <w:rFonts w:ascii="Palatino Linotype" w:hAnsi="Palatino Linotype"/>
          <w:sz w:val="22"/>
          <w:szCs w:val="22"/>
        </w:rPr>
        <w:t>S</w:t>
      </w:r>
      <w:r w:rsidRPr="008A1F48">
        <w:rPr>
          <w:rFonts w:ascii="Palatino Linotype" w:hAnsi="Palatino Linotype"/>
          <w:sz w:val="22"/>
          <w:szCs w:val="22"/>
        </w:rPr>
        <w:t xml:space="preserve">uelo Múltiple con zonificación A26. </w:t>
      </w:r>
    </w:p>
    <w:p w14:paraId="7140C0A8" w14:textId="77777777" w:rsidR="00FC0AC2" w:rsidRPr="008A1F48" w:rsidRDefault="00FC0AC2" w:rsidP="00FC0AC2">
      <w:pPr>
        <w:spacing w:line="276" w:lineRule="auto"/>
        <w:ind w:left="567" w:hanging="567"/>
        <w:jc w:val="both"/>
        <w:rPr>
          <w:rFonts w:ascii="Palatino Linotype" w:hAnsi="Palatino Linotype"/>
          <w:sz w:val="22"/>
          <w:szCs w:val="22"/>
        </w:rPr>
      </w:pPr>
    </w:p>
    <w:p w14:paraId="5C2BCF90" w14:textId="3A4A79FF"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lastRenderedPageBreak/>
        <w:t>Que</w:t>
      </w:r>
      <w:r w:rsidRPr="008A1F48">
        <w:rPr>
          <w:rFonts w:ascii="Palatino Linotype" w:hAnsi="Palatino Linotype"/>
          <w:sz w:val="22"/>
          <w:szCs w:val="22"/>
        </w:rPr>
        <w:t>, el cambio solicitado complementaría la conformación de un eje comercial acorde a las dinámicas económicas que se evidencian a lo largo de toda la vía interoceánica</w:t>
      </w:r>
      <w:r w:rsidR="00DD0AEB" w:rsidRPr="008A1F48">
        <w:rPr>
          <w:rFonts w:ascii="Palatino Linotype" w:hAnsi="Palatino Linotype"/>
          <w:sz w:val="22"/>
          <w:szCs w:val="22"/>
        </w:rPr>
        <w:t>.</w:t>
      </w:r>
    </w:p>
    <w:p w14:paraId="17C69BC2" w14:textId="77777777" w:rsidR="00FC0AC2" w:rsidRPr="008A1F48" w:rsidRDefault="00FC0AC2" w:rsidP="00FC0AC2">
      <w:pPr>
        <w:spacing w:line="276" w:lineRule="auto"/>
        <w:ind w:left="567" w:hanging="567"/>
        <w:jc w:val="both"/>
        <w:rPr>
          <w:rFonts w:ascii="Palatino Linotype" w:hAnsi="Palatino Linotype"/>
          <w:sz w:val="22"/>
          <w:szCs w:val="22"/>
        </w:rPr>
      </w:pPr>
    </w:p>
    <w:p w14:paraId="210E175F" w14:textId="32660F13" w:rsidR="00FC0AC2" w:rsidRPr="008A1F48" w:rsidRDefault="00FC0AC2" w:rsidP="00556559">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con el cambio de uso de suelo solicitado, </w:t>
      </w:r>
      <w:r w:rsidR="00141E7F" w:rsidRPr="008A1F48">
        <w:rPr>
          <w:rFonts w:ascii="Palatino Linotype" w:hAnsi="Palatino Linotype"/>
          <w:sz w:val="22"/>
          <w:szCs w:val="22"/>
        </w:rPr>
        <w:t xml:space="preserve">Comercial </w:t>
      </w:r>
      <w:proofErr w:type="spellStart"/>
      <w:r w:rsidR="00141E7F" w:rsidRPr="008A1F48">
        <w:rPr>
          <w:rFonts w:ascii="Palatino Linotype" w:hAnsi="Palatino Linotype"/>
          <w:sz w:val="22"/>
          <w:szCs w:val="22"/>
        </w:rPr>
        <w:t>Kywi</w:t>
      </w:r>
      <w:proofErr w:type="spellEnd"/>
      <w:r w:rsidR="00141E7F" w:rsidRPr="008A1F48">
        <w:rPr>
          <w:rFonts w:ascii="Palatino Linotype" w:hAnsi="Palatino Linotype"/>
          <w:sz w:val="22"/>
          <w:szCs w:val="22"/>
        </w:rPr>
        <w:t xml:space="preserve"> S.A., </w:t>
      </w:r>
      <w:r w:rsidR="00DD0AEB" w:rsidRPr="008A1F48">
        <w:rPr>
          <w:rFonts w:ascii="Palatino Linotype" w:hAnsi="Palatino Linotype"/>
          <w:sz w:val="22"/>
          <w:szCs w:val="22"/>
        </w:rPr>
        <w:t xml:space="preserve">contempla </w:t>
      </w:r>
      <w:r w:rsidR="00677D1C" w:rsidRPr="008A1F48">
        <w:rPr>
          <w:rFonts w:ascii="Palatino Linotype" w:hAnsi="Palatino Linotype"/>
          <w:sz w:val="22"/>
          <w:szCs w:val="22"/>
        </w:rPr>
        <w:t>invertir $ 22´</w:t>
      </w:r>
      <w:proofErr w:type="gramStart"/>
      <w:r w:rsidR="00677D1C" w:rsidRPr="008A1F48">
        <w:rPr>
          <w:rFonts w:ascii="Palatino Linotype" w:hAnsi="Palatino Linotype"/>
          <w:sz w:val="22"/>
          <w:szCs w:val="22"/>
        </w:rPr>
        <w:t>000,000.00 ,</w:t>
      </w:r>
      <w:proofErr w:type="gramEnd"/>
      <w:r w:rsidR="00677D1C" w:rsidRPr="008A1F48">
        <w:rPr>
          <w:rFonts w:ascii="Palatino Linotype" w:hAnsi="Palatino Linotype"/>
          <w:sz w:val="22"/>
          <w:szCs w:val="22"/>
        </w:rPr>
        <w:t xml:space="preserve"> y generar aproximadamente </w:t>
      </w:r>
      <w:r w:rsidR="0036091A" w:rsidRPr="008A1F48">
        <w:rPr>
          <w:rFonts w:ascii="Palatino Linotype" w:hAnsi="Palatino Linotype"/>
          <w:sz w:val="22"/>
          <w:szCs w:val="22"/>
        </w:rPr>
        <w:t>quinientas cuarenta (</w:t>
      </w:r>
      <w:r w:rsidR="00677D1C" w:rsidRPr="008A1F48">
        <w:rPr>
          <w:rFonts w:ascii="Palatino Linotype" w:hAnsi="Palatino Linotype"/>
          <w:sz w:val="22"/>
          <w:szCs w:val="22"/>
        </w:rPr>
        <w:t>540</w:t>
      </w:r>
      <w:r w:rsidR="0036091A" w:rsidRPr="008A1F48">
        <w:rPr>
          <w:rFonts w:ascii="Palatino Linotype" w:hAnsi="Palatino Linotype"/>
          <w:sz w:val="22"/>
          <w:szCs w:val="22"/>
        </w:rPr>
        <w:t>)</w:t>
      </w:r>
      <w:r w:rsidR="00677D1C" w:rsidRPr="008A1F48">
        <w:rPr>
          <w:rFonts w:ascii="Palatino Linotype" w:hAnsi="Palatino Linotype"/>
          <w:sz w:val="22"/>
          <w:szCs w:val="22"/>
        </w:rPr>
        <w:t xml:space="preserve"> plazas de empleo, aportando a su vez en movilidad, encadenamientos productivos, inversión, empleos, ornato y medioambiente</w:t>
      </w:r>
      <w:r w:rsidRPr="008A1F48">
        <w:rPr>
          <w:rFonts w:ascii="Palatino Linotype" w:hAnsi="Palatino Linotype"/>
          <w:sz w:val="22"/>
          <w:szCs w:val="22"/>
        </w:rPr>
        <w:t>, lo cual</w:t>
      </w:r>
      <w:r w:rsidR="00677D1C" w:rsidRPr="008A1F48">
        <w:rPr>
          <w:rFonts w:ascii="Palatino Linotype" w:hAnsi="Palatino Linotype"/>
          <w:sz w:val="22"/>
          <w:szCs w:val="22"/>
        </w:rPr>
        <w:t xml:space="preserve"> genera un gran</w:t>
      </w:r>
      <w:r w:rsidRPr="008A1F48">
        <w:rPr>
          <w:rFonts w:ascii="Palatino Linotype" w:hAnsi="Palatino Linotype"/>
          <w:sz w:val="22"/>
          <w:szCs w:val="22"/>
        </w:rPr>
        <w:t xml:space="preserve"> benefici</w:t>
      </w:r>
      <w:r w:rsidR="007A3B3C">
        <w:rPr>
          <w:rFonts w:ascii="Palatino Linotype" w:hAnsi="Palatino Linotype"/>
          <w:sz w:val="22"/>
          <w:szCs w:val="22"/>
        </w:rPr>
        <w:t>o</w:t>
      </w:r>
      <w:r w:rsidRPr="008A1F48">
        <w:rPr>
          <w:rFonts w:ascii="Palatino Linotype" w:hAnsi="Palatino Linotype"/>
          <w:sz w:val="22"/>
          <w:szCs w:val="22"/>
        </w:rPr>
        <w:t xml:space="preserve"> al Distrito Metropolitano de Quito</w:t>
      </w:r>
      <w:r w:rsidR="00141E7F" w:rsidRPr="008A1F48">
        <w:rPr>
          <w:rFonts w:ascii="Palatino Linotype" w:hAnsi="Palatino Linotype"/>
          <w:sz w:val="22"/>
          <w:szCs w:val="22"/>
        </w:rPr>
        <w:t>.</w:t>
      </w:r>
    </w:p>
    <w:p w14:paraId="130D085E" w14:textId="608A4C02" w:rsidR="00556559" w:rsidRPr="008A1F48" w:rsidRDefault="00556559" w:rsidP="00556559">
      <w:pPr>
        <w:pStyle w:val="NormalWeb"/>
        <w:ind w:left="567" w:hanging="567"/>
        <w:jc w:val="both"/>
        <w:rPr>
          <w:rFonts w:ascii="Palatino Linotype" w:hAnsi="Palatino Linotype"/>
          <w:sz w:val="22"/>
          <w:szCs w:val="22"/>
        </w:rPr>
      </w:pPr>
      <w:r w:rsidRPr="008A1F48">
        <w:rPr>
          <w:rFonts w:ascii="Palatino Linotype" w:hAnsi="Palatino Linotype"/>
          <w:b/>
          <w:bCs/>
          <w:sz w:val="22"/>
          <w:szCs w:val="22"/>
        </w:rPr>
        <w:t>Que</w:t>
      </w:r>
      <w:r w:rsidRPr="008A1F48">
        <w:rPr>
          <w:rFonts w:ascii="Palatino Linotype" w:hAnsi="Palatino Linotype"/>
          <w:sz w:val="22"/>
          <w:szCs w:val="22"/>
        </w:rPr>
        <w:t>, en el oficio No. STHV-2019-</w:t>
      </w:r>
      <w:r w:rsidRPr="008A1F48">
        <w:rPr>
          <w:rFonts w:ascii="Palatino Linotype" w:hAnsi="Palatino Linotype"/>
          <w:color w:val="000000" w:themeColor="text1"/>
          <w:sz w:val="22"/>
          <w:szCs w:val="22"/>
        </w:rPr>
        <w:t xml:space="preserve">0123-O </w:t>
      </w:r>
      <w:r w:rsidRPr="008A1F48">
        <w:rPr>
          <w:rFonts w:ascii="Palatino Linotype" w:hAnsi="Palatino Linotype"/>
          <w:sz w:val="22"/>
          <w:szCs w:val="22"/>
        </w:rPr>
        <w:t xml:space="preserve">del </w:t>
      </w:r>
      <w:r w:rsidRPr="008A1F48">
        <w:rPr>
          <w:rFonts w:ascii="Palatino Linotype" w:hAnsi="Palatino Linotype"/>
          <w:color w:val="000000" w:themeColor="text1"/>
          <w:sz w:val="22"/>
          <w:szCs w:val="22"/>
        </w:rPr>
        <w:t>16</w:t>
      </w:r>
      <w:r w:rsidRPr="008A1F48">
        <w:rPr>
          <w:rFonts w:ascii="Palatino Linotype" w:hAnsi="Palatino Linotype"/>
          <w:color w:val="FF0000"/>
          <w:sz w:val="22"/>
          <w:szCs w:val="22"/>
        </w:rPr>
        <w:t xml:space="preserve"> </w:t>
      </w:r>
      <w:r w:rsidRPr="008A1F48">
        <w:rPr>
          <w:rFonts w:ascii="Palatino Linotype" w:hAnsi="Palatino Linotype"/>
          <w:sz w:val="22"/>
          <w:szCs w:val="22"/>
        </w:rPr>
        <w:t xml:space="preserve">de octubre de 2019, suscrito por el Arq. Rafael Carrasco, en su calidad de Secretario de Territorio, Hábitat y Vivienda, el cual contiene el análisis económico sobre el monto de concesión onerosa de derechos que debería pagar a favor del Distrito Metropolitano de Quito en compensación del cambio normativo propuesto, señalan que el valor a pagar en este caso sería de </w:t>
      </w:r>
      <w:r w:rsidRPr="008A1F48">
        <w:rPr>
          <w:rFonts w:ascii="Palatino Linotype" w:hAnsi="Palatino Linotype"/>
          <w:color w:val="000000" w:themeColor="text1"/>
          <w:sz w:val="22"/>
          <w:szCs w:val="22"/>
        </w:rPr>
        <w:t xml:space="preserve">$ </w:t>
      </w:r>
      <w:r w:rsidR="00D608C7" w:rsidRPr="008A1F48">
        <w:rPr>
          <w:rFonts w:ascii="Palatino Linotype" w:hAnsi="Palatino Linotype"/>
          <w:color w:val="000000" w:themeColor="text1"/>
          <w:sz w:val="22"/>
          <w:szCs w:val="22"/>
        </w:rPr>
        <w:t xml:space="preserve">49.194,10 </w:t>
      </w:r>
      <w:r w:rsidRPr="008A1F48">
        <w:rPr>
          <w:rFonts w:ascii="Palatino Linotype" w:hAnsi="Palatino Linotype"/>
          <w:color w:val="000000" w:themeColor="text1"/>
          <w:sz w:val="22"/>
          <w:szCs w:val="22"/>
        </w:rPr>
        <w:t>sin embargo, es preciso destacar que en este caso el cambio de uso de suelo se lo hace en virtud de</w:t>
      </w:r>
      <w:r w:rsidR="00D608C7" w:rsidRPr="008A1F48">
        <w:rPr>
          <w:rFonts w:ascii="Palatino Linotype" w:hAnsi="Palatino Linotype"/>
          <w:color w:val="000000" w:themeColor="text1"/>
          <w:sz w:val="22"/>
          <w:szCs w:val="22"/>
        </w:rPr>
        <w:t>l concepto de</w:t>
      </w:r>
      <w:r w:rsidRPr="008A1F48">
        <w:rPr>
          <w:rFonts w:ascii="Palatino Linotype" w:hAnsi="Palatino Linotype"/>
          <w:color w:val="000000" w:themeColor="text1"/>
          <w:sz w:val="22"/>
          <w:szCs w:val="22"/>
        </w:rPr>
        <w:t xml:space="preserve"> </w:t>
      </w:r>
      <w:r w:rsidR="00D608C7" w:rsidRPr="008A1F48">
        <w:rPr>
          <w:rFonts w:ascii="Palatino Linotype" w:hAnsi="Palatino Linotype"/>
          <w:color w:val="000000" w:themeColor="text1"/>
          <w:sz w:val="22"/>
          <w:szCs w:val="22"/>
        </w:rPr>
        <w:t xml:space="preserve">homologación en relación al eje de la vía interoceánica y sus predios aledaños a los cuales se les asigna el uso de suelo múltiple. </w:t>
      </w:r>
    </w:p>
    <w:p w14:paraId="7777FDF8" w14:textId="3D247552" w:rsidR="00FC0AC2" w:rsidRPr="008A1F48" w:rsidRDefault="00FC0AC2" w:rsidP="00D608C7">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en el caso del proyecto </w:t>
      </w:r>
      <w:proofErr w:type="spellStart"/>
      <w:r w:rsidRPr="008A1F48">
        <w:rPr>
          <w:rFonts w:ascii="Palatino Linotype" w:hAnsi="Palatino Linotype"/>
          <w:sz w:val="22"/>
          <w:szCs w:val="22"/>
        </w:rPr>
        <w:t>Citival</w:t>
      </w:r>
      <w:proofErr w:type="spellEnd"/>
      <w:r w:rsidRPr="008A1F48">
        <w:rPr>
          <w:rFonts w:ascii="Palatino Linotype" w:hAnsi="Palatino Linotype"/>
          <w:sz w:val="22"/>
          <w:szCs w:val="22"/>
        </w:rPr>
        <w:t xml:space="preserve">, mediante oficio s/n del </w:t>
      </w:r>
      <w:r w:rsidR="009668FF" w:rsidRPr="008A1F48">
        <w:rPr>
          <w:rFonts w:ascii="Palatino Linotype" w:hAnsi="Palatino Linotype"/>
          <w:sz w:val="22"/>
          <w:szCs w:val="22"/>
        </w:rPr>
        <w:t>16</w:t>
      </w:r>
      <w:r w:rsidRPr="008A1F48">
        <w:rPr>
          <w:rFonts w:ascii="Palatino Linotype" w:hAnsi="Palatino Linotype"/>
          <w:sz w:val="22"/>
          <w:szCs w:val="22"/>
        </w:rPr>
        <w:t xml:space="preserve"> de octubre de 2019, suscrito por el Ing. Ignacio Barra, Director de Proyectos de </w:t>
      </w:r>
      <w:proofErr w:type="spellStart"/>
      <w:r w:rsidRPr="008A1F48">
        <w:rPr>
          <w:rFonts w:ascii="Palatino Linotype" w:hAnsi="Palatino Linotype"/>
          <w:sz w:val="22"/>
          <w:szCs w:val="22"/>
        </w:rPr>
        <w:t>Proinmobiliaria</w:t>
      </w:r>
      <w:proofErr w:type="spellEnd"/>
      <w:r w:rsidRPr="008A1F48">
        <w:rPr>
          <w:rFonts w:ascii="Palatino Linotype" w:hAnsi="Palatino Linotype"/>
          <w:sz w:val="22"/>
          <w:szCs w:val="22"/>
        </w:rPr>
        <w:t xml:space="preserve">, el grupo promotor del proyecto </w:t>
      </w:r>
      <w:proofErr w:type="spellStart"/>
      <w:r w:rsidRPr="008A1F48">
        <w:rPr>
          <w:rFonts w:ascii="Palatino Linotype" w:hAnsi="Palatino Linotype"/>
          <w:sz w:val="22"/>
          <w:szCs w:val="22"/>
        </w:rPr>
        <w:t>Citival</w:t>
      </w:r>
      <w:proofErr w:type="spellEnd"/>
      <w:r w:rsidRPr="008A1F48">
        <w:rPr>
          <w:rFonts w:ascii="Palatino Linotype" w:hAnsi="Palatino Linotype"/>
          <w:sz w:val="22"/>
          <w:szCs w:val="22"/>
        </w:rPr>
        <w:t xml:space="preserve"> se compromete a ceder a título gratuito a favor del Municipio del Distrito Metropolitano de Quito y en compensación por el cambio normativo de aprovechamiento urbanístico, la superficie de </w:t>
      </w:r>
      <w:r w:rsidR="009668FF" w:rsidRPr="008A1F48">
        <w:rPr>
          <w:rFonts w:ascii="Palatino Linotype" w:hAnsi="Palatino Linotype"/>
          <w:sz w:val="22"/>
          <w:szCs w:val="22"/>
        </w:rPr>
        <w:t>137.86 hectáreas (</w:t>
      </w:r>
      <w:r w:rsidRPr="008A1F48">
        <w:rPr>
          <w:rFonts w:ascii="Palatino Linotype" w:hAnsi="Palatino Linotype"/>
          <w:sz w:val="22"/>
          <w:szCs w:val="22"/>
        </w:rPr>
        <w:t>1´378.672,94</w:t>
      </w:r>
      <w:r w:rsidR="009668FF" w:rsidRPr="008A1F48">
        <w:rPr>
          <w:rFonts w:ascii="Palatino Linotype" w:hAnsi="Palatino Linotype"/>
          <w:sz w:val="22"/>
          <w:szCs w:val="22"/>
        </w:rPr>
        <w:t>)</w:t>
      </w:r>
      <w:r w:rsidRPr="008A1F48">
        <w:rPr>
          <w:rFonts w:ascii="Palatino Linotype" w:hAnsi="Palatino Linotype"/>
          <w:sz w:val="22"/>
          <w:szCs w:val="22"/>
        </w:rPr>
        <w:t xml:space="preserve"> m2 de terreno del lote con número predial 5785234. Del área a entregarse, </w:t>
      </w:r>
      <w:r w:rsidR="009668FF" w:rsidRPr="008A1F48">
        <w:rPr>
          <w:rFonts w:ascii="Palatino Linotype" w:hAnsi="Palatino Linotype"/>
          <w:sz w:val="22"/>
          <w:szCs w:val="22"/>
        </w:rPr>
        <w:t>7.78 hectáreas (</w:t>
      </w:r>
      <w:r w:rsidRPr="008A1F48">
        <w:rPr>
          <w:rFonts w:ascii="Palatino Linotype" w:hAnsi="Palatino Linotype"/>
          <w:sz w:val="22"/>
          <w:szCs w:val="22"/>
        </w:rPr>
        <w:t>77.810,14</w:t>
      </w:r>
      <w:r w:rsidR="009668FF" w:rsidRPr="008A1F48">
        <w:rPr>
          <w:rFonts w:ascii="Palatino Linotype" w:hAnsi="Palatino Linotype"/>
          <w:sz w:val="22"/>
          <w:szCs w:val="22"/>
        </w:rPr>
        <w:t>)</w:t>
      </w:r>
      <w:r w:rsidRPr="008A1F48">
        <w:rPr>
          <w:rFonts w:ascii="Palatino Linotype" w:hAnsi="Palatino Linotype"/>
          <w:sz w:val="22"/>
          <w:szCs w:val="22"/>
        </w:rPr>
        <w:t xml:space="preserve"> m2 se destinarán, por pedido de la comunidad, para la implementación del Parque Metropolitano de </w:t>
      </w:r>
      <w:proofErr w:type="spellStart"/>
      <w:r w:rsidRPr="008A1F48">
        <w:rPr>
          <w:rFonts w:ascii="Palatino Linotype" w:hAnsi="Palatino Linotype"/>
          <w:sz w:val="22"/>
          <w:szCs w:val="22"/>
        </w:rPr>
        <w:t>Collaquí</w:t>
      </w:r>
      <w:proofErr w:type="spellEnd"/>
      <w:r w:rsidRPr="008A1F48">
        <w:rPr>
          <w:rFonts w:ascii="Palatino Linotype" w:hAnsi="Palatino Linotype"/>
          <w:sz w:val="22"/>
          <w:szCs w:val="22"/>
        </w:rPr>
        <w:t xml:space="preserve">, la diferencia restante de </w:t>
      </w:r>
      <w:r w:rsidR="009668FF" w:rsidRPr="008A1F48">
        <w:rPr>
          <w:rFonts w:ascii="Palatino Linotype" w:hAnsi="Palatino Linotype"/>
          <w:sz w:val="22"/>
          <w:szCs w:val="22"/>
        </w:rPr>
        <w:t>130.08 hectáreas (</w:t>
      </w:r>
      <w:r w:rsidRPr="008A1F48">
        <w:rPr>
          <w:rFonts w:ascii="Palatino Linotype" w:hAnsi="Palatino Linotype"/>
          <w:sz w:val="22"/>
          <w:szCs w:val="22"/>
        </w:rPr>
        <w:t>1´300.862,80</w:t>
      </w:r>
      <w:r w:rsidR="009668FF" w:rsidRPr="008A1F48">
        <w:rPr>
          <w:rFonts w:ascii="Palatino Linotype" w:hAnsi="Palatino Linotype"/>
          <w:sz w:val="22"/>
          <w:szCs w:val="22"/>
        </w:rPr>
        <w:t>)</w:t>
      </w:r>
      <w:r w:rsidRPr="008A1F48">
        <w:rPr>
          <w:rFonts w:ascii="Palatino Linotype" w:hAnsi="Palatino Linotype"/>
          <w:sz w:val="22"/>
          <w:szCs w:val="22"/>
        </w:rPr>
        <w:t xml:space="preserve"> m2, está prevista para que desarrollen un área para la implementación de un Centro de Interpretación “Bosque Seco </w:t>
      </w:r>
      <w:proofErr w:type="spellStart"/>
      <w:r w:rsidRPr="008A1F48">
        <w:rPr>
          <w:rFonts w:ascii="Palatino Linotype" w:hAnsi="Palatino Linotype"/>
          <w:sz w:val="22"/>
          <w:szCs w:val="22"/>
        </w:rPr>
        <w:t>Collaquí</w:t>
      </w:r>
      <w:proofErr w:type="spellEnd"/>
      <w:r w:rsidRPr="008A1F48">
        <w:rPr>
          <w:rFonts w:ascii="Palatino Linotype" w:hAnsi="Palatino Linotype"/>
          <w:sz w:val="22"/>
          <w:szCs w:val="22"/>
        </w:rPr>
        <w:t>”</w:t>
      </w:r>
    </w:p>
    <w:p w14:paraId="10956A16" w14:textId="5A186431" w:rsidR="00FC0AC2" w:rsidRPr="008A1F48" w:rsidRDefault="00FC0AC2" w:rsidP="00CC0CBC">
      <w:pPr>
        <w:pStyle w:val="NormalWeb"/>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la superficie de terreno que el promotor cederá a título gratuito a favor del Municipio corresponde a un área de </w:t>
      </w:r>
      <w:r w:rsidR="009668FF" w:rsidRPr="008A1F48">
        <w:rPr>
          <w:rFonts w:ascii="Palatino Linotype" w:hAnsi="Palatino Linotype"/>
          <w:sz w:val="22"/>
          <w:szCs w:val="22"/>
        </w:rPr>
        <w:t>20.42 hectáreas (</w:t>
      </w:r>
      <w:r w:rsidRPr="008A1F48">
        <w:rPr>
          <w:rFonts w:ascii="Palatino Linotype" w:hAnsi="Palatino Linotype"/>
          <w:sz w:val="22"/>
          <w:szCs w:val="22"/>
        </w:rPr>
        <w:t>204.286,62</w:t>
      </w:r>
      <w:r w:rsidR="009668FF" w:rsidRPr="008A1F48">
        <w:rPr>
          <w:rFonts w:ascii="Palatino Linotype" w:hAnsi="Palatino Linotype"/>
          <w:sz w:val="22"/>
          <w:szCs w:val="22"/>
        </w:rPr>
        <w:t>)</w:t>
      </w:r>
      <w:r w:rsidRPr="008A1F48">
        <w:rPr>
          <w:rFonts w:ascii="Palatino Linotype" w:hAnsi="Palatino Linotype"/>
          <w:sz w:val="22"/>
          <w:szCs w:val="22"/>
        </w:rPr>
        <w:t xml:space="preserve"> m2 de área útil de terreno, por lo que representa  un valor monetario de $ 9´192.897,90, </w:t>
      </w:r>
      <w:r w:rsidR="00CC0CBC" w:rsidRPr="008A1F48">
        <w:rPr>
          <w:rFonts w:ascii="Palatino Linotype" w:hAnsi="Palatino Linotype"/>
          <w:sz w:val="22"/>
          <w:szCs w:val="22"/>
        </w:rPr>
        <w:t>conforme señala el oficio No. STHV-2019-</w:t>
      </w:r>
      <w:r w:rsidR="00CC0CBC" w:rsidRPr="008A1F48">
        <w:rPr>
          <w:rFonts w:ascii="Palatino Linotype" w:hAnsi="Palatino Linotype"/>
          <w:color w:val="000000" w:themeColor="text1"/>
          <w:sz w:val="22"/>
          <w:szCs w:val="22"/>
        </w:rPr>
        <w:t xml:space="preserve">0123-O </w:t>
      </w:r>
      <w:r w:rsidR="00CC0CBC" w:rsidRPr="008A1F48">
        <w:rPr>
          <w:rFonts w:ascii="Palatino Linotype" w:hAnsi="Palatino Linotype"/>
          <w:sz w:val="22"/>
          <w:szCs w:val="22"/>
        </w:rPr>
        <w:t xml:space="preserve">del </w:t>
      </w:r>
      <w:r w:rsidR="00CC0CBC" w:rsidRPr="008A1F48">
        <w:rPr>
          <w:rFonts w:ascii="Palatino Linotype" w:hAnsi="Palatino Linotype"/>
          <w:color w:val="000000" w:themeColor="text1"/>
          <w:sz w:val="22"/>
          <w:szCs w:val="22"/>
        </w:rPr>
        <w:t>16</w:t>
      </w:r>
      <w:r w:rsidR="00CC0CBC" w:rsidRPr="008A1F48">
        <w:rPr>
          <w:rFonts w:ascii="Palatino Linotype" w:hAnsi="Palatino Linotype"/>
          <w:color w:val="FF0000"/>
          <w:sz w:val="22"/>
          <w:szCs w:val="22"/>
        </w:rPr>
        <w:t xml:space="preserve"> </w:t>
      </w:r>
      <w:r w:rsidR="00CC0CBC" w:rsidRPr="008A1F48">
        <w:rPr>
          <w:rFonts w:ascii="Palatino Linotype" w:hAnsi="Palatino Linotype"/>
          <w:sz w:val="22"/>
          <w:szCs w:val="22"/>
        </w:rPr>
        <w:t xml:space="preserve">de octubre de 2019, suscrito por el Arq. Rafael Carrasco, en su calidad de Secretario de Territorio, Hábitat y Vivienda, </w:t>
      </w:r>
      <w:r w:rsidRPr="008A1F48">
        <w:rPr>
          <w:rFonts w:ascii="Palatino Linotype" w:hAnsi="Palatino Linotype"/>
          <w:sz w:val="22"/>
          <w:szCs w:val="22"/>
        </w:rPr>
        <w:t>excediendo en $ 4´047.682,13 al valor de Concesión Onerosa de Derechos que este proyecto debería pagar si se aprobaría como un Proyecto Urbanístico Arquitectónico Especial.</w:t>
      </w:r>
    </w:p>
    <w:p w14:paraId="3BEA384A" w14:textId="05220C98" w:rsidR="00FC0AC2" w:rsidRPr="008A1F48" w:rsidRDefault="00FC0AC2" w:rsidP="007A3B3C">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la cesión voluntaria de suelo, no exime al promotor del proyecto a futuras cesiones obligatoria del 15% de área útil de terreno por fraccionamiento de suelo contemplad</w:t>
      </w:r>
      <w:r w:rsidR="007A3B3C">
        <w:rPr>
          <w:rFonts w:ascii="Palatino Linotype" w:hAnsi="Palatino Linotype"/>
          <w:sz w:val="22"/>
          <w:szCs w:val="22"/>
        </w:rPr>
        <w:t xml:space="preserve">a  </w:t>
      </w:r>
      <w:r w:rsidRPr="008A1F48">
        <w:rPr>
          <w:rFonts w:ascii="Palatino Linotype" w:hAnsi="Palatino Linotype"/>
          <w:sz w:val="22"/>
          <w:szCs w:val="22"/>
        </w:rPr>
        <w:t>en el artículo 424 del COOTAD.</w:t>
      </w:r>
    </w:p>
    <w:p w14:paraId="237E4AE6" w14:textId="77777777" w:rsidR="00FC0AC2" w:rsidRPr="008A1F48" w:rsidRDefault="00FC0AC2" w:rsidP="00FC0AC2">
      <w:pPr>
        <w:spacing w:line="276" w:lineRule="auto"/>
        <w:jc w:val="both"/>
        <w:rPr>
          <w:rFonts w:ascii="Palatino Linotype" w:hAnsi="Palatino Linotype"/>
          <w:sz w:val="22"/>
          <w:szCs w:val="22"/>
        </w:rPr>
      </w:pPr>
    </w:p>
    <w:p w14:paraId="3F0C0F21" w14:textId="5ABE10D3"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lastRenderedPageBreak/>
        <w:t>Que</w:t>
      </w:r>
      <w:r w:rsidRPr="008A1F48">
        <w:rPr>
          <w:rFonts w:ascii="Palatino Linotype" w:hAnsi="Palatino Linotype"/>
          <w:sz w:val="22"/>
          <w:szCs w:val="22"/>
        </w:rPr>
        <w:t xml:space="preserve">,  en el caso donde se implantará la Estación Intermodal Cumbayá está constituida por dos predios, uno es el predio No. 279520 de propiedad de TOMORAGUADUA S.A., el cual posee la asignación de uso de suelo de </w:t>
      </w:r>
      <w:r w:rsidR="007A3B3C">
        <w:rPr>
          <w:rFonts w:ascii="Palatino Linotype" w:hAnsi="Palatino Linotype"/>
          <w:sz w:val="22"/>
          <w:szCs w:val="22"/>
        </w:rPr>
        <w:t>e</w:t>
      </w:r>
      <w:r w:rsidRPr="008A1F48">
        <w:rPr>
          <w:rFonts w:ascii="Palatino Linotype" w:hAnsi="Palatino Linotype"/>
          <w:sz w:val="22"/>
          <w:szCs w:val="22"/>
        </w:rPr>
        <w:t xml:space="preserve">quipamiento, misma que es compatible con el funcionamiento de la Estación Intermodal en mención, y por otro lado, el predio No. 3697579 de propiedad municipal, el cual tiene una asignación de uso de suelo de Protección Ecológica y Conservación del Patrimonio Natural (PE/CPN), mismo que </w:t>
      </w:r>
      <w:r w:rsidR="009668FF" w:rsidRPr="008A1F48">
        <w:rPr>
          <w:rFonts w:ascii="Palatino Linotype" w:hAnsi="Palatino Linotype"/>
          <w:sz w:val="22"/>
          <w:szCs w:val="22"/>
        </w:rPr>
        <w:t>no es compatible</w:t>
      </w:r>
      <w:r w:rsidRPr="008A1F48">
        <w:rPr>
          <w:rFonts w:ascii="Palatino Linotype" w:hAnsi="Palatino Linotype"/>
          <w:sz w:val="22"/>
          <w:szCs w:val="22"/>
        </w:rPr>
        <w:t xml:space="preserve"> con el</w:t>
      </w:r>
      <w:r w:rsidR="009668FF" w:rsidRPr="008A1F48">
        <w:rPr>
          <w:rFonts w:ascii="Palatino Linotype" w:hAnsi="Palatino Linotype"/>
          <w:sz w:val="22"/>
          <w:szCs w:val="22"/>
        </w:rPr>
        <w:t xml:space="preserve"> desarrollo del</w:t>
      </w:r>
      <w:r w:rsidRPr="008A1F48">
        <w:rPr>
          <w:rFonts w:ascii="Palatino Linotype" w:hAnsi="Palatino Linotype"/>
          <w:sz w:val="22"/>
          <w:szCs w:val="22"/>
        </w:rPr>
        <w:t xml:space="preserve"> proyecto señalado en líneas anteriores.</w:t>
      </w:r>
    </w:p>
    <w:p w14:paraId="4CAD39F5" w14:textId="77777777" w:rsidR="00FC0AC2" w:rsidRPr="008A1F48" w:rsidRDefault="00FC0AC2" w:rsidP="00FC0AC2">
      <w:pPr>
        <w:spacing w:line="276" w:lineRule="auto"/>
        <w:ind w:left="567" w:hanging="567"/>
        <w:jc w:val="both"/>
        <w:rPr>
          <w:rFonts w:ascii="Palatino Linotype" w:hAnsi="Palatino Linotype"/>
          <w:sz w:val="22"/>
          <w:szCs w:val="22"/>
        </w:rPr>
      </w:pPr>
    </w:p>
    <w:p w14:paraId="2C954518" w14:textId="0D02A317" w:rsidR="00FC0AC2" w:rsidRPr="008A1F48" w:rsidRDefault="00FC0AC2" w:rsidP="00FC0AC2">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la Estación Intermodal Cumbayá es un equipamiento necesario para el funcionamiento eficiente del sistema de movilidad y transporte público de la parroquia de Cumbayá. Dicho proyecto es una necesidad manifestada por el Gobierno Autónomo Descentralizado de Cumbayá y ratificada</w:t>
      </w:r>
      <w:r w:rsidR="007865FB" w:rsidRPr="008A1F48">
        <w:rPr>
          <w:rFonts w:ascii="Palatino Linotype" w:hAnsi="Palatino Linotype"/>
          <w:sz w:val="22"/>
          <w:szCs w:val="22"/>
        </w:rPr>
        <w:t xml:space="preserve"> mediante oficio No. SM-2019-1905 del </w:t>
      </w:r>
      <w:r w:rsidR="00320CE2" w:rsidRPr="008A1F48">
        <w:rPr>
          <w:rFonts w:ascii="Palatino Linotype" w:hAnsi="Palatino Linotype"/>
          <w:sz w:val="22"/>
          <w:szCs w:val="22"/>
        </w:rPr>
        <w:t>26</w:t>
      </w:r>
      <w:r w:rsidR="007865FB" w:rsidRPr="008A1F48">
        <w:rPr>
          <w:rFonts w:ascii="Palatino Linotype" w:hAnsi="Palatino Linotype"/>
          <w:sz w:val="22"/>
          <w:szCs w:val="22"/>
        </w:rPr>
        <w:t xml:space="preserve"> de agosto de 2019,</w:t>
      </w:r>
      <w:r w:rsidRPr="008A1F48">
        <w:rPr>
          <w:rFonts w:ascii="Palatino Linotype" w:hAnsi="Palatino Linotype"/>
          <w:sz w:val="22"/>
          <w:szCs w:val="22"/>
        </w:rPr>
        <w:t xml:space="preserve"> por la Secretaría de Movilidad del Distrito Metropolitano de Quito.</w:t>
      </w:r>
    </w:p>
    <w:p w14:paraId="7588826E" w14:textId="77777777" w:rsidR="00FC0AC2" w:rsidRPr="008A1F48" w:rsidRDefault="00FC0AC2" w:rsidP="00FC0AC2">
      <w:pPr>
        <w:spacing w:line="276" w:lineRule="auto"/>
        <w:ind w:left="567" w:hanging="567"/>
        <w:jc w:val="both"/>
        <w:rPr>
          <w:rFonts w:ascii="Palatino Linotype" w:hAnsi="Palatino Linotype"/>
          <w:sz w:val="22"/>
          <w:szCs w:val="22"/>
        </w:rPr>
      </w:pPr>
    </w:p>
    <w:p w14:paraId="5139FDD9" w14:textId="17975F20" w:rsidR="00B559A4" w:rsidRPr="008A1F48" w:rsidRDefault="00FC0AC2" w:rsidP="00B559A4">
      <w:pPr>
        <w:spacing w:line="276" w:lineRule="auto"/>
        <w:ind w:left="567" w:hanging="567"/>
        <w:jc w:val="both"/>
        <w:rPr>
          <w:rFonts w:ascii="Palatino Linotype" w:hAnsi="Palatino Linotype"/>
          <w:sz w:val="22"/>
          <w:szCs w:val="22"/>
        </w:rPr>
      </w:pPr>
      <w:r w:rsidRPr="008A1F48">
        <w:rPr>
          <w:rFonts w:ascii="Palatino Linotype" w:hAnsi="Palatino Linotype"/>
          <w:b/>
          <w:sz w:val="22"/>
          <w:szCs w:val="22"/>
        </w:rPr>
        <w:t>Que,</w:t>
      </w:r>
      <w:r w:rsidRPr="008A1F48">
        <w:rPr>
          <w:rFonts w:ascii="Palatino Linotype" w:hAnsi="Palatino Linotype"/>
          <w:sz w:val="22"/>
          <w:szCs w:val="22"/>
        </w:rPr>
        <w:t xml:space="preserve"> con el aprovechamiento urbanístico a un uso de suelo de </w:t>
      </w:r>
      <w:r w:rsidR="007A3B3C">
        <w:rPr>
          <w:rFonts w:ascii="Palatino Linotype" w:hAnsi="Palatino Linotype"/>
          <w:sz w:val="22"/>
          <w:szCs w:val="22"/>
        </w:rPr>
        <w:t>e</w:t>
      </w:r>
      <w:r w:rsidRPr="008A1F48">
        <w:rPr>
          <w:rFonts w:ascii="Palatino Linotype" w:hAnsi="Palatino Linotype"/>
          <w:sz w:val="22"/>
          <w:szCs w:val="22"/>
        </w:rPr>
        <w:t xml:space="preserve">quipamiento y datos de edificabilidad y forma de ocupación, se podrá viabilizar la implementación por parte de la EPMMOP de dicha Estación Intermodal. </w:t>
      </w:r>
    </w:p>
    <w:p w14:paraId="25395681" w14:textId="77777777" w:rsidR="001507BD" w:rsidRPr="008A1F48" w:rsidRDefault="001507BD" w:rsidP="001507BD">
      <w:pPr>
        <w:spacing w:line="276" w:lineRule="auto"/>
        <w:jc w:val="both"/>
        <w:rPr>
          <w:rFonts w:ascii="Palatino Linotype" w:hAnsi="Palatino Linotype"/>
          <w:b/>
          <w:sz w:val="22"/>
          <w:szCs w:val="22"/>
        </w:rPr>
      </w:pPr>
    </w:p>
    <w:p w14:paraId="31ABACD3" w14:textId="6D98BC3F" w:rsidR="001507BD" w:rsidRPr="008A1F48" w:rsidRDefault="001507BD" w:rsidP="001507BD">
      <w:pPr>
        <w:spacing w:line="276" w:lineRule="auto"/>
        <w:ind w:left="567" w:hanging="567"/>
        <w:jc w:val="both"/>
        <w:rPr>
          <w:rFonts w:ascii="Palatino Linotype" w:eastAsia="Times New Roman" w:hAnsi="Palatino Linotype" w:cs="Times New Roman"/>
          <w:sz w:val="22"/>
          <w:szCs w:val="22"/>
          <w:lang w:val="es-EC" w:eastAsia="es-ES_tradnl"/>
        </w:rPr>
      </w:pPr>
      <w:r w:rsidRPr="008A1F48">
        <w:rPr>
          <w:rFonts w:ascii="Palatino Linotype" w:hAnsi="Palatino Linotype"/>
          <w:b/>
          <w:sz w:val="22"/>
          <w:szCs w:val="22"/>
        </w:rPr>
        <w:t>Que,</w:t>
      </w:r>
      <w:r w:rsidRPr="008A1F48">
        <w:rPr>
          <w:rFonts w:ascii="Palatino Linotype" w:hAnsi="Palatino Linotype"/>
          <w:sz w:val="22"/>
          <w:szCs w:val="22"/>
        </w:rPr>
        <w:t xml:space="preserve">  el 25 de octubre de 2019,   tuvo lugar una reunión  entre un delegado de la  Secretaría de Territorio Hábitat y Vivienda y  el  Sr. Ramiro Galarza, Gerente General de la compañía </w:t>
      </w:r>
      <w:proofErr w:type="spellStart"/>
      <w:r w:rsidRPr="008A1F48">
        <w:rPr>
          <w:rFonts w:ascii="Palatino Linotype" w:hAnsi="Palatino Linotype"/>
          <w:sz w:val="22"/>
          <w:szCs w:val="22"/>
        </w:rPr>
        <w:t>Consermin</w:t>
      </w:r>
      <w:proofErr w:type="spellEnd"/>
      <w:r w:rsidRPr="008A1F48">
        <w:rPr>
          <w:rFonts w:ascii="Palatino Linotype" w:hAnsi="Palatino Linotype"/>
          <w:sz w:val="22"/>
          <w:szCs w:val="22"/>
        </w:rPr>
        <w:t xml:space="preserve"> S.A., para tratar el caso del predio del convenio de la Ruta Viva, denominado “</w:t>
      </w:r>
      <w:r w:rsidRPr="008A1F48">
        <w:rPr>
          <w:rFonts w:ascii="Palatino Linotype" w:eastAsia="Times New Roman" w:hAnsi="Palatino Linotype" w:cs="Times New Roman"/>
          <w:i/>
          <w:iCs/>
          <w:sz w:val="22"/>
          <w:szCs w:val="22"/>
          <w:lang w:val="es-EC" w:eastAsia="es-ES_tradnl"/>
        </w:rPr>
        <w:t>c</w:t>
      </w:r>
      <w:r w:rsidRPr="00141E7F">
        <w:rPr>
          <w:rFonts w:ascii="Palatino Linotype" w:eastAsia="Times New Roman" w:hAnsi="Palatino Linotype" w:cs="Times New Roman"/>
          <w:i/>
          <w:iCs/>
          <w:sz w:val="22"/>
          <w:szCs w:val="22"/>
          <w:lang w:val="es-EC" w:eastAsia="es-ES_tradnl"/>
        </w:rPr>
        <w:t>onvenio de Ocupación del Predio No. 1355039 de Propiedad de la Compañía Construcciones y Servicios de Minería Consermin S.A.</w:t>
      </w:r>
      <w:r w:rsidRPr="008A1F48">
        <w:rPr>
          <w:rFonts w:ascii="Palatino Linotype" w:eastAsia="Times New Roman" w:hAnsi="Palatino Linotype" w:cs="Times New Roman"/>
          <w:i/>
          <w:iCs/>
          <w:sz w:val="22"/>
          <w:szCs w:val="22"/>
          <w:lang w:val="es-EC" w:eastAsia="es-ES_tradnl"/>
        </w:rPr>
        <w:t xml:space="preserve">”, </w:t>
      </w:r>
      <w:r w:rsidRPr="008A1F48">
        <w:rPr>
          <w:rFonts w:ascii="Palatino Linotype" w:eastAsia="Times New Roman" w:hAnsi="Palatino Linotype" w:cs="Times New Roman"/>
          <w:sz w:val="22"/>
          <w:szCs w:val="22"/>
          <w:lang w:val="es-EC" w:eastAsia="es-ES_tradnl"/>
        </w:rPr>
        <w:t xml:space="preserve">en la cual </w:t>
      </w:r>
      <w:r w:rsidRPr="008A1F48">
        <w:rPr>
          <w:rFonts w:ascii="Palatino Linotype" w:hAnsi="Palatino Linotype"/>
          <w:sz w:val="22"/>
          <w:szCs w:val="22"/>
        </w:rPr>
        <w:t xml:space="preserve"> se   explicó que si bien existe un acuerdo firmado entre el </w:t>
      </w:r>
      <w:r w:rsidRPr="00141E7F">
        <w:rPr>
          <w:rFonts w:ascii="Palatino Linotype" w:eastAsia="Times New Roman" w:hAnsi="Palatino Linotype" w:cs="Times New Roman"/>
          <w:sz w:val="22"/>
          <w:szCs w:val="22"/>
          <w:lang w:val="es-EC" w:eastAsia="es-ES_tradnl"/>
        </w:rPr>
        <w:t>Municipio del Distrito Metropolitano de Quito, por medio de</w:t>
      </w:r>
      <w:r w:rsidRPr="008A1F48">
        <w:rPr>
          <w:rFonts w:ascii="Palatino Linotype" w:eastAsia="Times New Roman" w:hAnsi="Palatino Linotype" w:cs="Times New Roman"/>
          <w:sz w:val="22"/>
          <w:szCs w:val="22"/>
          <w:lang w:val="es-EC" w:eastAsia="es-ES_tradnl"/>
        </w:rPr>
        <w:t>l</w:t>
      </w:r>
      <w:r w:rsidRPr="00141E7F">
        <w:rPr>
          <w:rFonts w:ascii="Palatino Linotype" w:eastAsia="Times New Roman" w:hAnsi="Palatino Linotype" w:cs="Times New Roman"/>
          <w:sz w:val="22"/>
          <w:szCs w:val="22"/>
          <w:lang w:val="es-EC" w:eastAsia="es-ES_tradnl"/>
        </w:rPr>
        <w:t xml:space="preserve"> Administra</w:t>
      </w:r>
      <w:r w:rsidRPr="008A1F48">
        <w:rPr>
          <w:rFonts w:ascii="Palatino Linotype" w:eastAsia="Times New Roman" w:hAnsi="Palatino Linotype" w:cs="Times New Roman"/>
          <w:sz w:val="22"/>
          <w:szCs w:val="22"/>
          <w:lang w:val="es-EC" w:eastAsia="es-ES_tradnl"/>
        </w:rPr>
        <w:t>dor</w:t>
      </w:r>
      <w:r w:rsidRPr="00141E7F">
        <w:rPr>
          <w:rFonts w:ascii="Palatino Linotype" w:eastAsia="Times New Roman" w:hAnsi="Palatino Linotype" w:cs="Times New Roman"/>
          <w:sz w:val="22"/>
          <w:szCs w:val="22"/>
          <w:lang w:val="es-EC" w:eastAsia="es-ES_tradnl"/>
        </w:rPr>
        <w:t xml:space="preserve"> General,</w:t>
      </w:r>
      <w:r w:rsidRPr="008A1F48">
        <w:rPr>
          <w:rFonts w:ascii="Palatino Linotype" w:eastAsia="Times New Roman" w:hAnsi="Palatino Linotype" w:cs="Times New Roman"/>
          <w:sz w:val="22"/>
          <w:szCs w:val="22"/>
          <w:lang w:val="es-EC" w:eastAsia="es-ES_tradnl"/>
        </w:rPr>
        <w:t xml:space="preserve"> </w:t>
      </w:r>
      <w:r w:rsidR="007A3B3C">
        <w:rPr>
          <w:rFonts w:ascii="Palatino Linotype" w:eastAsia="Times New Roman" w:hAnsi="Palatino Linotype" w:cs="Times New Roman"/>
          <w:sz w:val="22"/>
          <w:szCs w:val="22"/>
          <w:lang w:val="es-EC" w:eastAsia="es-ES_tradnl"/>
        </w:rPr>
        <w:t xml:space="preserve">economista </w:t>
      </w:r>
      <w:r w:rsidRPr="00141E7F">
        <w:rPr>
          <w:rFonts w:ascii="Palatino Linotype" w:eastAsia="Times New Roman" w:hAnsi="Palatino Linotype" w:cs="Times New Roman"/>
          <w:sz w:val="22"/>
          <w:szCs w:val="22"/>
          <w:lang w:val="es-EC" w:eastAsia="es-ES_tradnl"/>
        </w:rPr>
        <w:t xml:space="preserve">Rubén Flores Agreda, y el </w:t>
      </w:r>
      <w:r w:rsidR="007A3B3C">
        <w:rPr>
          <w:rFonts w:ascii="Palatino Linotype" w:eastAsia="Times New Roman" w:hAnsi="Palatino Linotype" w:cs="Times New Roman"/>
          <w:sz w:val="22"/>
          <w:szCs w:val="22"/>
          <w:lang w:val="es-EC" w:eastAsia="es-ES_tradnl"/>
        </w:rPr>
        <w:t xml:space="preserve">señor </w:t>
      </w:r>
      <w:r w:rsidRPr="00141E7F">
        <w:rPr>
          <w:rFonts w:ascii="Palatino Linotype" w:eastAsia="Times New Roman" w:hAnsi="Palatino Linotype" w:cs="Times New Roman"/>
          <w:sz w:val="22"/>
          <w:szCs w:val="22"/>
          <w:lang w:val="es-EC" w:eastAsia="es-ES_tradnl"/>
        </w:rPr>
        <w:t>Edgar Salas León, Gerente General Consermin S.A.</w:t>
      </w:r>
      <w:r w:rsidRPr="008A1F48">
        <w:rPr>
          <w:rFonts w:ascii="Palatino Linotype" w:eastAsia="Times New Roman" w:hAnsi="Palatino Linotype" w:cs="Times New Roman"/>
          <w:sz w:val="22"/>
          <w:szCs w:val="22"/>
          <w:lang w:val="es-EC" w:eastAsia="es-ES_tradnl"/>
        </w:rPr>
        <w:t xml:space="preserve"> , no es factible cambiar el </w:t>
      </w:r>
      <w:r w:rsidRPr="00141E7F">
        <w:rPr>
          <w:rFonts w:ascii="Palatino Linotype" w:eastAsia="Times New Roman" w:hAnsi="Palatino Linotype" w:cs="Times New Roman"/>
          <w:sz w:val="22"/>
          <w:szCs w:val="22"/>
          <w:lang w:val="es-EC" w:eastAsia="es-ES_tradnl"/>
        </w:rPr>
        <w:t xml:space="preserve">uso de suelo </w:t>
      </w:r>
      <w:r w:rsidRPr="008A1F48">
        <w:rPr>
          <w:rFonts w:ascii="Palatino Linotype" w:eastAsia="Times New Roman" w:hAnsi="Palatino Linotype" w:cs="Times New Roman"/>
          <w:sz w:val="22"/>
          <w:szCs w:val="22"/>
          <w:lang w:val="es-EC" w:eastAsia="es-ES_tradnl"/>
        </w:rPr>
        <w:t>actual de residencial urbano 1 a</w:t>
      </w:r>
      <w:r w:rsidRPr="00141E7F">
        <w:rPr>
          <w:rFonts w:ascii="Palatino Linotype" w:eastAsia="Times New Roman" w:hAnsi="Palatino Linotype" w:cs="Times New Roman"/>
          <w:sz w:val="22"/>
          <w:szCs w:val="22"/>
          <w:lang w:val="es-EC" w:eastAsia="es-ES_tradnl"/>
        </w:rPr>
        <w:t xml:space="preserve"> múltiple </w:t>
      </w:r>
      <w:r w:rsidRPr="008A1F48">
        <w:rPr>
          <w:rFonts w:ascii="Palatino Linotype" w:eastAsia="Times New Roman" w:hAnsi="Palatino Linotype" w:cs="Times New Roman"/>
          <w:sz w:val="22"/>
          <w:szCs w:val="22"/>
          <w:lang w:val="es-EC" w:eastAsia="es-ES_tradnl"/>
        </w:rPr>
        <w:t xml:space="preserve">dado que dicho uso de suelo acordado </w:t>
      </w:r>
      <w:r w:rsidRPr="00141E7F">
        <w:rPr>
          <w:rFonts w:ascii="Palatino Linotype" w:eastAsia="Times New Roman" w:hAnsi="Palatino Linotype" w:cs="Times New Roman"/>
          <w:sz w:val="22"/>
          <w:szCs w:val="22"/>
          <w:lang w:val="es-EC" w:eastAsia="es-ES_tradnl"/>
        </w:rPr>
        <w:t>no se alinea a las estrategias de planificación urbana</w:t>
      </w:r>
      <w:r w:rsidRPr="008A1F48">
        <w:rPr>
          <w:rFonts w:ascii="Palatino Linotype" w:eastAsia="Times New Roman" w:hAnsi="Palatino Linotype" w:cs="Times New Roman"/>
          <w:sz w:val="22"/>
          <w:szCs w:val="22"/>
          <w:lang w:val="es-EC" w:eastAsia="es-ES_tradnl"/>
        </w:rPr>
        <w:t xml:space="preserve">. </w:t>
      </w:r>
    </w:p>
    <w:p w14:paraId="2211E8BB" w14:textId="77777777" w:rsidR="001507BD" w:rsidRPr="008A1F48" w:rsidRDefault="001507BD" w:rsidP="001507BD">
      <w:pPr>
        <w:spacing w:line="276" w:lineRule="auto"/>
        <w:jc w:val="both"/>
        <w:rPr>
          <w:rFonts w:ascii="Palatino Linotype" w:eastAsia="Times New Roman" w:hAnsi="Palatino Linotype" w:cs="Times New Roman"/>
          <w:sz w:val="22"/>
          <w:szCs w:val="22"/>
          <w:lang w:val="es-EC" w:eastAsia="es-ES_tradnl"/>
        </w:rPr>
      </w:pPr>
    </w:p>
    <w:p w14:paraId="657D30C9" w14:textId="1F5E7AF2" w:rsidR="00074FFB" w:rsidRPr="00074FFB" w:rsidRDefault="001507BD" w:rsidP="00074FFB">
      <w:pPr>
        <w:spacing w:line="276" w:lineRule="auto"/>
        <w:ind w:left="567" w:hanging="567"/>
        <w:jc w:val="both"/>
        <w:rPr>
          <w:rFonts w:ascii="Palatino Linotype" w:hAnsi="Palatino Linotype"/>
          <w:i/>
          <w:iCs/>
          <w:sz w:val="22"/>
          <w:szCs w:val="22"/>
        </w:rPr>
      </w:pPr>
      <w:r w:rsidRPr="008A1F48">
        <w:rPr>
          <w:rFonts w:ascii="Palatino Linotype" w:eastAsia="Times New Roman" w:hAnsi="Palatino Linotype" w:cs="Times New Roman"/>
          <w:b/>
          <w:bCs/>
          <w:sz w:val="22"/>
          <w:szCs w:val="22"/>
          <w:lang w:val="es-EC" w:eastAsia="es-ES_tradnl"/>
        </w:rPr>
        <w:t>Que</w:t>
      </w:r>
      <w:r w:rsidRPr="008A1F48">
        <w:rPr>
          <w:rFonts w:ascii="Palatino Linotype" w:eastAsia="Times New Roman" w:hAnsi="Palatino Linotype" w:cs="Times New Roman"/>
          <w:sz w:val="22"/>
          <w:szCs w:val="22"/>
          <w:lang w:val="es-EC" w:eastAsia="es-ES_tradnl"/>
        </w:rPr>
        <w:t xml:space="preserve">, </w:t>
      </w:r>
      <w:r w:rsidR="00074FFB">
        <w:rPr>
          <w:rFonts w:ascii="Palatino Linotype" w:hAnsi="Palatino Linotype"/>
          <w:sz w:val="22"/>
          <w:szCs w:val="22"/>
        </w:rPr>
        <w:t>m</w:t>
      </w:r>
      <w:r w:rsidR="00074FFB" w:rsidRPr="008A1F48">
        <w:rPr>
          <w:rFonts w:ascii="Palatino Linotype" w:hAnsi="Palatino Linotype"/>
          <w:sz w:val="22"/>
          <w:szCs w:val="22"/>
        </w:rPr>
        <w:t>ediante oficio No. STHV-2019-</w:t>
      </w:r>
      <w:r w:rsidR="00074FFB">
        <w:rPr>
          <w:rFonts w:ascii="Palatino Linotype" w:hAnsi="Palatino Linotype"/>
          <w:color w:val="000000" w:themeColor="text1"/>
          <w:sz w:val="22"/>
          <w:szCs w:val="22"/>
        </w:rPr>
        <w:t>0144</w:t>
      </w:r>
      <w:r w:rsidR="00074FFB" w:rsidRPr="008A1F48">
        <w:rPr>
          <w:rFonts w:ascii="Palatino Linotype" w:hAnsi="Palatino Linotype"/>
          <w:color w:val="000000" w:themeColor="text1"/>
          <w:sz w:val="22"/>
          <w:szCs w:val="22"/>
        </w:rPr>
        <w:t xml:space="preserve"> </w:t>
      </w:r>
      <w:r w:rsidR="00074FFB" w:rsidRPr="008A1F48">
        <w:rPr>
          <w:rFonts w:ascii="Palatino Linotype" w:hAnsi="Palatino Linotype"/>
          <w:sz w:val="22"/>
          <w:szCs w:val="22"/>
        </w:rPr>
        <w:t xml:space="preserve">del </w:t>
      </w:r>
      <w:r w:rsidR="00074FFB">
        <w:rPr>
          <w:rFonts w:ascii="Palatino Linotype" w:hAnsi="Palatino Linotype"/>
          <w:color w:val="000000" w:themeColor="text1"/>
          <w:sz w:val="22"/>
          <w:szCs w:val="22"/>
        </w:rPr>
        <w:t>25</w:t>
      </w:r>
      <w:r w:rsidR="00074FFB" w:rsidRPr="008A1F48">
        <w:rPr>
          <w:rFonts w:ascii="Palatino Linotype" w:hAnsi="Palatino Linotype"/>
          <w:color w:val="FF0000"/>
          <w:sz w:val="22"/>
          <w:szCs w:val="22"/>
        </w:rPr>
        <w:t xml:space="preserve"> </w:t>
      </w:r>
      <w:r w:rsidR="00074FFB" w:rsidRPr="008A1F48">
        <w:rPr>
          <w:rFonts w:ascii="Palatino Linotype" w:hAnsi="Palatino Linotype"/>
          <w:sz w:val="22"/>
          <w:szCs w:val="22"/>
        </w:rPr>
        <w:t xml:space="preserve">de octubre de 2019, el Arq. Rafael Carrasco, en su calidad de Secretario de Territorio, Hábitat y Vivienda, remite el </w:t>
      </w:r>
      <w:r w:rsidR="00074FFB">
        <w:rPr>
          <w:rFonts w:ascii="Palatino Linotype" w:hAnsi="Palatino Linotype"/>
          <w:sz w:val="22"/>
          <w:szCs w:val="22"/>
        </w:rPr>
        <w:t xml:space="preserve">segundo </w:t>
      </w:r>
      <w:r w:rsidR="00074FFB" w:rsidRPr="008A1F48">
        <w:rPr>
          <w:rFonts w:ascii="Palatino Linotype" w:hAnsi="Palatino Linotype"/>
          <w:sz w:val="22"/>
          <w:szCs w:val="22"/>
        </w:rPr>
        <w:t xml:space="preserve">alcance al informe técnico No. </w:t>
      </w:r>
      <w:r w:rsidR="00074FFB" w:rsidRPr="00074FFB">
        <w:rPr>
          <w:rFonts w:ascii="Palatino Linotype" w:hAnsi="Palatino Linotype"/>
          <w:sz w:val="22"/>
          <w:szCs w:val="22"/>
        </w:rPr>
        <w:t>STHV-2019-0058-O  del 09 de septiembre de 2019,</w:t>
      </w:r>
      <w:r w:rsidR="00074FFB">
        <w:rPr>
          <w:rFonts w:ascii="Palatino Linotype" w:hAnsi="Palatino Linotype"/>
          <w:sz w:val="22"/>
          <w:szCs w:val="22"/>
        </w:rPr>
        <w:t xml:space="preserve"> señalando en el criterio técnico: “(…) </w:t>
      </w:r>
      <w:r w:rsidR="00074FFB" w:rsidRPr="00074FFB">
        <w:rPr>
          <w:rFonts w:ascii="Palatino Linotype" w:hAnsi="Palatino Linotype"/>
          <w:i/>
          <w:iCs/>
          <w:sz w:val="22"/>
          <w:szCs w:val="22"/>
        </w:rPr>
        <w:t>una vez ratificado el criterio técnico desfavorable para la asignación de uso</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Múltiple y en atención a lo manifestado en el oficio No. STHV-2019-0058-O sobre la dinámica</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urbana que se generará a partir de la implementación del Proyecto San Patricio, la STHV</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recomienda que, en virtud de una justa compensación por el valor de expropiación al</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inmueble en mención y la seguridad jurídica al usuario, el cambio normativo de</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 xml:space="preserve">asignaciones de aprovechamiento urbanístico en </w:t>
      </w:r>
      <w:r w:rsidR="00074FFB" w:rsidRPr="00074FFB">
        <w:rPr>
          <w:rFonts w:ascii="Palatino Linotype" w:hAnsi="Palatino Linotype"/>
          <w:i/>
          <w:iCs/>
          <w:sz w:val="22"/>
          <w:szCs w:val="22"/>
        </w:rPr>
        <w:lastRenderedPageBreak/>
        <w:t>compensación por el proceso de</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expropiación y con el objetivo de no generar distorsiones en la planificación urbano territorial,</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se acoja asignaciones del entorno urbano del predio, las mismas que pueden ser:</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Clasificación: Urbano</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Uso de Suelo: Residencial Urbano 2 (RU2)</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Zonificación: A604-50 o A603-35</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El cálculo de Concesión Onerosa de Derechos para el cambio propuesto es el $ 0,00 , ya que el</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índice de revalorización de cambio de RU1 a RU2 es de 0,97.</w:t>
      </w:r>
      <w:r w:rsidR="00074FFB">
        <w:rPr>
          <w:rFonts w:ascii="Palatino Linotype" w:hAnsi="Palatino Linotype"/>
          <w:i/>
          <w:iCs/>
          <w:sz w:val="22"/>
          <w:szCs w:val="22"/>
        </w:rPr>
        <w:t xml:space="preserve"> </w:t>
      </w:r>
      <w:r w:rsidR="00074FFB" w:rsidRPr="00074FFB">
        <w:rPr>
          <w:rFonts w:ascii="Palatino Linotype" w:hAnsi="Palatino Linotype"/>
          <w:i/>
          <w:iCs/>
          <w:sz w:val="22"/>
          <w:szCs w:val="22"/>
        </w:rPr>
        <w:t>Información que remito para los fines consiguientes.”</w:t>
      </w:r>
    </w:p>
    <w:p w14:paraId="241A0BC0" w14:textId="081695CB" w:rsidR="001507BD" w:rsidRPr="008A1F48" w:rsidRDefault="001507BD" w:rsidP="001507BD">
      <w:pPr>
        <w:spacing w:line="276" w:lineRule="auto"/>
        <w:ind w:left="567" w:hanging="567"/>
        <w:jc w:val="both"/>
        <w:rPr>
          <w:rFonts w:ascii="Palatino Linotype" w:hAnsi="Palatino Linotype"/>
          <w:sz w:val="22"/>
          <w:szCs w:val="22"/>
        </w:rPr>
      </w:pPr>
    </w:p>
    <w:p w14:paraId="164198F9" w14:textId="77777777" w:rsidR="001507BD" w:rsidRPr="008A1F48" w:rsidRDefault="001507BD" w:rsidP="001507BD">
      <w:pPr>
        <w:spacing w:line="276" w:lineRule="auto"/>
        <w:jc w:val="both"/>
        <w:rPr>
          <w:rFonts w:ascii="Palatino Linotype" w:hAnsi="Palatino Linotype"/>
          <w:sz w:val="22"/>
          <w:szCs w:val="22"/>
        </w:rPr>
      </w:pPr>
    </w:p>
    <w:p w14:paraId="66F46312" w14:textId="38A670B8" w:rsidR="00074FFB" w:rsidRDefault="001507BD" w:rsidP="00074FFB">
      <w:pPr>
        <w:spacing w:line="276" w:lineRule="auto"/>
        <w:ind w:left="567" w:hanging="567"/>
        <w:jc w:val="both"/>
        <w:rPr>
          <w:rFonts w:ascii="Palatino Linotype" w:hAnsi="Palatino Linotype"/>
          <w:i/>
          <w:iCs/>
          <w:sz w:val="22"/>
          <w:szCs w:val="22"/>
        </w:rPr>
      </w:pPr>
      <w:r w:rsidRPr="008A1F48">
        <w:rPr>
          <w:rFonts w:ascii="Palatino Linotype" w:hAnsi="Palatino Linotype"/>
          <w:b/>
          <w:bCs/>
          <w:sz w:val="22"/>
          <w:szCs w:val="22"/>
        </w:rPr>
        <w:t>Que,</w:t>
      </w:r>
      <w:r w:rsidRPr="008A1F48">
        <w:rPr>
          <w:rFonts w:ascii="Palatino Linotype" w:hAnsi="Palatino Linotype"/>
          <w:sz w:val="22"/>
          <w:szCs w:val="22"/>
        </w:rPr>
        <w:t xml:space="preserve"> mediante oficio s/n ingresado el 25 de octubre de 2019, el </w:t>
      </w:r>
      <w:r w:rsidR="007A3B3C">
        <w:rPr>
          <w:rFonts w:ascii="Palatino Linotype" w:hAnsi="Palatino Linotype"/>
          <w:sz w:val="22"/>
          <w:szCs w:val="22"/>
        </w:rPr>
        <w:t xml:space="preserve">señor </w:t>
      </w:r>
      <w:r w:rsidRPr="008A1F48">
        <w:rPr>
          <w:rFonts w:ascii="Palatino Linotype" w:hAnsi="Palatino Linotype"/>
          <w:sz w:val="22"/>
          <w:szCs w:val="22"/>
        </w:rPr>
        <w:t xml:space="preserve">Ramiro Galarza, Gerente General de la compañía </w:t>
      </w:r>
      <w:proofErr w:type="spellStart"/>
      <w:r w:rsidRPr="008A1F48">
        <w:rPr>
          <w:rFonts w:ascii="Palatino Linotype" w:hAnsi="Palatino Linotype"/>
          <w:sz w:val="22"/>
          <w:szCs w:val="22"/>
        </w:rPr>
        <w:t>Consermin</w:t>
      </w:r>
      <w:proofErr w:type="spellEnd"/>
      <w:r w:rsidRPr="008A1F48">
        <w:rPr>
          <w:rFonts w:ascii="Palatino Linotype" w:hAnsi="Palatino Linotype"/>
          <w:sz w:val="22"/>
          <w:szCs w:val="22"/>
        </w:rPr>
        <w:t xml:space="preserve"> S.A.,  señala  en su parte  pertinente</w:t>
      </w:r>
      <w:proofErr w:type="gramStart"/>
      <w:r w:rsidRPr="008A1F48">
        <w:rPr>
          <w:rFonts w:ascii="Palatino Linotype" w:hAnsi="Palatino Linotype"/>
          <w:sz w:val="22"/>
          <w:szCs w:val="22"/>
        </w:rPr>
        <w:t>:</w:t>
      </w:r>
      <w:r w:rsidRPr="008A1F48">
        <w:rPr>
          <w:rFonts w:ascii="Palatino Linotype" w:hAnsi="Palatino Linotype"/>
          <w:i/>
          <w:iCs/>
          <w:sz w:val="22"/>
          <w:szCs w:val="22"/>
        </w:rPr>
        <w:t xml:space="preserve">  “</w:t>
      </w:r>
      <w:proofErr w:type="gramEnd"/>
      <w:r w:rsidRPr="008A1F48">
        <w:rPr>
          <w:rFonts w:ascii="Palatino Linotype" w:hAnsi="Palatino Linotype"/>
          <w:i/>
          <w:iCs/>
          <w:sz w:val="22"/>
          <w:szCs w:val="22"/>
        </w:rPr>
        <w:t>(…) Luego de reuniones mantenidas con los diferentes representantes del municipio de la Secretaría de Territorio hemos decidido aceptar las asignaciones de aprovechamiento urbanístico con los siguientes datos Uso de suelo urbano 2 y zonificación con A604-50. Una vez que se implemente el cambio normativo, renunciamos a cualquier tipo de indemnización o cambio futuro ya sea por la vía administrativa o legal”</w:t>
      </w:r>
    </w:p>
    <w:p w14:paraId="636179C8" w14:textId="77777777" w:rsidR="00074FFB" w:rsidRDefault="00074FFB" w:rsidP="001507BD">
      <w:pPr>
        <w:spacing w:line="276" w:lineRule="auto"/>
        <w:ind w:left="567" w:hanging="567"/>
        <w:jc w:val="both"/>
        <w:rPr>
          <w:rFonts w:ascii="Palatino Linotype" w:hAnsi="Palatino Linotype"/>
          <w:i/>
          <w:iCs/>
          <w:sz w:val="22"/>
          <w:szCs w:val="22"/>
        </w:rPr>
      </w:pPr>
    </w:p>
    <w:p w14:paraId="2D89D595" w14:textId="63142491" w:rsidR="00074FFB" w:rsidRPr="008A1F48" w:rsidRDefault="00074FFB" w:rsidP="00074FFB">
      <w:pPr>
        <w:spacing w:line="276" w:lineRule="auto"/>
        <w:jc w:val="both"/>
        <w:rPr>
          <w:rFonts w:ascii="Palatino Linotype" w:hAnsi="Palatino Linotype"/>
          <w:b/>
          <w:sz w:val="22"/>
          <w:szCs w:val="22"/>
        </w:rPr>
      </w:pPr>
      <w:r w:rsidRPr="008A1F48">
        <w:rPr>
          <w:rFonts w:ascii="Palatino Linotype" w:hAnsi="Palatino Linotype"/>
          <w:b/>
          <w:sz w:val="22"/>
          <w:szCs w:val="22"/>
        </w:rPr>
        <w:t xml:space="preserve">En ejercicio de la atribución que le confiere los numerales 1 y 2 del artículo 264 de la Constitución de la República; el artículo 2 y 8, numeral 1 respectivamente de la Ley Orgánica de Régimen para el Distrito Metropolitano de Quito; artículo 87, literal a, d y v, </w:t>
      </w:r>
      <w:r>
        <w:rPr>
          <w:rFonts w:ascii="Palatino Linotype" w:hAnsi="Palatino Linotype"/>
          <w:b/>
          <w:sz w:val="22"/>
          <w:szCs w:val="22"/>
        </w:rPr>
        <w:t xml:space="preserve"> </w:t>
      </w:r>
      <w:r w:rsidRPr="008A1F48">
        <w:rPr>
          <w:rFonts w:ascii="Palatino Linotype" w:hAnsi="Palatino Linotype"/>
          <w:b/>
          <w:sz w:val="22"/>
          <w:szCs w:val="22"/>
        </w:rPr>
        <w:t xml:space="preserve">del Código Orgánico de Organización Territorial, Autonomía y Descentralización; artículo 91, numeral 3 de la Ley Orgánica de Ordenamiento Territorial, Uso y Gestión del Suelo; y, artículo </w:t>
      </w:r>
      <w:r w:rsidRPr="008A1F48">
        <w:rPr>
          <w:rFonts w:ascii="Palatino Linotype" w:hAnsi="Palatino Linotype" w:cs="Arial"/>
          <w:b/>
          <w:bCs/>
          <w:color w:val="000000"/>
          <w:sz w:val="22"/>
          <w:szCs w:val="22"/>
          <w:shd w:val="clear" w:color="auto" w:fill="FFFFFF"/>
        </w:rPr>
        <w:t>IV.1.22</w:t>
      </w:r>
      <w:r w:rsidRPr="008A1F48">
        <w:rPr>
          <w:rFonts w:ascii="Palatino Linotype" w:hAnsi="Palatino Linotype" w:cstheme="minorHAnsi"/>
          <w:sz w:val="22"/>
          <w:szCs w:val="22"/>
          <w:lang w:eastAsia="ar-SA"/>
        </w:rPr>
        <w:t xml:space="preserve">  </w:t>
      </w:r>
      <w:r w:rsidRPr="008A1F48">
        <w:rPr>
          <w:rFonts w:ascii="Palatino Linotype" w:hAnsi="Palatino Linotype"/>
          <w:b/>
          <w:sz w:val="22"/>
          <w:szCs w:val="22"/>
        </w:rPr>
        <w:t>del Código Municipal para el Distrito Metropolitano de Quito:</w:t>
      </w:r>
    </w:p>
    <w:p w14:paraId="1BD38C7F" w14:textId="77777777" w:rsidR="00074FFB" w:rsidRPr="008A1F48" w:rsidRDefault="00074FFB" w:rsidP="00074FFB">
      <w:pPr>
        <w:spacing w:line="276" w:lineRule="auto"/>
        <w:jc w:val="both"/>
        <w:rPr>
          <w:rFonts w:ascii="Palatino Linotype" w:hAnsi="Palatino Linotype"/>
          <w:b/>
          <w:sz w:val="22"/>
          <w:szCs w:val="22"/>
        </w:rPr>
      </w:pPr>
    </w:p>
    <w:p w14:paraId="1DC1B609" w14:textId="77777777" w:rsidR="00074FFB" w:rsidRPr="008A1F48" w:rsidRDefault="00074FFB" w:rsidP="00074FFB">
      <w:pPr>
        <w:spacing w:line="276" w:lineRule="auto"/>
        <w:jc w:val="center"/>
        <w:rPr>
          <w:rFonts w:ascii="Palatino Linotype" w:hAnsi="Palatino Linotype"/>
          <w:b/>
          <w:sz w:val="22"/>
          <w:szCs w:val="22"/>
        </w:rPr>
      </w:pPr>
      <w:r w:rsidRPr="008A1F48">
        <w:rPr>
          <w:rFonts w:ascii="Palatino Linotype" w:hAnsi="Palatino Linotype"/>
          <w:b/>
          <w:sz w:val="22"/>
          <w:szCs w:val="22"/>
        </w:rPr>
        <w:t>EXPIDE LA SIGUIENTE:</w:t>
      </w:r>
    </w:p>
    <w:p w14:paraId="2B713F34" w14:textId="77777777" w:rsidR="00074FFB" w:rsidRPr="008A1F48" w:rsidRDefault="00074FFB" w:rsidP="00074FFB">
      <w:pPr>
        <w:spacing w:line="276" w:lineRule="auto"/>
        <w:jc w:val="both"/>
        <w:rPr>
          <w:rFonts w:ascii="Palatino Linotype" w:hAnsi="Palatino Linotype"/>
          <w:b/>
          <w:sz w:val="22"/>
          <w:szCs w:val="22"/>
        </w:rPr>
      </w:pPr>
    </w:p>
    <w:p w14:paraId="32926FC1" w14:textId="77777777" w:rsidR="00074FFB" w:rsidRPr="008A1F48" w:rsidRDefault="00074FFB" w:rsidP="00074FFB">
      <w:pPr>
        <w:spacing w:line="276" w:lineRule="auto"/>
        <w:jc w:val="center"/>
        <w:rPr>
          <w:rFonts w:ascii="Palatino Linotype" w:hAnsi="Palatino Linotype"/>
          <w:b/>
          <w:sz w:val="22"/>
          <w:szCs w:val="22"/>
        </w:rPr>
      </w:pPr>
      <w:r w:rsidRPr="008A1F48">
        <w:rPr>
          <w:rFonts w:ascii="Palatino Linotype" w:hAnsi="Palatino Linotype"/>
          <w:b/>
          <w:sz w:val="22"/>
          <w:szCs w:val="22"/>
        </w:rPr>
        <w:t>ORDENANZA METROPOLITANA MODIFICATORIA DE LA ORDENANZA METROPOLITANA NO. 0127, DE 25 DE JULIO DE 2016, QUE CONTIENE EL PLAN DE USO Y OCUPACIÓN DE SUELO (PUOS), MODIFICADA POR LAS ORDENANZAS METROPOLITANAS NO. 0192 DE 20 DE DICIEMBRE DE 2017 Y NO. 210 DE 12 DE ABRIL DE 2018</w:t>
      </w:r>
    </w:p>
    <w:p w14:paraId="36D60BFE" w14:textId="77777777" w:rsidR="00074FFB" w:rsidRPr="008A1F48" w:rsidRDefault="00074FFB" w:rsidP="00074FFB">
      <w:pPr>
        <w:spacing w:line="276" w:lineRule="auto"/>
        <w:rPr>
          <w:rFonts w:ascii="Palatino Linotype" w:hAnsi="Palatino Linotype"/>
          <w:b/>
          <w:sz w:val="22"/>
          <w:szCs w:val="22"/>
        </w:rPr>
      </w:pPr>
    </w:p>
    <w:p w14:paraId="4C96D0AF" w14:textId="77777777" w:rsidR="00074FFB" w:rsidRPr="008A1F48" w:rsidRDefault="00074FFB" w:rsidP="00074FFB">
      <w:pPr>
        <w:pStyle w:val="Textoindependiente"/>
        <w:spacing w:after="0"/>
        <w:jc w:val="both"/>
        <w:rPr>
          <w:rFonts w:ascii="Palatino Linotype" w:hAnsi="Palatino Linotype" w:cstheme="minorHAnsi"/>
          <w:sz w:val="22"/>
          <w:szCs w:val="22"/>
        </w:rPr>
      </w:pPr>
      <w:r w:rsidRPr="008A1F48">
        <w:rPr>
          <w:rFonts w:ascii="Palatino Linotype" w:hAnsi="Palatino Linotype" w:cstheme="minorHAnsi"/>
          <w:b/>
          <w:sz w:val="22"/>
          <w:szCs w:val="22"/>
          <w:lang w:eastAsia="ar-SA"/>
        </w:rPr>
        <w:t>Artículo Único.-</w:t>
      </w:r>
      <w:r w:rsidRPr="008A1F48">
        <w:rPr>
          <w:rFonts w:ascii="Palatino Linotype" w:hAnsi="Palatino Linotype" w:cstheme="minorHAnsi"/>
          <w:sz w:val="22"/>
          <w:szCs w:val="22"/>
          <w:lang w:eastAsia="ar-SA"/>
        </w:rPr>
        <w:t xml:space="preserve"> Refórmense los mapas </w:t>
      </w:r>
      <w:r w:rsidRPr="008A1F48">
        <w:rPr>
          <w:rFonts w:ascii="Palatino Linotype" w:hAnsi="Palatino Linotype" w:cstheme="minorHAnsi"/>
          <w:sz w:val="22"/>
          <w:szCs w:val="22"/>
        </w:rPr>
        <w:t>PUOS </w:t>
      </w:r>
      <w:r w:rsidRPr="008A1F48">
        <w:rPr>
          <w:rFonts w:ascii="Palatino Linotype" w:hAnsi="Palatino Linotype" w:cstheme="minorHAnsi"/>
          <w:caps/>
          <w:sz w:val="22"/>
          <w:szCs w:val="22"/>
        </w:rPr>
        <w:t>U2-2,</w:t>
      </w:r>
      <w:r w:rsidRPr="008A1F48">
        <w:rPr>
          <w:rFonts w:ascii="Palatino Linotype" w:hAnsi="Palatino Linotype" w:cstheme="minorHAnsi"/>
          <w:sz w:val="22"/>
          <w:szCs w:val="22"/>
        </w:rPr>
        <w:t xml:space="preserve"> Mapa de Uso de Suelo Principal y Mapa PUOS Z2-2, de Ocupación y </w:t>
      </w:r>
      <w:r w:rsidRPr="008A1F48">
        <w:rPr>
          <w:rFonts w:ascii="Palatino Linotype" w:hAnsi="Palatino Linotype" w:cstheme="minorHAnsi"/>
          <w:sz w:val="22"/>
          <w:szCs w:val="22"/>
          <w:lang w:eastAsia="ar-SA"/>
        </w:rPr>
        <w:t xml:space="preserve">Edificabilidad, anexos de la </w:t>
      </w:r>
      <w:r>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 xml:space="preserve">etropolitana No. 0127, de 25 de julio de 2016, que contiene el Plan de Uso y Ocupación de Suelo (PUOS), modificada por la </w:t>
      </w:r>
      <w:r>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 xml:space="preserve">etropolitana No. 0192 de 20 de diciembre de 2017, según lo establecido en </w:t>
      </w:r>
      <w:r w:rsidRPr="008A1F48">
        <w:rPr>
          <w:rFonts w:ascii="Palatino Linotype" w:hAnsi="Palatino Linotype" w:cstheme="minorHAnsi"/>
          <w:sz w:val="22"/>
          <w:szCs w:val="22"/>
        </w:rPr>
        <w:t xml:space="preserve">la Matriz de Cambios 2019, correspondiente al Anexo No. 1 de la presente </w:t>
      </w:r>
      <w:r>
        <w:rPr>
          <w:rFonts w:ascii="Palatino Linotype" w:hAnsi="Palatino Linotype" w:cstheme="minorHAnsi"/>
          <w:sz w:val="22"/>
          <w:szCs w:val="22"/>
        </w:rPr>
        <w:t>o</w:t>
      </w:r>
      <w:r w:rsidRPr="008A1F48">
        <w:rPr>
          <w:rFonts w:ascii="Palatino Linotype" w:hAnsi="Palatino Linotype" w:cstheme="minorHAnsi"/>
          <w:sz w:val="22"/>
          <w:szCs w:val="22"/>
        </w:rPr>
        <w:t xml:space="preserve">rdenanza </w:t>
      </w:r>
      <w:r>
        <w:rPr>
          <w:rFonts w:ascii="Palatino Linotype" w:hAnsi="Palatino Linotype" w:cstheme="minorHAnsi"/>
          <w:sz w:val="22"/>
          <w:szCs w:val="22"/>
        </w:rPr>
        <w:t>m</w:t>
      </w:r>
      <w:r w:rsidRPr="008A1F48">
        <w:rPr>
          <w:rFonts w:ascii="Palatino Linotype" w:hAnsi="Palatino Linotype" w:cstheme="minorHAnsi"/>
          <w:sz w:val="22"/>
          <w:szCs w:val="22"/>
        </w:rPr>
        <w:t>odificatoria.</w:t>
      </w:r>
    </w:p>
    <w:p w14:paraId="50D0B95E" w14:textId="77777777" w:rsidR="00074FFB" w:rsidRPr="008A1F48" w:rsidRDefault="00074FFB" w:rsidP="00074FFB">
      <w:pPr>
        <w:jc w:val="both"/>
        <w:rPr>
          <w:rFonts w:ascii="Palatino Linotype" w:hAnsi="Palatino Linotype" w:cs="Arial"/>
          <w:b/>
          <w:sz w:val="22"/>
          <w:szCs w:val="22"/>
        </w:rPr>
      </w:pPr>
    </w:p>
    <w:p w14:paraId="72642549" w14:textId="77777777" w:rsidR="00074FFB" w:rsidRPr="008A1F48" w:rsidRDefault="00074FFB" w:rsidP="00074FFB">
      <w:pPr>
        <w:jc w:val="both"/>
        <w:rPr>
          <w:rFonts w:ascii="Palatino Linotype" w:hAnsi="Palatino Linotype" w:cs="Arial"/>
          <w:b/>
          <w:sz w:val="22"/>
          <w:szCs w:val="22"/>
        </w:rPr>
      </w:pPr>
      <w:r w:rsidRPr="008A1F48">
        <w:rPr>
          <w:rFonts w:ascii="Palatino Linotype" w:hAnsi="Palatino Linotype" w:cs="Arial"/>
          <w:b/>
          <w:sz w:val="22"/>
          <w:szCs w:val="22"/>
        </w:rPr>
        <w:t>Disposiciones Generales.-</w:t>
      </w:r>
    </w:p>
    <w:p w14:paraId="06F74F12" w14:textId="77777777" w:rsidR="00074FFB" w:rsidRPr="008A1F48" w:rsidRDefault="00074FFB" w:rsidP="00074FFB">
      <w:pPr>
        <w:jc w:val="both"/>
        <w:rPr>
          <w:rFonts w:ascii="Palatino Linotype" w:hAnsi="Palatino Linotype" w:cs="Arial"/>
          <w:b/>
          <w:sz w:val="22"/>
          <w:szCs w:val="22"/>
        </w:rPr>
      </w:pPr>
    </w:p>
    <w:p w14:paraId="58A1083B" w14:textId="77777777" w:rsidR="00074FFB" w:rsidRPr="008A1F48" w:rsidRDefault="00074FFB" w:rsidP="00074FFB">
      <w:pPr>
        <w:spacing w:line="276" w:lineRule="auto"/>
        <w:jc w:val="both"/>
        <w:rPr>
          <w:rFonts w:ascii="Palatino Linotype" w:eastAsia="Arial Unicode MS" w:hAnsi="Palatino Linotype" w:cstheme="minorHAnsi"/>
          <w:sz w:val="22"/>
          <w:szCs w:val="22"/>
          <w:lang w:eastAsia="ar-SA"/>
        </w:rPr>
      </w:pPr>
      <w:r w:rsidRPr="008A1F48">
        <w:rPr>
          <w:rFonts w:ascii="Palatino Linotype" w:eastAsia="Arial Unicode MS" w:hAnsi="Palatino Linotype" w:cstheme="minorHAnsi"/>
          <w:b/>
          <w:sz w:val="22"/>
          <w:szCs w:val="22"/>
          <w:lang w:eastAsia="ar-SA"/>
        </w:rPr>
        <w:lastRenderedPageBreak/>
        <w:t>Primera.-</w:t>
      </w:r>
      <w:r w:rsidRPr="008A1F48">
        <w:rPr>
          <w:rFonts w:ascii="Palatino Linotype" w:eastAsia="Arial Unicode MS" w:hAnsi="Palatino Linotype" w:cstheme="minorHAnsi"/>
          <w:sz w:val="22"/>
          <w:szCs w:val="22"/>
          <w:lang w:eastAsia="ar-SA"/>
        </w:rPr>
        <w:t xml:space="preserve"> Actualícese el Plan de Uso y Ocupación del Suelo con las asignaciones establecidas para los polígonos contenidos en la Matriz de Cambios 2019 (</w:t>
      </w:r>
      <w:r>
        <w:rPr>
          <w:rFonts w:ascii="Palatino Linotype" w:eastAsia="Arial Unicode MS" w:hAnsi="Palatino Linotype" w:cstheme="minorHAnsi"/>
          <w:sz w:val="22"/>
          <w:szCs w:val="22"/>
          <w:lang w:eastAsia="ar-SA"/>
        </w:rPr>
        <w:t>a</w:t>
      </w:r>
      <w:r w:rsidRPr="008A1F48">
        <w:rPr>
          <w:rFonts w:ascii="Palatino Linotype" w:eastAsia="Arial Unicode MS" w:hAnsi="Palatino Linotype" w:cstheme="minorHAnsi"/>
          <w:sz w:val="22"/>
          <w:szCs w:val="22"/>
          <w:lang w:eastAsia="ar-SA"/>
        </w:rPr>
        <w:t>nexo 1).</w:t>
      </w:r>
    </w:p>
    <w:p w14:paraId="34C59D18" w14:textId="77777777" w:rsidR="00074FFB" w:rsidRPr="008A1F48" w:rsidRDefault="00074FFB" w:rsidP="00074FFB">
      <w:pPr>
        <w:jc w:val="both"/>
        <w:rPr>
          <w:rFonts w:ascii="Palatino Linotype" w:hAnsi="Palatino Linotype" w:cs="Arial"/>
          <w:sz w:val="22"/>
          <w:szCs w:val="22"/>
        </w:rPr>
      </w:pPr>
    </w:p>
    <w:p w14:paraId="1C287D82" w14:textId="77777777" w:rsidR="00074FFB" w:rsidRPr="008A1F48" w:rsidRDefault="00074FFB" w:rsidP="00074FFB">
      <w:pPr>
        <w:jc w:val="both"/>
        <w:rPr>
          <w:rFonts w:ascii="Palatino Linotype" w:hAnsi="Palatino Linotype" w:cs="Arial"/>
          <w:sz w:val="22"/>
          <w:szCs w:val="22"/>
        </w:rPr>
      </w:pPr>
      <w:r w:rsidRPr="008A1F48">
        <w:rPr>
          <w:rFonts w:ascii="Palatino Linotype" w:hAnsi="Palatino Linotype" w:cs="Arial"/>
          <w:b/>
          <w:sz w:val="22"/>
          <w:szCs w:val="22"/>
        </w:rPr>
        <w:t>Segunda.-</w:t>
      </w:r>
      <w:r w:rsidRPr="008A1F48">
        <w:rPr>
          <w:rFonts w:ascii="Palatino Linotype" w:hAnsi="Palatino Linotype" w:cs="Arial"/>
          <w:sz w:val="22"/>
          <w:szCs w:val="22"/>
        </w:rPr>
        <w:t xml:space="preserve"> Incorpórense a esta Ordenanza Modificatoria los denominados:</w:t>
      </w:r>
    </w:p>
    <w:p w14:paraId="5863AB42" w14:textId="77777777" w:rsidR="00074FFB" w:rsidRPr="008A1F48" w:rsidRDefault="00074FFB" w:rsidP="00074FFB">
      <w:pPr>
        <w:jc w:val="both"/>
        <w:rPr>
          <w:rFonts w:ascii="Palatino Linotype" w:hAnsi="Palatino Linotype" w:cstheme="minorHAnsi"/>
          <w:sz w:val="22"/>
          <w:szCs w:val="22"/>
          <w:lang w:eastAsia="ar-SA"/>
        </w:rPr>
      </w:pPr>
    </w:p>
    <w:p w14:paraId="02ADE450" w14:textId="77777777" w:rsidR="00074FFB" w:rsidRPr="008A1F48" w:rsidRDefault="00074FFB" w:rsidP="00074FFB">
      <w:pPr>
        <w:jc w:val="both"/>
        <w:rPr>
          <w:rFonts w:ascii="Palatino Linotype" w:hAnsi="Palatino Linotype" w:cstheme="minorHAnsi"/>
          <w:sz w:val="22"/>
          <w:szCs w:val="22"/>
          <w:lang w:eastAsia="ar-SA"/>
        </w:rPr>
      </w:pPr>
      <w:r w:rsidRPr="008A1F48">
        <w:rPr>
          <w:rFonts w:ascii="Palatino Linotype" w:hAnsi="Palatino Linotype" w:cstheme="minorHAnsi"/>
          <w:sz w:val="22"/>
          <w:szCs w:val="22"/>
          <w:lang w:eastAsia="ar-SA"/>
        </w:rPr>
        <w:t>Anexo No. 1: Matriz de Cambios 2019</w:t>
      </w:r>
    </w:p>
    <w:p w14:paraId="641C82AA" w14:textId="77777777" w:rsidR="00074FFB" w:rsidRPr="008A1F48" w:rsidRDefault="00074FFB" w:rsidP="00074FFB">
      <w:pPr>
        <w:jc w:val="both"/>
        <w:rPr>
          <w:rFonts w:ascii="Palatino Linotype" w:hAnsi="Palatino Linotype" w:cstheme="minorHAnsi"/>
          <w:sz w:val="22"/>
          <w:szCs w:val="22"/>
          <w:lang w:eastAsia="ar-SA"/>
        </w:rPr>
      </w:pPr>
      <w:r w:rsidRPr="008A1F48">
        <w:rPr>
          <w:rFonts w:ascii="Palatino Linotype" w:hAnsi="Palatino Linotype" w:cstheme="minorHAnsi"/>
          <w:sz w:val="22"/>
          <w:szCs w:val="22"/>
          <w:lang w:eastAsia="ar-SA"/>
        </w:rPr>
        <w:t xml:space="preserve">Anexo No. 2: Mapa de que contiene los </w:t>
      </w:r>
      <w:r>
        <w:rPr>
          <w:rFonts w:ascii="Palatino Linotype" w:hAnsi="Palatino Linotype" w:cstheme="minorHAnsi"/>
          <w:sz w:val="22"/>
          <w:szCs w:val="22"/>
          <w:lang w:eastAsia="ar-SA"/>
        </w:rPr>
        <w:t>p</w:t>
      </w:r>
      <w:r w:rsidRPr="008A1F48">
        <w:rPr>
          <w:rFonts w:ascii="Palatino Linotype" w:hAnsi="Palatino Linotype" w:cstheme="minorHAnsi"/>
          <w:sz w:val="22"/>
          <w:szCs w:val="22"/>
          <w:lang w:eastAsia="ar-SA"/>
        </w:rPr>
        <w:t xml:space="preserve">olígonos que </w:t>
      </w:r>
      <w:r>
        <w:rPr>
          <w:rFonts w:ascii="Palatino Linotype" w:hAnsi="Palatino Linotype" w:cstheme="minorHAnsi"/>
          <w:sz w:val="22"/>
          <w:szCs w:val="22"/>
          <w:lang w:eastAsia="ar-SA"/>
        </w:rPr>
        <w:t>r</w:t>
      </w:r>
      <w:r w:rsidRPr="008A1F48">
        <w:rPr>
          <w:rFonts w:ascii="Palatino Linotype" w:hAnsi="Palatino Linotype" w:cstheme="minorHAnsi"/>
          <w:sz w:val="22"/>
          <w:szCs w:val="22"/>
          <w:lang w:eastAsia="ar-SA"/>
        </w:rPr>
        <w:t xml:space="preserve">eforman el mapa </w:t>
      </w:r>
      <w:r w:rsidRPr="008A1F48">
        <w:rPr>
          <w:rFonts w:ascii="Palatino Linotype" w:hAnsi="Palatino Linotype" w:cstheme="minorHAnsi"/>
          <w:sz w:val="22"/>
          <w:szCs w:val="22"/>
        </w:rPr>
        <w:t>PUOS </w:t>
      </w:r>
      <w:r w:rsidRPr="008A1F48">
        <w:rPr>
          <w:rFonts w:ascii="Palatino Linotype" w:hAnsi="Palatino Linotype" w:cstheme="minorHAnsi"/>
          <w:caps/>
          <w:sz w:val="22"/>
          <w:szCs w:val="22"/>
        </w:rPr>
        <w:t>U2-2,</w:t>
      </w:r>
      <w:r w:rsidRPr="008A1F48">
        <w:rPr>
          <w:rFonts w:ascii="Palatino Linotype" w:hAnsi="Palatino Linotype" w:cstheme="minorHAnsi"/>
          <w:sz w:val="22"/>
          <w:szCs w:val="22"/>
        </w:rPr>
        <w:t xml:space="preserve"> de Uso de Suelo Principal de </w:t>
      </w:r>
      <w:r w:rsidRPr="008A1F48">
        <w:rPr>
          <w:rFonts w:ascii="Palatino Linotype" w:hAnsi="Palatino Linotype" w:cstheme="minorHAnsi"/>
          <w:sz w:val="22"/>
          <w:szCs w:val="22"/>
          <w:lang w:eastAsia="ar-SA"/>
        </w:rPr>
        <w:t xml:space="preserve">la </w:t>
      </w:r>
      <w:r>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No. 0127, modificada por la </w:t>
      </w:r>
      <w:r>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etropolitana No. 0192;</w:t>
      </w:r>
    </w:p>
    <w:p w14:paraId="34CD970B" w14:textId="77777777" w:rsidR="00074FFB" w:rsidRPr="008A1F48" w:rsidRDefault="00074FFB" w:rsidP="00074FFB">
      <w:pPr>
        <w:jc w:val="both"/>
        <w:rPr>
          <w:rFonts w:ascii="Palatino Linotype" w:hAnsi="Palatino Linotype" w:cstheme="minorHAnsi"/>
          <w:sz w:val="22"/>
          <w:szCs w:val="22"/>
          <w:lang w:eastAsia="ar-SA"/>
        </w:rPr>
      </w:pPr>
      <w:r w:rsidRPr="008A1F48">
        <w:rPr>
          <w:rFonts w:ascii="Palatino Linotype" w:hAnsi="Palatino Linotype" w:cstheme="minorHAnsi"/>
          <w:sz w:val="22"/>
          <w:szCs w:val="22"/>
          <w:lang w:eastAsia="ar-SA"/>
        </w:rPr>
        <w:t xml:space="preserve">Anexo No. 3: Mapa de que contiene los </w:t>
      </w:r>
      <w:r>
        <w:rPr>
          <w:rFonts w:ascii="Palatino Linotype" w:hAnsi="Palatino Linotype" w:cstheme="minorHAnsi"/>
          <w:sz w:val="22"/>
          <w:szCs w:val="22"/>
          <w:lang w:eastAsia="ar-SA"/>
        </w:rPr>
        <w:t>p</w:t>
      </w:r>
      <w:r w:rsidRPr="008A1F48">
        <w:rPr>
          <w:rFonts w:ascii="Palatino Linotype" w:hAnsi="Palatino Linotype" w:cstheme="minorHAnsi"/>
          <w:sz w:val="22"/>
          <w:szCs w:val="22"/>
          <w:lang w:eastAsia="ar-SA"/>
        </w:rPr>
        <w:t xml:space="preserve">olígonos que </w:t>
      </w:r>
      <w:r>
        <w:rPr>
          <w:rFonts w:ascii="Palatino Linotype" w:hAnsi="Palatino Linotype" w:cstheme="minorHAnsi"/>
          <w:sz w:val="22"/>
          <w:szCs w:val="22"/>
          <w:lang w:eastAsia="ar-SA"/>
        </w:rPr>
        <w:t>r</w:t>
      </w:r>
      <w:r w:rsidRPr="008A1F48">
        <w:rPr>
          <w:rFonts w:ascii="Palatino Linotype" w:hAnsi="Palatino Linotype" w:cstheme="minorHAnsi"/>
          <w:sz w:val="22"/>
          <w:szCs w:val="22"/>
          <w:lang w:eastAsia="ar-SA"/>
        </w:rPr>
        <w:t xml:space="preserve">eforman el </w:t>
      </w:r>
      <w:r>
        <w:rPr>
          <w:rFonts w:ascii="Palatino Linotype" w:hAnsi="Palatino Linotype" w:cstheme="minorHAnsi"/>
          <w:sz w:val="22"/>
          <w:szCs w:val="22"/>
        </w:rPr>
        <w:t>m</w:t>
      </w:r>
      <w:r w:rsidRPr="008A1F48">
        <w:rPr>
          <w:rFonts w:ascii="Palatino Linotype" w:hAnsi="Palatino Linotype" w:cstheme="minorHAnsi"/>
          <w:sz w:val="22"/>
          <w:szCs w:val="22"/>
        </w:rPr>
        <w:t xml:space="preserve">apa PUOS Z2-2, de Ocupación y </w:t>
      </w:r>
      <w:r w:rsidRPr="008A1F48">
        <w:rPr>
          <w:rFonts w:ascii="Palatino Linotype" w:hAnsi="Palatino Linotype" w:cstheme="minorHAnsi"/>
          <w:sz w:val="22"/>
          <w:szCs w:val="22"/>
          <w:lang w:eastAsia="ar-SA"/>
        </w:rPr>
        <w:t>Edificabilidad</w:t>
      </w:r>
      <w:r w:rsidRPr="008A1F48">
        <w:rPr>
          <w:rFonts w:ascii="Palatino Linotype" w:hAnsi="Palatino Linotype" w:cstheme="minorHAnsi"/>
          <w:sz w:val="22"/>
          <w:szCs w:val="22"/>
        </w:rPr>
        <w:t xml:space="preserve"> de </w:t>
      </w:r>
      <w:r w:rsidRPr="008A1F48">
        <w:rPr>
          <w:rFonts w:ascii="Palatino Linotype" w:hAnsi="Palatino Linotype" w:cstheme="minorHAnsi"/>
          <w:sz w:val="22"/>
          <w:szCs w:val="22"/>
          <w:lang w:eastAsia="ar-SA"/>
        </w:rPr>
        <w:t xml:space="preserve">la Ordenanza No. 0127, modificada por la </w:t>
      </w:r>
      <w:r>
        <w:rPr>
          <w:rFonts w:ascii="Palatino Linotype" w:hAnsi="Palatino Linotype" w:cstheme="minorHAnsi"/>
          <w:sz w:val="22"/>
          <w:szCs w:val="22"/>
          <w:lang w:eastAsia="ar-SA"/>
        </w:rPr>
        <w:t>o</w:t>
      </w:r>
      <w:r w:rsidRPr="008A1F48">
        <w:rPr>
          <w:rFonts w:ascii="Palatino Linotype" w:hAnsi="Palatino Linotype" w:cstheme="minorHAnsi"/>
          <w:sz w:val="22"/>
          <w:szCs w:val="22"/>
          <w:lang w:eastAsia="ar-SA"/>
        </w:rPr>
        <w:t xml:space="preserve">rdenanza </w:t>
      </w:r>
      <w:r>
        <w:rPr>
          <w:rFonts w:ascii="Palatino Linotype" w:hAnsi="Palatino Linotype" w:cstheme="minorHAnsi"/>
          <w:sz w:val="22"/>
          <w:szCs w:val="22"/>
          <w:lang w:eastAsia="ar-SA"/>
        </w:rPr>
        <w:t>m</w:t>
      </w:r>
      <w:r w:rsidRPr="008A1F48">
        <w:rPr>
          <w:rFonts w:ascii="Palatino Linotype" w:hAnsi="Palatino Linotype" w:cstheme="minorHAnsi"/>
          <w:sz w:val="22"/>
          <w:szCs w:val="22"/>
          <w:lang w:eastAsia="ar-SA"/>
        </w:rPr>
        <w:t>etropolitana No. 0192.</w:t>
      </w:r>
    </w:p>
    <w:p w14:paraId="4E283EF6" w14:textId="77777777" w:rsidR="00074FFB" w:rsidRPr="008A1F48" w:rsidRDefault="00074FFB" w:rsidP="00074FFB">
      <w:pPr>
        <w:jc w:val="both"/>
        <w:rPr>
          <w:rFonts w:ascii="Palatino Linotype" w:hAnsi="Palatino Linotype" w:cstheme="minorHAnsi"/>
          <w:sz w:val="22"/>
          <w:szCs w:val="22"/>
          <w:lang w:eastAsia="ar-SA"/>
        </w:rPr>
      </w:pPr>
    </w:p>
    <w:p w14:paraId="79044585" w14:textId="77777777" w:rsidR="00074FFB" w:rsidRPr="008A1F48" w:rsidRDefault="00074FFB" w:rsidP="00074FFB">
      <w:pPr>
        <w:jc w:val="both"/>
        <w:rPr>
          <w:rFonts w:ascii="Palatino Linotype" w:hAnsi="Palatino Linotype" w:cs="Arial"/>
          <w:sz w:val="22"/>
          <w:szCs w:val="22"/>
        </w:rPr>
      </w:pPr>
      <w:r w:rsidRPr="008A1F48">
        <w:rPr>
          <w:rFonts w:ascii="Palatino Linotype" w:hAnsi="Palatino Linotype" w:cs="Arial"/>
          <w:b/>
          <w:sz w:val="22"/>
          <w:szCs w:val="22"/>
        </w:rPr>
        <w:t>Disposición Transitoria.-</w:t>
      </w:r>
      <w:r w:rsidRPr="008A1F48">
        <w:rPr>
          <w:rFonts w:ascii="Palatino Linotype" w:hAnsi="Palatino Linotype" w:cs="Arial"/>
          <w:sz w:val="22"/>
          <w:szCs w:val="22"/>
        </w:rPr>
        <w:t xml:space="preserve"> En el plazo de 15 días, contados a partir de la fecha de sanción la presente </w:t>
      </w:r>
      <w:r>
        <w:rPr>
          <w:rFonts w:ascii="Palatino Linotype" w:hAnsi="Palatino Linotype" w:cs="Arial"/>
          <w:sz w:val="22"/>
          <w:szCs w:val="22"/>
        </w:rPr>
        <w:t>o</w:t>
      </w:r>
      <w:r w:rsidRPr="008A1F48">
        <w:rPr>
          <w:rFonts w:ascii="Palatino Linotype" w:hAnsi="Palatino Linotype" w:cs="Arial"/>
          <w:sz w:val="22"/>
          <w:szCs w:val="22"/>
        </w:rPr>
        <w:t xml:space="preserve">rdenanza </w:t>
      </w:r>
      <w:r>
        <w:rPr>
          <w:rFonts w:ascii="Palatino Linotype" w:hAnsi="Palatino Linotype" w:cs="Arial"/>
          <w:sz w:val="22"/>
          <w:szCs w:val="22"/>
        </w:rPr>
        <w:t>m</w:t>
      </w:r>
      <w:r w:rsidRPr="008A1F48">
        <w:rPr>
          <w:rFonts w:ascii="Palatino Linotype" w:hAnsi="Palatino Linotype" w:cs="Arial"/>
          <w:sz w:val="22"/>
          <w:szCs w:val="22"/>
        </w:rPr>
        <w:t xml:space="preserve">odificatoria, la </w:t>
      </w:r>
      <w:r>
        <w:rPr>
          <w:rFonts w:ascii="Palatino Linotype" w:hAnsi="Palatino Linotype" w:cs="Arial"/>
          <w:sz w:val="22"/>
          <w:szCs w:val="22"/>
        </w:rPr>
        <w:t>s</w:t>
      </w:r>
      <w:r w:rsidRPr="008A1F48">
        <w:rPr>
          <w:rFonts w:ascii="Palatino Linotype" w:hAnsi="Palatino Linotype" w:cs="Arial"/>
          <w:sz w:val="22"/>
          <w:szCs w:val="22"/>
        </w:rPr>
        <w:t xml:space="preserve">ecretaría responsable de territorio, hábitat y vivienda cargará en la base cartográfica del PUOS la información de los polígonos que son objeto de cambio de uso de suelo, edificación y forma de ocupación que constan en el </w:t>
      </w:r>
      <w:r>
        <w:rPr>
          <w:rFonts w:ascii="Palatino Linotype" w:hAnsi="Palatino Linotype" w:cs="Arial"/>
          <w:sz w:val="22"/>
          <w:szCs w:val="22"/>
        </w:rPr>
        <w:t>a</w:t>
      </w:r>
      <w:r w:rsidRPr="008A1F48">
        <w:rPr>
          <w:rFonts w:ascii="Palatino Linotype" w:hAnsi="Palatino Linotype" w:cs="Arial"/>
          <w:sz w:val="22"/>
          <w:szCs w:val="22"/>
        </w:rPr>
        <w:t xml:space="preserve">nexo No. 1 de esta </w:t>
      </w:r>
      <w:r>
        <w:rPr>
          <w:rFonts w:ascii="Palatino Linotype" w:hAnsi="Palatino Linotype" w:cs="Arial"/>
          <w:sz w:val="22"/>
          <w:szCs w:val="22"/>
        </w:rPr>
        <w:t>o</w:t>
      </w:r>
      <w:r w:rsidRPr="008A1F48">
        <w:rPr>
          <w:rFonts w:ascii="Palatino Linotype" w:hAnsi="Palatino Linotype" w:cs="Arial"/>
          <w:sz w:val="22"/>
          <w:szCs w:val="22"/>
        </w:rPr>
        <w:t xml:space="preserve">rdenanza </w:t>
      </w:r>
      <w:r>
        <w:rPr>
          <w:rFonts w:ascii="Palatino Linotype" w:hAnsi="Palatino Linotype" w:cs="Arial"/>
          <w:sz w:val="22"/>
          <w:szCs w:val="22"/>
        </w:rPr>
        <w:t>m</w:t>
      </w:r>
      <w:r w:rsidRPr="008A1F48">
        <w:rPr>
          <w:rFonts w:ascii="Palatino Linotype" w:hAnsi="Palatino Linotype" w:cs="Arial"/>
          <w:sz w:val="22"/>
          <w:szCs w:val="22"/>
        </w:rPr>
        <w:t>odificatoria.</w:t>
      </w:r>
    </w:p>
    <w:p w14:paraId="33EBFD92" w14:textId="77777777" w:rsidR="00074FFB" w:rsidRPr="008A1F48" w:rsidRDefault="00074FFB" w:rsidP="00074FFB">
      <w:pPr>
        <w:spacing w:before="240"/>
        <w:jc w:val="both"/>
        <w:rPr>
          <w:rFonts w:ascii="Palatino Linotype" w:hAnsi="Palatino Linotype" w:cs="Arial"/>
          <w:b/>
          <w:sz w:val="22"/>
          <w:szCs w:val="22"/>
        </w:rPr>
      </w:pPr>
      <w:r w:rsidRPr="008A1F48">
        <w:rPr>
          <w:rFonts w:ascii="Palatino Linotype" w:hAnsi="Palatino Linotype" w:cs="Arial"/>
          <w:b/>
          <w:sz w:val="22"/>
          <w:szCs w:val="22"/>
        </w:rPr>
        <w:t xml:space="preserve">Disposición final.- </w:t>
      </w:r>
      <w:r w:rsidRPr="008A1F48">
        <w:rPr>
          <w:rFonts w:ascii="Palatino Linotype" w:hAnsi="Palatino Linotype" w:cs="Arial"/>
          <w:sz w:val="22"/>
          <w:szCs w:val="22"/>
        </w:rPr>
        <w:t>E</w:t>
      </w:r>
      <w:r w:rsidRPr="008A1F48">
        <w:rPr>
          <w:rFonts w:ascii="Palatino Linotype" w:hAnsi="Palatino Linotype" w:cs="Arial"/>
          <w:bCs/>
          <w:sz w:val="22"/>
          <w:szCs w:val="22"/>
        </w:rPr>
        <w:t xml:space="preserve">sta ordenanza entrará en vigencia a partir de la fecha de su sanción, sin perjuicio de su publicación en la Gaceta Oficial y página web institucional de la </w:t>
      </w:r>
      <w:r>
        <w:rPr>
          <w:rFonts w:ascii="Palatino Linotype" w:hAnsi="Palatino Linotype" w:cs="Arial"/>
          <w:bCs/>
          <w:sz w:val="22"/>
          <w:szCs w:val="22"/>
        </w:rPr>
        <w:t>m</w:t>
      </w:r>
      <w:r w:rsidRPr="008A1F48">
        <w:rPr>
          <w:rFonts w:ascii="Palatino Linotype" w:hAnsi="Palatino Linotype" w:cs="Arial"/>
          <w:bCs/>
          <w:sz w:val="22"/>
          <w:szCs w:val="22"/>
        </w:rPr>
        <w:t>unicipalidad.</w:t>
      </w:r>
    </w:p>
    <w:p w14:paraId="7F6BA66C" w14:textId="77777777" w:rsidR="00074FFB" w:rsidRPr="008A1F48" w:rsidRDefault="00074FFB" w:rsidP="00074FFB">
      <w:pPr>
        <w:pStyle w:val="Cuadrculaclara-nfasis31"/>
        <w:tabs>
          <w:tab w:val="left" w:pos="2410"/>
        </w:tabs>
        <w:suppressAutoHyphens w:val="0"/>
        <w:spacing w:line="240" w:lineRule="auto"/>
        <w:ind w:left="0"/>
        <w:jc w:val="both"/>
        <w:rPr>
          <w:rFonts w:ascii="Palatino Linotype" w:hAnsi="Palatino Linotype"/>
          <w:sz w:val="22"/>
          <w:szCs w:val="22"/>
        </w:rPr>
      </w:pPr>
    </w:p>
    <w:p w14:paraId="5FDC7C03" w14:textId="77777777" w:rsidR="00074FFB" w:rsidRPr="008A1F48" w:rsidRDefault="00074FFB" w:rsidP="00074FFB">
      <w:pPr>
        <w:pStyle w:val="Cuadrculaclara-nfasis31"/>
        <w:tabs>
          <w:tab w:val="left" w:pos="2410"/>
        </w:tabs>
        <w:suppressAutoHyphens w:val="0"/>
        <w:spacing w:line="240" w:lineRule="auto"/>
        <w:ind w:left="0"/>
        <w:jc w:val="both"/>
        <w:rPr>
          <w:rFonts w:ascii="Palatino Linotype" w:hAnsi="Palatino Linotype" w:cs="Times New Roman"/>
          <w:sz w:val="22"/>
          <w:szCs w:val="22"/>
        </w:rPr>
      </w:pPr>
      <w:r w:rsidRPr="008A1F48">
        <w:rPr>
          <w:rFonts w:ascii="Palatino Linotype" w:hAnsi="Palatino Linotype"/>
          <w:sz w:val="22"/>
          <w:szCs w:val="22"/>
        </w:rPr>
        <w:t xml:space="preserve">Dada, en la </w:t>
      </w:r>
      <w:r>
        <w:rPr>
          <w:rFonts w:ascii="Palatino Linotype" w:hAnsi="Palatino Linotype"/>
          <w:sz w:val="22"/>
          <w:szCs w:val="22"/>
        </w:rPr>
        <w:t>s</w:t>
      </w:r>
      <w:r w:rsidRPr="008A1F48">
        <w:rPr>
          <w:rFonts w:ascii="Palatino Linotype" w:hAnsi="Palatino Linotype"/>
          <w:sz w:val="22"/>
          <w:szCs w:val="22"/>
        </w:rPr>
        <w:t>ala de Sesiones del Concejo Metropolitano de Quito, el … de … de 2019.</w:t>
      </w:r>
    </w:p>
    <w:p w14:paraId="288E65D1" w14:textId="77777777" w:rsidR="00074FFB" w:rsidRPr="008A1F48" w:rsidRDefault="00074FFB" w:rsidP="00074FFB">
      <w:pPr>
        <w:pStyle w:val="Textopredeterminado"/>
        <w:shd w:val="clear" w:color="auto" w:fill="FFFFFF"/>
        <w:jc w:val="both"/>
        <w:rPr>
          <w:rFonts w:ascii="Palatino Linotype" w:hAnsi="Palatino Linotype"/>
          <w:color w:val="auto"/>
          <w:sz w:val="22"/>
          <w:szCs w:val="22"/>
          <w:lang w:val="es-ES_tradnl"/>
        </w:rPr>
      </w:pPr>
    </w:p>
    <w:p w14:paraId="79E4DDE3" w14:textId="77777777" w:rsidR="00074FFB" w:rsidRPr="008A1F48" w:rsidRDefault="00074FFB" w:rsidP="00074FFB">
      <w:pPr>
        <w:pStyle w:val="Textopredeterminado"/>
        <w:shd w:val="clear" w:color="auto" w:fill="FFFFFF"/>
        <w:jc w:val="both"/>
        <w:rPr>
          <w:rFonts w:ascii="Palatino Linotype" w:hAnsi="Palatino Linotype"/>
          <w:color w:val="auto"/>
          <w:sz w:val="22"/>
          <w:szCs w:val="22"/>
          <w:lang w:val="es-ES_tradnl"/>
        </w:rPr>
      </w:pPr>
    </w:p>
    <w:p w14:paraId="5C213AEF"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r w:rsidRPr="008A1F48">
        <w:rPr>
          <w:rFonts w:ascii="Palatino Linotype" w:eastAsia="MS Mincho" w:hAnsi="Palatino Linotype" w:cs="Arial"/>
          <w:sz w:val="22"/>
          <w:szCs w:val="22"/>
          <w:lang w:val="es-ES_tradnl"/>
        </w:rPr>
        <w:t>…</w:t>
      </w:r>
    </w:p>
    <w:p w14:paraId="01DECB34" w14:textId="77777777" w:rsidR="00074FFB" w:rsidRPr="008A1F48" w:rsidRDefault="00074FFB" w:rsidP="00074FFB">
      <w:pPr>
        <w:pStyle w:val="Textosinformato"/>
        <w:jc w:val="center"/>
        <w:rPr>
          <w:rFonts w:ascii="Palatino Linotype" w:eastAsia="MS Mincho" w:hAnsi="Palatino Linotype" w:cs="Arial"/>
          <w:bCs/>
          <w:sz w:val="22"/>
          <w:szCs w:val="22"/>
          <w:lang w:val="es-ES_tradnl"/>
        </w:rPr>
      </w:pPr>
      <w:r w:rsidRPr="008A1F48">
        <w:rPr>
          <w:rFonts w:ascii="Palatino Linotype" w:eastAsia="MS Mincho" w:hAnsi="Palatino Linotype" w:cs="Arial"/>
          <w:bCs/>
          <w:sz w:val="22"/>
          <w:szCs w:val="22"/>
          <w:lang w:val="es-ES_tradnl"/>
        </w:rPr>
        <w:t>SECRETARIA GENERAL DEL CONCEJO METROPOLITANO DE QUITO</w:t>
      </w:r>
    </w:p>
    <w:p w14:paraId="5B263E57" w14:textId="77777777" w:rsidR="00074FFB" w:rsidRPr="008A1F48" w:rsidRDefault="00074FFB" w:rsidP="00074FFB">
      <w:pPr>
        <w:pStyle w:val="Textopredeterminado"/>
        <w:shd w:val="clear" w:color="auto" w:fill="FFFFFF"/>
        <w:jc w:val="both"/>
        <w:rPr>
          <w:rFonts w:ascii="Palatino Linotype" w:hAnsi="Palatino Linotype"/>
          <w:color w:val="auto"/>
          <w:sz w:val="22"/>
          <w:szCs w:val="22"/>
          <w:lang w:val="es-ES_tradnl"/>
        </w:rPr>
      </w:pPr>
    </w:p>
    <w:tbl>
      <w:tblPr>
        <w:tblW w:w="10899" w:type="dxa"/>
        <w:jc w:val="center"/>
        <w:tblLook w:val="04A0" w:firstRow="1" w:lastRow="0" w:firstColumn="1" w:lastColumn="0" w:noHBand="0" w:noVBand="1"/>
      </w:tblPr>
      <w:tblGrid>
        <w:gridCol w:w="5575"/>
        <w:gridCol w:w="5324"/>
      </w:tblGrid>
      <w:tr w:rsidR="00074FFB" w:rsidRPr="008A1F48" w14:paraId="28AA695F" w14:textId="77777777" w:rsidTr="00B419BA">
        <w:trPr>
          <w:jc w:val="center"/>
        </w:trPr>
        <w:tc>
          <w:tcPr>
            <w:tcW w:w="5575" w:type="dxa"/>
          </w:tcPr>
          <w:p w14:paraId="65326F24" w14:textId="77777777" w:rsidR="00074FFB" w:rsidRPr="008A1F48" w:rsidRDefault="00074FFB" w:rsidP="00B419BA">
            <w:pPr>
              <w:pStyle w:val="Textopredeterminado"/>
              <w:jc w:val="center"/>
              <w:rPr>
                <w:rFonts w:ascii="Palatino Linotype" w:hAnsi="Palatino Linotype" w:cs="Arial"/>
                <w:color w:val="auto"/>
                <w:sz w:val="22"/>
                <w:szCs w:val="22"/>
                <w:lang w:val="es-ES_tradnl"/>
              </w:rPr>
            </w:pPr>
          </w:p>
        </w:tc>
        <w:tc>
          <w:tcPr>
            <w:tcW w:w="5324" w:type="dxa"/>
          </w:tcPr>
          <w:p w14:paraId="5ADE9942" w14:textId="77777777" w:rsidR="00074FFB" w:rsidRPr="008A1F48" w:rsidRDefault="00074FFB" w:rsidP="00B419BA">
            <w:pPr>
              <w:pStyle w:val="Textopredeterminado"/>
              <w:rPr>
                <w:rFonts w:ascii="Palatino Linotype" w:hAnsi="Palatino Linotype" w:cs="Arial"/>
                <w:color w:val="auto"/>
                <w:sz w:val="22"/>
                <w:szCs w:val="22"/>
                <w:lang w:val="es-ES_tradnl"/>
              </w:rPr>
            </w:pPr>
          </w:p>
        </w:tc>
      </w:tr>
    </w:tbl>
    <w:p w14:paraId="2C9926AC" w14:textId="77777777" w:rsidR="00074FFB" w:rsidRPr="008A1F48" w:rsidRDefault="00074FFB" w:rsidP="00074FF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Cs/>
          <w:sz w:val="22"/>
          <w:szCs w:val="22"/>
          <w:lang w:val="es-ES_tradnl"/>
        </w:rPr>
      </w:pPr>
      <w:r w:rsidRPr="008A1F48">
        <w:rPr>
          <w:rFonts w:ascii="Palatino Linotype" w:eastAsia="MS Mincho" w:hAnsi="Palatino Linotype" w:cs="Arial"/>
          <w:bCs/>
          <w:sz w:val="22"/>
          <w:szCs w:val="22"/>
          <w:lang w:val="es-ES_tradnl"/>
        </w:rPr>
        <w:t>CERTIFICADO DE DISCUSIÓN</w:t>
      </w:r>
    </w:p>
    <w:p w14:paraId="0A6D6111" w14:textId="77777777" w:rsidR="00074FFB" w:rsidRPr="008A1F48" w:rsidRDefault="00074FFB" w:rsidP="00074FFB">
      <w:pPr>
        <w:pStyle w:val="Textosinformato"/>
        <w:jc w:val="both"/>
        <w:rPr>
          <w:rFonts w:ascii="Palatino Linotype" w:eastAsia="MS Mincho" w:hAnsi="Palatino Linotype" w:cs="Arial"/>
          <w:sz w:val="22"/>
          <w:szCs w:val="22"/>
          <w:lang w:val="es-ES_tradnl"/>
        </w:rPr>
      </w:pPr>
    </w:p>
    <w:p w14:paraId="21316EB8" w14:textId="77777777" w:rsidR="00074FFB" w:rsidRPr="008A1F48" w:rsidRDefault="00074FFB" w:rsidP="00074FFB">
      <w:pPr>
        <w:pStyle w:val="Textosinformato"/>
        <w:jc w:val="both"/>
        <w:rPr>
          <w:rFonts w:ascii="Palatino Linotype" w:eastAsia="MS Mincho" w:hAnsi="Palatino Linotype" w:cs="Arial"/>
          <w:sz w:val="22"/>
          <w:szCs w:val="22"/>
          <w:lang w:val="es-ES_tradnl"/>
        </w:rPr>
      </w:pPr>
      <w:r w:rsidRPr="008A1F48">
        <w:rPr>
          <w:rFonts w:ascii="Palatino Linotype" w:eastAsia="MS Mincho" w:hAnsi="Palatino Linotype" w:cs="Arial"/>
          <w:sz w:val="22"/>
          <w:szCs w:val="22"/>
          <w:lang w:val="es-ES_tradnl"/>
        </w:rPr>
        <w:t>La infrascrita Secretaria General del Concejo Metropolitano de Quito, certifica que la presente ordenanza fue discutida y aprobada en dos debates, en sesiones de … de …</w:t>
      </w:r>
      <w:proofErr w:type="gramStart"/>
      <w:r w:rsidRPr="008A1F48">
        <w:rPr>
          <w:rFonts w:ascii="Palatino Linotype" w:eastAsia="MS Mincho" w:hAnsi="Palatino Linotype" w:cs="Arial"/>
          <w:sz w:val="22"/>
          <w:szCs w:val="22"/>
          <w:lang w:val="es-ES_tradnl"/>
        </w:rPr>
        <w:t>..</w:t>
      </w:r>
      <w:proofErr w:type="gramEnd"/>
      <w:r w:rsidRPr="008A1F48">
        <w:rPr>
          <w:rFonts w:ascii="Palatino Linotype" w:eastAsia="MS Mincho" w:hAnsi="Palatino Linotype" w:cs="Arial"/>
          <w:sz w:val="22"/>
          <w:szCs w:val="22"/>
          <w:lang w:val="es-ES_tradnl"/>
        </w:rPr>
        <w:t>de 2019.- Quito,</w:t>
      </w:r>
    </w:p>
    <w:p w14:paraId="00713C66"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r w:rsidRPr="008A1F48">
        <w:rPr>
          <w:rFonts w:ascii="Palatino Linotype" w:eastAsia="MS Mincho" w:hAnsi="Palatino Linotype" w:cs="Arial"/>
          <w:sz w:val="22"/>
          <w:szCs w:val="22"/>
          <w:lang w:val="es-ES_tradnl"/>
        </w:rPr>
        <w:t>……</w:t>
      </w:r>
    </w:p>
    <w:p w14:paraId="1326C756" w14:textId="77777777" w:rsidR="00074FFB" w:rsidRPr="008A1F48" w:rsidRDefault="00074FFB" w:rsidP="00074FFB">
      <w:pPr>
        <w:pStyle w:val="Textosinformato"/>
        <w:jc w:val="center"/>
        <w:rPr>
          <w:rFonts w:ascii="Palatino Linotype" w:eastAsia="MS Mincho" w:hAnsi="Palatino Linotype" w:cs="Arial"/>
          <w:bCs/>
          <w:sz w:val="22"/>
          <w:szCs w:val="22"/>
          <w:lang w:val="es-ES_tradnl"/>
        </w:rPr>
      </w:pPr>
      <w:r w:rsidRPr="008A1F48">
        <w:rPr>
          <w:rFonts w:ascii="Palatino Linotype" w:eastAsia="MS Mincho" w:hAnsi="Palatino Linotype" w:cs="Arial"/>
          <w:bCs/>
          <w:sz w:val="22"/>
          <w:szCs w:val="22"/>
          <w:lang w:val="es-ES_tradnl"/>
        </w:rPr>
        <w:t>SECRETARIA GENERAL DEL CONCEJO METROPOLITANO DE QUITO</w:t>
      </w:r>
    </w:p>
    <w:p w14:paraId="51B9DD26" w14:textId="77777777" w:rsidR="00074FFB" w:rsidRPr="008A1F48" w:rsidRDefault="00074FFB" w:rsidP="00074FFB">
      <w:pPr>
        <w:pStyle w:val="Textosinformato"/>
        <w:jc w:val="center"/>
        <w:rPr>
          <w:rFonts w:ascii="Palatino Linotype" w:eastAsia="MS Mincho" w:hAnsi="Palatino Linotype" w:cs="Arial"/>
          <w:bCs/>
          <w:sz w:val="22"/>
          <w:szCs w:val="22"/>
          <w:lang w:val="es-ES_tradnl"/>
        </w:rPr>
      </w:pPr>
    </w:p>
    <w:p w14:paraId="6265D4E7"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r w:rsidRPr="008A1F48">
        <w:rPr>
          <w:rFonts w:ascii="Palatino Linotype" w:eastAsia="MS Mincho" w:hAnsi="Palatino Linotype" w:cs="Arial"/>
          <w:bCs/>
          <w:sz w:val="22"/>
          <w:szCs w:val="22"/>
          <w:lang w:val="es-ES_tradnl"/>
        </w:rPr>
        <w:t>ALCALDÍA DEL DISTRITO METROPOLITANO.-</w:t>
      </w:r>
      <w:r w:rsidRPr="008A1F48">
        <w:rPr>
          <w:rFonts w:ascii="Palatino Linotype" w:eastAsia="MS Mincho" w:hAnsi="Palatino Linotype" w:cs="Arial"/>
          <w:sz w:val="22"/>
          <w:szCs w:val="22"/>
          <w:lang w:val="es-ES_tradnl"/>
        </w:rPr>
        <w:t xml:space="preserve">  Distrito Metropolitano de Quito,</w:t>
      </w:r>
    </w:p>
    <w:p w14:paraId="77A59F32"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p>
    <w:p w14:paraId="27D935FB"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r w:rsidRPr="008A1F48">
        <w:rPr>
          <w:rFonts w:ascii="Palatino Linotype" w:eastAsia="MS Mincho" w:hAnsi="Palatino Linotype" w:cs="Arial"/>
          <w:sz w:val="22"/>
          <w:szCs w:val="22"/>
          <w:lang w:val="es-ES_tradnl"/>
        </w:rPr>
        <w:t>EJECÚTESE:</w:t>
      </w:r>
    </w:p>
    <w:p w14:paraId="52F8988D"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r w:rsidRPr="008A1F48">
        <w:rPr>
          <w:rFonts w:ascii="Palatino Linotype" w:eastAsia="MS Mincho" w:hAnsi="Palatino Linotype" w:cs="Arial"/>
          <w:sz w:val="22"/>
          <w:szCs w:val="22"/>
          <w:lang w:val="es-ES_tradnl"/>
        </w:rPr>
        <w:t>….</w:t>
      </w:r>
    </w:p>
    <w:p w14:paraId="2601462C" w14:textId="77777777" w:rsidR="00074FFB" w:rsidRPr="008A1F48" w:rsidRDefault="00074FFB" w:rsidP="00074FFB">
      <w:pPr>
        <w:pStyle w:val="Textosinformato"/>
        <w:jc w:val="center"/>
        <w:rPr>
          <w:rFonts w:ascii="Palatino Linotype" w:eastAsia="MS Mincho" w:hAnsi="Palatino Linotype" w:cs="Arial"/>
          <w:bCs/>
          <w:sz w:val="22"/>
          <w:szCs w:val="22"/>
          <w:lang w:val="es-ES_tradnl"/>
        </w:rPr>
      </w:pPr>
      <w:r w:rsidRPr="008A1F48">
        <w:rPr>
          <w:rFonts w:ascii="Palatino Linotype" w:eastAsia="MS Mincho" w:hAnsi="Palatino Linotype" w:cs="Arial"/>
          <w:bCs/>
          <w:sz w:val="22"/>
          <w:szCs w:val="22"/>
          <w:lang w:val="es-ES_tradnl"/>
        </w:rPr>
        <w:t>ALCALDE DEL DISTRITO METROPOLITANO DE QUITO</w:t>
      </w:r>
    </w:p>
    <w:p w14:paraId="19EDBD82"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p>
    <w:p w14:paraId="508BEE8E" w14:textId="77777777" w:rsidR="00074FFB" w:rsidRPr="008A1F48" w:rsidRDefault="00074FFB" w:rsidP="00074FFB">
      <w:pPr>
        <w:pStyle w:val="Textosinformato"/>
        <w:spacing w:line="276" w:lineRule="auto"/>
        <w:jc w:val="both"/>
        <w:rPr>
          <w:rFonts w:ascii="Palatino Linotype" w:eastAsia="MS Mincho" w:hAnsi="Palatino Linotype" w:cs="Arial"/>
          <w:sz w:val="22"/>
          <w:szCs w:val="22"/>
          <w:lang w:val="es-ES_tradnl"/>
        </w:rPr>
      </w:pPr>
      <w:r w:rsidRPr="008A1F48">
        <w:rPr>
          <w:rFonts w:ascii="Palatino Linotype" w:eastAsia="MS Mincho" w:hAnsi="Palatino Linotype" w:cs="Arial"/>
          <w:bCs/>
          <w:sz w:val="22"/>
          <w:szCs w:val="22"/>
          <w:lang w:val="es-ES_tradnl"/>
        </w:rPr>
        <w:t>CERTIFICO,</w:t>
      </w:r>
      <w:r w:rsidRPr="008A1F48">
        <w:rPr>
          <w:rFonts w:ascii="Palatino Linotype" w:eastAsia="MS Mincho" w:hAnsi="Palatino Linotype" w:cs="Arial"/>
          <w:sz w:val="22"/>
          <w:szCs w:val="22"/>
          <w:lang w:val="es-ES_tradnl"/>
        </w:rPr>
        <w:t xml:space="preserve"> que la presente ordenanza fue sancionada por el Dr. Jorge </w:t>
      </w:r>
      <w:proofErr w:type="spellStart"/>
      <w:r w:rsidRPr="008A1F48">
        <w:rPr>
          <w:rFonts w:ascii="Palatino Linotype" w:eastAsia="MS Mincho" w:hAnsi="Palatino Linotype" w:cs="Arial"/>
          <w:sz w:val="22"/>
          <w:szCs w:val="22"/>
          <w:lang w:val="es-ES_tradnl"/>
        </w:rPr>
        <w:t>Yunda</w:t>
      </w:r>
      <w:proofErr w:type="spellEnd"/>
      <w:r w:rsidRPr="008A1F48">
        <w:rPr>
          <w:rFonts w:ascii="Palatino Linotype" w:eastAsia="MS Mincho" w:hAnsi="Palatino Linotype" w:cs="Arial"/>
          <w:sz w:val="22"/>
          <w:szCs w:val="22"/>
          <w:lang w:val="es-ES_tradnl"/>
        </w:rPr>
        <w:t xml:space="preserve">, Alcalde  del Distrito Metropolitano de Quito, </w:t>
      </w:r>
      <w:proofErr w:type="gramStart"/>
      <w:r w:rsidRPr="008A1F48">
        <w:rPr>
          <w:rFonts w:ascii="Palatino Linotype" w:eastAsia="MS Mincho" w:hAnsi="Palatino Linotype" w:cs="Arial"/>
          <w:sz w:val="22"/>
          <w:szCs w:val="22"/>
          <w:lang w:val="es-ES_tradnl"/>
        </w:rPr>
        <w:t>el .</w:t>
      </w:r>
      <w:proofErr w:type="gramEnd"/>
      <w:r w:rsidRPr="008A1F48">
        <w:rPr>
          <w:rFonts w:ascii="Palatino Linotype" w:eastAsia="MS Mincho" w:hAnsi="Palatino Linotype" w:cs="Arial"/>
          <w:sz w:val="22"/>
          <w:szCs w:val="22"/>
          <w:lang w:val="es-ES_tradnl"/>
        </w:rPr>
        <w:t>- Distrito Metropolitano de Quito,</w:t>
      </w:r>
    </w:p>
    <w:p w14:paraId="234B9E9F" w14:textId="77777777" w:rsidR="00074FFB" w:rsidRPr="008A1F48" w:rsidRDefault="00074FFB" w:rsidP="00074FFB">
      <w:pPr>
        <w:pStyle w:val="Textosinformato"/>
        <w:tabs>
          <w:tab w:val="right" w:pos="8504"/>
        </w:tabs>
        <w:spacing w:line="276" w:lineRule="auto"/>
        <w:jc w:val="both"/>
        <w:rPr>
          <w:rFonts w:ascii="Palatino Linotype" w:eastAsia="MS Mincho" w:hAnsi="Palatino Linotype" w:cs="Arial"/>
          <w:sz w:val="22"/>
          <w:szCs w:val="22"/>
          <w:lang w:val="es-ES_tradnl"/>
        </w:rPr>
      </w:pPr>
    </w:p>
    <w:p w14:paraId="2710F5DB" w14:textId="77777777" w:rsidR="00074FFB" w:rsidRPr="008A1F48" w:rsidRDefault="00074FFB" w:rsidP="00074FFB">
      <w:pPr>
        <w:pStyle w:val="Textosinformato"/>
        <w:tabs>
          <w:tab w:val="right" w:pos="8504"/>
        </w:tabs>
        <w:spacing w:line="276" w:lineRule="auto"/>
        <w:jc w:val="both"/>
        <w:rPr>
          <w:rFonts w:ascii="Palatino Linotype" w:eastAsia="MS Mincho" w:hAnsi="Palatino Linotype" w:cs="Arial"/>
          <w:sz w:val="22"/>
          <w:szCs w:val="22"/>
          <w:lang w:val="es-ES_tradnl"/>
        </w:rPr>
      </w:pPr>
    </w:p>
    <w:p w14:paraId="50B49FF5" w14:textId="77777777" w:rsidR="00074FFB" w:rsidRPr="008A1F48" w:rsidRDefault="00074FFB" w:rsidP="00074FFB">
      <w:pPr>
        <w:pStyle w:val="Textosinformato"/>
        <w:jc w:val="center"/>
        <w:rPr>
          <w:rFonts w:ascii="Palatino Linotype" w:eastAsia="MS Mincho" w:hAnsi="Palatino Linotype" w:cs="Arial"/>
          <w:sz w:val="22"/>
          <w:szCs w:val="22"/>
          <w:lang w:val="es-ES_tradnl"/>
        </w:rPr>
      </w:pPr>
    </w:p>
    <w:p w14:paraId="3C696C32" w14:textId="77777777" w:rsidR="00074FFB" w:rsidRPr="008A1F48" w:rsidRDefault="00074FFB" w:rsidP="00074FFB">
      <w:pPr>
        <w:spacing w:line="276" w:lineRule="auto"/>
        <w:jc w:val="center"/>
        <w:rPr>
          <w:rFonts w:ascii="Palatino Linotype" w:hAnsi="Palatino Linotype"/>
          <w:sz w:val="22"/>
          <w:szCs w:val="22"/>
        </w:rPr>
      </w:pPr>
      <w:r w:rsidRPr="008A1F48">
        <w:rPr>
          <w:rFonts w:ascii="Palatino Linotype" w:hAnsi="Palatino Linotype"/>
          <w:b/>
          <w:sz w:val="22"/>
          <w:szCs w:val="22"/>
        </w:rPr>
        <w:t>SECRETARIA GENERAL DEL CONCEJO METROPOLITANO DE QUITO</w:t>
      </w:r>
    </w:p>
    <w:p w14:paraId="33688D1C" w14:textId="77777777" w:rsidR="00074FFB" w:rsidRPr="008A1F48" w:rsidRDefault="00074FFB" w:rsidP="00074FFB">
      <w:pPr>
        <w:rPr>
          <w:rFonts w:ascii="Palatino Linotype" w:hAnsi="Palatino Linotype"/>
          <w:sz w:val="22"/>
          <w:szCs w:val="22"/>
        </w:rPr>
      </w:pPr>
    </w:p>
    <w:p w14:paraId="6D964239" w14:textId="4889A3E6" w:rsidR="00074FFB" w:rsidRPr="008A1F48" w:rsidRDefault="00074FFB" w:rsidP="001507BD">
      <w:pPr>
        <w:spacing w:line="276" w:lineRule="auto"/>
        <w:ind w:left="567" w:hanging="567"/>
        <w:jc w:val="both"/>
        <w:rPr>
          <w:rFonts w:ascii="Palatino Linotype" w:eastAsia="Times New Roman" w:hAnsi="Palatino Linotype" w:cs="Times New Roman"/>
          <w:sz w:val="22"/>
          <w:szCs w:val="22"/>
          <w:lang w:val="es-EC" w:eastAsia="es-ES_tradnl"/>
        </w:rPr>
        <w:sectPr w:rsidR="00074FFB" w:rsidRPr="008A1F48" w:rsidSect="00637949">
          <w:headerReference w:type="even" r:id="rId14"/>
          <w:headerReference w:type="default" r:id="rId15"/>
          <w:footerReference w:type="even" r:id="rId16"/>
          <w:footerReference w:type="default" r:id="rId17"/>
          <w:headerReference w:type="first" r:id="rId18"/>
          <w:footerReference w:type="first" r:id="rId19"/>
          <w:pgSz w:w="11907" w:h="16839" w:code="9"/>
          <w:pgMar w:top="1417" w:right="1701" w:bottom="1417" w:left="1701" w:header="720" w:footer="720" w:gutter="0"/>
          <w:cols w:space="720"/>
          <w:docGrid w:linePitch="360"/>
        </w:sectPr>
      </w:pPr>
    </w:p>
    <w:p w14:paraId="75D37739" w14:textId="4DC24A5D" w:rsidR="001507BD" w:rsidRPr="008A1F48" w:rsidRDefault="001507BD" w:rsidP="00B559A4">
      <w:pPr>
        <w:spacing w:line="276" w:lineRule="auto"/>
        <w:ind w:left="567" w:hanging="567"/>
        <w:jc w:val="both"/>
        <w:rPr>
          <w:rFonts w:ascii="Palatino Linotype" w:hAnsi="Palatino Linotype"/>
          <w:sz w:val="22"/>
          <w:szCs w:val="22"/>
        </w:rPr>
      </w:pPr>
    </w:p>
    <w:p w14:paraId="63B536DD" w14:textId="77777777" w:rsidR="00FC0AC2" w:rsidRPr="008A1F48" w:rsidRDefault="00FC0AC2" w:rsidP="00FC0AC2">
      <w:pPr>
        <w:spacing w:line="276" w:lineRule="auto"/>
        <w:ind w:left="567" w:hanging="567"/>
        <w:rPr>
          <w:rFonts w:ascii="Palatino Linotype" w:eastAsia="Times New Roman" w:hAnsi="Palatino Linotype" w:cs="Times New Roman"/>
          <w:sz w:val="22"/>
          <w:szCs w:val="22"/>
        </w:rPr>
      </w:pPr>
    </w:p>
    <w:sectPr w:rsidR="00FC0AC2" w:rsidRPr="008A1F48" w:rsidSect="00C415AF">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90F9" w14:textId="77777777" w:rsidR="00BA0107" w:rsidRDefault="00BA0107">
      <w:r>
        <w:separator/>
      </w:r>
    </w:p>
  </w:endnote>
  <w:endnote w:type="continuationSeparator" w:id="0">
    <w:p w14:paraId="0E0DE6E7" w14:textId="77777777" w:rsidR="00BA0107" w:rsidRDefault="00BA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D940" w14:textId="77777777" w:rsidR="002E12FB" w:rsidRDefault="00BA01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102E" w14:textId="77777777" w:rsidR="002E12FB" w:rsidRDefault="00BA01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18E4" w14:textId="77777777" w:rsidR="002E12FB" w:rsidRDefault="00BA010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12F3" w14:textId="77777777" w:rsidR="001507BD" w:rsidRDefault="001507BD">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7535" w14:textId="77777777" w:rsidR="001507BD" w:rsidRDefault="001507BD">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15E9" w14:textId="77777777" w:rsidR="001507BD" w:rsidRDefault="00150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40BBF" w14:textId="77777777" w:rsidR="00BA0107" w:rsidRDefault="00BA0107">
      <w:r>
        <w:separator/>
      </w:r>
    </w:p>
  </w:footnote>
  <w:footnote w:type="continuationSeparator" w:id="0">
    <w:p w14:paraId="29559925" w14:textId="77777777" w:rsidR="00BA0107" w:rsidRDefault="00BA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B3EC" w14:textId="77777777" w:rsidR="002E12FB" w:rsidRDefault="00BA0107">
    <w:pPr>
      <w:pStyle w:val="Encabezado"/>
    </w:pPr>
    <w:r>
      <w:rPr>
        <w:noProof/>
      </w:rPr>
      <w:pict w14:anchorId="063CC7AE">
        <v:shapetype id="_x0000_t202" coordsize="21600,21600" o:spt="202" path="m,l,21600r21600,l21600,xe">
          <v:stroke joinstyle="miter"/>
          <v:path gradientshapeok="t" o:connecttype="rect"/>
        </v:shapetype>
        <v:shape id="PowerPlusWaterMarkObject2" o:spid="_x0000_s2054" type="#_x0000_t202" alt="" style="position:absolute;margin-left:0;margin-top:0;width:519.2pt;height:103.8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filled="f" stroked="f">
          <v:stroke joinstyle="round"/>
          <o:lock v:ext="edit" rotation="t" aspectratio="t" verticies="t" adjusthandles="t" grouping="t" shapetype="t"/>
          <v:textbox>
            <w:txbxContent>
              <w:p w14:paraId="59C541D0" w14:textId="77777777" w:rsidR="005231F2" w:rsidRDefault="001E06AF" w:rsidP="005231F2">
                <w:pPr>
                  <w:jc w:val="center"/>
                </w:pPr>
                <w:r>
                  <w:rPr>
                    <w:rFonts w:ascii="Cambria" w:hAnsi="Cambria"/>
                    <w:color w:val="C0C0C0"/>
                    <w:sz w:val="72"/>
                    <w:szCs w:val="72"/>
                    <w14:textFill>
                      <w14:solidFill>
                        <w14:srgbClr w14:val="C0C0C0">
                          <w14:alpha w14:val="1000"/>
                        </w14:srgbClr>
                      </w14:solidFill>
                    </w14:textFill>
                  </w:rPr>
                  <w:t>BORRADOR</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F85E" w14:textId="77777777" w:rsidR="002E12FB" w:rsidRPr="000E7D0F" w:rsidRDefault="00BA0107" w:rsidP="000E7D0F">
    <w:pPr>
      <w:spacing w:line="276" w:lineRule="auto"/>
      <w:jc w:val="center"/>
      <w:rPr>
        <w:rFonts w:ascii="Palatino Linotype" w:hAnsi="Palatino Linotype"/>
        <w:b/>
        <w:sz w:val="22"/>
        <w:szCs w:val="22"/>
      </w:rPr>
    </w:pPr>
    <w:r>
      <w:rPr>
        <w:noProof/>
      </w:rPr>
      <w:pict w14:anchorId="29003976">
        <v:shapetype id="_x0000_t202" coordsize="21600,21600" o:spt="202" path="m,l,21600r21600,l21600,xe">
          <v:stroke joinstyle="miter"/>
          <v:path gradientshapeok="t" o:connecttype="rect"/>
        </v:shapetype>
        <v:shape id="PowerPlusWaterMarkObject1" o:spid="_x0000_s2053" type="#_x0000_t202" alt="" style="position:absolute;left:0;text-align:left;margin-left:0;margin-top:0;width:519.2pt;height:103.8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filled="f" stroked="f">
          <v:stroke joinstyle="round"/>
          <o:lock v:ext="edit" rotation="t" aspectratio="t" verticies="t" adjusthandles="t" grouping="t" shapetype="t"/>
          <v:textbox>
            <w:txbxContent>
              <w:p w14:paraId="20A0A4FA" w14:textId="77777777" w:rsidR="005231F2" w:rsidRDefault="001E06AF" w:rsidP="005231F2">
                <w:pPr>
                  <w:jc w:val="center"/>
                </w:pPr>
                <w:r>
                  <w:rPr>
                    <w:rFonts w:ascii="Cambria" w:hAnsi="Cambria"/>
                    <w:color w:val="C0C0C0"/>
                    <w:sz w:val="72"/>
                    <w:szCs w:val="72"/>
                    <w14:textFill>
                      <w14:solidFill>
                        <w14:srgbClr w14:val="C0C0C0">
                          <w14:alpha w14:val="1000"/>
                        </w14:srgbClr>
                      </w14:solidFill>
                    </w14:textFill>
                  </w:rPr>
                  <w:t>BORRADOR</w:t>
                </w:r>
              </w:p>
            </w:txbxContent>
          </v:textbox>
          <w10:wrap anchorx="margin" anchory="margin"/>
        </v:shape>
      </w:pict>
    </w:r>
    <w:r w:rsidR="001E06AF" w:rsidRPr="000E7D0F">
      <w:rPr>
        <w:rFonts w:ascii="Palatino Linotype" w:hAnsi="Palatino Linotype"/>
        <w:b/>
        <w:sz w:val="22"/>
        <w:szCs w:val="22"/>
      </w:rPr>
      <w:t>ORDENANZA METROPOLITANA NO. __</w:t>
    </w:r>
  </w:p>
  <w:p w14:paraId="587EF7BA" w14:textId="77777777" w:rsidR="002E12FB" w:rsidRDefault="00BA01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3E2D" w14:textId="77777777" w:rsidR="002E12FB" w:rsidRDefault="00BA0107">
    <w:pPr>
      <w:pStyle w:val="Encabezado"/>
    </w:pPr>
    <w:r>
      <w:rPr>
        <w:noProof/>
      </w:rPr>
      <w:pict w14:anchorId="4DFE31AE">
        <v:shapetype id="_x0000_t202" coordsize="21600,21600" o:spt="202" path="m,l,21600r21600,l21600,xe">
          <v:stroke joinstyle="miter"/>
          <v:path gradientshapeok="t" o:connecttype="rect"/>
        </v:shapetype>
        <v:shape id="PowerPlusWaterMarkObject3" o:spid="_x0000_s2052" type="#_x0000_t202" alt="" style="position:absolute;margin-left:0;margin-top:0;width:519.2pt;height:103.8pt;rotation:315;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filled="f" stroked="f">
          <v:stroke joinstyle="round"/>
          <o:lock v:ext="edit" rotation="t" aspectratio="t" verticies="t" adjusthandles="t" grouping="t" shapetype="t"/>
          <v:textbox>
            <w:txbxContent>
              <w:p w14:paraId="05545229" w14:textId="77777777" w:rsidR="005231F2" w:rsidRDefault="001E06AF" w:rsidP="005231F2">
                <w:pPr>
                  <w:jc w:val="center"/>
                </w:pPr>
                <w:r>
                  <w:rPr>
                    <w:rFonts w:ascii="Cambria" w:hAnsi="Cambria"/>
                    <w:color w:val="C0C0C0"/>
                    <w:sz w:val="72"/>
                    <w:szCs w:val="72"/>
                    <w14:textFill>
                      <w14:solidFill>
                        <w14:srgbClr w14:val="C0C0C0">
                          <w14:alpha w14:val="1000"/>
                        </w14:srgbClr>
                      </w14:solidFill>
                    </w14:textFill>
                  </w:rPr>
                  <w:t>BORRADOR</w:t>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1C5E" w14:textId="77777777" w:rsidR="001507BD" w:rsidRDefault="00BA0107">
    <w:pPr>
      <w:pStyle w:val="Encabezado"/>
    </w:pPr>
    <w:r>
      <w:rPr>
        <w:noProof/>
      </w:rPr>
      <w:pict w14:anchorId="0EA7E2E7">
        <v:shapetype id="_x0000_t202" coordsize="21600,21600" o:spt="202" path="m,l,21600r21600,l21600,xe">
          <v:stroke joinstyle="miter"/>
          <v:path gradientshapeok="t" o:connecttype="rect"/>
        </v:shapetype>
        <v:shape id="_x0000_s2051" type="#_x0000_t202" alt="" style="position:absolute;margin-left:0;margin-top:0;width:519.2pt;height:103.8pt;rotation:315;z-index:-25165209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filled="f" stroked="f">
          <v:stroke joinstyle="round"/>
          <o:lock v:ext="edit" rotation="t" aspectratio="t" verticies="t" adjusthandles="t" grouping="t" shapetype="t"/>
          <v:textbox>
            <w:txbxContent>
              <w:p w14:paraId="387786A2" w14:textId="77777777" w:rsidR="001507BD" w:rsidRDefault="001507BD" w:rsidP="005231F2">
                <w:pPr>
                  <w:jc w:val="center"/>
                </w:pPr>
                <w:r>
                  <w:rPr>
                    <w:rFonts w:ascii="Cambria" w:hAnsi="Cambria"/>
                    <w:color w:val="C0C0C0"/>
                    <w:sz w:val="72"/>
                    <w:szCs w:val="72"/>
                    <w14:textFill>
                      <w14:solidFill>
                        <w14:srgbClr w14:val="C0C0C0">
                          <w14:alpha w14:val="1000"/>
                        </w14:srgbClr>
                      </w14:solidFill>
                    </w14:textFill>
                  </w:rPr>
                  <w:t>BORRADOR</w:t>
                </w:r>
              </w:p>
            </w:txbxContent>
          </v:textbox>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B1E5" w14:textId="77777777" w:rsidR="001507BD" w:rsidRPr="000E7D0F" w:rsidRDefault="00BA0107" w:rsidP="000E7D0F">
    <w:pPr>
      <w:spacing w:line="276" w:lineRule="auto"/>
      <w:jc w:val="center"/>
      <w:rPr>
        <w:rFonts w:ascii="Palatino Linotype" w:hAnsi="Palatino Linotype"/>
        <w:b/>
        <w:sz w:val="22"/>
        <w:szCs w:val="22"/>
      </w:rPr>
    </w:pPr>
    <w:r>
      <w:rPr>
        <w:noProof/>
      </w:rPr>
      <w:pict w14:anchorId="113987AC">
        <v:shapetype id="_x0000_t202" coordsize="21600,21600" o:spt="202" path="m,l,21600r21600,l21600,xe">
          <v:stroke joinstyle="miter"/>
          <v:path gradientshapeok="t" o:connecttype="rect"/>
        </v:shapetype>
        <v:shape id="_x0000_s2050" type="#_x0000_t202" alt="" style="position:absolute;left:0;text-align:left;margin-left:0;margin-top:0;width:519.2pt;height:103.8pt;rotation:315;z-index:-25165312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filled="f" stroked="f">
          <v:stroke joinstyle="round"/>
          <o:lock v:ext="edit" rotation="t" aspectratio="t" verticies="t" adjusthandles="t" grouping="t" shapetype="t"/>
          <v:textbox>
            <w:txbxContent>
              <w:p w14:paraId="07FC300C" w14:textId="77777777" w:rsidR="001507BD" w:rsidRDefault="001507BD" w:rsidP="005231F2">
                <w:pPr>
                  <w:jc w:val="center"/>
                </w:pPr>
                <w:r>
                  <w:rPr>
                    <w:rFonts w:ascii="Cambria" w:hAnsi="Cambria"/>
                    <w:color w:val="C0C0C0"/>
                    <w:sz w:val="72"/>
                    <w:szCs w:val="72"/>
                    <w14:textFill>
                      <w14:solidFill>
                        <w14:srgbClr w14:val="C0C0C0">
                          <w14:alpha w14:val="1000"/>
                        </w14:srgbClr>
                      </w14:solidFill>
                    </w14:textFill>
                  </w:rPr>
                  <w:t>BORRADOR</w:t>
                </w:r>
              </w:p>
            </w:txbxContent>
          </v:textbox>
          <w10:wrap anchorx="margin" anchory="margin"/>
        </v:shape>
      </w:pict>
    </w:r>
    <w:r w:rsidR="001507BD" w:rsidRPr="000E7D0F">
      <w:rPr>
        <w:rFonts w:ascii="Palatino Linotype" w:hAnsi="Palatino Linotype"/>
        <w:b/>
        <w:sz w:val="22"/>
        <w:szCs w:val="22"/>
      </w:rPr>
      <w:t>ORDENANZA METROPOLITANA NO. __</w:t>
    </w:r>
  </w:p>
  <w:p w14:paraId="432D90C2" w14:textId="77777777" w:rsidR="001507BD" w:rsidRDefault="001507B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AF33" w14:textId="77777777" w:rsidR="001507BD" w:rsidRDefault="00BA0107">
    <w:pPr>
      <w:pStyle w:val="Encabezado"/>
    </w:pPr>
    <w:r>
      <w:rPr>
        <w:noProof/>
      </w:rPr>
      <w:pict w14:anchorId="65200CBD">
        <v:shapetype id="_x0000_t202" coordsize="21600,21600" o:spt="202" path="m,l,21600r21600,l21600,xe">
          <v:stroke joinstyle="miter"/>
          <v:path gradientshapeok="t" o:connecttype="rect"/>
        </v:shapetype>
        <v:shape id="_x0000_s2049" type="#_x0000_t202" alt="" style="position:absolute;margin-left:0;margin-top:0;width:519.2pt;height:103.8pt;rotation:315;z-index:-25165107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filled="f" stroked="f">
          <v:stroke joinstyle="round"/>
          <o:lock v:ext="edit" rotation="t" aspectratio="t" verticies="t" adjusthandles="t" grouping="t" shapetype="t"/>
          <v:textbox>
            <w:txbxContent>
              <w:p w14:paraId="590D89D0" w14:textId="77777777" w:rsidR="001507BD" w:rsidRDefault="001507BD" w:rsidP="005231F2">
                <w:pPr>
                  <w:jc w:val="center"/>
                </w:pPr>
                <w:r>
                  <w:rPr>
                    <w:rFonts w:ascii="Cambria" w:hAnsi="Cambria"/>
                    <w:color w:val="C0C0C0"/>
                    <w:sz w:val="72"/>
                    <w:szCs w:val="72"/>
                    <w14:textFill>
                      <w14:solidFill>
                        <w14:srgbClr w14:val="C0C0C0">
                          <w14:alpha w14:val="1000"/>
                        </w14:srgbClr>
                      </w14:solidFill>
                    </w14:textFill>
                  </w:rPr>
                  <w:t>BORRADOR</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F08"/>
    <w:multiLevelType w:val="hybridMultilevel"/>
    <w:tmpl w:val="66B492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2E764E"/>
    <w:multiLevelType w:val="hybridMultilevel"/>
    <w:tmpl w:val="DB04CA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17F07CD"/>
    <w:multiLevelType w:val="hybridMultilevel"/>
    <w:tmpl w:val="CD7CC8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AD262E7"/>
    <w:multiLevelType w:val="hybridMultilevel"/>
    <w:tmpl w:val="92A07FDE"/>
    <w:lvl w:ilvl="0" w:tplc="5234FA72">
      <w:start w:val="4"/>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C2"/>
    <w:rsid w:val="00015F70"/>
    <w:rsid w:val="00074FFB"/>
    <w:rsid w:val="000F6C90"/>
    <w:rsid w:val="00105DBC"/>
    <w:rsid w:val="00131579"/>
    <w:rsid w:val="00140BF7"/>
    <w:rsid w:val="00141E7F"/>
    <w:rsid w:val="001507BD"/>
    <w:rsid w:val="001E06AF"/>
    <w:rsid w:val="001E4D5C"/>
    <w:rsid w:val="00255595"/>
    <w:rsid w:val="00281E83"/>
    <w:rsid w:val="0030557E"/>
    <w:rsid w:val="00320CE2"/>
    <w:rsid w:val="00335253"/>
    <w:rsid w:val="0036091A"/>
    <w:rsid w:val="003B5E6E"/>
    <w:rsid w:val="0042745E"/>
    <w:rsid w:val="004D4988"/>
    <w:rsid w:val="004D6463"/>
    <w:rsid w:val="004E7FFE"/>
    <w:rsid w:val="00552F80"/>
    <w:rsid w:val="00556559"/>
    <w:rsid w:val="005E639B"/>
    <w:rsid w:val="00627E7A"/>
    <w:rsid w:val="00641E52"/>
    <w:rsid w:val="00677D1C"/>
    <w:rsid w:val="006C11AC"/>
    <w:rsid w:val="006C31ED"/>
    <w:rsid w:val="006E108B"/>
    <w:rsid w:val="0070283B"/>
    <w:rsid w:val="007309C5"/>
    <w:rsid w:val="00783DAE"/>
    <w:rsid w:val="00785AF3"/>
    <w:rsid w:val="007865FB"/>
    <w:rsid w:val="007A3B3C"/>
    <w:rsid w:val="007C0454"/>
    <w:rsid w:val="007C32D8"/>
    <w:rsid w:val="008A1F48"/>
    <w:rsid w:val="008A66C8"/>
    <w:rsid w:val="0090741B"/>
    <w:rsid w:val="009668FF"/>
    <w:rsid w:val="009F368E"/>
    <w:rsid w:val="00A16F55"/>
    <w:rsid w:val="00A23EFF"/>
    <w:rsid w:val="00A553F4"/>
    <w:rsid w:val="00A60DA7"/>
    <w:rsid w:val="00AA4B94"/>
    <w:rsid w:val="00B40983"/>
    <w:rsid w:val="00B5586A"/>
    <w:rsid w:val="00B559A4"/>
    <w:rsid w:val="00B61D0B"/>
    <w:rsid w:val="00BA0107"/>
    <w:rsid w:val="00BB65D3"/>
    <w:rsid w:val="00C259D6"/>
    <w:rsid w:val="00C3326C"/>
    <w:rsid w:val="00C40BEA"/>
    <w:rsid w:val="00CC0CBC"/>
    <w:rsid w:val="00D43734"/>
    <w:rsid w:val="00D44956"/>
    <w:rsid w:val="00D52BD1"/>
    <w:rsid w:val="00D608C7"/>
    <w:rsid w:val="00DD0AEB"/>
    <w:rsid w:val="00DF106E"/>
    <w:rsid w:val="00DF668B"/>
    <w:rsid w:val="00E0314D"/>
    <w:rsid w:val="00E749AB"/>
    <w:rsid w:val="00E90B4A"/>
    <w:rsid w:val="00EC4AE2"/>
    <w:rsid w:val="00F25682"/>
    <w:rsid w:val="00F43BF1"/>
    <w:rsid w:val="00F81319"/>
    <w:rsid w:val="00F83EAB"/>
    <w:rsid w:val="00FC0A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8C957A"/>
  <w15:chartTrackingRefBased/>
  <w15:docId w15:val="{F5295571-821F-5243-8A52-63C0BF36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C2"/>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C0AC2"/>
    <w:rPr>
      <w:sz w:val="18"/>
      <w:szCs w:val="18"/>
    </w:rPr>
  </w:style>
  <w:style w:type="paragraph" w:styleId="Textocomentario">
    <w:name w:val="annotation text"/>
    <w:basedOn w:val="Normal"/>
    <w:link w:val="TextocomentarioCar"/>
    <w:uiPriority w:val="99"/>
    <w:semiHidden/>
    <w:unhideWhenUsed/>
    <w:rsid w:val="00FC0AC2"/>
  </w:style>
  <w:style w:type="character" w:customStyle="1" w:styleId="TextocomentarioCar">
    <w:name w:val="Texto comentario Car"/>
    <w:basedOn w:val="Fuentedeprrafopredeter"/>
    <w:link w:val="Textocomentario"/>
    <w:uiPriority w:val="99"/>
    <w:semiHidden/>
    <w:rsid w:val="00FC0AC2"/>
    <w:rPr>
      <w:rFonts w:eastAsiaTheme="minorEastAsia"/>
      <w:lang w:val="es-ES_tradnl" w:eastAsia="es-ES"/>
    </w:rPr>
  </w:style>
  <w:style w:type="paragraph" w:styleId="Encabezado">
    <w:name w:val="header"/>
    <w:basedOn w:val="Normal"/>
    <w:link w:val="EncabezadoCar"/>
    <w:uiPriority w:val="99"/>
    <w:unhideWhenUsed/>
    <w:rsid w:val="00FC0AC2"/>
    <w:pPr>
      <w:tabs>
        <w:tab w:val="center" w:pos="4419"/>
        <w:tab w:val="right" w:pos="8838"/>
      </w:tabs>
    </w:pPr>
  </w:style>
  <w:style w:type="character" w:customStyle="1" w:styleId="EncabezadoCar">
    <w:name w:val="Encabezado Car"/>
    <w:basedOn w:val="Fuentedeprrafopredeter"/>
    <w:link w:val="Encabezado"/>
    <w:uiPriority w:val="99"/>
    <w:rsid w:val="00FC0AC2"/>
    <w:rPr>
      <w:rFonts w:eastAsiaTheme="minorEastAsia"/>
      <w:lang w:val="es-ES_tradnl" w:eastAsia="es-ES"/>
    </w:rPr>
  </w:style>
  <w:style w:type="paragraph" w:styleId="Piedepgina">
    <w:name w:val="footer"/>
    <w:basedOn w:val="Normal"/>
    <w:link w:val="PiedepginaCar"/>
    <w:uiPriority w:val="99"/>
    <w:unhideWhenUsed/>
    <w:rsid w:val="00FC0AC2"/>
    <w:pPr>
      <w:tabs>
        <w:tab w:val="center" w:pos="4419"/>
        <w:tab w:val="right" w:pos="8838"/>
      </w:tabs>
    </w:pPr>
  </w:style>
  <w:style w:type="character" w:customStyle="1" w:styleId="PiedepginaCar">
    <w:name w:val="Pie de página Car"/>
    <w:basedOn w:val="Fuentedeprrafopredeter"/>
    <w:link w:val="Piedepgina"/>
    <w:uiPriority w:val="99"/>
    <w:rsid w:val="00FC0AC2"/>
    <w:rPr>
      <w:rFonts w:eastAsiaTheme="minorEastAsia"/>
      <w:lang w:val="es-ES_tradnl" w:eastAsia="es-ES"/>
    </w:rPr>
  </w:style>
  <w:style w:type="paragraph" w:styleId="Textoindependiente">
    <w:name w:val="Body Text"/>
    <w:basedOn w:val="Normal"/>
    <w:link w:val="TextoindependienteCar"/>
    <w:rsid w:val="00FC0AC2"/>
    <w:pPr>
      <w:widowControl w:val="0"/>
      <w:suppressAutoHyphens/>
      <w:spacing w:after="120"/>
    </w:pPr>
    <w:rPr>
      <w:rFonts w:ascii="Times New Roman" w:eastAsia="Arial Unicode MS" w:hAnsi="Times New Roman" w:cs="Times New Roman"/>
      <w:lang w:eastAsia="es-EC"/>
    </w:rPr>
  </w:style>
  <w:style w:type="character" w:customStyle="1" w:styleId="TextoindependienteCar">
    <w:name w:val="Texto independiente Car"/>
    <w:basedOn w:val="Fuentedeprrafopredeter"/>
    <w:link w:val="Textoindependiente"/>
    <w:rsid w:val="00FC0AC2"/>
    <w:rPr>
      <w:rFonts w:ascii="Times New Roman" w:eastAsia="Arial Unicode MS" w:hAnsi="Times New Roman" w:cs="Times New Roman"/>
      <w:lang w:val="es-ES_tradnl" w:eastAsia="es-EC"/>
    </w:rPr>
  </w:style>
  <w:style w:type="paragraph" w:customStyle="1" w:styleId="Textopredeterminado">
    <w:name w:val="Texto predeterminado"/>
    <w:basedOn w:val="Normal"/>
    <w:rsid w:val="00FC0AC2"/>
    <w:pPr>
      <w:overflowPunct w:val="0"/>
      <w:autoSpaceDE w:val="0"/>
      <w:autoSpaceDN w:val="0"/>
      <w:adjustRightInd w:val="0"/>
      <w:textAlignment w:val="baseline"/>
    </w:pPr>
    <w:rPr>
      <w:rFonts w:ascii="Times New Roman" w:eastAsia="Times New Roman" w:hAnsi="Times New Roman" w:cs="Times New Roman"/>
      <w:color w:val="000000"/>
      <w:szCs w:val="20"/>
      <w:lang w:val="es-EC"/>
    </w:rPr>
  </w:style>
  <w:style w:type="paragraph" w:styleId="Textosinformato">
    <w:name w:val="Plain Text"/>
    <w:basedOn w:val="Normal"/>
    <w:link w:val="TextosinformatoCar"/>
    <w:rsid w:val="00FC0AC2"/>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FC0AC2"/>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FC0AC2"/>
    <w:rPr>
      <w:rFonts w:ascii="Arial Unicode MS" w:eastAsia="Arial Unicode MS" w:hAnsi="Arial Unicode MS" w:cs="Arial Unicode MS"/>
      <w:kern w:val="2"/>
      <w:lang w:val="es-ES_tradnl" w:eastAsia="ar-SA"/>
    </w:rPr>
  </w:style>
  <w:style w:type="paragraph" w:customStyle="1" w:styleId="Cuadrculaclara-nfasis31">
    <w:name w:val="Cuadrícula clara - Énfasis 31"/>
    <w:basedOn w:val="Normal"/>
    <w:link w:val="Cuadrculaclara-nfasis3Car"/>
    <w:uiPriority w:val="34"/>
    <w:qFormat/>
    <w:rsid w:val="00FC0AC2"/>
    <w:pPr>
      <w:suppressAutoHyphens/>
      <w:spacing w:line="100" w:lineRule="atLeast"/>
      <w:ind w:left="708"/>
    </w:pPr>
    <w:rPr>
      <w:rFonts w:ascii="Arial Unicode MS" w:eastAsia="Arial Unicode MS" w:hAnsi="Arial Unicode MS" w:cs="Arial Unicode MS"/>
      <w:kern w:val="2"/>
      <w:lang w:eastAsia="ar-SA"/>
    </w:rPr>
  </w:style>
  <w:style w:type="paragraph" w:styleId="Textodeglobo">
    <w:name w:val="Balloon Text"/>
    <w:basedOn w:val="Normal"/>
    <w:link w:val="TextodegloboCar"/>
    <w:uiPriority w:val="99"/>
    <w:semiHidden/>
    <w:unhideWhenUsed/>
    <w:rsid w:val="00FC0AC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C0AC2"/>
    <w:rPr>
      <w:rFonts w:ascii="Times New Roman" w:eastAsiaTheme="minorEastAsia" w:hAnsi="Times New Roman" w:cs="Times New Roman"/>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E90B4A"/>
    <w:rPr>
      <w:b/>
      <w:bCs/>
      <w:sz w:val="20"/>
      <w:szCs w:val="20"/>
    </w:rPr>
  </w:style>
  <w:style w:type="character" w:customStyle="1" w:styleId="AsuntodelcomentarioCar">
    <w:name w:val="Asunto del comentario Car"/>
    <w:basedOn w:val="TextocomentarioCar"/>
    <w:link w:val="Asuntodelcomentario"/>
    <w:uiPriority w:val="99"/>
    <w:semiHidden/>
    <w:rsid w:val="00E90B4A"/>
    <w:rPr>
      <w:rFonts w:eastAsiaTheme="minorEastAsia"/>
      <w:b/>
      <w:bCs/>
      <w:sz w:val="20"/>
      <w:szCs w:val="20"/>
      <w:lang w:val="es-ES_tradnl" w:eastAsia="es-ES"/>
    </w:rPr>
  </w:style>
  <w:style w:type="paragraph" w:styleId="NormalWeb">
    <w:name w:val="Normal (Web)"/>
    <w:basedOn w:val="Normal"/>
    <w:uiPriority w:val="99"/>
    <w:unhideWhenUsed/>
    <w:rsid w:val="007C0454"/>
    <w:pPr>
      <w:spacing w:before="100" w:beforeAutospacing="1" w:after="100" w:afterAutospacing="1"/>
    </w:pPr>
    <w:rPr>
      <w:rFonts w:ascii="Times New Roman" w:eastAsia="Times New Roman" w:hAnsi="Times New Roman" w:cs="Times New Roman"/>
      <w:lang w:val="es-EC" w:eastAsia="es-ES_tradnl"/>
    </w:rPr>
  </w:style>
  <w:style w:type="paragraph" w:styleId="Prrafodelista">
    <w:name w:val="List Paragraph"/>
    <w:basedOn w:val="Normal"/>
    <w:uiPriority w:val="34"/>
    <w:qFormat/>
    <w:rsid w:val="007C32D8"/>
    <w:pPr>
      <w:ind w:left="720"/>
      <w:contextualSpacing/>
    </w:pPr>
  </w:style>
  <w:style w:type="table" w:styleId="Tablaconcuadrcula">
    <w:name w:val="Table Grid"/>
    <w:basedOn w:val="Tablanormal"/>
    <w:uiPriority w:val="39"/>
    <w:rsid w:val="008A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2316">
      <w:bodyDiv w:val="1"/>
      <w:marLeft w:val="0"/>
      <w:marRight w:val="0"/>
      <w:marTop w:val="0"/>
      <w:marBottom w:val="0"/>
      <w:divBdr>
        <w:top w:val="none" w:sz="0" w:space="0" w:color="auto"/>
        <w:left w:val="none" w:sz="0" w:space="0" w:color="auto"/>
        <w:bottom w:val="none" w:sz="0" w:space="0" w:color="auto"/>
        <w:right w:val="none" w:sz="0" w:space="0" w:color="auto"/>
      </w:divBdr>
      <w:divsChild>
        <w:div w:id="210581445">
          <w:marLeft w:val="0"/>
          <w:marRight w:val="0"/>
          <w:marTop w:val="0"/>
          <w:marBottom w:val="0"/>
          <w:divBdr>
            <w:top w:val="none" w:sz="0" w:space="0" w:color="auto"/>
            <w:left w:val="none" w:sz="0" w:space="0" w:color="auto"/>
            <w:bottom w:val="none" w:sz="0" w:space="0" w:color="auto"/>
            <w:right w:val="none" w:sz="0" w:space="0" w:color="auto"/>
          </w:divBdr>
          <w:divsChild>
            <w:div w:id="107167702">
              <w:marLeft w:val="0"/>
              <w:marRight w:val="0"/>
              <w:marTop w:val="0"/>
              <w:marBottom w:val="0"/>
              <w:divBdr>
                <w:top w:val="none" w:sz="0" w:space="0" w:color="auto"/>
                <w:left w:val="none" w:sz="0" w:space="0" w:color="auto"/>
                <w:bottom w:val="none" w:sz="0" w:space="0" w:color="auto"/>
                <w:right w:val="none" w:sz="0" w:space="0" w:color="auto"/>
              </w:divBdr>
              <w:divsChild>
                <w:div w:id="15375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8896">
      <w:bodyDiv w:val="1"/>
      <w:marLeft w:val="0"/>
      <w:marRight w:val="0"/>
      <w:marTop w:val="0"/>
      <w:marBottom w:val="0"/>
      <w:divBdr>
        <w:top w:val="none" w:sz="0" w:space="0" w:color="auto"/>
        <w:left w:val="none" w:sz="0" w:space="0" w:color="auto"/>
        <w:bottom w:val="none" w:sz="0" w:space="0" w:color="auto"/>
        <w:right w:val="none" w:sz="0" w:space="0" w:color="auto"/>
      </w:divBdr>
      <w:divsChild>
        <w:div w:id="342904019">
          <w:marLeft w:val="0"/>
          <w:marRight w:val="0"/>
          <w:marTop w:val="0"/>
          <w:marBottom w:val="0"/>
          <w:divBdr>
            <w:top w:val="none" w:sz="0" w:space="0" w:color="auto"/>
            <w:left w:val="none" w:sz="0" w:space="0" w:color="auto"/>
            <w:bottom w:val="none" w:sz="0" w:space="0" w:color="auto"/>
            <w:right w:val="none" w:sz="0" w:space="0" w:color="auto"/>
          </w:divBdr>
          <w:divsChild>
            <w:div w:id="1101872533">
              <w:marLeft w:val="0"/>
              <w:marRight w:val="0"/>
              <w:marTop w:val="0"/>
              <w:marBottom w:val="0"/>
              <w:divBdr>
                <w:top w:val="none" w:sz="0" w:space="0" w:color="auto"/>
                <w:left w:val="none" w:sz="0" w:space="0" w:color="auto"/>
                <w:bottom w:val="none" w:sz="0" w:space="0" w:color="auto"/>
                <w:right w:val="none" w:sz="0" w:space="0" w:color="auto"/>
              </w:divBdr>
              <w:divsChild>
                <w:div w:id="516819100">
                  <w:marLeft w:val="0"/>
                  <w:marRight w:val="0"/>
                  <w:marTop w:val="0"/>
                  <w:marBottom w:val="0"/>
                  <w:divBdr>
                    <w:top w:val="none" w:sz="0" w:space="0" w:color="auto"/>
                    <w:left w:val="none" w:sz="0" w:space="0" w:color="auto"/>
                    <w:bottom w:val="none" w:sz="0" w:space="0" w:color="auto"/>
                    <w:right w:val="none" w:sz="0" w:space="0" w:color="auto"/>
                  </w:divBdr>
                  <w:divsChild>
                    <w:div w:id="1706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0293">
      <w:bodyDiv w:val="1"/>
      <w:marLeft w:val="0"/>
      <w:marRight w:val="0"/>
      <w:marTop w:val="0"/>
      <w:marBottom w:val="0"/>
      <w:divBdr>
        <w:top w:val="none" w:sz="0" w:space="0" w:color="auto"/>
        <w:left w:val="none" w:sz="0" w:space="0" w:color="auto"/>
        <w:bottom w:val="none" w:sz="0" w:space="0" w:color="auto"/>
        <w:right w:val="none" w:sz="0" w:space="0" w:color="auto"/>
      </w:divBdr>
      <w:divsChild>
        <w:div w:id="412700866">
          <w:marLeft w:val="0"/>
          <w:marRight w:val="0"/>
          <w:marTop w:val="0"/>
          <w:marBottom w:val="0"/>
          <w:divBdr>
            <w:top w:val="none" w:sz="0" w:space="0" w:color="auto"/>
            <w:left w:val="none" w:sz="0" w:space="0" w:color="auto"/>
            <w:bottom w:val="none" w:sz="0" w:space="0" w:color="auto"/>
            <w:right w:val="none" w:sz="0" w:space="0" w:color="auto"/>
          </w:divBdr>
          <w:divsChild>
            <w:div w:id="352344628">
              <w:marLeft w:val="0"/>
              <w:marRight w:val="0"/>
              <w:marTop w:val="0"/>
              <w:marBottom w:val="0"/>
              <w:divBdr>
                <w:top w:val="none" w:sz="0" w:space="0" w:color="auto"/>
                <w:left w:val="none" w:sz="0" w:space="0" w:color="auto"/>
                <w:bottom w:val="none" w:sz="0" w:space="0" w:color="auto"/>
                <w:right w:val="none" w:sz="0" w:space="0" w:color="auto"/>
              </w:divBdr>
              <w:divsChild>
                <w:div w:id="45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9685">
      <w:bodyDiv w:val="1"/>
      <w:marLeft w:val="0"/>
      <w:marRight w:val="0"/>
      <w:marTop w:val="0"/>
      <w:marBottom w:val="0"/>
      <w:divBdr>
        <w:top w:val="none" w:sz="0" w:space="0" w:color="auto"/>
        <w:left w:val="none" w:sz="0" w:space="0" w:color="auto"/>
        <w:bottom w:val="none" w:sz="0" w:space="0" w:color="auto"/>
        <w:right w:val="none" w:sz="0" w:space="0" w:color="auto"/>
      </w:divBdr>
      <w:divsChild>
        <w:div w:id="1546988523">
          <w:marLeft w:val="0"/>
          <w:marRight w:val="0"/>
          <w:marTop w:val="0"/>
          <w:marBottom w:val="0"/>
          <w:divBdr>
            <w:top w:val="none" w:sz="0" w:space="0" w:color="auto"/>
            <w:left w:val="none" w:sz="0" w:space="0" w:color="auto"/>
            <w:bottom w:val="none" w:sz="0" w:space="0" w:color="auto"/>
            <w:right w:val="none" w:sz="0" w:space="0" w:color="auto"/>
          </w:divBdr>
          <w:divsChild>
            <w:div w:id="1705255754">
              <w:marLeft w:val="0"/>
              <w:marRight w:val="0"/>
              <w:marTop w:val="0"/>
              <w:marBottom w:val="0"/>
              <w:divBdr>
                <w:top w:val="none" w:sz="0" w:space="0" w:color="auto"/>
                <w:left w:val="none" w:sz="0" w:space="0" w:color="auto"/>
                <w:bottom w:val="none" w:sz="0" w:space="0" w:color="auto"/>
                <w:right w:val="none" w:sz="0" w:space="0" w:color="auto"/>
              </w:divBdr>
              <w:divsChild>
                <w:div w:id="2123188802">
                  <w:marLeft w:val="0"/>
                  <w:marRight w:val="0"/>
                  <w:marTop w:val="0"/>
                  <w:marBottom w:val="0"/>
                  <w:divBdr>
                    <w:top w:val="none" w:sz="0" w:space="0" w:color="auto"/>
                    <w:left w:val="none" w:sz="0" w:space="0" w:color="auto"/>
                    <w:bottom w:val="none" w:sz="0" w:space="0" w:color="auto"/>
                    <w:right w:val="none" w:sz="0" w:space="0" w:color="auto"/>
                  </w:divBdr>
                  <w:divsChild>
                    <w:div w:id="9228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5630">
      <w:bodyDiv w:val="1"/>
      <w:marLeft w:val="0"/>
      <w:marRight w:val="0"/>
      <w:marTop w:val="0"/>
      <w:marBottom w:val="0"/>
      <w:divBdr>
        <w:top w:val="none" w:sz="0" w:space="0" w:color="auto"/>
        <w:left w:val="none" w:sz="0" w:space="0" w:color="auto"/>
        <w:bottom w:val="none" w:sz="0" w:space="0" w:color="auto"/>
        <w:right w:val="none" w:sz="0" w:space="0" w:color="auto"/>
      </w:divBdr>
      <w:divsChild>
        <w:div w:id="270475135">
          <w:marLeft w:val="0"/>
          <w:marRight w:val="0"/>
          <w:marTop w:val="0"/>
          <w:marBottom w:val="0"/>
          <w:divBdr>
            <w:top w:val="none" w:sz="0" w:space="0" w:color="auto"/>
            <w:left w:val="none" w:sz="0" w:space="0" w:color="auto"/>
            <w:bottom w:val="none" w:sz="0" w:space="0" w:color="auto"/>
            <w:right w:val="none" w:sz="0" w:space="0" w:color="auto"/>
          </w:divBdr>
          <w:divsChild>
            <w:div w:id="1851489149">
              <w:marLeft w:val="0"/>
              <w:marRight w:val="0"/>
              <w:marTop w:val="0"/>
              <w:marBottom w:val="0"/>
              <w:divBdr>
                <w:top w:val="none" w:sz="0" w:space="0" w:color="auto"/>
                <w:left w:val="none" w:sz="0" w:space="0" w:color="auto"/>
                <w:bottom w:val="none" w:sz="0" w:space="0" w:color="auto"/>
                <w:right w:val="none" w:sz="0" w:space="0" w:color="auto"/>
              </w:divBdr>
              <w:divsChild>
                <w:div w:id="1303191060">
                  <w:marLeft w:val="0"/>
                  <w:marRight w:val="0"/>
                  <w:marTop w:val="0"/>
                  <w:marBottom w:val="0"/>
                  <w:divBdr>
                    <w:top w:val="none" w:sz="0" w:space="0" w:color="auto"/>
                    <w:left w:val="none" w:sz="0" w:space="0" w:color="auto"/>
                    <w:bottom w:val="none" w:sz="0" w:space="0" w:color="auto"/>
                    <w:right w:val="none" w:sz="0" w:space="0" w:color="auto"/>
                  </w:divBdr>
                  <w:divsChild>
                    <w:div w:id="16968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5928">
      <w:bodyDiv w:val="1"/>
      <w:marLeft w:val="0"/>
      <w:marRight w:val="0"/>
      <w:marTop w:val="0"/>
      <w:marBottom w:val="0"/>
      <w:divBdr>
        <w:top w:val="none" w:sz="0" w:space="0" w:color="auto"/>
        <w:left w:val="none" w:sz="0" w:space="0" w:color="auto"/>
        <w:bottom w:val="none" w:sz="0" w:space="0" w:color="auto"/>
        <w:right w:val="none" w:sz="0" w:space="0" w:color="auto"/>
      </w:divBdr>
      <w:divsChild>
        <w:div w:id="1691686889">
          <w:marLeft w:val="0"/>
          <w:marRight w:val="0"/>
          <w:marTop w:val="0"/>
          <w:marBottom w:val="0"/>
          <w:divBdr>
            <w:top w:val="none" w:sz="0" w:space="0" w:color="auto"/>
            <w:left w:val="none" w:sz="0" w:space="0" w:color="auto"/>
            <w:bottom w:val="none" w:sz="0" w:space="0" w:color="auto"/>
            <w:right w:val="none" w:sz="0" w:space="0" w:color="auto"/>
          </w:divBdr>
          <w:divsChild>
            <w:div w:id="1262226599">
              <w:marLeft w:val="0"/>
              <w:marRight w:val="0"/>
              <w:marTop w:val="0"/>
              <w:marBottom w:val="0"/>
              <w:divBdr>
                <w:top w:val="none" w:sz="0" w:space="0" w:color="auto"/>
                <w:left w:val="none" w:sz="0" w:space="0" w:color="auto"/>
                <w:bottom w:val="none" w:sz="0" w:space="0" w:color="auto"/>
                <w:right w:val="none" w:sz="0" w:space="0" w:color="auto"/>
              </w:divBdr>
              <w:divsChild>
                <w:div w:id="11761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3508">
          <w:marLeft w:val="0"/>
          <w:marRight w:val="0"/>
          <w:marTop w:val="0"/>
          <w:marBottom w:val="0"/>
          <w:divBdr>
            <w:top w:val="none" w:sz="0" w:space="0" w:color="auto"/>
            <w:left w:val="none" w:sz="0" w:space="0" w:color="auto"/>
            <w:bottom w:val="none" w:sz="0" w:space="0" w:color="auto"/>
            <w:right w:val="none" w:sz="0" w:space="0" w:color="auto"/>
          </w:divBdr>
          <w:divsChild>
            <w:div w:id="1113087713">
              <w:marLeft w:val="0"/>
              <w:marRight w:val="0"/>
              <w:marTop w:val="0"/>
              <w:marBottom w:val="0"/>
              <w:divBdr>
                <w:top w:val="none" w:sz="0" w:space="0" w:color="auto"/>
                <w:left w:val="none" w:sz="0" w:space="0" w:color="auto"/>
                <w:bottom w:val="none" w:sz="0" w:space="0" w:color="auto"/>
                <w:right w:val="none" w:sz="0" w:space="0" w:color="auto"/>
              </w:divBdr>
              <w:divsChild>
                <w:div w:id="17270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FFD6-9D96-4480-BB87-FCBACA6A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9338</Words>
  <Characters>51363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Crisita Martinez</dc:creator>
  <cp:keywords/>
  <dc:description/>
  <cp:lastModifiedBy>Ana Marisol Espin Sanchez</cp:lastModifiedBy>
  <cp:revision>2</cp:revision>
  <cp:lastPrinted>2019-10-17T17:38:00Z</cp:lastPrinted>
  <dcterms:created xsi:type="dcterms:W3CDTF">2019-10-25T21:12:00Z</dcterms:created>
  <dcterms:modified xsi:type="dcterms:W3CDTF">2019-10-25T21:12:00Z</dcterms:modified>
</cp:coreProperties>
</file>