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2AB12" w14:textId="77777777" w:rsidR="009B4F76" w:rsidRPr="009B4F76" w:rsidRDefault="009B4F76" w:rsidP="009B4F76">
      <w:pPr>
        <w:jc w:val="center"/>
        <w:rPr>
          <w:rFonts w:ascii="Palatino Linotype" w:hAnsi="Palatino Linotype"/>
          <w:b/>
          <w:sz w:val="36"/>
          <w:szCs w:val="36"/>
          <w:lang w:val="es-EC"/>
        </w:rPr>
      </w:pPr>
      <w:bookmarkStart w:id="0" w:name="_GoBack"/>
      <w:bookmarkEnd w:id="0"/>
      <w:r w:rsidRPr="009B4F76">
        <w:rPr>
          <w:rFonts w:ascii="Palatino Linotype" w:hAnsi="Palatino Linotype"/>
          <w:b/>
          <w:sz w:val="36"/>
          <w:szCs w:val="36"/>
          <w:lang w:val="es-EC"/>
        </w:rPr>
        <w:t>EXPOSICIÓN DE MOTIVOS</w:t>
      </w:r>
    </w:p>
    <w:p w14:paraId="2F598AC9" w14:textId="77777777" w:rsid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sz w:val="22"/>
          <w:szCs w:val="22"/>
          <w:lang w:val="es-ES"/>
        </w:rPr>
      </w:pPr>
    </w:p>
    <w:p w14:paraId="5C0A9691" w14:textId="77777777" w:rsid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sz w:val="22"/>
          <w:szCs w:val="22"/>
          <w:lang w:val="es-ES"/>
        </w:rPr>
      </w:pPr>
    </w:p>
    <w:p w14:paraId="1D3F1776" w14:textId="77777777" w:rsidR="009B4F76" w:rsidRP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sz w:val="22"/>
          <w:szCs w:val="22"/>
          <w:lang w:val="es-ES"/>
        </w:rPr>
      </w:pPr>
    </w:p>
    <w:p w14:paraId="192E122B" w14:textId="77777777" w:rsid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lang w:val="es-ES"/>
        </w:rPr>
      </w:pPr>
      <w:r w:rsidRPr="009B4F76">
        <w:rPr>
          <w:rFonts w:ascii="Palatino Linotype" w:hAnsi="Palatino Linotype" w:cs="Arial"/>
          <w:lang w:val="es-ES"/>
        </w:rPr>
        <w:t>El Gobierno Autónomo Descentralizado del Distrito Metropolitano de Quito en el marco de las disposiciones del Código Orgánico de Organización Territorial, Autonomía y Descentralización, debe mantener actualizados en forma permanente, los catastros de predios urbanos y rurales, los cuales constarán en el catastro con el valor de la propiedad actualizado.</w:t>
      </w:r>
    </w:p>
    <w:p w14:paraId="7AE2946C" w14:textId="77777777" w:rsidR="009B4F76" w:rsidRP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lang w:val="es-ES"/>
        </w:rPr>
      </w:pPr>
    </w:p>
    <w:p w14:paraId="177BCA99" w14:textId="77777777" w:rsid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lang w:val="es-ES"/>
        </w:rPr>
      </w:pPr>
      <w:r w:rsidRPr="009B4F76">
        <w:rPr>
          <w:rFonts w:ascii="Palatino Linotype" w:hAnsi="Palatino Linotype" w:cs="Arial"/>
          <w:lang w:val="es-ES"/>
        </w:rPr>
        <w:t>El cuerpo legal citado determina la forma como se debe establecer el valor de la propiedad y que servirá de base para la determinación  de impuestos y para otros efectos tributarios y no tributarios.</w:t>
      </w:r>
    </w:p>
    <w:p w14:paraId="75E7E35E" w14:textId="77777777" w:rsidR="009B4F76" w:rsidRPr="009B4F76" w:rsidRDefault="009B4F76" w:rsidP="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hAnsi="Palatino Linotype" w:cs="Arial"/>
          <w:lang w:val="es-ES"/>
        </w:rPr>
      </w:pPr>
    </w:p>
    <w:p w14:paraId="0318144C" w14:textId="77777777" w:rsidR="009B4F76" w:rsidRDefault="009B4F76" w:rsidP="009B4F76">
      <w:pPr>
        <w:jc w:val="both"/>
        <w:rPr>
          <w:rFonts w:ascii="Palatino Linotype" w:hAnsi="Palatino Linotype"/>
          <w:lang w:val="es-ES"/>
        </w:rPr>
      </w:pPr>
      <w:r w:rsidRPr="009B4F76">
        <w:rPr>
          <w:rFonts w:ascii="Palatino Linotype" w:hAnsi="Palatino Linotype"/>
          <w:lang w:val="es-ES"/>
        </w:rPr>
        <w:t>El Concejo Metropolitano de Quito en la Sexta Disposición Transitoria  de la Ordenanza Metropolitana No. 196 de valoración del suelo, dispone al Director Metropolitano de Catastro, que en el plazo de un año a partir sanción de la presente ordenanza, presente al Concejo Metropolitano de Quito, para su aprobación, el proyecto de adecuación de la Norma Técnica de Valoración, a las disposiciones constantes en el Acuerdo Ministerial No. 029-16, publicado en el Registro Oficial No. 853 de 3 de octubre de 2016, que contiene las Normas Técnicas Nacionales para el Catastro de Bienes inmuebles Urbanos y Rurales y Avalúos de Bienes; Operación y Cálculo de Tarifas por los Servicios Técnicos de la Dirección Nacional de Avalúos y Catastros.</w:t>
      </w:r>
    </w:p>
    <w:p w14:paraId="6164DFBB" w14:textId="77777777" w:rsidR="009B4F76" w:rsidRPr="009B4F76" w:rsidRDefault="009B4F76" w:rsidP="009B4F76">
      <w:pPr>
        <w:jc w:val="both"/>
        <w:rPr>
          <w:rFonts w:ascii="Palatino Linotype" w:hAnsi="Palatino Linotype" w:cstheme="minorBidi"/>
          <w:lang w:val="es-EC"/>
        </w:rPr>
      </w:pPr>
    </w:p>
    <w:p w14:paraId="4DCF4A60" w14:textId="77777777" w:rsidR="009B4F76" w:rsidRPr="009B4F76" w:rsidRDefault="009B4F76" w:rsidP="009B4F76">
      <w:pPr>
        <w:jc w:val="both"/>
        <w:rPr>
          <w:rFonts w:ascii="Palatino Linotype" w:hAnsi="Palatino Linotype"/>
          <w:lang w:val="es-EC"/>
        </w:rPr>
      </w:pPr>
      <w:r w:rsidRPr="009B4F76">
        <w:rPr>
          <w:rFonts w:ascii="Palatino Linotype" w:hAnsi="Palatino Linotype"/>
          <w:lang w:val="es-ES"/>
        </w:rPr>
        <w:t xml:space="preserve">Que es necesario adecuar la Norma Técnica de Valoración del GDMQ, a la Norma Técnica Nacional de Catastro y Valoración emitida por el MIDUVI como órgano rector de catastros y valoración a nivel nacional, a fin de poder realizar y aprobar los estudios e investigaciones que modificarán varios aspectos valorativos de los bienes inmuebles del DMQ, dentro de los cuales se encuentran valores de AIVAS urbanas y rurales, </w:t>
      </w:r>
      <w:r w:rsidRPr="009B4F76">
        <w:rPr>
          <w:rFonts w:ascii="Palatino Linotype" w:hAnsi="Palatino Linotype"/>
          <w:lang w:val="es-MX"/>
        </w:rPr>
        <w:t xml:space="preserve">valores en tipologías constructivas, valores de adicionales constructivos e instalaciones especiales, pesos en acabados exteriores e información de algunas tablas.  </w:t>
      </w:r>
    </w:p>
    <w:p w14:paraId="24652982" w14:textId="77777777" w:rsidR="009B4F76" w:rsidRPr="009B4F76" w:rsidRDefault="009B4F76" w:rsidP="009B4F76">
      <w:pPr>
        <w:jc w:val="both"/>
        <w:rPr>
          <w:rFonts w:ascii="Palatino Linotype" w:hAnsi="Palatino Linotype"/>
          <w:lang w:val="es-EC"/>
        </w:rPr>
      </w:pPr>
    </w:p>
    <w:p w14:paraId="00000001" w14:textId="3493AF98" w:rsidR="00D84FEB"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color w:val="FF0000"/>
          <w:sz w:val="40"/>
          <w:szCs w:val="40"/>
          <w:lang w:val="es-EC"/>
        </w:rPr>
      </w:pPr>
    </w:p>
    <w:p w14:paraId="1873DB18" w14:textId="77777777" w:rsidR="009B4F76" w:rsidRPr="009B4F76" w:rsidRDefault="009B4F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color w:val="FF0000"/>
          <w:sz w:val="40"/>
          <w:szCs w:val="40"/>
          <w:lang w:val="es-EC"/>
        </w:rPr>
      </w:pPr>
    </w:p>
    <w:p w14:paraId="00000002"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sz w:val="36"/>
          <w:szCs w:val="36"/>
          <w:lang w:val="es-EC"/>
        </w:rPr>
      </w:pPr>
      <w:r w:rsidRPr="009F1EC8">
        <w:rPr>
          <w:rFonts w:ascii="Palatino Linotype" w:eastAsia="Palatino Linotype" w:hAnsi="Palatino Linotype" w:cs="Palatino Linotype"/>
          <w:b/>
          <w:sz w:val="36"/>
          <w:szCs w:val="36"/>
          <w:lang w:val="es-EC"/>
        </w:rPr>
        <w:t>ORDENANZA No. ….</w:t>
      </w:r>
    </w:p>
    <w:p w14:paraId="00000003"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sz w:val="22"/>
          <w:szCs w:val="22"/>
          <w:lang w:val="es-EC"/>
        </w:rPr>
      </w:pPr>
    </w:p>
    <w:p w14:paraId="00000004"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sz w:val="28"/>
          <w:szCs w:val="28"/>
          <w:lang w:val="es-EC"/>
        </w:rPr>
      </w:pPr>
      <w:r w:rsidRPr="009F1EC8">
        <w:rPr>
          <w:rFonts w:ascii="Palatino Linotype" w:eastAsia="Palatino Linotype" w:hAnsi="Palatino Linotype" w:cs="Palatino Linotype"/>
          <w:b/>
          <w:sz w:val="28"/>
          <w:szCs w:val="28"/>
          <w:lang w:val="es-EC"/>
        </w:rPr>
        <w:t xml:space="preserve">EL CONCEJO DEL DISTRITO METROPOLITANO DE QUITO </w:t>
      </w:r>
    </w:p>
    <w:p w14:paraId="00000005"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ascii="Palatino Linotype" w:eastAsia="Palatino Linotype" w:hAnsi="Palatino Linotype" w:cs="Palatino Linotype"/>
          <w:b/>
          <w:sz w:val="28"/>
          <w:szCs w:val="28"/>
          <w:lang w:val="es-EC"/>
        </w:rPr>
      </w:pPr>
    </w:p>
    <w:p w14:paraId="00000006"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Palatino Linotype" w:eastAsia="Palatino Linotype" w:hAnsi="Palatino Linotype" w:cs="Palatino Linotype"/>
          <w:b/>
          <w:sz w:val="28"/>
          <w:szCs w:val="28"/>
          <w:highlight w:val="white"/>
          <w:lang w:val="es-EC"/>
        </w:rPr>
      </w:pPr>
      <w:r w:rsidRPr="009F1EC8">
        <w:rPr>
          <w:rFonts w:ascii="Palatino Linotype" w:eastAsia="Palatino Linotype" w:hAnsi="Palatino Linotype" w:cs="Palatino Linotype"/>
          <w:b/>
          <w:sz w:val="28"/>
          <w:szCs w:val="28"/>
          <w:lang w:val="es-EC"/>
        </w:rPr>
        <w:t>CONSIDERANDO:</w:t>
      </w:r>
    </w:p>
    <w:p w14:paraId="00000007"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b/>
          <w:sz w:val="22"/>
          <w:szCs w:val="22"/>
          <w:lang w:val="es-EC"/>
        </w:rPr>
      </w:pPr>
    </w:p>
    <w:p w14:paraId="00000008"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sz w:val="22"/>
          <w:szCs w:val="22"/>
          <w:lang w:val="es-EC"/>
        </w:rPr>
        <w:tab/>
        <w:t xml:space="preserve">el artículo 238 de la Constitución de la República del Ecuador (en adelante “Constitución”) establece que: </w:t>
      </w:r>
      <w:r w:rsidRPr="009F1EC8">
        <w:rPr>
          <w:rFonts w:ascii="Palatino Linotype" w:eastAsia="Palatino Linotype" w:hAnsi="Palatino Linotype" w:cs="Palatino Linotype"/>
          <w:i/>
          <w:sz w:val="22"/>
          <w:szCs w:val="22"/>
          <w:lang w:val="es-EC"/>
        </w:rPr>
        <w:t xml:space="preserve">“Los gobiernos autónomos descentralizados gozarán de </w:t>
      </w:r>
      <w:r w:rsidRPr="009F1EC8">
        <w:rPr>
          <w:rFonts w:ascii="Palatino Linotype" w:eastAsia="Palatino Linotype" w:hAnsi="Palatino Linotype" w:cs="Palatino Linotype"/>
          <w:i/>
          <w:sz w:val="22"/>
          <w:szCs w:val="22"/>
          <w:lang w:val="es-EC"/>
        </w:rPr>
        <w:lastRenderedPageBreak/>
        <w:t>autonomía política, administrativa y financiera, y se regirán por los principios de solidaridad, subsidiaridad, equidad interterritorial, integración y participación ciudadana.”;</w:t>
      </w:r>
    </w:p>
    <w:p w14:paraId="00000009"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sz w:val="22"/>
          <w:szCs w:val="22"/>
          <w:lang w:val="es-EC"/>
        </w:rPr>
        <w:t xml:space="preserve"> </w:t>
      </w:r>
    </w:p>
    <w:p w14:paraId="0000000A" w14:textId="243AE612"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 xml:space="preserve">el artículo 240 de la </w:t>
      </w:r>
      <w:r w:rsidR="009F1EC8" w:rsidRPr="00756E68">
        <w:rPr>
          <w:rFonts w:ascii="Palatino Linotype" w:eastAsia="Palatino Linotype" w:hAnsi="Palatino Linotype" w:cs="Palatino Linotype"/>
          <w:color w:val="auto"/>
          <w:sz w:val="22"/>
          <w:szCs w:val="22"/>
          <w:lang w:val="es-EC"/>
        </w:rPr>
        <w:t>Constitución</w:t>
      </w:r>
      <w:r w:rsidR="009F1EC8" w:rsidRPr="009F1EC8">
        <w:rPr>
          <w:rFonts w:ascii="Palatino Linotype" w:eastAsia="Palatino Linotype" w:hAnsi="Palatino Linotype" w:cs="Palatino Linotype"/>
          <w:sz w:val="22"/>
          <w:szCs w:val="22"/>
          <w:lang w:val="es-EC"/>
        </w:rPr>
        <w:t xml:space="preserve"> </w:t>
      </w:r>
      <w:r w:rsidRPr="009F1EC8">
        <w:rPr>
          <w:rFonts w:ascii="Palatino Linotype" w:eastAsia="Palatino Linotype" w:hAnsi="Palatino Linotype" w:cs="Palatino Linotype"/>
          <w:sz w:val="22"/>
          <w:szCs w:val="22"/>
          <w:lang w:val="es-EC"/>
        </w:rPr>
        <w:t>dispone que: “Los</w:t>
      </w:r>
      <w:r w:rsidRPr="009F1EC8">
        <w:rPr>
          <w:rFonts w:ascii="Palatino Linotype" w:eastAsia="Palatino Linotype" w:hAnsi="Palatino Linotype" w:cs="Palatino Linotype"/>
          <w:i/>
          <w:sz w:val="22"/>
          <w:szCs w:val="22"/>
          <w:lang w:val="es-EC"/>
        </w:rPr>
        <w:t xml:space="preserve"> gobiernos autónomos descentralizados de las regiones, distritos metropolitanos, provincias y cantones tendrán facultades legislativas en el ámbito de sus competencias y jurisdicciones territoriales”</w:t>
      </w:r>
      <w:r w:rsidRPr="009F1EC8">
        <w:rPr>
          <w:rFonts w:ascii="Palatino Linotype" w:eastAsia="Palatino Linotype" w:hAnsi="Palatino Linotype" w:cs="Palatino Linotype"/>
          <w:sz w:val="22"/>
          <w:szCs w:val="22"/>
          <w:lang w:val="es-EC"/>
        </w:rPr>
        <w:t>;</w:t>
      </w:r>
    </w:p>
    <w:p w14:paraId="0000000B"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0C" w14:textId="2F1D1DCF" w:rsidR="00D84FEB" w:rsidRPr="009F1EC8" w:rsidRDefault="00766A67" w:rsidP="00B727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el artículo 139 del Código Orgánico</w:t>
      </w:r>
      <w:r w:rsidRPr="009F1EC8">
        <w:rPr>
          <w:rFonts w:ascii="Palatino Linotype" w:eastAsia="Palatino Linotype" w:hAnsi="Palatino Linotype" w:cs="Palatino Linotype"/>
          <w:b/>
          <w:sz w:val="22"/>
          <w:szCs w:val="22"/>
          <w:lang w:val="es-EC"/>
        </w:rPr>
        <w:t xml:space="preserve"> </w:t>
      </w:r>
      <w:r w:rsidRPr="009F1EC8">
        <w:rPr>
          <w:rFonts w:ascii="Palatino Linotype" w:eastAsia="Palatino Linotype" w:hAnsi="Palatino Linotype" w:cs="Palatino Linotype"/>
          <w:sz w:val="22"/>
          <w:szCs w:val="22"/>
          <w:lang w:val="es-EC"/>
        </w:rPr>
        <w:t>de Organización Territorial, Autonomía y Descentralización –COOTAD–, establece que, corresponde a los gobiernos autónomos descentralizados la formación y administración de los catastros inmobiliarios urbanos y rurales; así como la obligación de actualizar cada dos años la valoración de la propiedad urbana y rural;</w:t>
      </w:r>
    </w:p>
    <w:p w14:paraId="0000000D"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b/>
          <w:sz w:val="22"/>
          <w:szCs w:val="22"/>
          <w:lang w:val="es-EC"/>
        </w:rPr>
      </w:pPr>
    </w:p>
    <w:p w14:paraId="0000000E"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 xml:space="preserve">el artículo 494 del Código Orgánico de Organización Territorial, Autonomía y Descentralización estipula que: </w:t>
      </w:r>
      <w:r w:rsidRPr="009F1EC8">
        <w:rPr>
          <w:rFonts w:ascii="Palatino Linotype" w:eastAsia="Palatino Linotype" w:hAnsi="Palatino Linotype" w:cs="Palatino Linotype"/>
          <w:i/>
          <w:sz w:val="22"/>
          <w:szCs w:val="22"/>
          <w:lang w:val="es-EC"/>
        </w:rPr>
        <w:t>“Las municipalidades y distritos metropolitanos mantendrán actualizados en forma permanente, los catastros de predios urbanos y rurales. Los bienes inmuebles constarán en el catastro con el valor de la propiedad actualizado…”</w:t>
      </w:r>
      <w:r w:rsidRPr="009F1EC8">
        <w:rPr>
          <w:rFonts w:ascii="Palatino Linotype" w:eastAsia="Palatino Linotype" w:hAnsi="Palatino Linotype" w:cs="Palatino Linotype"/>
          <w:sz w:val="22"/>
          <w:szCs w:val="22"/>
          <w:lang w:val="es-EC"/>
        </w:rPr>
        <w:t>;</w:t>
      </w:r>
    </w:p>
    <w:p w14:paraId="0000000F"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sz w:val="22"/>
          <w:szCs w:val="22"/>
          <w:lang w:val="es-EC"/>
        </w:rPr>
      </w:pPr>
    </w:p>
    <w:p w14:paraId="00000010"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i/>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sz w:val="22"/>
          <w:szCs w:val="22"/>
          <w:lang w:val="es-EC"/>
        </w:rPr>
        <w:tab/>
        <w:t xml:space="preserve">el referido Código en su artículo 495, determina que para establecer el valor de la propiedad se considerará en forma obligatoria, los siguientes elementos: </w:t>
      </w:r>
      <w:r w:rsidRPr="009F1EC8">
        <w:rPr>
          <w:rFonts w:ascii="Palatino Linotype" w:eastAsia="Palatino Linotype" w:hAnsi="Palatino Linotype" w:cs="Palatino Linotype"/>
          <w:i/>
          <w:sz w:val="22"/>
          <w:szCs w:val="22"/>
          <w:lang w:val="es-EC"/>
        </w:rPr>
        <w:t>“a) El valor del suelo, que es el precio unitario de suelo, urbano o rural, determinado por un proceso de comparación con precios unitarios de venta de inmuebles de condiciones similares u homogéneas del mismo sector, multiplicado por la superficie del inmueble; b) El valor de las edificaciones, que es el precio de las construcciones que se hayan desarrollado con carácter permanente sobre un inmueble, calculado sobre el método de reposición; y, c) El valor de reposición, que se determina aplicando un proceso que permite la simulación de construcción de la obra que va a ser avaluada, a costos actuales de construcción, depreciada de forma proporcional al tiempo de vida útil”;</w:t>
      </w:r>
    </w:p>
    <w:p w14:paraId="00000013"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sz w:val="22"/>
          <w:szCs w:val="22"/>
          <w:lang w:val="es-EC"/>
        </w:rPr>
      </w:pPr>
    </w:p>
    <w:p w14:paraId="00000014"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sz w:val="22"/>
          <w:szCs w:val="22"/>
          <w:lang w:val="es-EC"/>
        </w:rPr>
        <w:t>,</w:t>
      </w:r>
      <w:r w:rsidRPr="009F1EC8">
        <w:rPr>
          <w:rFonts w:ascii="Palatino Linotype" w:eastAsia="Palatino Linotype" w:hAnsi="Palatino Linotype" w:cs="Palatino Linotype"/>
          <w:sz w:val="22"/>
          <w:szCs w:val="22"/>
          <w:lang w:val="es-EC"/>
        </w:rPr>
        <w:tab/>
        <w:t>los artículos 502 y 516 del mismo Código, que se refieren a las reglas para la determinación del valor de los predios urbanos y rurales, respectivamente, disponen que el Concejo aprobará mediante Ordenanza  el Plano del Valor de la Tierra, los factores de aumento o reducción del valor del terreno por los aspectos geométricos, topográficos, accesibilidad a determinados servicios como agua potable, alcantarillado y otros elementos semejantes , accesibilidad al riego, accesos y vías de comunicación y calidad del suelo, así como los factores para la valoración de las edificaciones;</w:t>
      </w:r>
    </w:p>
    <w:p w14:paraId="00000015"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16"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 xml:space="preserve">la Ley Orgánica de Ordenamiento Territorial, Uso y Gestión de Suelo, publicada en el Suplemento del Registro Oficial No. 790 del 5 de julio de 2016, fija los principios y reglas generales que rigen el ejercicio de las competencias de ordenamiento territorial, uso y gestión del suelo urbano y rural, y su ámbito de aplicación a todo ejercicio de planificación del desarrollo, ordenamiento territorial planeamiento y </w:t>
      </w:r>
      <w:r w:rsidRPr="009F1EC8">
        <w:rPr>
          <w:rFonts w:ascii="Palatino Linotype" w:eastAsia="Palatino Linotype" w:hAnsi="Palatino Linotype" w:cs="Palatino Linotype"/>
          <w:sz w:val="22"/>
          <w:szCs w:val="22"/>
          <w:lang w:val="es-EC"/>
        </w:rPr>
        <w:lastRenderedPageBreak/>
        <w:t>actuación urbanística, realizada por el Gobierno Central, los Gobiernos Autónomos Descentralizados y otras personas jurídicas públicas o mixtas en el marco de sus competencias;</w:t>
      </w:r>
    </w:p>
    <w:p w14:paraId="00000017"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18" w14:textId="7B38383F"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 xml:space="preserve">en </w:t>
      </w:r>
      <w:r w:rsidR="002120E5" w:rsidRPr="00756E68">
        <w:rPr>
          <w:rFonts w:ascii="Palatino Linotype" w:eastAsia="Palatino Linotype" w:hAnsi="Palatino Linotype" w:cs="Palatino Linotype"/>
          <w:color w:val="auto"/>
          <w:sz w:val="22"/>
          <w:szCs w:val="22"/>
          <w:lang w:val="es-EC"/>
        </w:rPr>
        <w:t>la precitada norma en</w:t>
      </w:r>
      <w:r w:rsidRPr="00756E68">
        <w:rPr>
          <w:rFonts w:ascii="Palatino Linotype" w:eastAsia="Palatino Linotype" w:hAnsi="Palatino Linotype" w:cs="Palatino Linotype"/>
          <w:color w:val="auto"/>
          <w:sz w:val="22"/>
          <w:szCs w:val="22"/>
          <w:lang w:val="es-EC"/>
        </w:rPr>
        <w:t xml:space="preserve"> </w:t>
      </w:r>
      <w:r w:rsidRPr="009F1EC8">
        <w:rPr>
          <w:rFonts w:ascii="Palatino Linotype" w:eastAsia="Palatino Linotype" w:hAnsi="Palatino Linotype" w:cs="Palatino Linotype"/>
          <w:sz w:val="22"/>
          <w:szCs w:val="22"/>
          <w:lang w:val="es-EC"/>
        </w:rPr>
        <w:t xml:space="preserve">el Capítulo V, artículo 100,  se refiere al Catastro Nacional Integrado Georreferenciado, definiéndolo como un sistema de Información Territorial generado por los gobiernos autónomos descentralizados municipales y metropolitanos, y las instituciones que generen información relacionada con catastros y ordenamiento territorial, multifinalitario y consolidado, a través de una base de datos nacional, que tiene que actualizarse de una manera continua  y permanente y que es administrado por el ente rector de hábitat y vivienda, el cual se encarga de regular la conformación y funciones del sistema, y establece  las normas, estándares, protocolos, plazos y procedimientos para el levantamiento de la información catastral  y valoración de los bienes inmuebles urbanos y rurales; </w:t>
      </w:r>
    </w:p>
    <w:p w14:paraId="00000019"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1A" w14:textId="62198456"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b/>
          <w:sz w:val="22"/>
          <w:szCs w:val="22"/>
          <w:lang w:val="es-EC"/>
        </w:rPr>
        <w:tab/>
      </w:r>
      <w:r w:rsidRPr="009F1EC8">
        <w:rPr>
          <w:b/>
          <w:lang w:val="es-EC"/>
        </w:rPr>
        <w:t xml:space="preserve"> </w:t>
      </w:r>
      <w:r w:rsidRPr="009F1EC8">
        <w:rPr>
          <w:rFonts w:ascii="Palatino Linotype" w:eastAsia="Palatino Linotype" w:hAnsi="Palatino Linotype" w:cs="Palatino Linotype"/>
          <w:sz w:val="22"/>
          <w:szCs w:val="22"/>
          <w:lang w:val="es-EC"/>
        </w:rPr>
        <w:t xml:space="preserve">para la aplicación de la Ley Orgánica de Ordenamiento Territorial, Uso y Gestión de Suelo, el Ministerio de Desarrollo Urbano y </w:t>
      </w:r>
      <w:r w:rsidR="002120E5" w:rsidRPr="009F1EC8">
        <w:rPr>
          <w:rFonts w:ascii="Palatino Linotype" w:eastAsia="Palatino Linotype" w:hAnsi="Palatino Linotype" w:cs="Palatino Linotype"/>
          <w:sz w:val="22"/>
          <w:szCs w:val="22"/>
          <w:lang w:val="es-EC"/>
        </w:rPr>
        <w:t>Vivienda en</w:t>
      </w:r>
      <w:r w:rsidRPr="009F1EC8">
        <w:rPr>
          <w:rFonts w:ascii="Palatino Linotype" w:eastAsia="Palatino Linotype" w:hAnsi="Palatino Linotype" w:cs="Palatino Linotype"/>
          <w:sz w:val="22"/>
          <w:szCs w:val="22"/>
          <w:lang w:val="es-EC"/>
        </w:rPr>
        <w:t xml:space="preserve"> </w:t>
      </w:r>
      <w:r w:rsidR="002120E5" w:rsidRPr="00756E68">
        <w:rPr>
          <w:rFonts w:ascii="Palatino Linotype" w:eastAsia="Palatino Linotype" w:hAnsi="Palatino Linotype" w:cs="Palatino Linotype"/>
          <w:color w:val="auto"/>
          <w:sz w:val="22"/>
          <w:szCs w:val="22"/>
          <w:lang w:val="es-EC"/>
        </w:rPr>
        <w:t>su</w:t>
      </w:r>
      <w:r w:rsidR="002120E5">
        <w:rPr>
          <w:rFonts w:ascii="Palatino Linotype" w:eastAsia="Palatino Linotype" w:hAnsi="Palatino Linotype" w:cs="Palatino Linotype"/>
          <w:color w:val="FF0000"/>
          <w:sz w:val="22"/>
          <w:szCs w:val="22"/>
          <w:lang w:val="es-EC"/>
        </w:rPr>
        <w:t xml:space="preserve"> </w:t>
      </w:r>
      <w:r w:rsidRPr="009F1EC8">
        <w:rPr>
          <w:rFonts w:ascii="Palatino Linotype" w:eastAsia="Palatino Linotype" w:hAnsi="Palatino Linotype" w:cs="Palatino Linotype"/>
          <w:sz w:val="22"/>
          <w:szCs w:val="22"/>
          <w:lang w:val="es-EC"/>
        </w:rPr>
        <w:t xml:space="preserve">calidad de órgano rector  del Sistema Nacional de Catastro Integral </w:t>
      </w:r>
      <w:r w:rsidR="00756E68" w:rsidRPr="009F1EC8">
        <w:rPr>
          <w:rFonts w:ascii="Palatino Linotype" w:eastAsia="Palatino Linotype" w:hAnsi="Palatino Linotype" w:cs="Palatino Linotype"/>
          <w:sz w:val="22"/>
          <w:szCs w:val="22"/>
          <w:lang w:val="es-EC"/>
        </w:rPr>
        <w:t>Georreferenciado</w:t>
      </w:r>
      <w:r w:rsidRPr="009F1EC8">
        <w:rPr>
          <w:rFonts w:ascii="Palatino Linotype" w:eastAsia="Palatino Linotype" w:hAnsi="Palatino Linotype" w:cs="Palatino Linotype"/>
          <w:sz w:val="22"/>
          <w:szCs w:val="22"/>
          <w:lang w:val="es-EC"/>
        </w:rPr>
        <w:t xml:space="preserve">  de Hábitat y Vivienda, emitió mediante Acuerdo Ministerial No. 029, publicado en el Registro Oficial No. 853 de 3 de octubre de 2016, las Normas Técnicas Nacionales para el Catastro de Bienes Inmuebles Urbanos y Rurales y Avalúos de Bienes; Operación y Cálculo de Tarifas por los Servicios </w:t>
      </w:r>
      <w:r w:rsidR="002120E5" w:rsidRPr="009F1EC8">
        <w:rPr>
          <w:rFonts w:ascii="Palatino Linotype" w:eastAsia="Palatino Linotype" w:hAnsi="Palatino Linotype" w:cs="Palatino Linotype"/>
          <w:sz w:val="22"/>
          <w:szCs w:val="22"/>
          <w:lang w:val="es-EC"/>
        </w:rPr>
        <w:t>Técnicos de</w:t>
      </w:r>
      <w:r w:rsidRPr="009F1EC8">
        <w:rPr>
          <w:rFonts w:ascii="Palatino Linotype" w:eastAsia="Palatino Linotype" w:hAnsi="Palatino Linotype" w:cs="Palatino Linotype"/>
          <w:sz w:val="22"/>
          <w:szCs w:val="22"/>
          <w:lang w:val="es-EC"/>
        </w:rPr>
        <w:t xml:space="preserve"> la Dirección Nacional de Avalúos y Catastros y que deben ser implementadas por todos los gobiernos autónomos descentralizados municipales o metropolitanos para la formación y actualización de los catastros y la valoración de los bienes inmuebles de acuerdo a su jurisdicción;</w:t>
      </w:r>
    </w:p>
    <w:p w14:paraId="0000001D" w14:textId="77777777" w:rsidR="00D84FEB" w:rsidRPr="009F1EC8" w:rsidRDefault="00D84FEB" w:rsidP="00F665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sz w:val="22"/>
          <w:szCs w:val="22"/>
          <w:lang w:val="es-EC"/>
        </w:rPr>
      </w:pPr>
    </w:p>
    <w:p w14:paraId="0000001E"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sz w:val="22"/>
          <w:szCs w:val="22"/>
          <w:lang w:val="es-EC"/>
        </w:rPr>
        <w:t xml:space="preserve">, </w:t>
      </w:r>
      <w:r w:rsidRPr="009F1EC8">
        <w:rPr>
          <w:rFonts w:ascii="Palatino Linotype" w:eastAsia="Palatino Linotype" w:hAnsi="Palatino Linotype" w:cs="Palatino Linotype"/>
          <w:sz w:val="22"/>
          <w:szCs w:val="22"/>
          <w:lang w:val="es-EC"/>
        </w:rPr>
        <w:tab/>
        <w:t>mediante resolución administrativa No. 0003 de 23 de marzo de 2016, el Director Metropolitano de Catastro, expidió la actualización de la Norma Técnica de Valoración que establece los procedimientos aplicarse para la actualización de los valores de terreno y construcciones para los bienes inmuebles urbanos y rurales del Distrito Metropolitano de Quito;</w:t>
      </w:r>
    </w:p>
    <w:p w14:paraId="0000001F"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rPr>
          <w:rFonts w:ascii="Palatino Linotype" w:eastAsia="Palatino Linotype" w:hAnsi="Palatino Linotype" w:cs="Palatino Linotype"/>
          <w:sz w:val="22"/>
          <w:szCs w:val="22"/>
          <w:lang w:val="es-EC"/>
        </w:rPr>
      </w:pPr>
    </w:p>
    <w:p w14:paraId="00000020"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sz w:val="22"/>
          <w:szCs w:val="22"/>
          <w:lang w:val="es-EC"/>
        </w:rPr>
        <w:t xml:space="preserve">Que, </w:t>
      </w:r>
      <w:r w:rsidRPr="009F1EC8">
        <w:rPr>
          <w:rFonts w:ascii="Palatino Linotype" w:eastAsia="Palatino Linotype" w:hAnsi="Palatino Linotype" w:cs="Palatino Linotype"/>
          <w:sz w:val="22"/>
          <w:szCs w:val="22"/>
          <w:lang w:val="es-EC"/>
        </w:rPr>
        <w:tab/>
        <w:t>con fecha 22 de diciembre del 2017, se sanciona la Ordenanza Metropolitana No. 196 de aprobación del plano de valor de la tierra de los predios urbanos y rurales del Distrito Metropolitano de Quito, mediante la aplicación de los elementos de valor del suelo, valor de las edificaciones y valor de reposición y que rige para el bienio 2018-2019;</w:t>
      </w:r>
    </w:p>
    <w:p w14:paraId="00000021"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22" w14:textId="535FF431"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sz w:val="22"/>
          <w:szCs w:val="22"/>
          <w:lang w:val="es-EC"/>
        </w:rPr>
        <w:t>Que,    la Ordenanza Metropolitana No. 196 en sus artículos 42 y 49 respecto del valor Base del AIVA urbano  y rural, valor base de las construcciones y valores de adicionales constructivos e instalaciones especiales establece que: “</w:t>
      </w:r>
      <w:r w:rsidRPr="009F1EC8">
        <w:rPr>
          <w:rFonts w:ascii="Palatino Linotype" w:eastAsia="Palatino Linotype" w:hAnsi="Palatino Linotype" w:cs="Palatino Linotype"/>
          <w:i/>
          <w:sz w:val="22"/>
          <w:szCs w:val="22"/>
          <w:lang w:val="es-EC"/>
        </w:rPr>
        <w:t xml:space="preserve">La información registrada en esta Ordenanza sobre valores de AIVAS, valores en tipologías constructivas, valores de adicionales constructivos e instalaciones especiales, </w:t>
      </w:r>
      <w:r w:rsidRPr="00756E68">
        <w:rPr>
          <w:rFonts w:ascii="Palatino Linotype" w:eastAsia="Palatino Linotype" w:hAnsi="Palatino Linotype" w:cs="Palatino Linotype"/>
          <w:i/>
          <w:color w:val="auto"/>
          <w:sz w:val="22"/>
          <w:szCs w:val="22"/>
          <w:lang w:val="es-EC"/>
        </w:rPr>
        <w:t>p</w:t>
      </w:r>
      <w:r w:rsidR="002120E5" w:rsidRPr="00756E68">
        <w:rPr>
          <w:rFonts w:ascii="Palatino Linotype" w:eastAsia="Palatino Linotype" w:hAnsi="Palatino Linotype" w:cs="Palatino Linotype"/>
          <w:i/>
          <w:color w:val="auto"/>
          <w:sz w:val="22"/>
          <w:szCs w:val="22"/>
          <w:lang w:val="es-EC"/>
        </w:rPr>
        <w:t xml:space="preserve">recios de acabados de </w:t>
      </w:r>
      <w:r w:rsidRPr="00756E68">
        <w:rPr>
          <w:rFonts w:ascii="Palatino Linotype" w:eastAsia="Palatino Linotype" w:hAnsi="Palatino Linotype" w:cs="Palatino Linotype"/>
          <w:i/>
          <w:color w:val="auto"/>
          <w:sz w:val="22"/>
          <w:szCs w:val="22"/>
          <w:lang w:val="es-EC"/>
        </w:rPr>
        <w:t xml:space="preserve">exteriores </w:t>
      </w:r>
      <w:r w:rsidRPr="009F1EC8">
        <w:rPr>
          <w:rFonts w:ascii="Palatino Linotype" w:eastAsia="Palatino Linotype" w:hAnsi="Palatino Linotype" w:cs="Palatino Linotype"/>
          <w:i/>
          <w:sz w:val="22"/>
          <w:szCs w:val="22"/>
          <w:lang w:val="es-EC"/>
        </w:rPr>
        <w:t>e información de otras tablas; se generarán y/o actualizarán a petición de parte o de oficio, con base en los estudios e investigaciones que actualicen el sistema valorativo, producto de los cambios físicos, espaciales, legales y económicos que se da en las áreas urbanas, rurales y urbano parroquiales del Distrito Metropolitano de Quito. Dicha actualización estará a cargo de la unidad correspondiente de la Dirección Metropolitana de Catastro</w:t>
      </w:r>
      <w:r w:rsidRPr="009F1EC8">
        <w:rPr>
          <w:rFonts w:ascii="Palatino Linotype" w:eastAsia="Palatino Linotype" w:hAnsi="Palatino Linotype" w:cs="Palatino Linotype"/>
          <w:sz w:val="22"/>
          <w:szCs w:val="22"/>
          <w:lang w:val="es-EC"/>
        </w:rPr>
        <w:t>”;</w:t>
      </w:r>
    </w:p>
    <w:p w14:paraId="00000023"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24" w14:textId="7C04FC7A"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i/>
          <w:sz w:val="22"/>
          <w:szCs w:val="22"/>
          <w:lang w:val="es-EC"/>
        </w:rPr>
      </w:pPr>
      <w:r w:rsidRPr="009F1EC8">
        <w:rPr>
          <w:rFonts w:ascii="Palatino Linotype" w:eastAsia="Palatino Linotype" w:hAnsi="Palatino Linotype" w:cs="Palatino Linotype"/>
          <w:b/>
          <w:sz w:val="22"/>
          <w:szCs w:val="22"/>
          <w:lang w:val="es-EC"/>
        </w:rPr>
        <w:t>Que</w:t>
      </w:r>
      <w:r w:rsidRPr="009F1EC8">
        <w:rPr>
          <w:rFonts w:ascii="Palatino Linotype" w:eastAsia="Palatino Linotype" w:hAnsi="Palatino Linotype" w:cs="Palatino Linotype"/>
          <w:sz w:val="22"/>
          <w:szCs w:val="22"/>
          <w:lang w:val="es-EC"/>
        </w:rPr>
        <w:t>,</w:t>
      </w:r>
      <w:r w:rsidRPr="009F1EC8">
        <w:rPr>
          <w:rFonts w:ascii="Palatino Linotype" w:eastAsia="Palatino Linotype" w:hAnsi="Palatino Linotype" w:cs="Palatino Linotype"/>
          <w:sz w:val="22"/>
          <w:szCs w:val="22"/>
          <w:lang w:val="es-EC"/>
        </w:rPr>
        <w:tab/>
        <w:t>la  Disposición Transitoria  Sexta de la “Ordenanza Metropolitana No. 196 “ dispone que: ” P</w:t>
      </w:r>
      <w:r w:rsidRPr="009F1EC8">
        <w:rPr>
          <w:rFonts w:ascii="Palatino Linotype" w:eastAsia="Palatino Linotype" w:hAnsi="Palatino Linotype" w:cs="Palatino Linotype"/>
          <w:i/>
          <w:sz w:val="22"/>
          <w:szCs w:val="22"/>
          <w:lang w:val="es-EC"/>
        </w:rPr>
        <w:t>ara su eficaz aplicación, en el plazo de un año a partir de la sanción de la</w:t>
      </w:r>
      <w:r w:rsidRPr="009F1EC8">
        <w:rPr>
          <w:rFonts w:ascii="Palatino Linotype" w:eastAsia="Palatino Linotype" w:hAnsi="Palatino Linotype" w:cs="Palatino Linotype"/>
          <w:sz w:val="22"/>
          <w:szCs w:val="22"/>
          <w:lang w:val="es-EC"/>
        </w:rPr>
        <w:t xml:space="preserve"> </w:t>
      </w:r>
      <w:r w:rsidRPr="009F1EC8">
        <w:rPr>
          <w:rFonts w:ascii="Palatino Linotype" w:eastAsia="Palatino Linotype" w:hAnsi="Palatino Linotype" w:cs="Palatino Linotype"/>
          <w:i/>
          <w:sz w:val="22"/>
          <w:szCs w:val="22"/>
          <w:lang w:val="es-EC"/>
        </w:rPr>
        <w:t>presente ordenanza, el Director  Metropolitano de Catastro, presentará al Concejo Metropolitano de Quito, para su aprobación, el proyecto de adecuación de la Norma Técnica de Valoración, a las disposiciones constantes en el Acuerdo Ministerial No. 029-16, publicado en el Registro Oficial No. 853 de 3 de octubre de 2016, las Normas Técnicas Nacionales para el Catastro de Bienes Inmuebles Urbanos y Rurales y Avalúos de Bienes; Operación y Cálculo de Tarifas por los Servicios Técnicos de la Dirección Nacional de Avalúos y Catastros”;</w:t>
      </w:r>
    </w:p>
    <w:p w14:paraId="00000025"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i/>
          <w:sz w:val="22"/>
          <w:szCs w:val="22"/>
          <w:lang w:val="es-EC"/>
        </w:rPr>
        <w:t xml:space="preserve">  </w:t>
      </w:r>
    </w:p>
    <w:p w14:paraId="00000026" w14:textId="77777777" w:rsidR="00D84FEB" w:rsidRPr="009F1EC8" w:rsidRDefault="00766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Que, </w:t>
      </w:r>
      <w:r w:rsidRPr="009F1EC8">
        <w:rPr>
          <w:rFonts w:ascii="Palatino Linotype" w:eastAsia="Palatino Linotype" w:hAnsi="Palatino Linotype" w:cs="Palatino Linotype"/>
          <w:b/>
          <w:sz w:val="22"/>
          <w:szCs w:val="22"/>
          <w:lang w:val="es-EC"/>
        </w:rPr>
        <w:tab/>
      </w:r>
      <w:r w:rsidRPr="009F1EC8">
        <w:rPr>
          <w:rFonts w:ascii="Palatino Linotype" w:eastAsia="Palatino Linotype" w:hAnsi="Palatino Linotype" w:cs="Palatino Linotype"/>
          <w:sz w:val="22"/>
          <w:szCs w:val="22"/>
          <w:lang w:val="es-EC"/>
        </w:rPr>
        <w:t>es necesario</w:t>
      </w:r>
      <w:r w:rsidRPr="009F1EC8">
        <w:rPr>
          <w:rFonts w:ascii="Palatino Linotype" w:eastAsia="Palatino Linotype" w:hAnsi="Palatino Linotype" w:cs="Palatino Linotype"/>
          <w:b/>
          <w:sz w:val="22"/>
          <w:szCs w:val="22"/>
          <w:lang w:val="es-EC"/>
        </w:rPr>
        <w:t xml:space="preserve"> </w:t>
      </w:r>
      <w:r w:rsidRPr="009F1EC8">
        <w:rPr>
          <w:rFonts w:ascii="Palatino Linotype" w:eastAsia="Palatino Linotype" w:hAnsi="Palatino Linotype" w:cs="Palatino Linotype"/>
          <w:sz w:val="22"/>
          <w:szCs w:val="22"/>
          <w:lang w:val="es-EC"/>
        </w:rPr>
        <w:t>mantener actualizados</w:t>
      </w:r>
      <w:r w:rsidRPr="009F1EC8">
        <w:rPr>
          <w:rFonts w:ascii="Palatino Linotype" w:eastAsia="Palatino Linotype" w:hAnsi="Palatino Linotype" w:cs="Palatino Linotype"/>
          <w:b/>
          <w:sz w:val="22"/>
          <w:szCs w:val="22"/>
          <w:lang w:val="es-EC"/>
        </w:rPr>
        <w:t xml:space="preserve"> </w:t>
      </w:r>
      <w:r w:rsidRPr="009F1EC8">
        <w:rPr>
          <w:rFonts w:ascii="Palatino Linotype" w:eastAsia="Palatino Linotype" w:hAnsi="Palatino Linotype" w:cs="Palatino Linotype"/>
          <w:sz w:val="22"/>
          <w:szCs w:val="22"/>
          <w:lang w:val="es-EC"/>
        </w:rPr>
        <w:t>los</w:t>
      </w:r>
      <w:r w:rsidRPr="009F1EC8">
        <w:rPr>
          <w:rFonts w:ascii="Palatino Linotype" w:eastAsia="Palatino Linotype" w:hAnsi="Palatino Linotype" w:cs="Palatino Linotype"/>
          <w:b/>
          <w:sz w:val="22"/>
          <w:szCs w:val="22"/>
          <w:lang w:val="es-EC"/>
        </w:rPr>
        <w:t xml:space="preserve"> </w:t>
      </w:r>
      <w:r w:rsidRPr="009F1EC8">
        <w:rPr>
          <w:rFonts w:ascii="Palatino Linotype" w:eastAsia="Palatino Linotype" w:hAnsi="Palatino Linotype" w:cs="Palatino Linotype"/>
          <w:sz w:val="22"/>
          <w:szCs w:val="22"/>
          <w:lang w:val="es-EC"/>
        </w:rPr>
        <w:t xml:space="preserve">catastros y valoración de los bienes inmuebles del Distrito Metropolitano de Quito; así como de los procedimientos y manuales para la aplicabilidad de la Norma Técnica de Valoración, para lo cual es indispensable adecuarla a las Normas Técnicas emitidas por el Ministerio de Desarrollo Urbano y Vivienda como órgano rector del catastro y valoración, y que servirá para establecer los estudios, investigaciones, estándares, protocolos y procedimientos para el levantamiento de la información valorativa de los bienes inmuebles urbanos y rurales del Distrito Metropolitano de Quito. </w:t>
      </w:r>
    </w:p>
    <w:p w14:paraId="00000027" w14:textId="77777777" w:rsidR="00D84FEB" w:rsidRPr="009F1EC8" w:rsidRDefault="00D84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05" w:hanging="705"/>
        <w:jc w:val="both"/>
        <w:rPr>
          <w:rFonts w:ascii="Palatino Linotype" w:eastAsia="Palatino Linotype" w:hAnsi="Palatino Linotype" w:cs="Palatino Linotype"/>
          <w:sz w:val="22"/>
          <w:szCs w:val="22"/>
          <w:lang w:val="es-EC"/>
        </w:rPr>
      </w:pPr>
    </w:p>
    <w:p w14:paraId="00000028" w14:textId="77777777" w:rsidR="00D84FEB" w:rsidRPr="009F1EC8" w:rsidRDefault="00766A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En virtud del ejercicio de las atribuciones que le confieren los artículos 240 de la Constitución de la República del Ecuador; artículos 57 literal y 87 literal a), del Código Orgánico de Organización Territorial, Autonomía y Descentralización y la Disposición Transitoria Sexta de la Ordenanza Metropolitana No. 196 vigente, el Concejo Metropolitano de Quito:</w:t>
      </w:r>
    </w:p>
    <w:p w14:paraId="00000029" w14:textId="77777777" w:rsidR="00D84FEB" w:rsidRPr="009F1EC8" w:rsidRDefault="00D84FE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Palatino Linotype" w:eastAsia="Palatino Linotype" w:hAnsi="Palatino Linotype" w:cs="Palatino Linotype"/>
          <w:b/>
          <w:sz w:val="22"/>
          <w:szCs w:val="22"/>
          <w:lang w:val="es-EC"/>
        </w:rPr>
      </w:pPr>
    </w:p>
    <w:p w14:paraId="0000002A" w14:textId="77777777" w:rsidR="00D84FEB" w:rsidRPr="009F1EC8" w:rsidRDefault="00D84FEB">
      <w:pPr>
        <w:pBdr>
          <w:top w:val="nil"/>
          <w:left w:val="nil"/>
          <w:bottom w:val="nil"/>
          <w:right w:val="nil"/>
          <w:between w:val="nil"/>
        </w:pBdr>
        <w:jc w:val="center"/>
        <w:rPr>
          <w:rFonts w:ascii="Palatino Linotype" w:eastAsia="Palatino Linotype" w:hAnsi="Palatino Linotype" w:cs="Palatino Linotype"/>
          <w:b/>
          <w:sz w:val="28"/>
          <w:szCs w:val="28"/>
          <w:lang w:val="es-EC"/>
        </w:rPr>
      </w:pPr>
    </w:p>
    <w:p w14:paraId="0000002B" w14:textId="77777777" w:rsidR="00D84FEB" w:rsidRPr="009F1EC8" w:rsidRDefault="00766A67">
      <w:pPr>
        <w:pBdr>
          <w:top w:val="nil"/>
          <w:left w:val="nil"/>
          <w:bottom w:val="nil"/>
          <w:right w:val="nil"/>
          <w:between w:val="nil"/>
        </w:pBdr>
        <w:jc w:val="center"/>
        <w:rPr>
          <w:rFonts w:ascii="Palatino Linotype" w:eastAsia="Palatino Linotype" w:hAnsi="Palatino Linotype" w:cs="Palatino Linotype"/>
          <w:b/>
          <w:sz w:val="28"/>
          <w:szCs w:val="28"/>
          <w:lang w:val="es-EC"/>
        </w:rPr>
      </w:pPr>
      <w:r w:rsidRPr="009F1EC8">
        <w:rPr>
          <w:rFonts w:ascii="Palatino Linotype" w:eastAsia="Palatino Linotype" w:hAnsi="Palatino Linotype" w:cs="Palatino Linotype"/>
          <w:b/>
          <w:sz w:val="28"/>
          <w:szCs w:val="28"/>
          <w:lang w:val="es-EC"/>
        </w:rPr>
        <w:t xml:space="preserve">EXPIDE LA SIGUIENTE: </w:t>
      </w:r>
    </w:p>
    <w:p w14:paraId="0000002C" w14:textId="77777777" w:rsidR="00D84FEB" w:rsidRPr="009F1EC8" w:rsidRDefault="00D84FEB">
      <w:pPr>
        <w:pBdr>
          <w:top w:val="nil"/>
          <w:left w:val="nil"/>
          <w:bottom w:val="nil"/>
          <w:right w:val="nil"/>
          <w:between w:val="nil"/>
        </w:pBdr>
        <w:jc w:val="center"/>
        <w:rPr>
          <w:rFonts w:ascii="Palatino Linotype" w:eastAsia="Palatino Linotype" w:hAnsi="Palatino Linotype" w:cs="Palatino Linotype"/>
          <w:b/>
          <w:sz w:val="22"/>
          <w:szCs w:val="22"/>
          <w:lang w:val="es-EC"/>
        </w:rPr>
      </w:pPr>
    </w:p>
    <w:p w14:paraId="0000002D" w14:textId="77777777" w:rsidR="00D84FEB" w:rsidRPr="009F1EC8" w:rsidRDefault="00D84FEB">
      <w:pPr>
        <w:pBdr>
          <w:top w:val="nil"/>
          <w:left w:val="nil"/>
          <w:bottom w:val="nil"/>
          <w:right w:val="nil"/>
          <w:between w:val="nil"/>
        </w:pBdr>
        <w:jc w:val="center"/>
        <w:rPr>
          <w:rFonts w:ascii="Palatino Linotype" w:eastAsia="Palatino Linotype" w:hAnsi="Palatino Linotype" w:cs="Palatino Linotype"/>
          <w:b/>
          <w:sz w:val="22"/>
          <w:szCs w:val="22"/>
          <w:lang w:val="es-EC"/>
        </w:rPr>
      </w:pPr>
    </w:p>
    <w:p w14:paraId="0000002E" w14:textId="77777777" w:rsidR="00D84FEB" w:rsidRPr="009F1EC8" w:rsidRDefault="00766A67">
      <w:pPr>
        <w:pBdr>
          <w:top w:val="nil"/>
          <w:left w:val="nil"/>
          <w:bottom w:val="nil"/>
          <w:right w:val="nil"/>
          <w:between w:val="nil"/>
        </w:pBdr>
        <w:jc w:val="center"/>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ORDENANZA METROPOLITANA QUE APRUEBA LA NORMA TÉCNICA DE VALORACIÓN DE LOS BIENES INMUEBLES URBANOS Y RURALES DEL DISTRITO METROPOLITANO DE QUITO</w:t>
      </w:r>
    </w:p>
    <w:p w14:paraId="0000002F"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b/>
          <w:sz w:val="22"/>
          <w:szCs w:val="22"/>
          <w:lang w:val="es-EC"/>
        </w:rPr>
      </w:pPr>
    </w:p>
    <w:p w14:paraId="00000030" w14:textId="3AEAA845"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Artículo Único</w:t>
      </w:r>
      <w:r w:rsidRPr="009F1EC8">
        <w:rPr>
          <w:rFonts w:ascii="Palatino Linotype" w:eastAsia="Palatino Linotype" w:hAnsi="Palatino Linotype" w:cs="Palatino Linotype"/>
          <w:sz w:val="22"/>
          <w:szCs w:val="22"/>
          <w:lang w:val="es-EC"/>
        </w:rPr>
        <w:t xml:space="preserve">. –  Apruébese la </w:t>
      </w:r>
      <w:r w:rsidRPr="009F1EC8">
        <w:rPr>
          <w:rFonts w:ascii="Palatino Linotype" w:eastAsia="Palatino Linotype" w:hAnsi="Palatino Linotype" w:cs="Palatino Linotype"/>
          <w:b/>
          <w:lang w:val="es-EC"/>
        </w:rPr>
        <w:t xml:space="preserve"> </w:t>
      </w:r>
      <w:r w:rsidRPr="009F1EC8">
        <w:rPr>
          <w:rFonts w:ascii="Palatino Linotype" w:eastAsia="Palatino Linotype" w:hAnsi="Palatino Linotype" w:cs="Palatino Linotype"/>
          <w:sz w:val="22"/>
          <w:szCs w:val="22"/>
          <w:lang w:val="es-EC"/>
        </w:rPr>
        <w:t>Norma Técnica de Valoración para los bienes Inmuebles Urbanos y Rurales del Distrito Metropolitano de Quito.</w:t>
      </w:r>
    </w:p>
    <w:p w14:paraId="00000031"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2"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Disposiciones Transitorias:</w:t>
      </w:r>
    </w:p>
    <w:p w14:paraId="00000033"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b/>
          <w:sz w:val="22"/>
          <w:szCs w:val="22"/>
          <w:lang w:val="es-EC"/>
        </w:rPr>
      </w:pPr>
    </w:p>
    <w:p w14:paraId="00000034" w14:textId="77777777" w:rsidR="00D84FEB" w:rsidRPr="009F1EC8" w:rsidRDefault="00766A67">
      <w:pPr>
        <w:pBdr>
          <w:top w:val="nil"/>
          <w:left w:val="nil"/>
          <w:bottom w:val="nil"/>
          <w:right w:val="nil"/>
          <w:between w:val="nil"/>
        </w:pBdr>
        <w:spacing w:after="240"/>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Primera. - </w:t>
      </w:r>
      <w:r w:rsidRPr="009F1EC8">
        <w:rPr>
          <w:rFonts w:ascii="Palatino Linotype" w:eastAsia="Palatino Linotype" w:hAnsi="Palatino Linotype" w:cs="Palatino Linotype"/>
          <w:sz w:val="22"/>
          <w:szCs w:val="22"/>
          <w:lang w:val="es-EC"/>
        </w:rPr>
        <w:t>Encárguese al Director Metropolitano de Catastro y al Director Metropolitano de Informática para que,  a partir de la aprobación de la presente Ordenanza, procedan a la implementación de la Norma Técnica de Valoración del Distrito Metropolitano de Quito en el sistema catastral.</w:t>
      </w:r>
    </w:p>
    <w:p w14:paraId="00000035"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Segunda. – </w:t>
      </w:r>
      <w:r w:rsidRPr="009F1EC8">
        <w:rPr>
          <w:rFonts w:ascii="Palatino Linotype" w:eastAsia="Palatino Linotype" w:hAnsi="Palatino Linotype" w:cs="Palatino Linotype"/>
          <w:sz w:val="22"/>
          <w:szCs w:val="22"/>
          <w:lang w:val="es-EC"/>
        </w:rPr>
        <w:t>Aplíquese la Norma Técnica de Valoración que se aprueba en esta Ordenanza en la valoración de los bienes inmuebles urbanos y rurales del Distrito Metropolitano de Quito, para la emisión catastral a regir para el año 2020.</w:t>
      </w:r>
    </w:p>
    <w:p w14:paraId="00000036"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7"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Disposición Derogatoria.- </w:t>
      </w:r>
      <w:r w:rsidRPr="009F1EC8">
        <w:rPr>
          <w:rFonts w:ascii="Palatino Linotype" w:eastAsia="Palatino Linotype" w:hAnsi="Palatino Linotype" w:cs="Palatino Linotype"/>
          <w:sz w:val="22"/>
          <w:szCs w:val="22"/>
          <w:lang w:val="es-EC"/>
        </w:rPr>
        <w:t xml:space="preserve">Deróguense las disposiciones de igual o menor jerarquía que se opongan a la presente Ordenanza.  </w:t>
      </w:r>
    </w:p>
    <w:p w14:paraId="00000038"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9"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Disposición Final.- </w:t>
      </w:r>
      <w:r w:rsidRPr="009F1EC8">
        <w:rPr>
          <w:rFonts w:ascii="Palatino Linotype" w:eastAsia="Palatino Linotype" w:hAnsi="Palatino Linotype" w:cs="Palatino Linotype"/>
          <w:sz w:val="22"/>
          <w:szCs w:val="22"/>
          <w:lang w:val="es-EC"/>
        </w:rPr>
        <w:t>Esta Ordenanza entrará en vigencia a partir de la fecha de su aprobación, sin perjuicio de su publicación en la gaceta oficial y página Web institucional del GAD del Distritito Metropolitano de Quito.</w:t>
      </w:r>
    </w:p>
    <w:p w14:paraId="0000003A"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B"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sz w:val="22"/>
          <w:szCs w:val="22"/>
          <w:lang w:val="es-EC"/>
        </w:rPr>
        <w:t xml:space="preserve">Dada, en la Sala de Sesiones del Concejo Metropolitano de Quito, el </w:t>
      </w:r>
      <w:r w:rsidRPr="009F1EC8">
        <w:rPr>
          <w:rFonts w:ascii="Palatino Linotype" w:eastAsia="Palatino Linotype" w:hAnsi="Palatino Linotype" w:cs="Palatino Linotype"/>
          <w:sz w:val="22"/>
          <w:szCs w:val="22"/>
          <w:u w:val="single"/>
          <w:lang w:val="es-EC"/>
        </w:rPr>
        <w:t xml:space="preserve">                          </w:t>
      </w:r>
      <w:r w:rsidRPr="009F1EC8">
        <w:rPr>
          <w:rFonts w:ascii="Palatino Linotype" w:eastAsia="Palatino Linotype" w:hAnsi="Palatino Linotype" w:cs="Palatino Linotype"/>
          <w:sz w:val="22"/>
          <w:szCs w:val="22"/>
          <w:lang w:val="es-EC"/>
        </w:rPr>
        <w:t xml:space="preserve">de 2019. </w:t>
      </w:r>
    </w:p>
    <w:p w14:paraId="0000003C"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D"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E"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3F"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ALCALDÍA DEL DISTRITO METROPOLITANO. - </w:t>
      </w:r>
      <w:r w:rsidRPr="009F1EC8">
        <w:rPr>
          <w:rFonts w:ascii="Palatino Linotype" w:eastAsia="Palatino Linotype" w:hAnsi="Palatino Linotype" w:cs="Palatino Linotype"/>
          <w:sz w:val="22"/>
          <w:szCs w:val="22"/>
          <w:lang w:val="es-EC"/>
        </w:rPr>
        <w:t xml:space="preserve">Distrito Metropolitano de Quito, </w:t>
      </w:r>
    </w:p>
    <w:p w14:paraId="00000040"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41"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42"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43" w14:textId="77777777" w:rsidR="00D84FEB" w:rsidRPr="009F1EC8" w:rsidRDefault="00766A67">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 xml:space="preserve">EJECÚTESE: </w:t>
      </w:r>
    </w:p>
    <w:p w14:paraId="00000044" w14:textId="77777777" w:rsidR="00D84FEB" w:rsidRPr="009F1EC8" w:rsidRDefault="00D84FEB">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p>
    <w:p w14:paraId="00000045" w14:textId="77777777" w:rsidR="00D84FEB" w:rsidRPr="009F1EC8" w:rsidRDefault="00D84FEB">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p>
    <w:p w14:paraId="00000046" w14:textId="77777777" w:rsidR="00D84FEB" w:rsidRPr="009F1EC8" w:rsidRDefault="00D84FEB">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p>
    <w:p w14:paraId="00000047" w14:textId="77777777" w:rsidR="00D84FEB" w:rsidRPr="009F1EC8" w:rsidRDefault="00D84FEB">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p>
    <w:p w14:paraId="00000048" w14:textId="77777777" w:rsidR="00D84FEB" w:rsidRPr="009F1EC8" w:rsidRDefault="00766A67">
      <w:pPr>
        <w:pBdr>
          <w:top w:val="nil"/>
          <w:left w:val="nil"/>
          <w:bottom w:val="nil"/>
          <w:right w:val="nil"/>
          <w:between w:val="nil"/>
        </w:pBdr>
        <w:spacing w:line="276" w:lineRule="auto"/>
        <w:jc w:val="center"/>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sz w:val="22"/>
          <w:szCs w:val="22"/>
          <w:lang w:val="es-EC"/>
        </w:rPr>
        <w:t xml:space="preserve">Dr. Jorge Yunda Machado </w:t>
      </w:r>
    </w:p>
    <w:p w14:paraId="00000049" w14:textId="77777777" w:rsidR="00D84FEB" w:rsidRPr="009F1EC8" w:rsidRDefault="00766A67">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ALCALDE DEL DISTRITRO METROPOLITANO DE QUITO</w:t>
      </w:r>
    </w:p>
    <w:p w14:paraId="0000004A" w14:textId="77777777" w:rsidR="00D84FEB" w:rsidRPr="009F1EC8" w:rsidRDefault="00D84FEB">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p>
    <w:p w14:paraId="0000004B"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CERTIFICO, </w:t>
      </w:r>
      <w:r w:rsidRPr="009F1EC8">
        <w:rPr>
          <w:rFonts w:ascii="Palatino Linotype" w:eastAsia="Palatino Linotype" w:hAnsi="Palatino Linotype" w:cs="Palatino Linotype"/>
          <w:sz w:val="22"/>
          <w:szCs w:val="22"/>
          <w:lang w:val="es-EC"/>
        </w:rPr>
        <w:t>que la presente resolución fue discutida y aprobada en sesión pública ordinaria del Concejo Metropolitano de Quito, el</w:t>
      </w:r>
      <w:r w:rsidRPr="009F1EC8">
        <w:rPr>
          <w:rFonts w:ascii="Palatino Linotype" w:eastAsia="Palatino Linotype" w:hAnsi="Palatino Linotype" w:cs="Palatino Linotype"/>
          <w:sz w:val="22"/>
          <w:szCs w:val="22"/>
          <w:u w:val="single"/>
          <w:lang w:val="es-EC"/>
        </w:rPr>
        <w:t xml:space="preserve">                  </w:t>
      </w:r>
      <w:r w:rsidRPr="009F1EC8">
        <w:rPr>
          <w:rFonts w:ascii="Palatino Linotype" w:eastAsia="Palatino Linotype" w:hAnsi="Palatino Linotype" w:cs="Palatino Linotype"/>
          <w:sz w:val="22"/>
          <w:szCs w:val="22"/>
          <w:lang w:val="es-EC"/>
        </w:rPr>
        <w:t xml:space="preserve">de 2019; y, suscrita por el Dr. Jorge Yunda Machado, Alcalde del Distrito Metropolitano de Quito el </w:t>
      </w:r>
    </w:p>
    <w:p w14:paraId="0000004C"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4D" w14:textId="77777777" w:rsidR="00D84FEB" w:rsidRPr="009F1EC8" w:rsidRDefault="00766A67">
      <w:pPr>
        <w:pBdr>
          <w:top w:val="nil"/>
          <w:left w:val="nil"/>
          <w:bottom w:val="nil"/>
          <w:right w:val="nil"/>
          <w:between w:val="nil"/>
        </w:pBdr>
        <w:jc w:val="both"/>
        <w:rPr>
          <w:rFonts w:ascii="Palatino Linotype" w:eastAsia="Palatino Linotype" w:hAnsi="Palatino Linotype" w:cs="Palatino Linotype"/>
          <w:sz w:val="22"/>
          <w:szCs w:val="22"/>
          <w:lang w:val="es-EC"/>
        </w:rPr>
      </w:pPr>
      <w:r w:rsidRPr="009F1EC8">
        <w:rPr>
          <w:rFonts w:ascii="Palatino Linotype" w:eastAsia="Palatino Linotype" w:hAnsi="Palatino Linotype" w:cs="Palatino Linotype"/>
          <w:b/>
          <w:sz w:val="22"/>
          <w:szCs w:val="22"/>
          <w:lang w:val="es-EC"/>
        </w:rPr>
        <w:t xml:space="preserve">Lo Certifico. - </w:t>
      </w:r>
      <w:r w:rsidRPr="009F1EC8">
        <w:rPr>
          <w:rFonts w:ascii="Palatino Linotype" w:eastAsia="Palatino Linotype" w:hAnsi="Palatino Linotype" w:cs="Palatino Linotype"/>
          <w:sz w:val="22"/>
          <w:szCs w:val="22"/>
          <w:lang w:val="es-EC"/>
        </w:rPr>
        <w:t xml:space="preserve">Distrito Metropolitano de Quito, </w:t>
      </w:r>
    </w:p>
    <w:p w14:paraId="0000004E" w14:textId="77777777" w:rsidR="00D84FEB" w:rsidRPr="009F1EC8" w:rsidRDefault="00D84FEB">
      <w:pPr>
        <w:pBdr>
          <w:top w:val="nil"/>
          <w:left w:val="nil"/>
          <w:bottom w:val="nil"/>
          <w:right w:val="nil"/>
          <w:between w:val="nil"/>
        </w:pBdr>
        <w:jc w:val="both"/>
        <w:rPr>
          <w:rFonts w:ascii="Palatino Linotype" w:eastAsia="Palatino Linotype" w:hAnsi="Palatino Linotype" w:cs="Palatino Linotype"/>
          <w:sz w:val="22"/>
          <w:szCs w:val="22"/>
          <w:lang w:val="es-EC"/>
        </w:rPr>
      </w:pPr>
    </w:p>
    <w:p w14:paraId="0000004F"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50"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51"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52"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53" w14:textId="77777777" w:rsidR="00D84FEB" w:rsidRPr="009F1EC8" w:rsidRDefault="00766A67">
      <w:pPr>
        <w:pBdr>
          <w:top w:val="nil"/>
          <w:left w:val="nil"/>
          <w:bottom w:val="nil"/>
          <w:right w:val="nil"/>
          <w:between w:val="nil"/>
        </w:pBdr>
        <w:spacing w:line="276" w:lineRule="auto"/>
        <w:jc w:val="center"/>
        <w:rPr>
          <w:rFonts w:ascii="Palatino Linotype" w:eastAsia="Palatino Linotype" w:hAnsi="Palatino Linotype" w:cs="Palatino Linotype"/>
          <w:b/>
          <w:sz w:val="22"/>
          <w:szCs w:val="22"/>
          <w:lang w:val="es-EC"/>
        </w:rPr>
      </w:pPr>
      <w:r w:rsidRPr="009F1EC8">
        <w:rPr>
          <w:rFonts w:ascii="Palatino Linotype" w:eastAsia="Palatino Linotype" w:hAnsi="Palatino Linotype" w:cs="Palatino Linotype"/>
          <w:b/>
          <w:sz w:val="22"/>
          <w:szCs w:val="22"/>
          <w:lang w:val="es-EC"/>
        </w:rPr>
        <w:t xml:space="preserve">SECRETARIO GENERAL DEL CONCEJO METROPOLITANO DE QUITO </w:t>
      </w:r>
    </w:p>
    <w:p w14:paraId="00000054"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sz w:val="22"/>
          <w:szCs w:val="22"/>
          <w:lang w:val="es-EC"/>
        </w:rPr>
      </w:pPr>
    </w:p>
    <w:p w14:paraId="00000055"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b/>
          <w:sz w:val="22"/>
          <w:szCs w:val="22"/>
          <w:lang w:val="es-EC"/>
        </w:rPr>
      </w:pPr>
    </w:p>
    <w:p w14:paraId="00000056" w14:textId="77777777" w:rsidR="00D84FEB" w:rsidRPr="009F1EC8" w:rsidRDefault="00D84FEB">
      <w:pPr>
        <w:pBdr>
          <w:top w:val="nil"/>
          <w:left w:val="nil"/>
          <w:bottom w:val="nil"/>
          <w:right w:val="nil"/>
          <w:between w:val="nil"/>
        </w:pBdr>
        <w:spacing w:line="276" w:lineRule="auto"/>
        <w:jc w:val="both"/>
        <w:rPr>
          <w:rFonts w:ascii="Palatino Linotype" w:eastAsia="Palatino Linotype" w:hAnsi="Palatino Linotype" w:cs="Palatino Linotype"/>
          <w:b/>
          <w:sz w:val="22"/>
          <w:szCs w:val="22"/>
          <w:lang w:val="es-EC"/>
        </w:rPr>
      </w:pPr>
    </w:p>
    <w:sectPr w:rsidR="00D84FEB" w:rsidRPr="009F1EC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EB"/>
    <w:rsid w:val="002120E5"/>
    <w:rsid w:val="00272318"/>
    <w:rsid w:val="00466D95"/>
    <w:rsid w:val="005A3EBA"/>
    <w:rsid w:val="00756E68"/>
    <w:rsid w:val="00766A67"/>
    <w:rsid w:val="009B4F76"/>
    <w:rsid w:val="009F1EC8"/>
    <w:rsid w:val="00A5253D"/>
    <w:rsid w:val="00B72740"/>
    <w:rsid w:val="00D84FEB"/>
    <w:rsid w:val="00F6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34"/>
    <w:pPr>
      <w:overflowPunct w:val="0"/>
      <w:autoSpaceDE w:val="0"/>
      <w:autoSpaceDN w:val="0"/>
      <w:adjustRightInd w:val="0"/>
      <w:textAlignment w:val="baseline"/>
    </w:pPr>
    <w:rPr>
      <w:color w:val="000000"/>
      <w:lang w:val="en-U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rsid w:val="00110A34"/>
    <w:pPr>
      <w:jc w:val="both"/>
    </w:pPr>
    <w:rPr>
      <w:rFonts w:ascii="Bookman Old Style" w:hAnsi="Bookman Old Style"/>
    </w:rPr>
  </w:style>
  <w:style w:type="character" w:customStyle="1" w:styleId="TextoindependienteCar">
    <w:name w:val="Texto independiente Car"/>
    <w:basedOn w:val="Fuentedeprrafopredeter"/>
    <w:link w:val="Textoindependiente"/>
    <w:rsid w:val="00110A34"/>
    <w:rPr>
      <w:rFonts w:ascii="Bookman Old Style" w:eastAsia="Times New Roman" w:hAnsi="Bookman Old Style" w:cs="Times New Roman"/>
      <w:color w:val="000000"/>
      <w:sz w:val="20"/>
      <w:szCs w:val="20"/>
      <w:lang w:val="en-US" w:eastAsia="es-ES"/>
    </w:rPr>
  </w:style>
  <w:style w:type="paragraph" w:styleId="Textodeglobo">
    <w:name w:val="Balloon Text"/>
    <w:basedOn w:val="Normal"/>
    <w:link w:val="TextodegloboCar"/>
    <w:uiPriority w:val="99"/>
    <w:semiHidden/>
    <w:unhideWhenUsed/>
    <w:rsid w:val="00C86D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6D1D"/>
    <w:rPr>
      <w:rFonts w:ascii="Segoe UI" w:eastAsia="Times New Roman" w:hAnsi="Segoe UI" w:cs="Segoe UI"/>
      <w:color w:val="000000"/>
      <w:sz w:val="18"/>
      <w:szCs w:val="18"/>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34"/>
    <w:pPr>
      <w:overflowPunct w:val="0"/>
      <w:autoSpaceDE w:val="0"/>
      <w:autoSpaceDN w:val="0"/>
      <w:adjustRightInd w:val="0"/>
      <w:textAlignment w:val="baseline"/>
    </w:pPr>
    <w:rPr>
      <w:color w:val="000000"/>
      <w:lang w:val="en-U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rsid w:val="00110A34"/>
    <w:pPr>
      <w:jc w:val="both"/>
    </w:pPr>
    <w:rPr>
      <w:rFonts w:ascii="Bookman Old Style" w:hAnsi="Bookman Old Style"/>
    </w:rPr>
  </w:style>
  <w:style w:type="character" w:customStyle="1" w:styleId="TextoindependienteCar">
    <w:name w:val="Texto independiente Car"/>
    <w:basedOn w:val="Fuentedeprrafopredeter"/>
    <w:link w:val="Textoindependiente"/>
    <w:rsid w:val="00110A34"/>
    <w:rPr>
      <w:rFonts w:ascii="Bookman Old Style" w:eastAsia="Times New Roman" w:hAnsi="Bookman Old Style" w:cs="Times New Roman"/>
      <w:color w:val="000000"/>
      <w:sz w:val="20"/>
      <w:szCs w:val="20"/>
      <w:lang w:val="en-US" w:eastAsia="es-ES"/>
    </w:rPr>
  </w:style>
  <w:style w:type="paragraph" w:styleId="Textodeglobo">
    <w:name w:val="Balloon Text"/>
    <w:basedOn w:val="Normal"/>
    <w:link w:val="TextodegloboCar"/>
    <w:uiPriority w:val="99"/>
    <w:semiHidden/>
    <w:unhideWhenUsed/>
    <w:rsid w:val="00C86D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6D1D"/>
    <w:rPr>
      <w:rFonts w:ascii="Segoe UI" w:eastAsia="Times New Roman" w:hAnsi="Segoe UI" w:cs="Segoe UI"/>
      <w:color w:val="000000"/>
      <w:sz w:val="18"/>
      <w:szCs w:val="18"/>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10243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ptufiño</dc:creator>
  <cp:lastModifiedBy>Marisela Caleño Quinte</cp:lastModifiedBy>
  <cp:revision>2</cp:revision>
  <dcterms:created xsi:type="dcterms:W3CDTF">2019-11-12T13:37:00Z</dcterms:created>
  <dcterms:modified xsi:type="dcterms:W3CDTF">2019-11-12T13:37:00Z</dcterms:modified>
</cp:coreProperties>
</file>